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media/image6.jpg" ContentType="image/png"/>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608BA3" w14:textId="77777777" w:rsidR="003C741A" w:rsidRDefault="003C741A" w:rsidP="003C741A">
      <w:pPr>
        <w:spacing w:beforeLines="100" w:before="240" w:afterLines="100" w:after="240" w:line="360" w:lineRule="auto"/>
        <w:jc w:val="center"/>
        <w:rPr>
          <w:rFonts w:ascii="Times New Roman" w:eastAsia="方正小标宋简体" w:hAnsi="Times New Roman"/>
          <w:sz w:val="32"/>
          <w:szCs w:val="32"/>
        </w:rPr>
      </w:pPr>
    </w:p>
    <w:p w14:paraId="20E01789" w14:textId="73BE9B81" w:rsidR="00CD798F" w:rsidRPr="006122E0" w:rsidRDefault="006176AC" w:rsidP="006122E0">
      <w:pPr>
        <w:spacing w:beforeLines="50" w:before="120" w:afterLines="50" w:after="120" w:line="480" w:lineRule="auto"/>
        <w:jc w:val="center"/>
        <w:rPr>
          <w:rFonts w:ascii="黑体" w:eastAsia="黑体" w:hAnsi="黑体" w:hint="eastAsia"/>
          <w:sz w:val="32"/>
          <w:szCs w:val="32"/>
        </w:rPr>
      </w:pPr>
      <w:r w:rsidRPr="006122E0">
        <w:rPr>
          <w:rFonts w:ascii="黑体" w:eastAsia="黑体" w:hAnsi="黑体"/>
          <w:sz w:val="32"/>
          <w:szCs w:val="32"/>
        </w:rPr>
        <w:t>金证（上海）资产评估有限公司</w:t>
      </w:r>
    </w:p>
    <w:p w14:paraId="6C2130B4" w14:textId="4FF3A48E" w:rsidR="006176AC" w:rsidRPr="006122E0" w:rsidRDefault="006176AC" w:rsidP="006122E0">
      <w:pPr>
        <w:spacing w:beforeLines="50" w:before="120" w:afterLines="50" w:after="120" w:line="480" w:lineRule="auto"/>
        <w:jc w:val="center"/>
        <w:rPr>
          <w:rFonts w:ascii="黑体" w:eastAsia="黑体" w:hAnsi="黑体" w:hint="eastAsia"/>
          <w:sz w:val="32"/>
          <w:szCs w:val="32"/>
        </w:rPr>
      </w:pPr>
      <w:r w:rsidRPr="006122E0">
        <w:rPr>
          <w:rFonts w:ascii="黑体" w:eastAsia="黑体" w:hAnsi="黑体"/>
          <w:sz w:val="32"/>
          <w:szCs w:val="32"/>
        </w:rPr>
        <w:t>关于深圳证券交易所《关于广东天亿马信息产业股份有限公司发行股份及支付现金购买资产并募集配套资金申请的审核问询函》</w:t>
      </w:r>
    </w:p>
    <w:p w14:paraId="1938765B" w14:textId="77777777" w:rsidR="006176AC" w:rsidRPr="006122E0" w:rsidRDefault="006176AC" w:rsidP="006122E0">
      <w:pPr>
        <w:spacing w:beforeLines="50" w:before="120" w:afterLines="50" w:after="120" w:line="480" w:lineRule="auto"/>
        <w:jc w:val="center"/>
        <w:rPr>
          <w:rFonts w:ascii="黑体" w:eastAsia="黑体" w:hAnsi="黑体" w:hint="eastAsia"/>
          <w:sz w:val="32"/>
          <w:szCs w:val="32"/>
        </w:rPr>
      </w:pPr>
      <w:r w:rsidRPr="006122E0">
        <w:rPr>
          <w:rFonts w:ascii="黑体" w:eastAsia="黑体" w:hAnsi="黑体"/>
          <w:sz w:val="32"/>
          <w:szCs w:val="32"/>
        </w:rPr>
        <w:t>（审核函〔2025〕030021号）</w:t>
      </w:r>
    </w:p>
    <w:p w14:paraId="48AE3AE2" w14:textId="77777777" w:rsidR="006176AC" w:rsidRPr="006122E0" w:rsidRDefault="006176AC" w:rsidP="006122E0">
      <w:pPr>
        <w:spacing w:beforeLines="50" w:before="120" w:afterLines="50" w:after="120" w:line="480" w:lineRule="auto"/>
        <w:jc w:val="center"/>
        <w:rPr>
          <w:rFonts w:ascii="黑体" w:eastAsia="黑体" w:hAnsi="黑体" w:hint="eastAsia"/>
          <w:sz w:val="32"/>
          <w:szCs w:val="32"/>
        </w:rPr>
      </w:pPr>
      <w:r w:rsidRPr="006122E0">
        <w:rPr>
          <w:rFonts w:ascii="黑体" w:eastAsia="黑体" w:hAnsi="黑体"/>
          <w:sz w:val="32"/>
          <w:szCs w:val="32"/>
        </w:rPr>
        <w:t>资产评估相关问题之核查意见</w:t>
      </w:r>
    </w:p>
    <w:p w14:paraId="44E3C915" w14:textId="77777777" w:rsidR="003C741A" w:rsidRPr="00AE3494" w:rsidRDefault="003C741A" w:rsidP="003C741A">
      <w:pPr>
        <w:spacing w:line="360" w:lineRule="auto"/>
        <w:jc w:val="center"/>
        <w:rPr>
          <w:rFonts w:ascii="Times New Roman" w:eastAsia="方正小标宋简体" w:hAnsi="Times New Roman"/>
          <w:sz w:val="32"/>
          <w:szCs w:val="32"/>
        </w:rPr>
      </w:pPr>
    </w:p>
    <w:p w14:paraId="71A5F149" w14:textId="77777777" w:rsidR="003C741A" w:rsidRPr="00AE3494" w:rsidRDefault="003C741A" w:rsidP="003C741A">
      <w:pPr>
        <w:spacing w:line="360" w:lineRule="auto"/>
        <w:jc w:val="center"/>
        <w:rPr>
          <w:rFonts w:ascii="Times New Roman" w:eastAsia="方正小标宋简体" w:hAnsi="Times New Roman"/>
          <w:b/>
          <w:bCs/>
          <w:sz w:val="32"/>
          <w:szCs w:val="32"/>
        </w:rPr>
      </w:pPr>
    </w:p>
    <w:p w14:paraId="06266260" w14:textId="77777777" w:rsidR="003C741A" w:rsidRPr="00AE3494" w:rsidRDefault="003C741A" w:rsidP="003C741A">
      <w:pPr>
        <w:spacing w:line="360" w:lineRule="auto"/>
        <w:jc w:val="center"/>
        <w:rPr>
          <w:rFonts w:ascii="Times New Roman" w:eastAsia="方正小标宋简体" w:hAnsi="Times New Roman"/>
          <w:b/>
          <w:bCs/>
          <w:sz w:val="32"/>
          <w:szCs w:val="32"/>
        </w:rPr>
      </w:pPr>
    </w:p>
    <w:p w14:paraId="0998C33C" w14:textId="77777777" w:rsidR="003C741A" w:rsidRPr="00AE3494" w:rsidRDefault="003C741A" w:rsidP="003C741A">
      <w:pPr>
        <w:spacing w:before="100" w:after="100" w:line="360" w:lineRule="auto"/>
        <w:jc w:val="center"/>
        <w:rPr>
          <w:rFonts w:ascii="Times New Roman" w:eastAsia="方正小标宋简体" w:hAnsi="Times New Roman"/>
          <w:b/>
          <w:bCs/>
          <w:sz w:val="32"/>
          <w:szCs w:val="32"/>
        </w:rPr>
      </w:pPr>
      <w:r w:rsidRPr="00AE3494">
        <w:rPr>
          <w:rFonts w:ascii="Times New Roman" w:hAnsi="Times New Roman"/>
          <w:noProof/>
        </w:rPr>
        <w:drawing>
          <wp:inline distT="0" distB="0" distL="0" distR="0" wp14:anchorId="2A3487F6" wp14:editId="3C50A369">
            <wp:extent cx="1080000" cy="1080000"/>
            <wp:effectExtent l="0" t="0" r="6350" b="6350"/>
            <wp:docPr id="2" name="图片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
                    <pic:cNvPicPr preferRelativeResize="0"/>
                  </pic:nvPicPr>
                  <pic:blipFill>
                    <a:blip r:embed="rId7"/>
                    <a:stretch>
                      <a:fillRect/>
                    </a:stretch>
                  </pic:blipFill>
                  <pic:spPr>
                    <a:xfrm>
                      <a:off x="0" y="0"/>
                      <a:ext cx="1080000" cy="1080000"/>
                    </a:xfrm>
                    <a:prstGeom prst="rect">
                      <a:avLst/>
                    </a:prstGeom>
                  </pic:spPr>
                </pic:pic>
              </a:graphicData>
            </a:graphic>
          </wp:inline>
        </w:drawing>
      </w:r>
    </w:p>
    <w:p w14:paraId="44869DC7" w14:textId="77777777" w:rsidR="003C741A" w:rsidRPr="00AE3494" w:rsidRDefault="003C741A" w:rsidP="003C741A">
      <w:pPr>
        <w:spacing w:line="360" w:lineRule="auto"/>
        <w:jc w:val="center"/>
        <w:rPr>
          <w:rFonts w:ascii="Times New Roman" w:eastAsia="方正小标宋简体" w:hAnsi="Times New Roman"/>
          <w:b/>
          <w:bCs/>
          <w:sz w:val="32"/>
          <w:szCs w:val="32"/>
        </w:rPr>
      </w:pPr>
    </w:p>
    <w:p w14:paraId="7B5FB1FB" w14:textId="77777777" w:rsidR="003C741A" w:rsidRPr="00AE3494" w:rsidRDefault="003C741A" w:rsidP="003C741A">
      <w:pPr>
        <w:spacing w:line="360" w:lineRule="auto"/>
        <w:jc w:val="center"/>
        <w:rPr>
          <w:rFonts w:ascii="Times New Roman" w:eastAsia="方正小标宋简体" w:hAnsi="Times New Roman"/>
          <w:b/>
          <w:bCs/>
          <w:sz w:val="32"/>
          <w:szCs w:val="32"/>
        </w:rPr>
      </w:pPr>
    </w:p>
    <w:p w14:paraId="213BF075" w14:textId="77777777" w:rsidR="003C741A" w:rsidRPr="00AE3494" w:rsidRDefault="003C741A" w:rsidP="003C741A">
      <w:pPr>
        <w:spacing w:line="360" w:lineRule="auto"/>
        <w:jc w:val="center"/>
        <w:rPr>
          <w:rFonts w:ascii="Times New Roman" w:eastAsia="方正小标宋简体" w:hAnsi="Times New Roman"/>
          <w:b/>
          <w:bCs/>
          <w:sz w:val="32"/>
          <w:szCs w:val="32"/>
        </w:rPr>
      </w:pPr>
    </w:p>
    <w:p w14:paraId="13847F2A" w14:textId="77777777" w:rsidR="003C741A" w:rsidRPr="00AE3494" w:rsidRDefault="003C741A" w:rsidP="003C741A">
      <w:pPr>
        <w:spacing w:line="360" w:lineRule="auto"/>
        <w:jc w:val="center"/>
        <w:rPr>
          <w:rFonts w:ascii="Times New Roman" w:eastAsia="方正小标宋简体" w:hAnsi="Times New Roman"/>
          <w:b/>
          <w:bCs/>
          <w:sz w:val="32"/>
          <w:szCs w:val="32"/>
        </w:rPr>
      </w:pPr>
    </w:p>
    <w:p w14:paraId="5D0F2CBF" w14:textId="77777777" w:rsidR="003C741A" w:rsidRPr="00AE3494" w:rsidRDefault="003C741A" w:rsidP="003C741A">
      <w:pPr>
        <w:spacing w:line="360" w:lineRule="auto"/>
        <w:jc w:val="center"/>
        <w:rPr>
          <w:rFonts w:ascii="Times New Roman" w:eastAsia="方正小标宋简体" w:hAnsi="Times New Roman"/>
          <w:b/>
          <w:bCs/>
          <w:sz w:val="32"/>
          <w:szCs w:val="32"/>
        </w:rPr>
      </w:pPr>
    </w:p>
    <w:p w14:paraId="14F7FB76" w14:textId="29092CEF" w:rsidR="006176AC" w:rsidRPr="006122E0" w:rsidRDefault="006176AC" w:rsidP="003C741A">
      <w:pPr>
        <w:spacing w:before="100" w:after="100" w:line="360" w:lineRule="auto"/>
        <w:jc w:val="center"/>
        <w:rPr>
          <w:rFonts w:ascii="黑体" w:eastAsia="黑体" w:hAnsi="黑体" w:hint="eastAsia"/>
          <w:b/>
          <w:bCs/>
          <w:sz w:val="32"/>
          <w:szCs w:val="32"/>
        </w:rPr>
      </w:pPr>
      <w:r w:rsidRPr="006122E0">
        <w:rPr>
          <w:rFonts w:ascii="黑体" w:eastAsia="黑体" w:hAnsi="黑体" w:hint="eastAsia"/>
          <w:b/>
          <w:bCs/>
          <w:sz w:val="32"/>
          <w:szCs w:val="32"/>
        </w:rPr>
        <w:t>金证（上海）资产评估有限公司</w:t>
      </w:r>
    </w:p>
    <w:p w14:paraId="348F6C69" w14:textId="54B741BA" w:rsidR="003C741A" w:rsidRPr="006122E0" w:rsidRDefault="006176AC" w:rsidP="00E72DA1">
      <w:pPr>
        <w:widowControl/>
        <w:spacing w:after="160" w:line="259" w:lineRule="auto"/>
        <w:jc w:val="center"/>
        <w:rPr>
          <w:rFonts w:ascii="黑体" w:eastAsia="黑体" w:hAnsi="黑体" w:cs="微软雅黑" w:hint="eastAsia"/>
          <w:b/>
          <w:bCs/>
          <w:spacing w:val="-3"/>
          <w:sz w:val="24"/>
          <w:szCs w:val="24"/>
        </w:rPr>
      </w:pPr>
      <w:r w:rsidRPr="006122E0">
        <w:rPr>
          <w:rFonts w:ascii="黑体" w:eastAsia="黑体" w:hAnsi="黑体" w:hint="eastAsia"/>
          <w:b/>
          <w:bCs/>
          <w:sz w:val="32"/>
          <w:szCs w:val="32"/>
        </w:rPr>
        <w:t>二〇二</w:t>
      </w:r>
      <w:r w:rsidR="00C24BBF">
        <w:rPr>
          <w:rFonts w:ascii="黑体" w:eastAsia="黑体" w:hAnsi="黑体" w:hint="eastAsia"/>
          <w:b/>
          <w:bCs/>
          <w:sz w:val="32"/>
          <w:szCs w:val="32"/>
        </w:rPr>
        <w:t>六</w:t>
      </w:r>
      <w:r w:rsidRPr="006122E0">
        <w:rPr>
          <w:rFonts w:ascii="黑体" w:eastAsia="黑体" w:hAnsi="黑体" w:hint="eastAsia"/>
          <w:b/>
          <w:bCs/>
          <w:sz w:val="32"/>
          <w:szCs w:val="32"/>
        </w:rPr>
        <w:t>年</w:t>
      </w:r>
      <w:r w:rsidR="00C24BBF">
        <w:rPr>
          <w:rFonts w:ascii="黑体" w:eastAsia="黑体" w:hAnsi="黑体" w:hint="eastAsia"/>
          <w:b/>
          <w:bCs/>
          <w:sz w:val="32"/>
          <w:szCs w:val="32"/>
        </w:rPr>
        <w:t>一</w:t>
      </w:r>
      <w:r w:rsidRPr="006122E0">
        <w:rPr>
          <w:rFonts w:ascii="黑体" w:eastAsia="黑体" w:hAnsi="黑体" w:hint="eastAsia"/>
          <w:b/>
          <w:bCs/>
          <w:sz w:val="32"/>
          <w:szCs w:val="32"/>
        </w:rPr>
        <w:t>月</w:t>
      </w:r>
      <w:r w:rsidR="003C741A" w:rsidRPr="006122E0">
        <w:rPr>
          <w:rFonts w:ascii="黑体" w:eastAsia="黑体" w:hAnsi="黑体" w:cs="微软雅黑" w:hint="eastAsia"/>
          <w:b/>
          <w:bCs/>
          <w:spacing w:val="-3"/>
          <w:sz w:val="24"/>
          <w:szCs w:val="24"/>
        </w:rPr>
        <w:br w:type="page"/>
      </w:r>
    </w:p>
    <w:p w14:paraId="6EEFE8F8" w14:textId="0D1332C5" w:rsidR="00CD798F" w:rsidRPr="006122E0" w:rsidRDefault="00CD798F" w:rsidP="00CD798F">
      <w:pPr>
        <w:spacing w:before="103" w:line="193" w:lineRule="auto"/>
        <w:ind w:left="35"/>
        <w:rPr>
          <w:rFonts w:ascii="黑体" w:eastAsia="黑体" w:hAnsi="黑体" w:cs="微软雅黑" w:hint="eastAsia"/>
          <w:sz w:val="24"/>
          <w:szCs w:val="24"/>
        </w:rPr>
      </w:pPr>
      <w:r w:rsidRPr="006122E0">
        <w:rPr>
          <w:rFonts w:ascii="黑体" w:eastAsia="黑体" w:hAnsi="黑体" w:cs="微软雅黑" w:hint="eastAsia"/>
          <w:b/>
          <w:bCs/>
          <w:spacing w:val="-3"/>
          <w:sz w:val="24"/>
          <w:szCs w:val="24"/>
        </w:rPr>
        <w:lastRenderedPageBreak/>
        <w:t>深圳证券交易所</w:t>
      </w:r>
      <w:r w:rsidRPr="006122E0">
        <w:rPr>
          <w:rFonts w:ascii="黑体" w:eastAsia="黑体" w:hAnsi="黑体" w:cs="微软雅黑"/>
          <w:b/>
          <w:bCs/>
          <w:spacing w:val="-3"/>
          <w:sz w:val="24"/>
          <w:szCs w:val="24"/>
        </w:rPr>
        <w:t xml:space="preserve"> ：</w:t>
      </w:r>
    </w:p>
    <w:p w14:paraId="04C972AD" w14:textId="77777777" w:rsidR="00CD798F" w:rsidRDefault="00CD798F" w:rsidP="00E50D19">
      <w:pPr>
        <w:pStyle w:val="ae"/>
        <w:spacing w:line="360" w:lineRule="auto"/>
        <w:rPr>
          <w:lang w:eastAsia="zh-CN"/>
        </w:rPr>
      </w:pPr>
    </w:p>
    <w:p w14:paraId="3B757800" w14:textId="0CEBF54F" w:rsidR="00CD798F" w:rsidRPr="00CD798F" w:rsidRDefault="00CD798F" w:rsidP="00CD798F">
      <w:pPr>
        <w:spacing w:before="116" w:line="360" w:lineRule="auto"/>
        <w:ind w:left="41" w:right="222" w:firstLine="478"/>
        <w:rPr>
          <w:rFonts w:ascii="Times New Roman" w:hAnsi="Times New Roman"/>
          <w:spacing w:val="5"/>
          <w:sz w:val="24"/>
          <w:szCs w:val="24"/>
        </w:rPr>
      </w:pPr>
      <w:r w:rsidRPr="00CD798F">
        <w:rPr>
          <w:rFonts w:ascii="Times New Roman" w:hAnsi="Times New Roman"/>
          <w:spacing w:val="5"/>
          <w:sz w:val="24"/>
          <w:szCs w:val="24"/>
        </w:rPr>
        <w:t>根据深圳证券交易所</w:t>
      </w:r>
      <w:r w:rsidRPr="00CD798F">
        <w:rPr>
          <w:rFonts w:ascii="Times New Roman" w:hAnsi="Times New Roman"/>
          <w:spacing w:val="5"/>
          <w:sz w:val="24"/>
          <w:szCs w:val="24"/>
        </w:rPr>
        <w:t>2025</w:t>
      </w:r>
      <w:r w:rsidRPr="00CD798F">
        <w:rPr>
          <w:rFonts w:ascii="Times New Roman" w:hAnsi="Times New Roman"/>
          <w:spacing w:val="5"/>
          <w:sz w:val="24"/>
          <w:szCs w:val="24"/>
        </w:rPr>
        <w:t>年</w:t>
      </w:r>
      <w:r w:rsidRPr="00CD798F">
        <w:rPr>
          <w:rFonts w:ascii="Times New Roman" w:hAnsi="Times New Roman"/>
          <w:spacing w:val="5"/>
          <w:sz w:val="24"/>
          <w:szCs w:val="24"/>
        </w:rPr>
        <w:t>12</w:t>
      </w:r>
      <w:r w:rsidRPr="00CD798F">
        <w:rPr>
          <w:rFonts w:ascii="Times New Roman" w:hAnsi="Times New Roman"/>
          <w:spacing w:val="5"/>
          <w:sz w:val="24"/>
          <w:szCs w:val="24"/>
        </w:rPr>
        <w:t>月</w:t>
      </w:r>
      <w:r w:rsidRPr="00CD798F">
        <w:rPr>
          <w:rFonts w:ascii="Times New Roman" w:hAnsi="Times New Roman"/>
          <w:spacing w:val="5"/>
          <w:sz w:val="24"/>
          <w:szCs w:val="24"/>
        </w:rPr>
        <w:t>26</w:t>
      </w:r>
      <w:r w:rsidRPr="00CD798F">
        <w:rPr>
          <w:rFonts w:ascii="Times New Roman" w:hAnsi="Times New Roman"/>
          <w:spacing w:val="5"/>
          <w:sz w:val="24"/>
          <w:szCs w:val="24"/>
        </w:rPr>
        <w:t>日出具的《关于广东天亿马信息产业股份有限公司发行股份及支付现金购买资产并募集配套资金申请的审核问询函》（审核函〔</w:t>
      </w:r>
      <w:r w:rsidRPr="00CD798F">
        <w:rPr>
          <w:rFonts w:ascii="Times New Roman" w:hAnsi="Times New Roman"/>
          <w:spacing w:val="5"/>
          <w:sz w:val="24"/>
          <w:szCs w:val="24"/>
        </w:rPr>
        <w:t>2025</w:t>
      </w:r>
      <w:r w:rsidRPr="00CD798F">
        <w:rPr>
          <w:rFonts w:ascii="Times New Roman" w:hAnsi="Times New Roman"/>
          <w:spacing w:val="5"/>
          <w:sz w:val="24"/>
          <w:szCs w:val="24"/>
        </w:rPr>
        <w:t>〕</w:t>
      </w:r>
      <w:r w:rsidRPr="00CD798F">
        <w:rPr>
          <w:rFonts w:ascii="Times New Roman" w:hAnsi="Times New Roman"/>
          <w:spacing w:val="5"/>
          <w:sz w:val="24"/>
          <w:szCs w:val="24"/>
        </w:rPr>
        <w:t>030021</w:t>
      </w:r>
      <w:r w:rsidRPr="00CD798F">
        <w:rPr>
          <w:rFonts w:ascii="Times New Roman" w:hAnsi="Times New Roman"/>
          <w:spacing w:val="5"/>
          <w:sz w:val="24"/>
          <w:szCs w:val="24"/>
        </w:rPr>
        <w:t>号）（以下简称</w:t>
      </w:r>
      <w:r w:rsidRPr="00CD798F">
        <w:rPr>
          <w:rFonts w:ascii="Times New Roman" w:hAnsi="Times New Roman"/>
          <w:spacing w:val="5"/>
          <w:sz w:val="24"/>
          <w:szCs w:val="24"/>
        </w:rPr>
        <w:t>“</w:t>
      </w:r>
      <w:r w:rsidRPr="00CD798F">
        <w:rPr>
          <w:rFonts w:ascii="Times New Roman" w:hAnsi="Times New Roman"/>
          <w:spacing w:val="5"/>
          <w:sz w:val="24"/>
          <w:szCs w:val="24"/>
        </w:rPr>
        <w:t>问询函</w:t>
      </w:r>
      <w:r w:rsidRPr="00CD798F">
        <w:rPr>
          <w:rFonts w:ascii="Times New Roman" w:hAnsi="Times New Roman"/>
          <w:spacing w:val="5"/>
          <w:sz w:val="24"/>
          <w:szCs w:val="24"/>
        </w:rPr>
        <w:t>”</w:t>
      </w:r>
      <w:r w:rsidRPr="00CD798F">
        <w:rPr>
          <w:rFonts w:ascii="Times New Roman" w:hAnsi="Times New Roman"/>
          <w:spacing w:val="5"/>
          <w:sz w:val="24"/>
          <w:szCs w:val="24"/>
        </w:rPr>
        <w:t>）的要求，金证（上海）资产评估有限公司（以下简称</w:t>
      </w:r>
      <w:r w:rsidRPr="00CD798F">
        <w:rPr>
          <w:rFonts w:ascii="Times New Roman" w:hAnsi="Times New Roman"/>
          <w:spacing w:val="5"/>
          <w:sz w:val="24"/>
          <w:szCs w:val="24"/>
        </w:rPr>
        <w:t>“</w:t>
      </w:r>
      <w:r w:rsidRPr="00CD798F">
        <w:rPr>
          <w:rFonts w:ascii="Times New Roman" w:hAnsi="Times New Roman"/>
          <w:spacing w:val="5"/>
          <w:sz w:val="24"/>
          <w:szCs w:val="24"/>
        </w:rPr>
        <w:t>金证评估</w:t>
      </w:r>
      <w:r w:rsidRPr="00CD798F">
        <w:rPr>
          <w:rFonts w:ascii="Times New Roman" w:hAnsi="Times New Roman"/>
          <w:spacing w:val="5"/>
          <w:sz w:val="24"/>
          <w:szCs w:val="24"/>
        </w:rPr>
        <w:t>”</w:t>
      </w:r>
      <w:r w:rsidRPr="00CD798F">
        <w:rPr>
          <w:rFonts w:ascii="Times New Roman" w:hAnsi="Times New Roman"/>
          <w:spacing w:val="5"/>
          <w:sz w:val="24"/>
          <w:szCs w:val="24"/>
        </w:rPr>
        <w:t>）作为本次交易的资产评估机构，已会同上市公司及各中介机构，就审核问询函要求评估师核查的内容进行了认真讨论分析及落实，现将相关问题做出书面回复如下，请予审核。</w:t>
      </w:r>
    </w:p>
    <w:p w14:paraId="641DCBCA" w14:textId="34DB4852" w:rsidR="00CD798F" w:rsidRPr="00CD798F" w:rsidRDefault="00CD798F" w:rsidP="00CD798F">
      <w:pPr>
        <w:spacing w:before="116" w:line="360" w:lineRule="auto"/>
        <w:ind w:left="41" w:right="222" w:firstLine="478"/>
        <w:rPr>
          <w:rFonts w:ascii="Times New Roman" w:hAnsi="Times New Roman"/>
          <w:spacing w:val="5"/>
          <w:sz w:val="24"/>
          <w:szCs w:val="24"/>
        </w:rPr>
      </w:pPr>
      <w:r w:rsidRPr="00CD798F">
        <w:rPr>
          <w:rFonts w:ascii="Times New Roman" w:hAnsi="Times New Roman"/>
          <w:spacing w:val="5"/>
          <w:sz w:val="24"/>
          <w:szCs w:val="24"/>
        </w:rPr>
        <w:t>本审核问询函回复（以下简称</w:t>
      </w:r>
      <w:r w:rsidRPr="00CD798F">
        <w:rPr>
          <w:rFonts w:ascii="Times New Roman" w:hAnsi="Times New Roman"/>
          <w:spacing w:val="5"/>
          <w:sz w:val="24"/>
          <w:szCs w:val="24"/>
        </w:rPr>
        <w:t>“</w:t>
      </w:r>
      <w:r w:rsidRPr="00CD798F">
        <w:rPr>
          <w:rFonts w:ascii="Times New Roman" w:hAnsi="Times New Roman"/>
          <w:spacing w:val="5"/>
          <w:sz w:val="24"/>
          <w:szCs w:val="24"/>
        </w:rPr>
        <w:t>本回复</w:t>
      </w:r>
      <w:r w:rsidRPr="00CD798F">
        <w:rPr>
          <w:rFonts w:ascii="Times New Roman" w:hAnsi="Times New Roman"/>
          <w:spacing w:val="5"/>
          <w:sz w:val="24"/>
          <w:szCs w:val="24"/>
        </w:rPr>
        <w:t>”</w:t>
      </w:r>
      <w:r w:rsidRPr="00CD798F">
        <w:rPr>
          <w:rFonts w:ascii="Times New Roman" w:hAnsi="Times New Roman"/>
          <w:spacing w:val="5"/>
          <w:sz w:val="24"/>
          <w:szCs w:val="24"/>
        </w:rPr>
        <w:t>）中的报告期指</w:t>
      </w:r>
      <w:r w:rsidRPr="00CD798F">
        <w:rPr>
          <w:rFonts w:ascii="Times New Roman" w:hAnsi="Times New Roman"/>
          <w:spacing w:val="5"/>
          <w:sz w:val="24"/>
          <w:szCs w:val="24"/>
        </w:rPr>
        <w:t xml:space="preserve"> 2023 </w:t>
      </w:r>
      <w:r w:rsidRPr="00CD798F">
        <w:rPr>
          <w:rFonts w:ascii="Times New Roman" w:hAnsi="Times New Roman"/>
          <w:spacing w:val="5"/>
          <w:sz w:val="24"/>
          <w:szCs w:val="24"/>
        </w:rPr>
        <w:t>年、</w:t>
      </w:r>
      <w:r w:rsidRPr="00CD798F">
        <w:rPr>
          <w:rFonts w:ascii="Times New Roman" w:hAnsi="Times New Roman"/>
          <w:spacing w:val="5"/>
          <w:sz w:val="24"/>
          <w:szCs w:val="24"/>
        </w:rPr>
        <w:t xml:space="preserve">2024 </w:t>
      </w:r>
      <w:r w:rsidRPr="00CD798F">
        <w:rPr>
          <w:rFonts w:ascii="Times New Roman" w:hAnsi="Times New Roman"/>
          <w:spacing w:val="5"/>
          <w:sz w:val="24"/>
          <w:szCs w:val="24"/>
        </w:rPr>
        <w:t>年及</w:t>
      </w:r>
      <w:r w:rsidRPr="00CD798F">
        <w:rPr>
          <w:rFonts w:ascii="Times New Roman" w:hAnsi="Times New Roman"/>
          <w:spacing w:val="5"/>
          <w:sz w:val="24"/>
          <w:szCs w:val="24"/>
        </w:rPr>
        <w:t>2025</w:t>
      </w:r>
      <w:r w:rsidRPr="00CD798F">
        <w:rPr>
          <w:rFonts w:ascii="Times New Roman" w:hAnsi="Times New Roman"/>
          <w:spacing w:val="5"/>
          <w:sz w:val="24"/>
          <w:szCs w:val="24"/>
        </w:rPr>
        <w:t>年</w:t>
      </w:r>
      <w:r w:rsidRPr="00CD798F">
        <w:rPr>
          <w:rFonts w:ascii="Times New Roman" w:hAnsi="Times New Roman"/>
          <w:spacing w:val="5"/>
          <w:sz w:val="24"/>
          <w:szCs w:val="24"/>
        </w:rPr>
        <w:t>1-6</w:t>
      </w:r>
      <w:r w:rsidRPr="00CD798F">
        <w:rPr>
          <w:rFonts w:ascii="Times New Roman" w:hAnsi="Times New Roman"/>
          <w:spacing w:val="5"/>
          <w:sz w:val="24"/>
          <w:szCs w:val="24"/>
        </w:rPr>
        <w:t>月，除此之外，如无特别说明，本回复所述的词语或简称与重组报告书中</w:t>
      </w:r>
      <w:r w:rsidRPr="00CD798F">
        <w:rPr>
          <w:rFonts w:ascii="Times New Roman" w:hAnsi="Times New Roman"/>
          <w:spacing w:val="5"/>
          <w:sz w:val="24"/>
          <w:szCs w:val="24"/>
        </w:rPr>
        <w:t>“</w:t>
      </w:r>
      <w:r w:rsidRPr="00CD798F">
        <w:rPr>
          <w:rFonts w:ascii="Times New Roman" w:hAnsi="Times New Roman"/>
          <w:spacing w:val="5"/>
          <w:sz w:val="24"/>
          <w:szCs w:val="24"/>
        </w:rPr>
        <w:t>释义</w:t>
      </w:r>
      <w:r w:rsidRPr="00CD798F">
        <w:rPr>
          <w:rFonts w:ascii="Times New Roman" w:hAnsi="Times New Roman"/>
          <w:spacing w:val="5"/>
          <w:sz w:val="24"/>
          <w:szCs w:val="24"/>
        </w:rPr>
        <w:t>”</w:t>
      </w:r>
      <w:r w:rsidRPr="00CD798F">
        <w:rPr>
          <w:rFonts w:ascii="Times New Roman" w:hAnsi="Times New Roman"/>
          <w:spacing w:val="5"/>
          <w:sz w:val="24"/>
          <w:szCs w:val="24"/>
        </w:rPr>
        <w:t>所定义的词语或简称具有相关的含义。在本回复中，若合计数与各分项数值相加之和在尾数上存在差异，均为四舍五入所致。本回复所引用的财务数据和财务指标，如无特殊说明，指合并报表口径的财务数据和根据该类财务数据计算的财务指标。</w:t>
      </w:r>
    </w:p>
    <w:p w14:paraId="0D476AFE" w14:textId="661FF1ED" w:rsidR="00CD798F" w:rsidRPr="00CD798F" w:rsidRDefault="00CD798F" w:rsidP="00CD798F">
      <w:pPr>
        <w:spacing w:before="116" w:line="360" w:lineRule="auto"/>
        <w:ind w:left="41" w:right="222" w:firstLine="478"/>
        <w:rPr>
          <w:rFonts w:ascii="Times New Roman" w:hAnsi="Times New Roman"/>
          <w:spacing w:val="5"/>
          <w:sz w:val="24"/>
          <w:szCs w:val="24"/>
        </w:rPr>
      </w:pPr>
      <w:r w:rsidRPr="00CD798F">
        <w:rPr>
          <w:rFonts w:ascii="Times New Roman" w:hAnsi="Times New Roman"/>
          <w:spacing w:val="5"/>
          <w:sz w:val="24"/>
          <w:szCs w:val="24"/>
        </w:rPr>
        <w:t>本回复报告的字体代表以下含义：</w:t>
      </w:r>
    </w:p>
    <w:p w14:paraId="2489681A" w14:textId="77777777" w:rsidR="00CD798F" w:rsidRDefault="00CD798F" w:rsidP="00CD798F">
      <w:pPr>
        <w:spacing w:line="83" w:lineRule="exact"/>
      </w:pPr>
    </w:p>
    <w:tbl>
      <w:tblPr>
        <w:tblStyle w:val="TableNormal"/>
        <w:tblW w:w="9103" w:type="dxa"/>
        <w:tblInd w:w="12" w:type="dxa"/>
        <w:tblBorders>
          <w:top w:val="single" w:sz="10" w:space="0" w:color="000000"/>
          <w:left w:val="single" w:sz="10" w:space="0" w:color="000000"/>
          <w:bottom w:val="single" w:sz="10" w:space="0" w:color="000000"/>
          <w:right w:val="single" w:sz="10" w:space="0" w:color="000000"/>
          <w:insideH w:val="single" w:sz="10" w:space="0" w:color="000000"/>
          <w:insideV w:val="single" w:sz="10" w:space="0" w:color="000000"/>
        </w:tblBorders>
        <w:tblLayout w:type="fixed"/>
        <w:tblLook w:val="04A0" w:firstRow="1" w:lastRow="0" w:firstColumn="1" w:lastColumn="0" w:noHBand="0" w:noVBand="1"/>
      </w:tblPr>
      <w:tblGrid>
        <w:gridCol w:w="4584"/>
        <w:gridCol w:w="4519"/>
      </w:tblGrid>
      <w:tr w:rsidR="00CD798F" w14:paraId="2940B271" w14:textId="77777777" w:rsidTr="00214723">
        <w:trPr>
          <w:trHeight w:val="395"/>
        </w:trPr>
        <w:tc>
          <w:tcPr>
            <w:tcW w:w="4584" w:type="dxa"/>
            <w:tcBorders>
              <w:bottom w:val="single" w:sz="2" w:space="0" w:color="000000"/>
              <w:right w:val="single" w:sz="2" w:space="0" w:color="000000"/>
            </w:tcBorders>
          </w:tcPr>
          <w:p w14:paraId="466B6797" w14:textId="77777777" w:rsidR="00CD798F" w:rsidRDefault="00CD798F" w:rsidP="00214723">
            <w:pPr>
              <w:spacing w:before="99" w:line="221" w:lineRule="auto"/>
              <w:ind w:left="18"/>
              <w:rPr>
                <w:rFonts w:ascii="宋体" w:hAnsi="宋体" w:cs="宋体" w:hint="eastAsia"/>
              </w:rPr>
            </w:pPr>
            <w:r>
              <w:rPr>
                <w:rFonts w:ascii="宋体" w:hAnsi="宋体" w:cs="宋体"/>
                <w:spacing w:val="-2"/>
              </w:rPr>
              <w:t>审核问询函所列问题</w:t>
            </w:r>
          </w:p>
        </w:tc>
        <w:tc>
          <w:tcPr>
            <w:tcW w:w="4519" w:type="dxa"/>
            <w:tcBorders>
              <w:left w:val="single" w:sz="2" w:space="0" w:color="000000"/>
              <w:bottom w:val="single" w:sz="2" w:space="0" w:color="000000"/>
            </w:tcBorders>
          </w:tcPr>
          <w:p w14:paraId="2171E3E6" w14:textId="77777777" w:rsidR="00CD798F" w:rsidRDefault="00CD798F" w:rsidP="00214723">
            <w:pPr>
              <w:spacing w:before="98" w:line="221" w:lineRule="auto"/>
              <w:ind w:left="7"/>
              <w:rPr>
                <w:rFonts w:ascii="黑体" w:eastAsia="黑体" w:hAnsi="黑体" w:cs="黑体" w:hint="eastAsia"/>
              </w:rPr>
            </w:pPr>
            <w:r>
              <w:rPr>
                <w:rFonts w:ascii="黑体" w:eastAsia="黑体" w:hAnsi="黑体" w:cs="黑体"/>
                <w:b/>
                <w:bCs/>
                <w:spacing w:val="-6"/>
              </w:rPr>
              <w:t>黑体（加粗）</w:t>
            </w:r>
          </w:p>
        </w:tc>
      </w:tr>
      <w:tr w:rsidR="00CD798F" w14:paraId="61E74229" w14:textId="77777777" w:rsidTr="00214723">
        <w:trPr>
          <w:trHeight w:val="412"/>
        </w:trPr>
        <w:tc>
          <w:tcPr>
            <w:tcW w:w="4584" w:type="dxa"/>
            <w:tcBorders>
              <w:top w:val="single" w:sz="2" w:space="0" w:color="000000"/>
              <w:right w:val="single" w:sz="2" w:space="0" w:color="000000"/>
            </w:tcBorders>
          </w:tcPr>
          <w:p w14:paraId="320A6242" w14:textId="77777777" w:rsidR="00CD798F" w:rsidRDefault="00CD798F" w:rsidP="00214723">
            <w:pPr>
              <w:spacing w:before="104" w:line="221" w:lineRule="auto"/>
              <w:ind w:left="18"/>
              <w:rPr>
                <w:rFonts w:ascii="宋体" w:hAnsi="宋体" w:cs="宋体" w:hint="eastAsia"/>
                <w:lang w:eastAsia="zh-CN"/>
              </w:rPr>
            </w:pPr>
            <w:r>
              <w:rPr>
                <w:rFonts w:ascii="宋体" w:hAnsi="宋体" w:cs="宋体"/>
                <w:spacing w:val="-1"/>
                <w:lang w:eastAsia="zh-CN"/>
              </w:rPr>
              <w:t>审核问询函所列问题的回复</w:t>
            </w:r>
          </w:p>
        </w:tc>
        <w:tc>
          <w:tcPr>
            <w:tcW w:w="4519" w:type="dxa"/>
            <w:tcBorders>
              <w:top w:val="single" w:sz="2" w:space="0" w:color="000000"/>
              <w:left w:val="single" w:sz="2" w:space="0" w:color="000000"/>
            </w:tcBorders>
          </w:tcPr>
          <w:p w14:paraId="53684336" w14:textId="77777777" w:rsidR="00CD798F" w:rsidRDefault="00CD798F" w:rsidP="00214723">
            <w:pPr>
              <w:spacing w:before="104" w:line="222" w:lineRule="auto"/>
              <w:ind w:left="9"/>
              <w:rPr>
                <w:rFonts w:ascii="宋体" w:hAnsi="宋体" w:cs="宋体" w:hint="eastAsia"/>
              </w:rPr>
            </w:pPr>
            <w:r>
              <w:rPr>
                <w:rFonts w:ascii="宋体" w:hAnsi="宋体" w:cs="宋体"/>
                <w:spacing w:val="-2"/>
              </w:rPr>
              <w:t>宋体</w:t>
            </w:r>
          </w:p>
        </w:tc>
      </w:tr>
    </w:tbl>
    <w:p w14:paraId="7FE20D09" w14:textId="77777777" w:rsidR="00CD798F" w:rsidRDefault="00CD798F" w:rsidP="00CD798F">
      <w:pPr>
        <w:pStyle w:val="ae"/>
      </w:pPr>
    </w:p>
    <w:p w14:paraId="2906009C" w14:textId="43747222" w:rsidR="00CD798F" w:rsidRDefault="00CD798F">
      <w:pPr>
        <w:widowControl/>
        <w:spacing w:after="160" w:line="259" w:lineRule="auto"/>
        <w:jc w:val="left"/>
        <w:rPr>
          <w:rFonts w:ascii="黑体" w:eastAsia="黑体" w:hAnsi="黑体" w:hint="eastAsia"/>
          <w:b/>
          <w:bCs/>
          <w:sz w:val="28"/>
          <w:szCs w:val="28"/>
        </w:rPr>
      </w:pPr>
      <w:r>
        <w:rPr>
          <w:rFonts w:ascii="黑体" w:eastAsia="黑体" w:hAnsi="黑体"/>
          <w:b/>
          <w:bCs/>
          <w:sz w:val="28"/>
          <w:szCs w:val="28"/>
        </w:rPr>
        <w:br w:type="page"/>
      </w:r>
    </w:p>
    <w:p w14:paraId="22B06ED3" w14:textId="35B3E0F3" w:rsidR="00CD798F" w:rsidRPr="00D95B42" w:rsidRDefault="006A627B" w:rsidP="006A627B">
      <w:pPr>
        <w:pStyle w:val="001"/>
        <w:spacing w:before="120" w:after="120"/>
        <w:ind w:firstLine="480"/>
      </w:pPr>
      <w:bookmarkStart w:id="0" w:name="_Hlk180584391"/>
      <w:r>
        <w:rPr>
          <w:rFonts w:hint="eastAsia"/>
        </w:rPr>
        <w:lastRenderedPageBreak/>
        <w:t>问题</w:t>
      </w:r>
      <w:r>
        <w:rPr>
          <w:rFonts w:hint="eastAsia"/>
        </w:rPr>
        <w:t>1</w:t>
      </w:r>
      <w:r>
        <w:rPr>
          <w:rFonts w:hint="eastAsia"/>
        </w:rPr>
        <w:t>（原</w:t>
      </w:r>
      <w:r w:rsidR="00CD798F" w:rsidRPr="00D95B42">
        <w:t>问题</w:t>
      </w:r>
      <w:r w:rsidR="00CD798F" w:rsidRPr="00D95B42">
        <w:t>4</w:t>
      </w:r>
      <w:r>
        <w:rPr>
          <w:rFonts w:hint="eastAsia"/>
        </w:rPr>
        <w:t>）</w:t>
      </w:r>
      <w:r w:rsidR="00CD798F" w:rsidRPr="00D95B42">
        <w:t>、关于收益法评估</w:t>
      </w:r>
    </w:p>
    <w:p w14:paraId="65985563" w14:textId="77777777" w:rsidR="00CD798F" w:rsidRPr="00D95B42" w:rsidRDefault="00CD798F" w:rsidP="00CD798F">
      <w:pPr>
        <w:pStyle w:val="0050"/>
        <w:spacing w:before="120" w:after="120"/>
        <w:ind w:firstLine="480"/>
      </w:pPr>
      <w:r w:rsidRPr="00D95B42">
        <w:t>申请文件显示：（</w:t>
      </w:r>
      <w:r w:rsidRPr="00D95B42">
        <w:t>1</w:t>
      </w:r>
      <w:r w:rsidRPr="00D95B42">
        <w:t>）本次交易采用收益法评估结果作为定价依据，评估值为</w:t>
      </w:r>
      <w:r w:rsidRPr="00D95B42">
        <w:t>12.10</w:t>
      </w:r>
      <w:r w:rsidRPr="00D95B42">
        <w:t>亿元，增值率为</w:t>
      </w:r>
      <w:r w:rsidRPr="00D95B42">
        <w:t>649.77%</w:t>
      </w:r>
      <w:r w:rsidRPr="00D95B42">
        <w:t>。（</w:t>
      </w:r>
      <w:r w:rsidRPr="00D95B42">
        <w:t>2</w:t>
      </w:r>
      <w:r w:rsidRPr="00D95B42">
        <w:t>）收益法评估过程中，预测标的资产</w:t>
      </w:r>
      <w:r w:rsidRPr="00D95B42">
        <w:t>2025</w:t>
      </w:r>
      <w:r w:rsidRPr="00D95B42">
        <w:t>年</w:t>
      </w:r>
      <w:r w:rsidRPr="00D95B42">
        <w:t>-2029</w:t>
      </w:r>
      <w:r w:rsidRPr="00D95B42">
        <w:t>年（以下简称预测期）营业收入由</w:t>
      </w:r>
      <w:r w:rsidRPr="00D95B42">
        <w:t>5.25</w:t>
      </w:r>
      <w:r w:rsidRPr="00D95B42">
        <w:t>亿元增长至</w:t>
      </w:r>
      <w:r w:rsidRPr="00D95B42">
        <w:t>6.42</w:t>
      </w:r>
      <w:r w:rsidRPr="00D95B42">
        <w:t>亿元，增长率在约</w:t>
      </w:r>
      <w:r w:rsidRPr="00D95B42">
        <w:t>3.67%-17.38%</w:t>
      </w:r>
      <w:r w:rsidRPr="00D95B42">
        <w:t>之间，其中</w:t>
      </w:r>
      <w:r w:rsidRPr="00D95B42">
        <w:t>SaaS</w:t>
      </w:r>
      <w:r w:rsidRPr="00D95B42">
        <w:t>云平台收入由</w:t>
      </w:r>
      <w:r w:rsidRPr="00D95B42">
        <w:t>2.54</w:t>
      </w:r>
      <w:r w:rsidRPr="00D95B42">
        <w:t>亿元增长至</w:t>
      </w:r>
      <w:r w:rsidRPr="00D95B42">
        <w:t>3.36</w:t>
      </w:r>
      <w:r w:rsidRPr="00D95B42">
        <w:t>亿元，增长率在约</w:t>
      </w:r>
      <w:r w:rsidRPr="00D95B42">
        <w:t>4.59%-36.69%</w:t>
      </w:r>
      <w:r w:rsidRPr="00D95B42">
        <w:t>之间；</w:t>
      </w:r>
      <w:r w:rsidRPr="00D95B42">
        <w:t>IoT</w:t>
      </w:r>
      <w:r w:rsidRPr="00D95B42">
        <w:t>智能硬件收入基本稳定在</w:t>
      </w:r>
      <w:r w:rsidRPr="00D95B42">
        <w:t>1.7</w:t>
      </w:r>
      <w:r w:rsidRPr="00D95B42">
        <w:t>亿元左右；数字增值服务收入由</w:t>
      </w:r>
      <w:r w:rsidRPr="00D95B42">
        <w:t>0.91</w:t>
      </w:r>
      <w:r w:rsidRPr="00D95B42">
        <w:t>亿元增长至</w:t>
      </w:r>
      <w:r w:rsidRPr="00D95B42">
        <w:t>1.26</w:t>
      </w:r>
      <w:r w:rsidRPr="00D95B42">
        <w:t>亿元，增长率在约</w:t>
      </w:r>
      <w:r w:rsidRPr="00D95B42">
        <w:t>5.30%-12.35%</w:t>
      </w:r>
      <w:r w:rsidRPr="00D95B42">
        <w:t>之间。（</w:t>
      </w:r>
      <w:r w:rsidRPr="00D95B42">
        <w:t>3</w:t>
      </w:r>
      <w:r w:rsidRPr="00D95B42">
        <w:t>）预测期内，标的资产毛利率维持在</w:t>
      </w:r>
      <w:r w:rsidRPr="00D95B42">
        <w:t>62%</w:t>
      </w:r>
      <w:r w:rsidRPr="00D95B42">
        <w:t>左右，其中</w:t>
      </w:r>
      <w:r w:rsidRPr="00D95B42">
        <w:t>SaaS</w:t>
      </w:r>
      <w:r w:rsidRPr="00D95B42">
        <w:t>云平台毛利率约在</w:t>
      </w:r>
      <w:r w:rsidRPr="00D95B42">
        <w:t>78%-81%</w:t>
      </w:r>
      <w:r w:rsidRPr="00D95B42">
        <w:t>之间；</w:t>
      </w:r>
      <w:r w:rsidRPr="00D95B42">
        <w:t>IoT</w:t>
      </w:r>
      <w:r w:rsidRPr="00D95B42">
        <w:t>智能硬件毛利率约在</w:t>
      </w:r>
      <w:r w:rsidRPr="00D95B42">
        <w:t>31%-36%</w:t>
      </w:r>
      <w:r w:rsidRPr="00D95B42">
        <w:t>之间；数字增值服务毛利率约在</w:t>
      </w:r>
      <w:r w:rsidRPr="00D95B42">
        <w:t>58%-61%</w:t>
      </w:r>
      <w:r w:rsidRPr="00D95B42">
        <w:t>之间。（</w:t>
      </w:r>
      <w:r w:rsidRPr="00D95B42">
        <w:t>4</w:t>
      </w:r>
      <w:r w:rsidRPr="00D95B42">
        <w:t>）预测期内，标的资产销售费用率、管理费用率和研发费用率低于报告期平均水平且呈逐年下降趋势。（</w:t>
      </w:r>
      <w:r w:rsidRPr="00D95B42">
        <w:t>5</w:t>
      </w:r>
      <w:r w:rsidRPr="00D95B42">
        <w:t>）本次收益法评估采用合并报表口径进行预测。标的资产合并范围内子公司适用的所得税税率、优惠政策存在差异，收益法评估中基于各主体自身情况得出其在预测期内的所得税费用，加总后得到全部所得税费用。（</w:t>
      </w:r>
      <w:r w:rsidRPr="00D95B42">
        <w:t>6</w:t>
      </w:r>
      <w:r w:rsidRPr="00D95B42">
        <w:t>）预测期内，折旧与摊销、资本性支出整体呈先下降后稳定趋势，各年营运资本增加额均为负值，日常资金周转需要的最佳货币资金保有量为</w:t>
      </w:r>
      <w:r w:rsidRPr="00D95B42">
        <w:t>1</w:t>
      </w:r>
      <w:r w:rsidRPr="00D95B42">
        <w:t>个月的付现成本费用。（</w:t>
      </w:r>
      <w:r w:rsidRPr="00D95B42">
        <w:t>7</w:t>
      </w:r>
      <w:r w:rsidRPr="00D95B42">
        <w:t>）标的资产对参股联营公司的长期股权投资评估价值为</w:t>
      </w:r>
      <w:r w:rsidRPr="00D95B42">
        <w:t>1428.09</w:t>
      </w:r>
      <w:r w:rsidRPr="00D95B42">
        <w:t>万元。湖南小充同学智能科技有限公司（以下简称湖南小充）期后计划注销，故按净资产与股比计算股权价值。（</w:t>
      </w:r>
      <w:r w:rsidRPr="00D95B42">
        <w:t>8</w:t>
      </w:r>
      <w:r w:rsidRPr="00D95B42">
        <w:t>）以评估基准日计算，标的资产市净率为</w:t>
      </w:r>
      <w:r w:rsidRPr="00D95B42">
        <w:t>7.47</w:t>
      </w:r>
      <w:r w:rsidRPr="00D95B42">
        <w:t>倍，高于同行业上市公司市净率平均数</w:t>
      </w:r>
      <w:r w:rsidRPr="00D95B42">
        <w:t>3.55</w:t>
      </w:r>
      <w:r w:rsidRPr="00D95B42">
        <w:t>倍和中位数</w:t>
      </w:r>
      <w:r w:rsidRPr="00D95B42">
        <w:t>3.59</w:t>
      </w:r>
      <w:r w:rsidRPr="00D95B42">
        <w:t>倍；选取的三家上市公司市盈率、市销率存在差异，四单可比交易案例市净率、市盈率也存在差异。（</w:t>
      </w:r>
      <w:r w:rsidRPr="00D95B42">
        <w:t>9</w:t>
      </w:r>
      <w:r w:rsidRPr="00D95B42">
        <w:t>）最近三年内，标的资产发生了</w:t>
      </w:r>
      <w:r w:rsidRPr="00D95B42">
        <w:t>4</w:t>
      </w:r>
      <w:r w:rsidRPr="00D95B42">
        <w:t>次减资、</w:t>
      </w:r>
      <w:r w:rsidRPr="00D95B42">
        <w:t>3</w:t>
      </w:r>
      <w:r w:rsidRPr="00D95B42">
        <w:t>次股权转让。</w:t>
      </w:r>
    </w:p>
    <w:p w14:paraId="2010B4C6" w14:textId="77777777" w:rsidR="00CD798F" w:rsidRPr="00D95B42" w:rsidRDefault="00CD798F" w:rsidP="00CD798F">
      <w:pPr>
        <w:pStyle w:val="0050"/>
        <w:spacing w:before="120" w:after="120"/>
        <w:ind w:firstLine="480"/>
      </w:pPr>
      <w:r w:rsidRPr="00D95B42">
        <w:t>请上市公司：（</w:t>
      </w:r>
      <w:r w:rsidRPr="00D95B42">
        <w:t>1</w:t>
      </w:r>
      <w:r w:rsidRPr="00D95B42">
        <w:t>）补充披露预测期各年各业务收入、毛利率等重要评估参数的具体预测情况、测算过程、测算依据及其合理性。（</w:t>
      </w:r>
      <w:r w:rsidRPr="00D95B42">
        <w:t>2</w:t>
      </w:r>
      <w:r w:rsidRPr="00D95B42">
        <w:t>）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w:t>
      </w:r>
      <w:r w:rsidRPr="00D95B42">
        <w:lastRenderedPageBreak/>
        <w:t>各业务收入预测是否合理、谨慎，预测期内</w:t>
      </w:r>
      <w:r w:rsidRPr="00D95B42">
        <w:t>IoT</w:t>
      </w:r>
      <w:r w:rsidRPr="00D95B42">
        <w:t>智能硬件收入相对稳定的情况下</w:t>
      </w:r>
      <w:r w:rsidRPr="00D95B42">
        <w:t>SaaS</w:t>
      </w:r>
      <w:r w:rsidRPr="00D95B42">
        <w:t>云平台、数字增值服务收入维持增长的合理性。（</w:t>
      </w:r>
      <w:r w:rsidRPr="00D95B42">
        <w:t>3</w:t>
      </w:r>
      <w:r w:rsidRPr="00D95B42">
        <w:t>）结合报告期内各项业务毛利率变动原因，各业务毛利率的主要影响因素及其未来变化情况，预测期内各业务毛利率较报告期、同行业可比公司是否存在差异等，补充披露各业务毛利率预测是否合理、谨慎。（</w:t>
      </w:r>
      <w:r w:rsidRPr="00D95B42">
        <w:t>4</w:t>
      </w:r>
      <w:r w:rsidRPr="00D95B42">
        <w:t>）结合各项期间费用主要明细项目的具体预测情况、过程及依据，补充披露预测期内期间费用率低于报告期平均水平且呈现逐年下降趋势的合理性，是否足以支撑标的资产的持续发展。（</w:t>
      </w:r>
      <w:r w:rsidRPr="00D95B42">
        <w:t>5</w:t>
      </w:r>
      <w:r w:rsidRPr="00D95B42">
        <w:t>）结合各子公司预测期内收入、成本、费用、净利润等主要参数的具体预测情况、测算过程及测算依据，补充披露各子公司业绩及其少数股东权益价值的测算是否合理、准确，并进一步结合各子公司应纳税所得额的确定过程，评估测算使用的所得税税率、优惠政策是否符合相关法律法规的规定等，披露所得税费用的预测是否合理、准确。（</w:t>
      </w:r>
      <w:r w:rsidRPr="00D95B42">
        <w:t>6</w:t>
      </w:r>
      <w:r w:rsidRPr="00D95B42">
        <w:t>）补充披露预测期内标的资产折旧与摊销、资本性支出、营运资金、溢余资产的具体测算过程及测算依据，折旧与摊销、资本性支出金额呈下降趋势的合理性，营运资本增加额均为负值的合理性，与预测销售规模是否匹配。（</w:t>
      </w:r>
      <w:r w:rsidRPr="00D95B42">
        <w:t>7</w:t>
      </w:r>
      <w:r w:rsidRPr="00D95B42">
        <w:t>）补充披露折现率确定过程中可比上市公司的选取情况及合理性，贝塔系数的具体确定过程，折现率的预测是否合理、谨慎。（</w:t>
      </w:r>
      <w:r w:rsidRPr="00D95B42">
        <w:t>8</w:t>
      </w:r>
      <w:r w:rsidRPr="00D95B42">
        <w:t>）补充披露长期股权投资的具体测算过程及测算依据；湖南小充的实际经营情况、资产负债情况及截至回函日的注销进展，以净资产与股比计算股权价值是否合理、公允。（</w:t>
      </w:r>
      <w:r w:rsidRPr="00D95B42">
        <w:t>9</w:t>
      </w:r>
      <w:r w:rsidRPr="00D95B42">
        <w:t>）补充说明标的资产市净率高于可比上市公司的原因及合理性；可比上市公司、可比交易案例估值水平存在差异的原因，能否合理反映行业估值水平，与标的资产是否具有可比性。（</w:t>
      </w:r>
      <w:r w:rsidRPr="00D95B42">
        <w:t>10</w:t>
      </w:r>
      <w:r w:rsidRPr="00D95B42">
        <w:t>）补充披露标的资产最近三年内减资、股权转让的交易作价情况，并计算出对应标的资产的估值及增减值情况，与本次重组评估结果存在差异的原因及合理性。（</w:t>
      </w:r>
      <w:r w:rsidRPr="00D95B42">
        <w:t>11</w:t>
      </w:r>
      <w:r w:rsidRPr="00D95B42">
        <w:t>）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14:paraId="3BF3C26F" w14:textId="77777777" w:rsidR="00CD798F" w:rsidRPr="00D95B42" w:rsidRDefault="00CD798F" w:rsidP="00CD798F">
      <w:pPr>
        <w:pStyle w:val="0050"/>
        <w:spacing w:before="120" w:after="120"/>
        <w:ind w:firstLine="480"/>
      </w:pPr>
      <w:r w:rsidRPr="00D95B42">
        <w:t>请独立财务顾问、评估师核查并发表明确意见，请会计师核查（</w:t>
      </w:r>
      <w:r w:rsidRPr="00D95B42">
        <w:t>2</w:t>
      </w:r>
      <w:r w:rsidRPr="00D95B42">
        <w:t>）（</w:t>
      </w:r>
      <w:r w:rsidRPr="00D95B42">
        <w:t>3</w:t>
      </w:r>
      <w:r w:rsidRPr="00D95B42">
        <w:t>）（</w:t>
      </w:r>
      <w:r w:rsidRPr="00D95B42">
        <w:t>8</w:t>
      </w:r>
      <w:r w:rsidRPr="00D95B42">
        <w:t>）（</w:t>
      </w:r>
      <w:r w:rsidRPr="00D95B42">
        <w:t>11</w:t>
      </w:r>
      <w:r w:rsidRPr="00D95B42">
        <w:t>）并发表明确意见。</w:t>
      </w:r>
    </w:p>
    <w:p w14:paraId="1176E023" w14:textId="77777777" w:rsidR="00CD798F" w:rsidRPr="00197254" w:rsidRDefault="00CD798F" w:rsidP="00CD798F">
      <w:pPr>
        <w:spacing w:beforeLines="50" w:before="120" w:line="300" w:lineRule="auto"/>
        <w:ind w:firstLineChars="200" w:firstLine="482"/>
        <w:rPr>
          <w:rFonts w:ascii="Times New Roman" w:hAnsi="Times New Roman"/>
          <w:b/>
          <w:bCs/>
          <w:sz w:val="24"/>
        </w:rPr>
      </w:pPr>
      <w:bookmarkStart w:id="1" w:name="_Hlk180584402"/>
      <w:r w:rsidRPr="00197254">
        <w:rPr>
          <w:rFonts w:ascii="Times New Roman" w:hAnsi="Times New Roman" w:hint="eastAsia"/>
          <w:b/>
          <w:bCs/>
          <w:sz w:val="24"/>
        </w:rPr>
        <w:lastRenderedPageBreak/>
        <w:t>回复：</w:t>
      </w:r>
    </w:p>
    <w:bookmarkEnd w:id="0"/>
    <w:p w14:paraId="188160F4" w14:textId="77777777" w:rsidR="00CD798F" w:rsidRDefault="00CD798F" w:rsidP="00CD798F">
      <w:pPr>
        <w:pStyle w:val="002"/>
        <w:spacing w:before="120" w:after="120"/>
        <w:ind w:firstLine="482"/>
      </w:pPr>
      <w:r>
        <w:t>一、</w:t>
      </w:r>
      <w:r w:rsidRPr="008A26CC">
        <w:rPr>
          <w:rFonts w:hint="eastAsia"/>
        </w:rPr>
        <w:t>补充披露预测期各年各业务收入、毛利率等重要评估参数的具体预测情况、测算过程、测算依据及其合理性</w:t>
      </w:r>
    </w:p>
    <w:p w14:paraId="367139FF" w14:textId="77777777" w:rsidR="00CD798F" w:rsidRDefault="00CD798F" w:rsidP="00CD798F">
      <w:pPr>
        <w:pStyle w:val="003"/>
        <w:spacing w:before="120" w:after="120"/>
        <w:ind w:firstLine="482"/>
      </w:pPr>
      <w:r>
        <w:t>（一）</w:t>
      </w:r>
      <w:r w:rsidRPr="008A26CC">
        <w:rPr>
          <w:rFonts w:hint="eastAsia"/>
        </w:rPr>
        <w:t>IoT</w:t>
      </w:r>
      <w:r w:rsidRPr="008A26CC">
        <w:rPr>
          <w:rFonts w:hint="eastAsia"/>
        </w:rPr>
        <w:t>智能硬件类业务</w:t>
      </w:r>
    </w:p>
    <w:p w14:paraId="30CABECF" w14:textId="77777777" w:rsidR="00CD798F" w:rsidRDefault="00CD798F" w:rsidP="00CD798F">
      <w:pPr>
        <w:pStyle w:val="004"/>
        <w:spacing w:before="120" w:after="120"/>
        <w:ind w:firstLine="482"/>
      </w:pPr>
      <w:r>
        <w:t>1</w:t>
      </w:r>
      <w:r>
        <w:t>、</w:t>
      </w:r>
      <w:r w:rsidRPr="001D301B">
        <w:rPr>
          <w:rFonts w:hint="eastAsia"/>
        </w:rPr>
        <w:t>预测期各年</w:t>
      </w:r>
      <w:r>
        <w:rPr>
          <w:rFonts w:hint="eastAsia"/>
        </w:rPr>
        <w:t>度</w:t>
      </w:r>
      <w:r w:rsidRPr="008A26CC">
        <w:rPr>
          <w:rFonts w:hint="eastAsia"/>
        </w:rPr>
        <w:t>收入</w:t>
      </w:r>
      <w:r w:rsidRPr="001D301B">
        <w:rPr>
          <w:rFonts w:hint="eastAsia"/>
        </w:rPr>
        <w:t>具体预测情况、测算过程、测算依据及其合理性</w:t>
      </w:r>
    </w:p>
    <w:p w14:paraId="6D06D680" w14:textId="77777777" w:rsidR="00CD798F" w:rsidRDefault="00CD798F" w:rsidP="00CD798F">
      <w:pPr>
        <w:pStyle w:val="005"/>
        <w:spacing w:before="120" w:after="120"/>
        <w:ind w:firstLine="480"/>
      </w:pPr>
      <w:r w:rsidRPr="0013729C">
        <w:rPr>
          <w:rFonts w:hint="eastAsia"/>
        </w:rPr>
        <w:t>本次评估对标的公司未来</w:t>
      </w:r>
      <w:r w:rsidRPr="0013729C">
        <w:rPr>
          <w:rFonts w:hint="eastAsia"/>
        </w:rPr>
        <w:t>IoT</w:t>
      </w:r>
      <w:r w:rsidRPr="0013729C">
        <w:rPr>
          <w:rFonts w:hint="eastAsia"/>
        </w:rPr>
        <w:t>智能硬件进行收入预测时，参考了历史经营情况，结合各类产品设备单价、出货量以及标的公司业务发展规划等因素进行综合预测</w:t>
      </w:r>
      <w:r>
        <w:rPr>
          <w:rFonts w:hint="eastAsia"/>
        </w:rPr>
        <w:t>。具体测算过程如下：</w:t>
      </w:r>
    </w:p>
    <w:tbl>
      <w:tblPr>
        <w:tblW w:w="10708" w:type="dxa"/>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1296"/>
        <w:gridCol w:w="936"/>
        <w:gridCol w:w="936"/>
        <w:gridCol w:w="936"/>
        <w:gridCol w:w="936"/>
        <w:gridCol w:w="936"/>
        <w:gridCol w:w="936"/>
        <w:gridCol w:w="936"/>
        <w:gridCol w:w="936"/>
        <w:gridCol w:w="936"/>
      </w:tblGrid>
      <w:tr w:rsidR="00CD798F" w:rsidRPr="00D95B42" w14:paraId="363EA36A" w14:textId="77777777" w:rsidTr="00E72DA1">
        <w:trPr>
          <w:cantSplit/>
          <w:trHeight w:val="454"/>
          <w:tblHeader/>
          <w:jc w:val="center"/>
        </w:trPr>
        <w:tc>
          <w:tcPr>
            <w:tcW w:w="988" w:type="dxa"/>
            <w:vMerge w:val="restart"/>
            <w:noWrap/>
            <w:vAlign w:val="center"/>
          </w:tcPr>
          <w:p w14:paraId="3A5FDB6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分类</w:t>
            </w:r>
          </w:p>
        </w:tc>
        <w:tc>
          <w:tcPr>
            <w:tcW w:w="0" w:type="auto"/>
            <w:vMerge w:val="restart"/>
            <w:noWrap/>
            <w:vAlign w:val="center"/>
          </w:tcPr>
          <w:p w14:paraId="0A7084F1"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项目</w:t>
            </w:r>
            <w:r w:rsidRPr="00D95B42">
              <w:rPr>
                <w:rFonts w:ascii="Times New Roman" w:hAnsi="Times New Roman"/>
                <w:b/>
                <w:color w:val="000000"/>
                <w:sz w:val="18"/>
                <w:szCs w:val="21"/>
              </w:rPr>
              <w:t>\</w:t>
            </w:r>
            <w:r w:rsidRPr="00D95B42">
              <w:rPr>
                <w:rFonts w:ascii="Times New Roman" w:hAnsi="Times New Roman"/>
                <w:b/>
                <w:color w:val="000000"/>
                <w:sz w:val="18"/>
                <w:szCs w:val="21"/>
              </w:rPr>
              <w:t>年份</w:t>
            </w:r>
          </w:p>
        </w:tc>
        <w:tc>
          <w:tcPr>
            <w:tcW w:w="2808" w:type="dxa"/>
            <w:gridSpan w:val="3"/>
            <w:noWrap/>
            <w:vAlign w:val="center"/>
          </w:tcPr>
          <w:p w14:paraId="19A8BD76"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报告期</w:t>
            </w:r>
          </w:p>
        </w:tc>
        <w:tc>
          <w:tcPr>
            <w:tcW w:w="5616" w:type="dxa"/>
            <w:gridSpan w:val="6"/>
            <w:noWrap/>
            <w:vAlign w:val="center"/>
          </w:tcPr>
          <w:p w14:paraId="79791C46"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预测期</w:t>
            </w:r>
          </w:p>
        </w:tc>
      </w:tr>
      <w:tr w:rsidR="00CD798F" w:rsidRPr="00D95B42" w14:paraId="6CBC4D02" w14:textId="77777777" w:rsidTr="00E72DA1">
        <w:trPr>
          <w:cantSplit/>
          <w:trHeight w:val="454"/>
          <w:tblHeader/>
          <w:jc w:val="center"/>
        </w:trPr>
        <w:tc>
          <w:tcPr>
            <w:tcW w:w="988" w:type="dxa"/>
            <w:vMerge/>
            <w:noWrap/>
            <w:vAlign w:val="center"/>
            <w:hideMark/>
          </w:tcPr>
          <w:p w14:paraId="1C0FE843" w14:textId="77777777" w:rsidR="00CD798F" w:rsidRPr="00D95B42" w:rsidRDefault="00CD798F" w:rsidP="00214723">
            <w:pPr>
              <w:keepNext/>
              <w:jc w:val="center"/>
              <w:rPr>
                <w:rFonts w:ascii="Times New Roman" w:hAnsi="Times New Roman"/>
                <w:b/>
                <w:color w:val="000000"/>
                <w:sz w:val="18"/>
                <w:szCs w:val="21"/>
              </w:rPr>
            </w:pPr>
          </w:p>
        </w:tc>
        <w:tc>
          <w:tcPr>
            <w:tcW w:w="0" w:type="auto"/>
            <w:vMerge/>
            <w:noWrap/>
            <w:vAlign w:val="center"/>
            <w:hideMark/>
          </w:tcPr>
          <w:p w14:paraId="294E0225" w14:textId="77777777" w:rsidR="00CD798F" w:rsidRPr="00D95B42" w:rsidRDefault="00CD798F" w:rsidP="00214723">
            <w:pPr>
              <w:keepNext/>
              <w:jc w:val="center"/>
              <w:rPr>
                <w:rFonts w:ascii="Times New Roman" w:hAnsi="Times New Roman"/>
                <w:b/>
                <w:color w:val="000000"/>
                <w:sz w:val="18"/>
                <w:szCs w:val="21"/>
              </w:rPr>
            </w:pPr>
          </w:p>
        </w:tc>
        <w:tc>
          <w:tcPr>
            <w:tcW w:w="936" w:type="dxa"/>
            <w:noWrap/>
            <w:vAlign w:val="center"/>
            <w:hideMark/>
          </w:tcPr>
          <w:p w14:paraId="30B51AF0"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2023</w:t>
            </w:r>
            <w:r w:rsidRPr="00D95B42">
              <w:rPr>
                <w:rFonts w:ascii="Times New Roman" w:hAnsi="Times New Roman"/>
                <w:b/>
                <w:color w:val="000000"/>
                <w:sz w:val="18"/>
                <w:szCs w:val="21"/>
              </w:rPr>
              <w:t>年度</w:t>
            </w:r>
          </w:p>
        </w:tc>
        <w:tc>
          <w:tcPr>
            <w:tcW w:w="936" w:type="dxa"/>
            <w:noWrap/>
            <w:vAlign w:val="center"/>
            <w:hideMark/>
          </w:tcPr>
          <w:p w14:paraId="2ED7265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2024</w:t>
            </w:r>
            <w:r w:rsidRPr="00D95B42">
              <w:rPr>
                <w:rFonts w:ascii="Times New Roman" w:hAnsi="Times New Roman"/>
                <w:b/>
                <w:color w:val="000000"/>
                <w:sz w:val="18"/>
                <w:szCs w:val="21"/>
              </w:rPr>
              <w:t>年度</w:t>
            </w:r>
          </w:p>
        </w:tc>
        <w:tc>
          <w:tcPr>
            <w:tcW w:w="936" w:type="dxa"/>
            <w:noWrap/>
            <w:vAlign w:val="center"/>
            <w:hideMark/>
          </w:tcPr>
          <w:p w14:paraId="0EE646C0"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w:t>
            </w:r>
            <w:r w:rsidRPr="00D95B42">
              <w:rPr>
                <w:rFonts w:ascii="Times New Roman" w:hAnsi="Times New Roman"/>
                <w:b/>
                <w:color w:val="000000"/>
                <w:sz w:val="18"/>
                <w:szCs w:val="21"/>
              </w:rPr>
              <w:t>1-6</w:t>
            </w:r>
            <w:r w:rsidRPr="00D95B42">
              <w:rPr>
                <w:rFonts w:ascii="Times New Roman" w:hAnsi="Times New Roman"/>
                <w:b/>
                <w:color w:val="000000"/>
                <w:sz w:val="18"/>
                <w:szCs w:val="21"/>
              </w:rPr>
              <w:t>月</w:t>
            </w:r>
          </w:p>
        </w:tc>
        <w:tc>
          <w:tcPr>
            <w:tcW w:w="936" w:type="dxa"/>
            <w:noWrap/>
            <w:vAlign w:val="center"/>
            <w:hideMark/>
          </w:tcPr>
          <w:p w14:paraId="3334EC3F"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年度</w:t>
            </w:r>
          </w:p>
        </w:tc>
        <w:tc>
          <w:tcPr>
            <w:tcW w:w="936" w:type="dxa"/>
            <w:noWrap/>
            <w:vAlign w:val="center"/>
            <w:hideMark/>
          </w:tcPr>
          <w:p w14:paraId="1058051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2026</w:t>
            </w:r>
            <w:r w:rsidRPr="00D95B42">
              <w:rPr>
                <w:rFonts w:ascii="Times New Roman" w:hAnsi="Times New Roman"/>
                <w:b/>
                <w:color w:val="000000"/>
                <w:sz w:val="18"/>
                <w:szCs w:val="21"/>
              </w:rPr>
              <w:t>年度</w:t>
            </w:r>
          </w:p>
        </w:tc>
        <w:tc>
          <w:tcPr>
            <w:tcW w:w="936" w:type="dxa"/>
            <w:noWrap/>
            <w:vAlign w:val="center"/>
            <w:hideMark/>
          </w:tcPr>
          <w:p w14:paraId="1BC7A217"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2027</w:t>
            </w:r>
            <w:r w:rsidRPr="00D95B42">
              <w:rPr>
                <w:rFonts w:ascii="Times New Roman" w:hAnsi="Times New Roman"/>
                <w:b/>
                <w:color w:val="000000"/>
                <w:sz w:val="18"/>
                <w:szCs w:val="21"/>
              </w:rPr>
              <w:t>年度</w:t>
            </w:r>
          </w:p>
        </w:tc>
        <w:tc>
          <w:tcPr>
            <w:tcW w:w="936" w:type="dxa"/>
            <w:noWrap/>
            <w:vAlign w:val="center"/>
            <w:hideMark/>
          </w:tcPr>
          <w:p w14:paraId="54A20D51"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2028</w:t>
            </w:r>
            <w:r w:rsidRPr="00D95B42">
              <w:rPr>
                <w:rFonts w:ascii="Times New Roman" w:hAnsi="Times New Roman"/>
                <w:b/>
                <w:color w:val="000000"/>
                <w:sz w:val="18"/>
                <w:szCs w:val="21"/>
              </w:rPr>
              <w:t>年度</w:t>
            </w:r>
          </w:p>
        </w:tc>
        <w:tc>
          <w:tcPr>
            <w:tcW w:w="936" w:type="dxa"/>
            <w:noWrap/>
            <w:vAlign w:val="center"/>
            <w:hideMark/>
          </w:tcPr>
          <w:p w14:paraId="67E5C8C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2029</w:t>
            </w:r>
            <w:r w:rsidRPr="00D95B42">
              <w:rPr>
                <w:rFonts w:ascii="Times New Roman" w:hAnsi="Times New Roman"/>
                <w:b/>
                <w:color w:val="000000"/>
                <w:sz w:val="18"/>
                <w:szCs w:val="21"/>
              </w:rPr>
              <w:t>年度</w:t>
            </w:r>
          </w:p>
        </w:tc>
        <w:tc>
          <w:tcPr>
            <w:tcW w:w="936" w:type="dxa"/>
            <w:noWrap/>
            <w:vAlign w:val="center"/>
            <w:hideMark/>
          </w:tcPr>
          <w:p w14:paraId="7554206E"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2030</w:t>
            </w:r>
            <w:r w:rsidRPr="00D95B42">
              <w:rPr>
                <w:rFonts w:ascii="Times New Roman" w:hAnsi="Times New Roman"/>
                <w:b/>
                <w:color w:val="000000"/>
                <w:sz w:val="18"/>
                <w:szCs w:val="21"/>
              </w:rPr>
              <w:t>年度</w:t>
            </w:r>
          </w:p>
          <w:p w14:paraId="376D0742"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及以后</w:t>
            </w:r>
          </w:p>
        </w:tc>
      </w:tr>
      <w:tr w:rsidR="00CD798F" w:rsidRPr="00D95B42" w14:paraId="2D84CB9A" w14:textId="77777777" w:rsidTr="00E72DA1">
        <w:trPr>
          <w:cantSplit/>
          <w:trHeight w:val="454"/>
          <w:jc w:val="center"/>
        </w:trPr>
        <w:tc>
          <w:tcPr>
            <w:tcW w:w="988" w:type="dxa"/>
            <w:vMerge w:val="restart"/>
            <w:noWrap/>
            <w:vAlign w:val="center"/>
            <w:hideMark/>
          </w:tcPr>
          <w:p w14:paraId="0EE3445C"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非场地设备及</w:t>
            </w:r>
          </w:p>
          <w:p w14:paraId="3FC23000"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其他</w:t>
            </w:r>
          </w:p>
        </w:tc>
        <w:tc>
          <w:tcPr>
            <w:tcW w:w="0" w:type="auto"/>
            <w:noWrap/>
            <w:vAlign w:val="center"/>
            <w:hideMark/>
          </w:tcPr>
          <w:p w14:paraId="17B83AC8"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销售收入</w:t>
            </w:r>
          </w:p>
          <w:p w14:paraId="11B3C8C6"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（万元）</w:t>
            </w:r>
          </w:p>
        </w:tc>
        <w:tc>
          <w:tcPr>
            <w:tcW w:w="936" w:type="dxa"/>
            <w:noWrap/>
            <w:vAlign w:val="center"/>
            <w:hideMark/>
          </w:tcPr>
          <w:p w14:paraId="392A1DA9"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7,873.65 </w:t>
            </w:r>
          </w:p>
        </w:tc>
        <w:tc>
          <w:tcPr>
            <w:tcW w:w="936" w:type="dxa"/>
            <w:noWrap/>
            <w:vAlign w:val="center"/>
            <w:hideMark/>
          </w:tcPr>
          <w:p w14:paraId="1FC0AC0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7,263.76 </w:t>
            </w:r>
          </w:p>
        </w:tc>
        <w:tc>
          <w:tcPr>
            <w:tcW w:w="936" w:type="dxa"/>
            <w:noWrap/>
            <w:vAlign w:val="center"/>
            <w:hideMark/>
          </w:tcPr>
          <w:p w14:paraId="3D94FF0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3,638.10 </w:t>
            </w:r>
          </w:p>
        </w:tc>
        <w:tc>
          <w:tcPr>
            <w:tcW w:w="936" w:type="dxa"/>
            <w:noWrap/>
            <w:vAlign w:val="center"/>
            <w:hideMark/>
          </w:tcPr>
          <w:p w14:paraId="1809ACDB"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7,120.73 </w:t>
            </w:r>
          </w:p>
        </w:tc>
        <w:tc>
          <w:tcPr>
            <w:tcW w:w="936" w:type="dxa"/>
            <w:noWrap/>
            <w:vAlign w:val="center"/>
            <w:hideMark/>
          </w:tcPr>
          <w:p w14:paraId="46390F3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7,218.43 </w:t>
            </w:r>
          </w:p>
        </w:tc>
        <w:tc>
          <w:tcPr>
            <w:tcW w:w="936" w:type="dxa"/>
            <w:noWrap/>
            <w:vAlign w:val="center"/>
            <w:hideMark/>
          </w:tcPr>
          <w:p w14:paraId="1608CF8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7,666.43 </w:t>
            </w:r>
          </w:p>
        </w:tc>
        <w:tc>
          <w:tcPr>
            <w:tcW w:w="936" w:type="dxa"/>
            <w:noWrap/>
            <w:vAlign w:val="center"/>
            <w:hideMark/>
          </w:tcPr>
          <w:p w14:paraId="6B0D2F4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8,114.42 </w:t>
            </w:r>
          </w:p>
        </w:tc>
        <w:tc>
          <w:tcPr>
            <w:tcW w:w="936" w:type="dxa"/>
            <w:noWrap/>
            <w:vAlign w:val="center"/>
            <w:hideMark/>
          </w:tcPr>
          <w:p w14:paraId="73DB7F19"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8,545.49 </w:t>
            </w:r>
          </w:p>
        </w:tc>
        <w:tc>
          <w:tcPr>
            <w:tcW w:w="936" w:type="dxa"/>
            <w:noWrap/>
            <w:vAlign w:val="center"/>
            <w:hideMark/>
          </w:tcPr>
          <w:p w14:paraId="46A7C6D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8,545.49 </w:t>
            </w:r>
          </w:p>
        </w:tc>
      </w:tr>
      <w:tr w:rsidR="00CD798F" w:rsidRPr="00D95B42" w14:paraId="5A58F5F9" w14:textId="77777777" w:rsidTr="00E72DA1">
        <w:trPr>
          <w:cantSplit/>
          <w:trHeight w:val="454"/>
          <w:jc w:val="center"/>
        </w:trPr>
        <w:tc>
          <w:tcPr>
            <w:tcW w:w="988" w:type="dxa"/>
            <w:vMerge/>
            <w:vAlign w:val="center"/>
            <w:hideMark/>
          </w:tcPr>
          <w:p w14:paraId="5A839914" w14:textId="77777777" w:rsidR="00CD798F" w:rsidRPr="00D95B42" w:rsidRDefault="00CD798F" w:rsidP="00214723">
            <w:pPr>
              <w:jc w:val="center"/>
              <w:rPr>
                <w:rFonts w:ascii="Times New Roman" w:hAnsi="Times New Roman"/>
                <w:color w:val="000000"/>
                <w:sz w:val="18"/>
                <w:szCs w:val="21"/>
              </w:rPr>
            </w:pPr>
          </w:p>
        </w:tc>
        <w:tc>
          <w:tcPr>
            <w:tcW w:w="0" w:type="auto"/>
            <w:noWrap/>
            <w:vAlign w:val="center"/>
            <w:hideMark/>
          </w:tcPr>
          <w:p w14:paraId="05946EB5"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数量</w:t>
            </w:r>
          </w:p>
          <w:p w14:paraId="2A67D273"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（万台）</w:t>
            </w:r>
          </w:p>
        </w:tc>
        <w:tc>
          <w:tcPr>
            <w:tcW w:w="936" w:type="dxa"/>
            <w:noWrap/>
            <w:vAlign w:val="center"/>
            <w:hideMark/>
          </w:tcPr>
          <w:p w14:paraId="6C013E32" w14:textId="31BAABAD"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83.</w:t>
            </w:r>
            <w:r w:rsidR="008C155B">
              <w:rPr>
                <w:rFonts w:ascii="Times New Roman" w:hAnsi="Times New Roman" w:hint="eastAsia"/>
                <w:color w:val="000000"/>
                <w:sz w:val="18"/>
                <w:szCs w:val="21"/>
              </w:rPr>
              <w:t>87</w:t>
            </w:r>
            <w:r w:rsidRPr="00D95B42">
              <w:rPr>
                <w:rFonts w:ascii="Times New Roman" w:hAnsi="Times New Roman"/>
                <w:color w:val="000000"/>
                <w:sz w:val="18"/>
                <w:szCs w:val="21"/>
              </w:rPr>
              <w:t xml:space="preserve"> </w:t>
            </w:r>
          </w:p>
        </w:tc>
        <w:tc>
          <w:tcPr>
            <w:tcW w:w="936" w:type="dxa"/>
            <w:noWrap/>
            <w:vAlign w:val="center"/>
            <w:hideMark/>
          </w:tcPr>
          <w:p w14:paraId="06BBFBC1" w14:textId="6158D786" w:rsidR="00CD798F" w:rsidRPr="00D95B42" w:rsidRDefault="008C155B" w:rsidP="00214723">
            <w:pPr>
              <w:jc w:val="right"/>
              <w:rPr>
                <w:rFonts w:ascii="Times New Roman" w:hAnsi="Times New Roman"/>
                <w:color w:val="000000"/>
                <w:sz w:val="18"/>
                <w:szCs w:val="21"/>
              </w:rPr>
            </w:pPr>
            <w:r>
              <w:rPr>
                <w:rFonts w:ascii="Times New Roman" w:hAnsi="Times New Roman" w:hint="eastAsia"/>
                <w:color w:val="000000"/>
                <w:sz w:val="18"/>
                <w:szCs w:val="21"/>
              </w:rPr>
              <w:t>71.96</w:t>
            </w:r>
            <w:r w:rsidR="00CD798F" w:rsidRPr="00D95B42">
              <w:rPr>
                <w:rFonts w:ascii="Times New Roman" w:hAnsi="Times New Roman"/>
                <w:color w:val="000000"/>
                <w:sz w:val="18"/>
                <w:szCs w:val="21"/>
              </w:rPr>
              <w:t xml:space="preserve"> </w:t>
            </w:r>
          </w:p>
        </w:tc>
        <w:tc>
          <w:tcPr>
            <w:tcW w:w="936" w:type="dxa"/>
            <w:noWrap/>
            <w:vAlign w:val="center"/>
            <w:hideMark/>
          </w:tcPr>
          <w:p w14:paraId="74B5CAB1" w14:textId="28511B0E" w:rsidR="00CD798F" w:rsidRPr="00D95B42" w:rsidRDefault="008C155B" w:rsidP="00214723">
            <w:pPr>
              <w:jc w:val="right"/>
              <w:rPr>
                <w:rFonts w:ascii="Times New Roman" w:hAnsi="Times New Roman"/>
                <w:color w:val="000000"/>
                <w:sz w:val="18"/>
                <w:szCs w:val="21"/>
              </w:rPr>
            </w:pPr>
            <w:r>
              <w:rPr>
                <w:rFonts w:ascii="Times New Roman" w:hAnsi="Times New Roman" w:hint="eastAsia"/>
                <w:color w:val="000000"/>
                <w:sz w:val="18"/>
                <w:szCs w:val="21"/>
              </w:rPr>
              <w:t>32.65</w:t>
            </w:r>
            <w:r w:rsidR="00CD798F" w:rsidRPr="00D95B42">
              <w:rPr>
                <w:rFonts w:ascii="Times New Roman" w:hAnsi="Times New Roman"/>
                <w:color w:val="000000"/>
                <w:sz w:val="18"/>
                <w:szCs w:val="21"/>
              </w:rPr>
              <w:t xml:space="preserve"> </w:t>
            </w:r>
          </w:p>
        </w:tc>
        <w:tc>
          <w:tcPr>
            <w:tcW w:w="936" w:type="dxa"/>
            <w:noWrap/>
            <w:vAlign w:val="center"/>
            <w:hideMark/>
          </w:tcPr>
          <w:p w14:paraId="7D2DCF4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64.00 </w:t>
            </w:r>
          </w:p>
        </w:tc>
        <w:tc>
          <w:tcPr>
            <w:tcW w:w="936" w:type="dxa"/>
            <w:noWrap/>
            <w:vAlign w:val="center"/>
            <w:hideMark/>
          </w:tcPr>
          <w:p w14:paraId="6174BA44"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69.70 </w:t>
            </w:r>
          </w:p>
        </w:tc>
        <w:tc>
          <w:tcPr>
            <w:tcW w:w="936" w:type="dxa"/>
            <w:noWrap/>
            <w:vAlign w:val="center"/>
            <w:hideMark/>
          </w:tcPr>
          <w:p w14:paraId="561AB1D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75.50 </w:t>
            </w:r>
          </w:p>
        </w:tc>
        <w:tc>
          <w:tcPr>
            <w:tcW w:w="936" w:type="dxa"/>
            <w:noWrap/>
            <w:vAlign w:val="center"/>
            <w:hideMark/>
          </w:tcPr>
          <w:p w14:paraId="5924AD7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81.30 </w:t>
            </w:r>
          </w:p>
        </w:tc>
        <w:tc>
          <w:tcPr>
            <w:tcW w:w="936" w:type="dxa"/>
            <w:noWrap/>
            <w:vAlign w:val="center"/>
            <w:hideMark/>
          </w:tcPr>
          <w:p w14:paraId="6F1E8DF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86.80 </w:t>
            </w:r>
          </w:p>
        </w:tc>
        <w:tc>
          <w:tcPr>
            <w:tcW w:w="936" w:type="dxa"/>
            <w:noWrap/>
            <w:vAlign w:val="center"/>
            <w:hideMark/>
          </w:tcPr>
          <w:p w14:paraId="0238DBE8"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86.80 </w:t>
            </w:r>
          </w:p>
        </w:tc>
      </w:tr>
      <w:tr w:rsidR="00CD798F" w:rsidRPr="00D95B42" w14:paraId="04370340" w14:textId="77777777" w:rsidTr="00E72DA1">
        <w:trPr>
          <w:cantSplit/>
          <w:trHeight w:val="454"/>
          <w:jc w:val="center"/>
        </w:trPr>
        <w:tc>
          <w:tcPr>
            <w:tcW w:w="988" w:type="dxa"/>
            <w:vMerge/>
            <w:vAlign w:val="center"/>
            <w:hideMark/>
          </w:tcPr>
          <w:p w14:paraId="21E12F1F" w14:textId="77777777" w:rsidR="00CD798F" w:rsidRPr="00D95B42" w:rsidRDefault="00CD798F" w:rsidP="00214723">
            <w:pPr>
              <w:jc w:val="center"/>
              <w:rPr>
                <w:rFonts w:ascii="Times New Roman" w:hAnsi="Times New Roman"/>
                <w:color w:val="000000"/>
                <w:sz w:val="18"/>
                <w:szCs w:val="21"/>
              </w:rPr>
            </w:pPr>
          </w:p>
        </w:tc>
        <w:tc>
          <w:tcPr>
            <w:tcW w:w="0" w:type="auto"/>
            <w:noWrap/>
            <w:vAlign w:val="center"/>
            <w:hideMark/>
          </w:tcPr>
          <w:p w14:paraId="56D984B0" w14:textId="77777777" w:rsidR="00CD798F" w:rsidRPr="00D95B42" w:rsidRDefault="00CD798F" w:rsidP="00214723">
            <w:pPr>
              <w:rPr>
                <w:rFonts w:ascii="Times New Roman" w:hAnsi="Times New Roman"/>
                <w:bCs/>
                <w:color w:val="000000"/>
                <w:sz w:val="18"/>
                <w:szCs w:val="21"/>
              </w:rPr>
            </w:pPr>
            <w:r w:rsidRPr="00D95B42">
              <w:rPr>
                <w:rFonts w:ascii="Times New Roman" w:hAnsi="Times New Roman"/>
                <w:bCs/>
                <w:color w:val="000000"/>
                <w:sz w:val="18"/>
                <w:szCs w:val="21"/>
              </w:rPr>
              <w:t>单价（元）</w:t>
            </w:r>
          </w:p>
        </w:tc>
        <w:tc>
          <w:tcPr>
            <w:tcW w:w="936" w:type="dxa"/>
            <w:noWrap/>
            <w:vAlign w:val="center"/>
            <w:hideMark/>
          </w:tcPr>
          <w:p w14:paraId="71C43844" w14:textId="4A87A6BA" w:rsidR="00CD798F" w:rsidRPr="00D95B42" w:rsidRDefault="008C155B" w:rsidP="00214723">
            <w:pPr>
              <w:jc w:val="right"/>
              <w:rPr>
                <w:rFonts w:ascii="Times New Roman" w:hAnsi="Times New Roman"/>
                <w:color w:val="000000"/>
                <w:sz w:val="18"/>
                <w:szCs w:val="21"/>
              </w:rPr>
            </w:pPr>
            <w:r>
              <w:rPr>
                <w:rFonts w:ascii="Times New Roman" w:hAnsi="Times New Roman" w:hint="eastAsia"/>
                <w:color w:val="000000"/>
                <w:sz w:val="18"/>
                <w:szCs w:val="21"/>
              </w:rPr>
              <w:t>93.88</w:t>
            </w:r>
            <w:r w:rsidR="00CD798F" w:rsidRPr="00D95B42">
              <w:rPr>
                <w:rFonts w:ascii="Times New Roman" w:hAnsi="Times New Roman"/>
                <w:color w:val="000000"/>
                <w:sz w:val="18"/>
                <w:szCs w:val="21"/>
              </w:rPr>
              <w:t xml:space="preserve"> </w:t>
            </w:r>
          </w:p>
        </w:tc>
        <w:tc>
          <w:tcPr>
            <w:tcW w:w="936" w:type="dxa"/>
            <w:noWrap/>
            <w:vAlign w:val="center"/>
            <w:hideMark/>
          </w:tcPr>
          <w:p w14:paraId="0FAF6ADD" w14:textId="511401B7" w:rsidR="00CD798F" w:rsidRPr="00D95B42" w:rsidRDefault="008C155B" w:rsidP="00214723">
            <w:pPr>
              <w:jc w:val="right"/>
              <w:rPr>
                <w:rFonts w:ascii="Times New Roman" w:hAnsi="Times New Roman"/>
                <w:color w:val="000000"/>
                <w:sz w:val="18"/>
                <w:szCs w:val="21"/>
              </w:rPr>
            </w:pPr>
            <w:r>
              <w:rPr>
                <w:rFonts w:ascii="Times New Roman" w:hAnsi="Times New Roman" w:hint="eastAsia"/>
                <w:color w:val="000000"/>
                <w:sz w:val="18"/>
                <w:szCs w:val="21"/>
              </w:rPr>
              <w:t>101.32</w:t>
            </w:r>
            <w:r w:rsidR="00CD798F" w:rsidRPr="00D95B42">
              <w:rPr>
                <w:rFonts w:ascii="Times New Roman" w:hAnsi="Times New Roman"/>
                <w:color w:val="000000"/>
                <w:sz w:val="18"/>
                <w:szCs w:val="21"/>
              </w:rPr>
              <w:t xml:space="preserve"> </w:t>
            </w:r>
          </w:p>
        </w:tc>
        <w:tc>
          <w:tcPr>
            <w:tcW w:w="936" w:type="dxa"/>
            <w:noWrap/>
            <w:vAlign w:val="center"/>
            <w:hideMark/>
          </w:tcPr>
          <w:p w14:paraId="57A351F6" w14:textId="0792A2A6" w:rsidR="00CD798F" w:rsidRPr="00D95B42" w:rsidRDefault="008C155B" w:rsidP="00214723">
            <w:pPr>
              <w:jc w:val="right"/>
              <w:rPr>
                <w:rFonts w:ascii="Times New Roman" w:hAnsi="Times New Roman"/>
                <w:color w:val="000000"/>
                <w:sz w:val="18"/>
                <w:szCs w:val="21"/>
              </w:rPr>
            </w:pPr>
            <w:r>
              <w:rPr>
                <w:rFonts w:ascii="Times New Roman" w:hAnsi="Times New Roman" w:hint="eastAsia"/>
                <w:color w:val="000000"/>
                <w:sz w:val="18"/>
                <w:szCs w:val="21"/>
              </w:rPr>
              <w:t>111.42</w:t>
            </w:r>
          </w:p>
        </w:tc>
        <w:tc>
          <w:tcPr>
            <w:tcW w:w="936" w:type="dxa"/>
            <w:noWrap/>
            <w:vAlign w:val="center"/>
            <w:hideMark/>
          </w:tcPr>
          <w:p w14:paraId="2F8C349E"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111.26 </w:t>
            </w:r>
          </w:p>
        </w:tc>
        <w:tc>
          <w:tcPr>
            <w:tcW w:w="936" w:type="dxa"/>
            <w:noWrap/>
            <w:vAlign w:val="center"/>
            <w:hideMark/>
          </w:tcPr>
          <w:p w14:paraId="30CB5A9B"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103.56 </w:t>
            </w:r>
          </w:p>
        </w:tc>
        <w:tc>
          <w:tcPr>
            <w:tcW w:w="936" w:type="dxa"/>
            <w:noWrap/>
            <w:vAlign w:val="center"/>
            <w:hideMark/>
          </w:tcPr>
          <w:p w14:paraId="045FB18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101.54 </w:t>
            </w:r>
          </w:p>
        </w:tc>
        <w:tc>
          <w:tcPr>
            <w:tcW w:w="936" w:type="dxa"/>
            <w:noWrap/>
            <w:vAlign w:val="center"/>
            <w:hideMark/>
          </w:tcPr>
          <w:p w14:paraId="662AF50A"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99.81 </w:t>
            </w:r>
          </w:p>
        </w:tc>
        <w:tc>
          <w:tcPr>
            <w:tcW w:w="936" w:type="dxa"/>
            <w:noWrap/>
            <w:vAlign w:val="center"/>
            <w:hideMark/>
          </w:tcPr>
          <w:p w14:paraId="19076EC8"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98.45 </w:t>
            </w:r>
          </w:p>
        </w:tc>
        <w:tc>
          <w:tcPr>
            <w:tcW w:w="936" w:type="dxa"/>
            <w:noWrap/>
            <w:vAlign w:val="center"/>
            <w:hideMark/>
          </w:tcPr>
          <w:p w14:paraId="4D31A29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98.45 </w:t>
            </w:r>
          </w:p>
        </w:tc>
      </w:tr>
      <w:tr w:rsidR="00CD798F" w:rsidRPr="00D95B42" w14:paraId="6C9AFAB2" w14:textId="77777777" w:rsidTr="00E72DA1">
        <w:trPr>
          <w:cantSplit/>
          <w:trHeight w:val="454"/>
          <w:jc w:val="center"/>
        </w:trPr>
        <w:tc>
          <w:tcPr>
            <w:tcW w:w="988" w:type="dxa"/>
            <w:vMerge w:val="restart"/>
            <w:noWrap/>
            <w:vAlign w:val="center"/>
            <w:hideMark/>
          </w:tcPr>
          <w:p w14:paraId="4D846EEA"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场地整体</w:t>
            </w:r>
          </w:p>
          <w:p w14:paraId="6C9FD77A"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解决方案</w:t>
            </w:r>
          </w:p>
        </w:tc>
        <w:tc>
          <w:tcPr>
            <w:tcW w:w="0" w:type="auto"/>
            <w:noWrap/>
            <w:vAlign w:val="center"/>
            <w:hideMark/>
          </w:tcPr>
          <w:p w14:paraId="4B1A66AB"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销售收入</w:t>
            </w:r>
          </w:p>
          <w:p w14:paraId="4EE197FF"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（万元）</w:t>
            </w:r>
          </w:p>
        </w:tc>
        <w:tc>
          <w:tcPr>
            <w:tcW w:w="936" w:type="dxa"/>
            <w:noWrap/>
            <w:vAlign w:val="center"/>
            <w:hideMark/>
          </w:tcPr>
          <w:p w14:paraId="3F90DE5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6,728.18 </w:t>
            </w:r>
          </w:p>
        </w:tc>
        <w:tc>
          <w:tcPr>
            <w:tcW w:w="936" w:type="dxa"/>
            <w:noWrap/>
            <w:vAlign w:val="center"/>
            <w:hideMark/>
          </w:tcPr>
          <w:p w14:paraId="33AF6FA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9,704.27 </w:t>
            </w:r>
          </w:p>
        </w:tc>
        <w:tc>
          <w:tcPr>
            <w:tcW w:w="936" w:type="dxa"/>
            <w:noWrap/>
            <w:vAlign w:val="center"/>
            <w:hideMark/>
          </w:tcPr>
          <w:p w14:paraId="6C5A1ECB"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5,140.81 </w:t>
            </w:r>
          </w:p>
        </w:tc>
        <w:tc>
          <w:tcPr>
            <w:tcW w:w="936" w:type="dxa"/>
            <w:noWrap/>
            <w:vAlign w:val="center"/>
            <w:hideMark/>
          </w:tcPr>
          <w:p w14:paraId="585C517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10,321.36 </w:t>
            </w:r>
          </w:p>
        </w:tc>
        <w:tc>
          <w:tcPr>
            <w:tcW w:w="936" w:type="dxa"/>
            <w:noWrap/>
            <w:vAlign w:val="center"/>
            <w:hideMark/>
          </w:tcPr>
          <w:p w14:paraId="68AF69C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10,213.85 </w:t>
            </w:r>
          </w:p>
        </w:tc>
        <w:tc>
          <w:tcPr>
            <w:tcW w:w="936" w:type="dxa"/>
            <w:noWrap/>
            <w:vAlign w:val="center"/>
            <w:hideMark/>
          </w:tcPr>
          <w:p w14:paraId="2C7AB03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9,676.28 </w:t>
            </w:r>
          </w:p>
        </w:tc>
        <w:tc>
          <w:tcPr>
            <w:tcW w:w="936" w:type="dxa"/>
            <w:noWrap/>
            <w:vAlign w:val="center"/>
            <w:hideMark/>
          </w:tcPr>
          <w:p w14:paraId="79C63604"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9,138.71 </w:t>
            </w:r>
          </w:p>
        </w:tc>
        <w:tc>
          <w:tcPr>
            <w:tcW w:w="936" w:type="dxa"/>
            <w:noWrap/>
            <w:vAlign w:val="center"/>
            <w:hideMark/>
          </w:tcPr>
          <w:p w14:paraId="44133F13"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8,869.92 </w:t>
            </w:r>
          </w:p>
        </w:tc>
        <w:tc>
          <w:tcPr>
            <w:tcW w:w="936" w:type="dxa"/>
            <w:noWrap/>
            <w:vAlign w:val="center"/>
            <w:hideMark/>
          </w:tcPr>
          <w:p w14:paraId="31678D0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8,869.92 </w:t>
            </w:r>
          </w:p>
        </w:tc>
      </w:tr>
      <w:tr w:rsidR="00CD798F" w:rsidRPr="00D95B42" w14:paraId="7500166A" w14:textId="77777777" w:rsidTr="00E72DA1">
        <w:trPr>
          <w:cantSplit/>
          <w:trHeight w:val="454"/>
          <w:jc w:val="center"/>
        </w:trPr>
        <w:tc>
          <w:tcPr>
            <w:tcW w:w="988" w:type="dxa"/>
            <w:vMerge/>
            <w:vAlign w:val="center"/>
            <w:hideMark/>
          </w:tcPr>
          <w:p w14:paraId="109069BD" w14:textId="77777777" w:rsidR="00CD798F" w:rsidRPr="00D95B42" w:rsidRDefault="00CD798F" w:rsidP="00214723">
            <w:pPr>
              <w:jc w:val="center"/>
              <w:rPr>
                <w:rFonts w:ascii="Times New Roman" w:hAnsi="Times New Roman"/>
                <w:color w:val="000000"/>
                <w:sz w:val="18"/>
                <w:szCs w:val="21"/>
              </w:rPr>
            </w:pPr>
          </w:p>
        </w:tc>
        <w:tc>
          <w:tcPr>
            <w:tcW w:w="0" w:type="auto"/>
            <w:noWrap/>
            <w:vAlign w:val="center"/>
            <w:hideMark/>
          </w:tcPr>
          <w:p w14:paraId="0F3540DE"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数量</w:t>
            </w:r>
          </w:p>
          <w:p w14:paraId="090649E3"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（场地，个）</w:t>
            </w:r>
          </w:p>
        </w:tc>
        <w:tc>
          <w:tcPr>
            <w:tcW w:w="936" w:type="dxa"/>
            <w:noWrap/>
            <w:vAlign w:val="center"/>
            <w:hideMark/>
          </w:tcPr>
          <w:p w14:paraId="514D36A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2,090</w:t>
            </w:r>
          </w:p>
        </w:tc>
        <w:tc>
          <w:tcPr>
            <w:tcW w:w="936" w:type="dxa"/>
            <w:noWrap/>
            <w:vAlign w:val="center"/>
            <w:hideMark/>
          </w:tcPr>
          <w:p w14:paraId="1A36461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1,901</w:t>
            </w:r>
          </w:p>
        </w:tc>
        <w:tc>
          <w:tcPr>
            <w:tcW w:w="936" w:type="dxa"/>
            <w:noWrap/>
            <w:vAlign w:val="center"/>
            <w:hideMark/>
          </w:tcPr>
          <w:p w14:paraId="2F2B9448"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983</w:t>
            </w:r>
          </w:p>
        </w:tc>
        <w:tc>
          <w:tcPr>
            <w:tcW w:w="936" w:type="dxa"/>
            <w:noWrap/>
            <w:vAlign w:val="center"/>
            <w:hideMark/>
          </w:tcPr>
          <w:p w14:paraId="35E4634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1,920</w:t>
            </w:r>
          </w:p>
        </w:tc>
        <w:tc>
          <w:tcPr>
            <w:tcW w:w="936" w:type="dxa"/>
            <w:noWrap/>
            <w:vAlign w:val="center"/>
            <w:hideMark/>
          </w:tcPr>
          <w:p w14:paraId="15C15B7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1,900</w:t>
            </w:r>
          </w:p>
        </w:tc>
        <w:tc>
          <w:tcPr>
            <w:tcW w:w="936" w:type="dxa"/>
            <w:noWrap/>
            <w:vAlign w:val="center"/>
            <w:hideMark/>
          </w:tcPr>
          <w:p w14:paraId="35DE67FA"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1,800</w:t>
            </w:r>
          </w:p>
        </w:tc>
        <w:tc>
          <w:tcPr>
            <w:tcW w:w="936" w:type="dxa"/>
            <w:noWrap/>
            <w:vAlign w:val="center"/>
            <w:hideMark/>
          </w:tcPr>
          <w:p w14:paraId="3047BEC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1,700</w:t>
            </w:r>
          </w:p>
        </w:tc>
        <w:tc>
          <w:tcPr>
            <w:tcW w:w="936" w:type="dxa"/>
            <w:noWrap/>
            <w:vAlign w:val="center"/>
            <w:hideMark/>
          </w:tcPr>
          <w:p w14:paraId="4B6FCEA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1,650</w:t>
            </w:r>
          </w:p>
        </w:tc>
        <w:tc>
          <w:tcPr>
            <w:tcW w:w="936" w:type="dxa"/>
            <w:noWrap/>
            <w:vAlign w:val="center"/>
            <w:hideMark/>
          </w:tcPr>
          <w:p w14:paraId="1B5708FA"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1,650</w:t>
            </w:r>
          </w:p>
        </w:tc>
      </w:tr>
      <w:tr w:rsidR="00CD798F" w:rsidRPr="00D95B42" w14:paraId="535A127E" w14:textId="77777777" w:rsidTr="00E72DA1">
        <w:trPr>
          <w:cantSplit/>
          <w:trHeight w:val="454"/>
          <w:jc w:val="center"/>
        </w:trPr>
        <w:tc>
          <w:tcPr>
            <w:tcW w:w="988" w:type="dxa"/>
            <w:vMerge/>
            <w:vAlign w:val="center"/>
            <w:hideMark/>
          </w:tcPr>
          <w:p w14:paraId="1F68D82C" w14:textId="77777777" w:rsidR="00CD798F" w:rsidRPr="00D95B42" w:rsidRDefault="00CD798F" w:rsidP="00214723">
            <w:pPr>
              <w:jc w:val="center"/>
              <w:rPr>
                <w:rFonts w:ascii="Times New Roman" w:hAnsi="Times New Roman"/>
                <w:color w:val="000000"/>
                <w:sz w:val="18"/>
                <w:szCs w:val="21"/>
              </w:rPr>
            </w:pPr>
          </w:p>
        </w:tc>
        <w:tc>
          <w:tcPr>
            <w:tcW w:w="0" w:type="auto"/>
            <w:noWrap/>
            <w:vAlign w:val="center"/>
            <w:hideMark/>
          </w:tcPr>
          <w:p w14:paraId="1439C69C" w14:textId="77777777" w:rsidR="00CD798F" w:rsidRPr="00D95B42" w:rsidRDefault="00CD798F" w:rsidP="00214723">
            <w:pPr>
              <w:rPr>
                <w:rFonts w:ascii="Times New Roman" w:hAnsi="Times New Roman"/>
                <w:bCs/>
                <w:color w:val="000000"/>
                <w:sz w:val="18"/>
                <w:szCs w:val="21"/>
              </w:rPr>
            </w:pPr>
            <w:r w:rsidRPr="00D95B42">
              <w:rPr>
                <w:rFonts w:ascii="Times New Roman" w:hAnsi="Times New Roman"/>
                <w:bCs/>
                <w:color w:val="000000"/>
                <w:sz w:val="18"/>
                <w:szCs w:val="21"/>
              </w:rPr>
              <w:t>单价（万元）</w:t>
            </w:r>
          </w:p>
        </w:tc>
        <w:tc>
          <w:tcPr>
            <w:tcW w:w="936" w:type="dxa"/>
            <w:noWrap/>
            <w:vAlign w:val="center"/>
            <w:hideMark/>
          </w:tcPr>
          <w:p w14:paraId="0785121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3.22 </w:t>
            </w:r>
          </w:p>
        </w:tc>
        <w:tc>
          <w:tcPr>
            <w:tcW w:w="936" w:type="dxa"/>
            <w:noWrap/>
            <w:vAlign w:val="center"/>
            <w:hideMark/>
          </w:tcPr>
          <w:p w14:paraId="171481E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5.10 </w:t>
            </w:r>
          </w:p>
        </w:tc>
        <w:tc>
          <w:tcPr>
            <w:tcW w:w="936" w:type="dxa"/>
            <w:noWrap/>
            <w:vAlign w:val="center"/>
            <w:hideMark/>
          </w:tcPr>
          <w:p w14:paraId="08C9656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5.23 </w:t>
            </w:r>
          </w:p>
        </w:tc>
        <w:tc>
          <w:tcPr>
            <w:tcW w:w="936" w:type="dxa"/>
            <w:noWrap/>
            <w:vAlign w:val="center"/>
            <w:hideMark/>
          </w:tcPr>
          <w:p w14:paraId="3144B188"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5.38 </w:t>
            </w:r>
          </w:p>
        </w:tc>
        <w:tc>
          <w:tcPr>
            <w:tcW w:w="936" w:type="dxa"/>
            <w:noWrap/>
            <w:vAlign w:val="center"/>
            <w:hideMark/>
          </w:tcPr>
          <w:p w14:paraId="335B8B5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5.38 </w:t>
            </w:r>
          </w:p>
        </w:tc>
        <w:tc>
          <w:tcPr>
            <w:tcW w:w="936" w:type="dxa"/>
            <w:noWrap/>
            <w:vAlign w:val="center"/>
            <w:hideMark/>
          </w:tcPr>
          <w:p w14:paraId="59FC8541"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5.38 </w:t>
            </w:r>
          </w:p>
        </w:tc>
        <w:tc>
          <w:tcPr>
            <w:tcW w:w="936" w:type="dxa"/>
            <w:noWrap/>
            <w:vAlign w:val="center"/>
            <w:hideMark/>
          </w:tcPr>
          <w:p w14:paraId="4790FEDB"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5.38 </w:t>
            </w:r>
          </w:p>
        </w:tc>
        <w:tc>
          <w:tcPr>
            <w:tcW w:w="936" w:type="dxa"/>
            <w:noWrap/>
            <w:vAlign w:val="center"/>
            <w:hideMark/>
          </w:tcPr>
          <w:p w14:paraId="208DF52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5.38 </w:t>
            </w:r>
          </w:p>
        </w:tc>
        <w:tc>
          <w:tcPr>
            <w:tcW w:w="936" w:type="dxa"/>
            <w:noWrap/>
            <w:vAlign w:val="center"/>
            <w:hideMark/>
          </w:tcPr>
          <w:p w14:paraId="01026144"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 xml:space="preserve">5.38 </w:t>
            </w:r>
          </w:p>
        </w:tc>
      </w:tr>
      <w:tr w:rsidR="00CD798F" w:rsidRPr="00D95B42" w14:paraId="0FCBDFCD" w14:textId="77777777" w:rsidTr="00E72DA1">
        <w:trPr>
          <w:cantSplit/>
          <w:trHeight w:val="454"/>
          <w:jc w:val="center"/>
        </w:trPr>
        <w:tc>
          <w:tcPr>
            <w:tcW w:w="988" w:type="dxa"/>
            <w:noWrap/>
            <w:vAlign w:val="center"/>
            <w:hideMark/>
          </w:tcPr>
          <w:p w14:paraId="41844CBB" w14:textId="77777777" w:rsidR="00CD798F" w:rsidRPr="00D95B42" w:rsidRDefault="00CD798F" w:rsidP="00214723">
            <w:pPr>
              <w:jc w:val="center"/>
              <w:rPr>
                <w:rFonts w:ascii="Times New Roman" w:hAnsi="Times New Roman"/>
                <w:b/>
                <w:color w:val="000000"/>
                <w:sz w:val="18"/>
                <w:szCs w:val="21"/>
              </w:rPr>
            </w:pPr>
            <w:r w:rsidRPr="00D95B42">
              <w:rPr>
                <w:rFonts w:ascii="Times New Roman" w:hAnsi="Times New Roman"/>
                <w:b/>
                <w:color w:val="000000"/>
                <w:sz w:val="18"/>
                <w:szCs w:val="21"/>
              </w:rPr>
              <w:t>合计</w:t>
            </w:r>
          </w:p>
        </w:tc>
        <w:tc>
          <w:tcPr>
            <w:tcW w:w="0" w:type="auto"/>
            <w:noWrap/>
            <w:vAlign w:val="center"/>
            <w:hideMark/>
          </w:tcPr>
          <w:p w14:paraId="0B8088E3" w14:textId="77777777" w:rsidR="00CD798F" w:rsidRPr="00D95B42" w:rsidRDefault="00CD798F" w:rsidP="00214723">
            <w:pPr>
              <w:rPr>
                <w:rFonts w:ascii="Times New Roman" w:hAnsi="Times New Roman"/>
                <w:b/>
                <w:color w:val="000000"/>
                <w:sz w:val="18"/>
                <w:szCs w:val="21"/>
              </w:rPr>
            </w:pPr>
            <w:r w:rsidRPr="00D95B42">
              <w:rPr>
                <w:rFonts w:ascii="Times New Roman" w:hAnsi="Times New Roman"/>
                <w:b/>
                <w:color w:val="000000"/>
                <w:sz w:val="18"/>
                <w:szCs w:val="21"/>
              </w:rPr>
              <w:t>销售收入</w:t>
            </w:r>
          </w:p>
          <w:p w14:paraId="5D1035F8" w14:textId="77777777" w:rsidR="00CD798F" w:rsidRPr="00D95B42" w:rsidRDefault="00CD798F" w:rsidP="00214723">
            <w:pPr>
              <w:rPr>
                <w:rFonts w:ascii="Times New Roman" w:hAnsi="Times New Roman"/>
                <w:b/>
                <w:color w:val="000000"/>
                <w:sz w:val="18"/>
                <w:szCs w:val="21"/>
              </w:rPr>
            </w:pPr>
            <w:r w:rsidRPr="00D95B42">
              <w:rPr>
                <w:rFonts w:ascii="Times New Roman" w:hAnsi="Times New Roman"/>
                <w:b/>
                <w:color w:val="000000"/>
                <w:sz w:val="18"/>
                <w:szCs w:val="21"/>
              </w:rPr>
              <w:t>（万元）</w:t>
            </w:r>
          </w:p>
        </w:tc>
        <w:tc>
          <w:tcPr>
            <w:tcW w:w="936" w:type="dxa"/>
            <w:noWrap/>
            <w:vAlign w:val="center"/>
            <w:hideMark/>
          </w:tcPr>
          <w:p w14:paraId="51F34C33"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14,601.82</w:t>
            </w:r>
          </w:p>
        </w:tc>
        <w:tc>
          <w:tcPr>
            <w:tcW w:w="936" w:type="dxa"/>
            <w:noWrap/>
            <w:vAlign w:val="center"/>
            <w:hideMark/>
          </w:tcPr>
          <w:p w14:paraId="7DBF29F3"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16,968.02</w:t>
            </w:r>
          </w:p>
        </w:tc>
        <w:tc>
          <w:tcPr>
            <w:tcW w:w="936" w:type="dxa"/>
            <w:noWrap/>
            <w:vAlign w:val="center"/>
            <w:hideMark/>
          </w:tcPr>
          <w:p w14:paraId="29B93EEC"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8,778.91</w:t>
            </w:r>
          </w:p>
        </w:tc>
        <w:tc>
          <w:tcPr>
            <w:tcW w:w="936" w:type="dxa"/>
            <w:noWrap/>
            <w:vAlign w:val="center"/>
            <w:hideMark/>
          </w:tcPr>
          <w:p w14:paraId="42AFB016"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17,442.09</w:t>
            </w:r>
          </w:p>
        </w:tc>
        <w:tc>
          <w:tcPr>
            <w:tcW w:w="936" w:type="dxa"/>
            <w:noWrap/>
            <w:vAlign w:val="center"/>
            <w:hideMark/>
          </w:tcPr>
          <w:p w14:paraId="6903195A"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17,432.28</w:t>
            </w:r>
          </w:p>
        </w:tc>
        <w:tc>
          <w:tcPr>
            <w:tcW w:w="936" w:type="dxa"/>
            <w:noWrap/>
            <w:vAlign w:val="center"/>
            <w:hideMark/>
          </w:tcPr>
          <w:p w14:paraId="36F077F9"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17,342.71</w:t>
            </w:r>
          </w:p>
        </w:tc>
        <w:tc>
          <w:tcPr>
            <w:tcW w:w="936" w:type="dxa"/>
            <w:noWrap/>
            <w:vAlign w:val="center"/>
            <w:hideMark/>
          </w:tcPr>
          <w:p w14:paraId="423762F9"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17,253.13</w:t>
            </w:r>
          </w:p>
        </w:tc>
        <w:tc>
          <w:tcPr>
            <w:tcW w:w="936" w:type="dxa"/>
            <w:noWrap/>
            <w:vAlign w:val="center"/>
            <w:hideMark/>
          </w:tcPr>
          <w:p w14:paraId="61DCCA4A"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17,415.41</w:t>
            </w:r>
          </w:p>
        </w:tc>
        <w:tc>
          <w:tcPr>
            <w:tcW w:w="936" w:type="dxa"/>
            <w:noWrap/>
            <w:vAlign w:val="center"/>
            <w:hideMark/>
          </w:tcPr>
          <w:p w14:paraId="6E495EEF"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17,415.41</w:t>
            </w:r>
          </w:p>
        </w:tc>
      </w:tr>
    </w:tbl>
    <w:p w14:paraId="1B558162" w14:textId="77777777" w:rsidR="00CD798F" w:rsidRDefault="00CD798F" w:rsidP="00CD798F">
      <w:pPr>
        <w:pStyle w:val="005"/>
        <w:spacing w:before="120" w:after="120"/>
        <w:ind w:firstLine="480"/>
      </w:pPr>
      <w:r>
        <w:rPr>
          <w:rFonts w:hint="eastAsia"/>
        </w:rPr>
        <w:t>本次评估针对于标的公司</w:t>
      </w:r>
      <w:r w:rsidRPr="00C10CBC">
        <w:rPr>
          <w:rFonts w:hint="eastAsia"/>
        </w:rPr>
        <w:t>IoT</w:t>
      </w:r>
      <w:r w:rsidRPr="00C10CBC">
        <w:rPr>
          <w:rFonts w:hint="eastAsia"/>
        </w:rPr>
        <w:t>智能硬件</w:t>
      </w:r>
      <w:r>
        <w:rPr>
          <w:rFonts w:hint="eastAsia"/>
        </w:rPr>
        <w:t>类业务分为非场地设备及其他以及场地整体解决方案进行预测。其中，非场地设备及其他主要系包括整机类、</w:t>
      </w:r>
      <w:r w:rsidRPr="00C10CBC">
        <w:rPr>
          <w:rFonts w:hint="eastAsia"/>
        </w:rPr>
        <w:t>模块类、主板类和终端类等多种类型产品</w:t>
      </w:r>
      <w:r>
        <w:rPr>
          <w:rFonts w:hint="eastAsia"/>
        </w:rPr>
        <w:t>及服务，</w:t>
      </w:r>
      <w:r w:rsidRPr="00C10CBC">
        <w:rPr>
          <w:rFonts w:hint="eastAsia"/>
        </w:rPr>
        <w:t>场地整体解决方案</w:t>
      </w:r>
      <w:r>
        <w:rPr>
          <w:rFonts w:hint="eastAsia"/>
        </w:rPr>
        <w:t>主要系标的公司</w:t>
      </w:r>
      <w:r w:rsidRPr="00CD616A">
        <w:rPr>
          <w:rFonts w:hint="eastAsia"/>
        </w:rPr>
        <w:t>凭借其领先的市场地位</w:t>
      </w:r>
      <w:r>
        <w:rPr>
          <w:rFonts w:hint="eastAsia"/>
        </w:rPr>
        <w:t>，为客户提供包括</w:t>
      </w:r>
      <w:r w:rsidRPr="00C10CBC">
        <w:rPr>
          <w:rFonts w:hint="eastAsia"/>
        </w:rPr>
        <w:t>出闸机、存售票设备、收</w:t>
      </w:r>
      <w:r>
        <w:rPr>
          <w:rFonts w:hint="eastAsia"/>
        </w:rPr>
        <w:t>银</w:t>
      </w:r>
      <w:r w:rsidRPr="00C10CBC">
        <w:rPr>
          <w:rFonts w:hint="eastAsia"/>
        </w:rPr>
        <w:t>设备、卡头设备等场地配套设备的全套解决</w:t>
      </w:r>
      <w:r>
        <w:rPr>
          <w:rFonts w:hint="eastAsia"/>
        </w:rPr>
        <w:t>方案。</w:t>
      </w:r>
      <w:r w:rsidDel="00E10A29">
        <w:rPr>
          <w:rFonts w:hint="eastAsia"/>
        </w:rPr>
        <w:t xml:space="preserve"> </w:t>
      </w:r>
    </w:p>
    <w:p w14:paraId="3A515223" w14:textId="77777777" w:rsidR="00CD798F" w:rsidRDefault="00CD798F" w:rsidP="00CD798F">
      <w:pPr>
        <w:pStyle w:val="004"/>
        <w:spacing w:before="120" w:after="120"/>
        <w:ind w:firstLine="482"/>
        <w:outlineLvl w:val="4"/>
      </w:pPr>
      <w:r>
        <w:rPr>
          <w:rFonts w:hint="eastAsia"/>
        </w:rPr>
        <w:lastRenderedPageBreak/>
        <w:t>（</w:t>
      </w:r>
      <w:r>
        <w:rPr>
          <w:rFonts w:hint="eastAsia"/>
        </w:rPr>
        <w:t>1</w:t>
      </w:r>
      <w:r>
        <w:rPr>
          <w:rFonts w:hint="eastAsia"/>
        </w:rPr>
        <w:t>）非场地设备的销售预测分析</w:t>
      </w:r>
    </w:p>
    <w:p w14:paraId="5CC8D1C5" w14:textId="77777777" w:rsidR="00CD798F" w:rsidRDefault="00CD798F" w:rsidP="00CD798F">
      <w:pPr>
        <w:pStyle w:val="005"/>
        <w:spacing w:before="120" w:after="120"/>
        <w:ind w:firstLine="480"/>
      </w:pPr>
      <w:r>
        <w:rPr>
          <w:rFonts w:hint="eastAsia"/>
        </w:rPr>
        <w:t>1</w:t>
      </w:r>
      <w:r>
        <w:rPr>
          <w:rFonts w:hint="eastAsia"/>
        </w:rPr>
        <w:t>）销售单价分析</w:t>
      </w:r>
    </w:p>
    <w:p w14:paraId="1F24503B" w14:textId="77777777" w:rsidR="00CD798F" w:rsidRDefault="00CD798F" w:rsidP="00CD798F">
      <w:pPr>
        <w:pStyle w:val="005"/>
        <w:spacing w:before="120" w:after="120"/>
        <w:ind w:firstLine="480"/>
      </w:pPr>
      <w:r>
        <w:rPr>
          <w:rFonts w:hint="eastAsia"/>
        </w:rPr>
        <w:t>报告期内，非场地设备的销售单价有所增长，一方面主要系由于报告期内应用场景销售结构有所变化，销售单价较高的智慧出行类</w:t>
      </w:r>
      <w:r w:rsidRPr="00C10CBC">
        <w:rPr>
          <w:rFonts w:hint="eastAsia"/>
        </w:rPr>
        <w:t>IoT</w:t>
      </w:r>
      <w:r w:rsidRPr="00C10CBC">
        <w:rPr>
          <w:rFonts w:hint="eastAsia"/>
        </w:rPr>
        <w:t>智能硬件</w:t>
      </w:r>
      <w:r>
        <w:rPr>
          <w:rFonts w:hint="eastAsia"/>
        </w:rPr>
        <w:t>收入占比持续增长，使得整体</w:t>
      </w:r>
      <w:r w:rsidRPr="008347D7">
        <w:rPr>
          <w:rFonts w:hint="eastAsia"/>
        </w:rPr>
        <w:t>IoT</w:t>
      </w:r>
      <w:r w:rsidRPr="008347D7">
        <w:rPr>
          <w:rFonts w:hint="eastAsia"/>
        </w:rPr>
        <w:t>智能硬件</w:t>
      </w:r>
      <w:r>
        <w:rPr>
          <w:rFonts w:hint="eastAsia"/>
        </w:rPr>
        <w:t>单价有所增长，另一方面主要系由于</w:t>
      </w:r>
      <w:r w:rsidRPr="008347D7">
        <w:rPr>
          <w:rFonts w:hint="eastAsia"/>
        </w:rPr>
        <w:t>2025</w:t>
      </w:r>
      <w:r w:rsidRPr="008347D7">
        <w:rPr>
          <w:rFonts w:hint="eastAsia"/>
        </w:rPr>
        <w:t>年</w:t>
      </w:r>
      <w:r>
        <w:rPr>
          <w:rFonts w:hint="eastAsia"/>
        </w:rPr>
        <w:t>度</w:t>
      </w:r>
      <w:r>
        <w:rPr>
          <w:rFonts w:hint="eastAsia"/>
        </w:rPr>
        <w:t>1-6</w:t>
      </w:r>
      <w:r>
        <w:rPr>
          <w:rFonts w:hint="eastAsia"/>
        </w:rPr>
        <w:t>月</w:t>
      </w:r>
      <w:r w:rsidRPr="008347D7">
        <w:rPr>
          <w:rFonts w:hint="eastAsia"/>
        </w:rPr>
        <w:t>存在部分销售单价较高的定制化的产品</w:t>
      </w:r>
      <w:r>
        <w:rPr>
          <w:rFonts w:hint="eastAsia"/>
        </w:rPr>
        <w:t>导致。</w:t>
      </w:r>
    </w:p>
    <w:p w14:paraId="4F269CDB" w14:textId="1F7673A1" w:rsidR="00CD798F" w:rsidRDefault="00CD798F" w:rsidP="00CD798F">
      <w:pPr>
        <w:pStyle w:val="005"/>
        <w:spacing w:before="120" w:after="120"/>
        <w:ind w:firstLine="480"/>
      </w:pPr>
      <w:r>
        <w:rPr>
          <w:rFonts w:hint="eastAsia"/>
        </w:rPr>
        <w:t>预测期内，</w:t>
      </w:r>
      <w:r w:rsidRPr="008347D7">
        <w:rPr>
          <w:rFonts w:hint="eastAsia"/>
        </w:rPr>
        <w:t>非场地设备的销售单价</w:t>
      </w:r>
      <w:r>
        <w:rPr>
          <w:rFonts w:hint="eastAsia"/>
        </w:rPr>
        <w:t>有所下降后保持稳定，主要系由于</w:t>
      </w:r>
      <w:r w:rsidRPr="00AE27D9">
        <w:rPr>
          <w:rFonts w:hint="eastAsia"/>
        </w:rPr>
        <w:t>2025</w:t>
      </w:r>
      <w:r w:rsidRPr="00AE27D9">
        <w:rPr>
          <w:rFonts w:hint="eastAsia"/>
        </w:rPr>
        <w:t>年上半年部分定制化产品销售属于偶发性业务，其</w:t>
      </w:r>
      <w:r>
        <w:rPr>
          <w:rFonts w:hint="eastAsia"/>
        </w:rPr>
        <w:t>定价</w:t>
      </w:r>
      <w:r w:rsidRPr="00AE27D9">
        <w:rPr>
          <w:rFonts w:hint="eastAsia"/>
        </w:rPr>
        <w:t>不具备持续性，自</w:t>
      </w:r>
      <w:r w:rsidRPr="00AE27D9">
        <w:rPr>
          <w:rFonts w:hint="eastAsia"/>
        </w:rPr>
        <w:t>2025</w:t>
      </w:r>
      <w:r w:rsidRPr="00AE27D9">
        <w:rPr>
          <w:rFonts w:hint="eastAsia"/>
        </w:rPr>
        <w:t>年下半年起，未</w:t>
      </w:r>
      <w:r>
        <w:rPr>
          <w:rFonts w:hint="eastAsia"/>
        </w:rPr>
        <w:t>再</w:t>
      </w:r>
      <w:r w:rsidRPr="00AE27D9">
        <w:rPr>
          <w:rFonts w:hint="eastAsia"/>
        </w:rPr>
        <w:t>将该类情形纳入常规单价预测基础，</w:t>
      </w:r>
      <w:r>
        <w:rPr>
          <w:rFonts w:hint="eastAsia"/>
        </w:rPr>
        <w:t>使得</w:t>
      </w:r>
      <w:r w:rsidRPr="00AE27D9">
        <w:rPr>
          <w:rFonts w:hint="eastAsia"/>
        </w:rPr>
        <w:t>预测</w:t>
      </w:r>
      <w:r>
        <w:rPr>
          <w:rFonts w:hint="eastAsia"/>
        </w:rPr>
        <w:t>期内销售单价自</w:t>
      </w:r>
      <w:r>
        <w:rPr>
          <w:rFonts w:hint="eastAsia"/>
        </w:rPr>
        <w:t>2</w:t>
      </w:r>
      <w:r>
        <w:t>025</w:t>
      </w:r>
      <w:r>
        <w:rPr>
          <w:rFonts w:hint="eastAsia"/>
        </w:rPr>
        <w:t>年全年上升至</w:t>
      </w:r>
      <w:r w:rsidR="008C155B">
        <w:rPr>
          <w:rFonts w:hint="eastAsia"/>
        </w:rPr>
        <w:t>111.42</w:t>
      </w:r>
      <w:r>
        <w:rPr>
          <w:rFonts w:hint="eastAsia"/>
        </w:rPr>
        <w:t>元</w:t>
      </w:r>
      <w:r>
        <w:rPr>
          <w:rFonts w:hint="eastAsia"/>
        </w:rPr>
        <w:t>/</w:t>
      </w:r>
      <w:r>
        <w:rPr>
          <w:rFonts w:hint="eastAsia"/>
        </w:rPr>
        <w:t>台</w:t>
      </w:r>
      <w:r w:rsidRPr="00AE27D9">
        <w:rPr>
          <w:rFonts w:hint="eastAsia"/>
        </w:rPr>
        <w:t>单价</w:t>
      </w:r>
      <w:r>
        <w:rPr>
          <w:rFonts w:hint="eastAsia"/>
        </w:rPr>
        <w:t>后开始下降，随着出行类场景的持续出货，单价水平亦会进一步有所变动</w:t>
      </w:r>
      <w:r w:rsidRPr="00AE27D9">
        <w:rPr>
          <w:rFonts w:hint="eastAsia"/>
        </w:rPr>
        <w:t>。此外，</w:t>
      </w:r>
      <w:r>
        <w:rPr>
          <w:rFonts w:hint="eastAsia"/>
        </w:rPr>
        <w:t>标的</w:t>
      </w:r>
      <w:r w:rsidRPr="00AE27D9">
        <w:rPr>
          <w:rFonts w:hint="eastAsia"/>
        </w:rPr>
        <w:t>公司下游应用场景已形成较为成熟的市场格局，产品价格透明度较高</w:t>
      </w:r>
      <w:r>
        <w:rPr>
          <w:rFonts w:hint="eastAsia"/>
        </w:rPr>
        <w:t>，标的</w:t>
      </w:r>
      <w:r w:rsidRPr="00AE27D9">
        <w:rPr>
          <w:rFonts w:hint="eastAsia"/>
        </w:rPr>
        <w:t>公司凭借成本控制优势及</w:t>
      </w:r>
      <w:r w:rsidRPr="00AE27D9">
        <w:rPr>
          <w:rFonts w:hint="eastAsia"/>
        </w:rPr>
        <w:t>SaaS</w:t>
      </w:r>
      <w:r w:rsidRPr="00AE27D9">
        <w:rPr>
          <w:rFonts w:hint="eastAsia"/>
        </w:rPr>
        <w:t>平台的协同赋能，经过长期市场耕耘，已在相关领域建立了一定的市场份额，</w:t>
      </w:r>
      <w:r>
        <w:rPr>
          <w:rFonts w:hint="eastAsia"/>
        </w:rPr>
        <w:t>因此至永续期整体的市场份额稳定后销售单价维持稳定具备合理性</w:t>
      </w:r>
      <w:r w:rsidRPr="00AE27D9">
        <w:rPr>
          <w:rFonts w:hint="eastAsia"/>
        </w:rPr>
        <w:t>。</w:t>
      </w:r>
    </w:p>
    <w:p w14:paraId="175C6AF5" w14:textId="77777777" w:rsidR="00CD798F" w:rsidRDefault="00CD798F" w:rsidP="00CD798F">
      <w:pPr>
        <w:pStyle w:val="005"/>
        <w:spacing w:before="120" w:after="120"/>
        <w:ind w:firstLine="480"/>
      </w:pPr>
      <w:r>
        <w:rPr>
          <w:rFonts w:hint="eastAsia"/>
        </w:rPr>
        <w:t>2</w:t>
      </w:r>
      <w:r>
        <w:rPr>
          <w:rFonts w:hint="eastAsia"/>
        </w:rPr>
        <w:t>）销售数量分析</w:t>
      </w:r>
    </w:p>
    <w:p w14:paraId="4F7FF3F9" w14:textId="77777777" w:rsidR="00CD798F" w:rsidRDefault="00CD798F" w:rsidP="00CD798F">
      <w:pPr>
        <w:pStyle w:val="005"/>
        <w:spacing w:before="120" w:after="120"/>
        <w:ind w:firstLine="480"/>
      </w:pPr>
      <w:r w:rsidRPr="008A4A68">
        <w:rPr>
          <w:rFonts w:hint="eastAsia"/>
        </w:rPr>
        <w:t>报告期内</w:t>
      </w:r>
      <w:r>
        <w:rPr>
          <w:rFonts w:hint="eastAsia"/>
        </w:rPr>
        <w:t>，</w:t>
      </w:r>
      <w:r w:rsidRPr="00AE27D9">
        <w:rPr>
          <w:rFonts w:hint="eastAsia"/>
        </w:rPr>
        <w:t>非场地设备</w:t>
      </w:r>
      <w:r>
        <w:rPr>
          <w:rFonts w:hint="eastAsia"/>
        </w:rPr>
        <w:t>的销售数量有所下降，</w:t>
      </w:r>
      <w:r w:rsidRPr="00AE27D9">
        <w:rPr>
          <w:rFonts w:hint="eastAsia"/>
        </w:rPr>
        <w:t>由</w:t>
      </w:r>
      <w:r w:rsidRPr="00AE27D9">
        <w:rPr>
          <w:rFonts w:hint="eastAsia"/>
        </w:rPr>
        <w:t>2023</w:t>
      </w:r>
      <w:r w:rsidRPr="00AE27D9">
        <w:rPr>
          <w:rFonts w:hint="eastAsia"/>
        </w:rPr>
        <w:t>年的</w:t>
      </w:r>
      <w:r>
        <w:t>83.59</w:t>
      </w:r>
      <w:r w:rsidRPr="00AE27D9">
        <w:rPr>
          <w:rFonts w:hint="eastAsia"/>
        </w:rPr>
        <w:t>万台下降至</w:t>
      </w:r>
      <w:r w:rsidRPr="00AE27D9">
        <w:rPr>
          <w:rFonts w:hint="eastAsia"/>
        </w:rPr>
        <w:t>2024</w:t>
      </w:r>
      <w:r w:rsidRPr="00AE27D9">
        <w:rPr>
          <w:rFonts w:hint="eastAsia"/>
        </w:rPr>
        <w:t>年的</w:t>
      </w:r>
      <w:r w:rsidRPr="00AE27D9">
        <w:rPr>
          <w:rFonts w:hint="eastAsia"/>
        </w:rPr>
        <w:t>68.</w:t>
      </w:r>
      <w:r>
        <w:t>71</w:t>
      </w:r>
      <w:r w:rsidRPr="00AE27D9">
        <w:rPr>
          <w:rFonts w:hint="eastAsia"/>
        </w:rPr>
        <w:t>万台</w:t>
      </w:r>
      <w:r>
        <w:rPr>
          <w:rFonts w:hint="eastAsia"/>
        </w:rPr>
        <w:t>，主要系受报告期期初全球公共卫生事件影响，</w:t>
      </w:r>
      <w:r>
        <w:rPr>
          <w:rFonts w:hint="eastAsia"/>
        </w:rPr>
        <w:t>2023</w:t>
      </w:r>
      <w:r>
        <w:rPr>
          <w:rFonts w:hint="eastAsia"/>
        </w:rPr>
        <w:t>年度智慧生活类</w:t>
      </w:r>
      <w:r w:rsidRPr="008A4A68">
        <w:rPr>
          <w:rFonts w:hint="eastAsia"/>
        </w:rPr>
        <w:t>IoT</w:t>
      </w:r>
      <w:r w:rsidRPr="008A4A68">
        <w:rPr>
          <w:rFonts w:hint="eastAsia"/>
        </w:rPr>
        <w:t>智能硬件需求</w:t>
      </w:r>
      <w:r>
        <w:rPr>
          <w:rFonts w:hint="eastAsia"/>
        </w:rPr>
        <w:t>出现</w:t>
      </w:r>
      <w:r w:rsidRPr="008A4A68">
        <w:rPr>
          <w:rFonts w:hint="eastAsia"/>
        </w:rPr>
        <w:t>阶段性集中释放</w:t>
      </w:r>
      <w:r>
        <w:rPr>
          <w:rFonts w:hint="eastAsia"/>
        </w:rPr>
        <w:t>，使得</w:t>
      </w:r>
      <w:r>
        <w:rPr>
          <w:rFonts w:hint="eastAsia"/>
        </w:rPr>
        <w:t>2023</w:t>
      </w:r>
      <w:r>
        <w:rPr>
          <w:rFonts w:hint="eastAsia"/>
        </w:rPr>
        <w:t>年度</w:t>
      </w:r>
      <w:r w:rsidRPr="008A4A68">
        <w:rPr>
          <w:rFonts w:hint="eastAsia"/>
        </w:rPr>
        <w:t>非场地设备</w:t>
      </w:r>
      <w:r>
        <w:rPr>
          <w:rFonts w:hint="eastAsia"/>
        </w:rPr>
        <w:t>数量在较高水平，</w:t>
      </w:r>
      <w:r>
        <w:rPr>
          <w:rFonts w:hint="eastAsia"/>
        </w:rPr>
        <w:t>2024</w:t>
      </w:r>
      <w:r>
        <w:rPr>
          <w:rFonts w:hint="eastAsia"/>
        </w:rPr>
        <w:t>年度销售数量有所回调。</w:t>
      </w:r>
    </w:p>
    <w:p w14:paraId="7ABF6F6B" w14:textId="77777777" w:rsidR="00CD798F" w:rsidRDefault="00CD798F" w:rsidP="00CD798F">
      <w:pPr>
        <w:pStyle w:val="005"/>
        <w:spacing w:before="120" w:after="120"/>
        <w:ind w:firstLine="480"/>
      </w:pPr>
      <w:r>
        <w:rPr>
          <w:rFonts w:hint="eastAsia"/>
        </w:rPr>
        <w:t>预测期内，</w:t>
      </w:r>
      <w:r w:rsidRPr="008A4A68">
        <w:rPr>
          <w:rFonts w:hint="eastAsia"/>
        </w:rPr>
        <w:t>非场地设备的销售数量</w:t>
      </w:r>
      <w:r>
        <w:rPr>
          <w:rFonts w:hint="eastAsia"/>
        </w:rPr>
        <w:t>恢复增长，一方面标的公司</w:t>
      </w:r>
      <w:r w:rsidRPr="008A4A68">
        <w:rPr>
          <w:rFonts w:hint="eastAsia"/>
        </w:rPr>
        <w:t>已在智慧生活、智慧零售及智慧出行等领域建立了较为稳固的市场地位，并形成了较强的客户黏性</w:t>
      </w:r>
      <w:r>
        <w:rPr>
          <w:rFonts w:hint="eastAsia"/>
        </w:rPr>
        <w:t>，另一方面</w:t>
      </w:r>
      <w:r w:rsidRPr="008A4A68">
        <w:rPr>
          <w:rFonts w:hint="eastAsia"/>
        </w:rPr>
        <w:t>在</w:t>
      </w:r>
      <w:r w:rsidRPr="008A4A68">
        <w:rPr>
          <w:rFonts w:hint="eastAsia"/>
        </w:rPr>
        <w:t>AI</w:t>
      </w:r>
      <w:r w:rsidRPr="008A4A68">
        <w:rPr>
          <w:rFonts w:hint="eastAsia"/>
        </w:rPr>
        <w:t>、</w:t>
      </w:r>
      <w:r w:rsidRPr="008A4A68">
        <w:rPr>
          <w:rFonts w:hint="eastAsia"/>
        </w:rPr>
        <w:t>5G</w:t>
      </w:r>
      <w:r w:rsidRPr="008A4A68">
        <w:rPr>
          <w:rFonts w:hint="eastAsia"/>
        </w:rPr>
        <w:t>等技术的推动下，物联网设备仍具备持续的迭代与升级空间。公司凭借在硬件领域扎实的技术积累、行业领先的软件能力以及强大的中后台系统支持，能够持续进行产品升级，巩固市场份额并支撑出货规模的稳步提升</w:t>
      </w:r>
      <w:r>
        <w:rPr>
          <w:rFonts w:hint="eastAsia"/>
        </w:rPr>
        <w:t>，因此预测期内</w:t>
      </w:r>
      <w:r w:rsidRPr="009445CE">
        <w:rPr>
          <w:rFonts w:hint="eastAsia"/>
        </w:rPr>
        <w:t>标的公司非场地设备</w:t>
      </w:r>
      <w:r>
        <w:rPr>
          <w:rFonts w:hint="eastAsia"/>
        </w:rPr>
        <w:t>销售数量规模年增长率在</w:t>
      </w:r>
      <w:r>
        <w:rPr>
          <w:rFonts w:hint="eastAsia"/>
        </w:rPr>
        <w:t>5%</w:t>
      </w:r>
      <w:r>
        <w:rPr>
          <w:rFonts w:hint="eastAsia"/>
        </w:rPr>
        <w:t>至</w:t>
      </w:r>
      <w:r>
        <w:rPr>
          <w:rFonts w:hint="eastAsia"/>
        </w:rPr>
        <w:t>7%</w:t>
      </w:r>
      <w:r>
        <w:rPr>
          <w:rFonts w:hint="eastAsia"/>
        </w:rPr>
        <w:t>区间，具备合理性。</w:t>
      </w:r>
    </w:p>
    <w:p w14:paraId="1D226584" w14:textId="77777777" w:rsidR="00CD798F" w:rsidRPr="008A4A68" w:rsidRDefault="00CD798F" w:rsidP="00CD798F">
      <w:pPr>
        <w:pStyle w:val="005"/>
        <w:spacing w:before="120" w:after="120"/>
        <w:ind w:firstLine="480"/>
      </w:pPr>
      <w:r>
        <w:rPr>
          <w:rFonts w:hint="eastAsia"/>
        </w:rPr>
        <w:lastRenderedPageBreak/>
        <w:t>综上，标的公司非场地设备的销售数量、销售单价及销售收入的预测具备合理性。</w:t>
      </w:r>
    </w:p>
    <w:p w14:paraId="4B9D465B" w14:textId="77777777" w:rsidR="00CD798F" w:rsidRDefault="00CD798F" w:rsidP="00CD798F">
      <w:pPr>
        <w:pStyle w:val="004"/>
        <w:spacing w:before="120" w:after="120"/>
        <w:ind w:firstLine="482"/>
        <w:outlineLvl w:val="4"/>
      </w:pPr>
      <w:r>
        <w:rPr>
          <w:rFonts w:hint="eastAsia"/>
        </w:rPr>
        <w:t>（</w:t>
      </w:r>
      <w:r>
        <w:t>2</w:t>
      </w:r>
      <w:r>
        <w:rPr>
          <w:rFonts w:hint="eastAsia"/>
        </w:rPr>
        <w:t>）</w:t>
      </w:r>
      <w:r w:rsidRPr="00B81A61">
        <w:rPr>
          <w:rFonts w:hint="eastAsia"/>
        </w:rPr>
        <w:t>场地整体解决方案</w:t>
      </w:r>
    </w:p>
    <w:p w14:paraId="6BA0DCE2" w14:textId="77777777" w:rsidR="00CD798F" w:rsidRDefault="00CD798F" w:rsidP="00CD798F">
      <w:pPr>
        <w:pStyle w:val="005"/>
        <w:spacing w:before="120" w:after="120"/>
        <w:ind w:firstLine="480"/>
      </w:pPr>
      <w:r>
        <w:rPr>
          <w:rFonts w:hint="eastAsia"/>
        </w:rPr>
        <w:t>1</w:t>
      </w:r>
      <w:r>
        <w:rPr>
          <w:rFonts w:hint="eastAsia"/>
        </w:rPr>
        <w:t>）销售单价分析</w:t>
      </w:r>
    </w:p>
    <w:p w14:paraId="1546C36A" w14:textId="77777777" w:rsidR="00CD798F" w:rsidRDefault="00CD798F" w:rsidP="00CD798F">
      <w:pPr>
        <w:pStyle w:val="005"/>
        <w:spacing w:before="120" w:after="120"/>
        <w:ind w:firstLine="480"/>
      </w:pPr>
      <w:r>
        <w:rPr>
          <w:rFonts w:hint="eastAsia"/>
        </w:rPr>
        <w:t>报告期内，标的公司</w:t>
      </w:r>
      <w:r w:rsidRPr="00B81A61">
        <w:rPr>
          <w:rFonts w:hint="eastAsia"/>
        </w:rPr>
        <w:t>场地整体解决方案</w:t>
      </w:r>
      <w:r>
        <w:rPr>
          <w:rFonts w:hint="eastAsia"/>
        </w:rPr>
        <w:t>的销售单价有所增长，主要系标的公司于</w:t>
      </w:r>
      <w:r>
        <w:rPr>
          <w:rFonts w:hint="eastAsia"/>
        </w:rPr>
        <w:t>2024</w:t>
      </w:r>
      <w:r>
        <w:rPr>
          <w:rFonts w:hint="eastAsia"/>
        </w:rPr>
        <w:t>年度进一步优化和丰富</w:t>
      </w:r>
      <w:r w:rsidRPr="00010A1A">
        <w:rPr>
          <w:rFonts w:hint="eastAsia"/>
        </w:rPr>
        <w:t>场地整体解决方案</w:t>
      </w:r>
      <w:r>
        <w:rPr>
          <w:rFonts w:hint="eastAsia"/>
        </w:rPr>
        <w:t>内容，在减少客户配置成本的同时进一步提高了销售单价。</w:t>
      </w:r>
    </w:p>
    <w:p w14:paraId="56C36FFB" w14:textId="77777777" w:rsidR="00CD798F" w:rsidRDefault="00CD798F" w:rsidP="00CD798F">
      <w:pPr>
        <w:pStyle w:val="005"/>
        <w:spacing w:before="120" w:after="120"/>
        <w:ind w:firstLine="480"/>
      </w:pPr>
      <w:r>
        <w:rPr>
          <w:rFonts w:hint="eastAsia"/>
        </w:rPr>
        <w:t>预测期内，鉴于</w:t>
      </w:r>
      <w:r w:rsidRPr="00010A1A">
        <w:rPr>
          <w:rFonts w:hint="eastAsia"/>
        </w:rPr>
        <w:t>标的公司作为行业主要参与者之一，凭借其市场地位</w:t>
      </w:r>
      <w:r>
        <w:rPr>
          <w:rFonts w:hint="eastAsia"/>
        </w:rPr>
        <w:t>和</w:t>
      </w:r>
      <w:r w:rsidRPr="00010A1A">
        <w:rPr>
          <w:rFonts w:hint="eastAsia"/>
        </w:rPr>
        <w:t>较强的</w:t>
      </w:r>
      <w:r>
        <w:rPr>
          <w:rFonts w:hint="eastAsia"/>
        </w:rPr>
        <w:t>产品</w:t>
      </w:r>
      <w:r w:rsidRPr="00010A1A">
        <w:rPr>
          <w:rFonts w:hint="eastAsia"/>
        </w:rPr>
        <w:t>价格竞争力</w:t>
      </w:r>
      <w:r>
        <w:rPr>
          <w:rFonts w:hint="eastAsia"/>
        </w:rPr>
        <w:t>，</w:t>
      </w:r>
      <w:r w:rsidRPr="00010A1A">
        <w:rPr>
          <w:rFonts w:hint="eastAsia"/>
        </w:rPr>
        <w:t>场地整体解决方案</w:t>
      </w:r>
      <w:r>
        <w:rPr>
          <w:rFonts w:hint="eastAsia"/>
        </w:rPr>
        <w:t>销售单价未来保持稳定具备合理性。</w:t>
      </w:r>
    </w:p>
    <w:p w14:paraId="22ABCC0C" w14:textId="77777777" w:rsidR="00CD798F" w:rsidRDefault="00CD798F" w:rsidP="00CD798F">
      <w:pPr>
        <w:pStyle w:val="005"/>
        <w:spacing w:before="120" w:after="120"/>
        <w:ind w:firstLine="480"/>
      </w:pPr>
      <w:r>
        <w:rPr>
          <w:rFonts w:hint="eastAsia"/>
        </w:rPr>
        <w:t>2</w:t>
      </w:r>
      <w:r>
        <w:rPr>
          <w:rFonts w:hint="eastAsia"/>
        </w:rPr>
        <w:t>）销售数量分析</w:t>
      </w:r>
    </w:p>
    <w:p w14:paraId="33BFB65C" w14:textId="77777777" w:rsidR="00CD798F" w:rsidRDefault="00CD798F" w:rsidP="00CD798F">
      <w:pPr>
        <w:pStyle w:val="005"/>
        <w:spacing w:before="120" w:after="120"/>
        <w:ind w:firstLine="480"/>
      </w:pPr>
      <w:r>
        <w:rPr>
          <w:rFonts w:hint="eastAsia"/>
        </w:rPr>
        <w:t>报告期及预测期，标的公司</w:t>
      </w:r>
      <w:r w:rsidRPr="00010A1A">
        <w:rPr>
          <w:rFonts w:hint="eastAsia"/>
        </w:rPr>
        <w:t>场地整体解决方案</w:t>
      </w:r>
      <w:r>
        <w:rPr>
          <w:rFonts w:hint="eastAsia"/>
        </w:rPr>
        <w:t>销售数量有所下降，主要系由于该业务下游应用为商业综合体、社区及商圈等终端场景，尽管近年来商业综合体及社区建设持续发展，但随着国内城市化进程逐步趋于稳定，新增终端场景数量及增长速度预计将有所放缓，未来市场需求结构将更多转向存量场景的改造与升级，市场竞争亦可能进一步加剧。基于上述行业趋势，本次预测中假设公司新增场地拓展速度将逐步放缓，销售规模相应呈下降趋势。与此同时，公司将持续为现有合作场地提供设备迭代与更新服务，从而保持该部分存量业务的稳定销售规模。综上，预测期内</w:t>
      </w:r>
      <w:r w:rsidRPr="00012E42">
        <w:rPr>
          <w:rFonts w:hint="eastAsia"/>
        </w:rPr>
        <w:t>标的公司场地整体解决方案销售数量有所下降</w:t>
      </w:r>
      <w:r>
        <w:rPr>
          <w:rFonts w:hint="eastAsia"/>
        </w:rPr>
        <w:t>具备合理性。</w:t>
      </w:r>
    </w:p>
    <w:p w14:paraId="5CC3C4A2" w14:textId="77777777" w:rsidR="00CD798F" w:rsidRPr="00E958DD" w:rsidRDefault="00CD798F" w:rsidP="00CD798F">
      <w:pPr>
        <w:pStyle w:val="004"/>
        <w:spacing w:before="120" w:after="120"/>
        <w:ind w:firstLine="482"/>
      </w:pPr>
      <w:r w:rsidRPr="00E958DD">
        <w:rPr>
          <w:rFonts w:hint="eastAsia"/>
        </w:rPr>
        <w:t>2</w:t>
      </w:r>
      <w:r w:rsidRPr="00E958DD">
        <w:rPr>
          <w:rFonts w:hint="eastAsia"/>
        </w:rPr>
        <w:t>、</w:t>
      </w:r>
      <w:r w:rsidRPr="00461310">
        <w:rPr>
          <w:rFonts w:hint="eastAsia"/>
        </w:rPr>
        <w:t>预测期各年度毛利率预测情况、测算过程、测算依据及合理性分析</w:t>
      </w:r>
    </w:p>
    <w:p w14:paraId="5D5B5331" w14:textId="77777777" w:rsidR="00CD798F" w:rsidRDefault="00CD798F" w:rsidP="00CD798F">
      <w:pPr>
        <w:pStyle w:val="004"/>
        <w:spacing w:before="120" w:after="120"/>
        <w:ind w:firstLine="482"/>
        <w:outlineLvl w:val="4"/>
      </w:pPr>
      <w:r>
        <w:rPr>
          <w:rFonts w:hint="eastAsia"/>
        </w:rPr>
        <w:t>（</w:t>
      </w:r>
      <w:r>
        <w:rPr>
          <w:rFonts w:hint="eastAsia"/>
        </w:rPr>
        <w:t>1</w:t>
      </w:r>
      <w:r>
        <w:rPr>
          <w:rFonts w:hint="eastAsia"/>
        </w:rPr>
        <w:t>）报告期及预测期内</w:t>
      </w:r>
      <w:r w:rsidRPr="00461310">
        <w:rPr>
          <w:rFonts w:hint="eastAsia"/>
        </w:rPr>
        <w:t>各年度的毛利率</w:t>
      </w:r>
      <w:r>
        <w:rPr>
          <w:rFonts w:hint="eastAsia"/>
        </w:rPr>
        <w:t>预测</w:t>
      </w:r>
      <w:r w:rsidRPr="00461310">
        <w:rPr>
          <w:rFonts w:hint="eastAsia"/>
        </w:rPr>
        <w:t>情况</w:t>
      </w:r>
    </w:p>
    <w:p w14:paraId="13935E90" w14:textId="77777777" w:rsidR="00CD798F" w:rsidRDefault="00CD798F" w:rsidP="00CD798F">
      <w:pPr>
        <w:pStyle w:val="005"/>
        <w:spacing w:before="120" w:after="120"/>
        <w:ind w:firstLine="480"/>
      </w:pPr>
      <w:r w:rsidRPr="00012E42">
        <w:rPr>
          <w:rFonts w:hint="eastAsia"/>
        </w:rPr>
        <w:t>报告期及预测期内各年度</w:t>
      </w:r>
      <w:r>
        <w:rPr>
          <w:rFonts w:hint="eastAsia"/>
        </w:rPr>
        <w:t>标的公司</w:t>
      </w:r>
      <w:r w:rsidRPr="00012E42">
        <w:rPr>
          <w:rFonts w:hint="eastAsia"/>
        </w:rPr>
        <w:t>IoT</w:t>
      </w:r>
      <w:r w:rsidRPr="00012E42">
        <w:rPr>
          <w:rFonts w:hint="eastAsia"/>
        </w:rPr>
        <w:t>智能硬件类业务毛利率预测情况</w:t>
      </w:r>
      <w:r>
        <w:rPr>
          <w:rFonts w:hint="eastAsia"/>
        </w:rPr>
        <w:t>如下：</w:t>
      </w:r>
    </w:p>
    <w:tbl>
      <w:tblPr>
        <w:tblW w:w="8875" w:type="dxa"/>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1277"/>
        <w:gridCol w:w="861"/>
        <w:gridCol w:w="861"/>
        <w:gridCol w:w="862"/>
        <w:gridCol w:w="862"/>
        <w:gridCol w:w="862"/>
        <w:gridCol w:w="862"/>
        <w:gridCol w:w="862"/>
        <w:gridCol w:w="862"/>
      </w:tblGrid>
      <w:tr w:rsidR="00CD798F" w:rsidRPr="00D95B42" w14:paraId="366C1EBD" w14:textId="77777777" w:rsidTr="00214723">
        <w:trPr>
          <w:cantSplit/>
          <w:trHeight w:val="384"/>
          <w:tblHeader/>
          <w:jc w:val="center"/>
        </w:trPr>
        <w:tc>
          <w:tcPr>
            <w:tcW w:w="1981" w:type="dxa"/>
            <w:gridSpan w:val="2"/>
            <w:vMerge w:val="restart"/>
            <w:noWrap/>
            <w:vAlign w:val="center"/>
          </w:tcPr>
          <w:p w14:paraId="179F7309"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项目</w:t>
            </w:r>
            <w:r w:rsidRPr="00D95B42">
              <w:rPr>
                <w:rFonts w:ascii="Times New Roman" w:hAnsi="Times New Roman"/>
                <w:b/>
                <w:color w:val="000000"/>
                <w:sz w:val="18"/>
                <w:szCs w:val="18"/>
              </w:rPr>
              <w:t>\</w:t>
            </w:r>
            <w:r w:rsidRPr="00D95B42">
              <w:rPr>
                <w:rFonts w:ascii="Times New Roman" w:hAnsi="Times New Roman"/>
                <w:b/>
                <w:color w:val="000000"/>
                <w:sz w:val="18"/>
                <w:szCs w:val="18"/>
              </w:rPr>
              <w:t>年份</w:t>
            </w:r>
          </w:p>
        </w:tc>
        <w:tc>
          <w:tcPr>
            <w:tcW w:w="2584" w:type="dxa"/>
            <w:gridSpan w:val="3"/>
            <w:noWrap/>
            <w:vAlign w:val="center"/>
          </w:tcPr>
          <w:p w14:paraId="5B0CE700"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报告期</w:t>
            </w:r>
          </w:p>
        </w:tc>
        <w:tc>
          <w:tcPr>
            <w:tcW w:w="4310" w:type="dxa"/>
            <w:gridSpan w:val="5"/>
            <w:noWrap/>
            <w:vAlign w:val="center"/>
          </w:tcPr>
          <w:p w14:paraId="1906D6D3"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预测期</w:t>
            </w:r>
          </w:p>
        </w:tc>
      </w:tr>
      <w:tr w:rsidR="00CD798F" w:rsidRPr="00D95B42" w14:paraId="48FA07A5" w14:textId="77777777" w:rsidTr="00214723">
        <w:trPr>
          <w:cantSplit/>
          <w:trHeight w:val="384"/>
          <w:tblHeader/>
          <w:jc w:val="center"/>
        </w:trPr>
        <w:tc>
          <w:tcPr>
            <w:tcW w:w="1981" w:type="dxa"/>
            <w:gridSpan w:val="2"/>
            <w:vMerge/>
            <w:noWrap/>
            <w:vAlign w:val="center"/>
            <w:hideMark/>
          </w:tcPr>
          <w:p w14:paraId="6CE41A70" w14:textId="77777777" w:rsidR="00CD798F" w:rsidRPr="00D95B42" w:rsidRDefault="00CD798F" w:rsidP="00214723">
            <w:pPr>
              <w:keepNext/>
              <w:jc w:val="center"/>
              <w:rPr>
                <w:rFonts w:ascii="Times New Roman" w:hAnsi="Times New Roman"/>
                <w:b/>
                <w:color w:val="000000"/>
                <w:sz w:val="18"/>
                <w:szCs w:val="18"/>
              </w:rPr>
            </w:pPr>
          </w:p>
        </w:tc>
        <w:tc>
          <w:tcPr>
            <w:tcW w:w="861" w:type="dxa"/>
            <w:noWrap/>
            <w:vAlign w:val="center"/>
            <w:hideMark/>
          </w:tcPr>
          <w:p w14:paraId="05D73C78"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2023</w:t>
            </w:r>
            <w:r w:rsidRPr="00D95B42">
              <w:rPr>
                <w:rFonts w:ascii="Times New Roman" w:hAnsi="Times New Roman"/>
                <w:b/>
                <w:color w:val="000000"/>
                <w:sz w:val="18"/>
                <w:szCs w:val="18"/>
              </w:rPr>
              <w:t>年度</w:t>
            </w:r>
          </w:p>
        </w:tc>
        <w:tc>
          <w:tcPr>
            <w:tcW w:w="861" w:type="dxa"/>
            <w:noWrap/>
            <w:vAlign w:val="center"/>
            <w:hideMark/>
          </w:tcPr>
          <w:p w14:paraId="2D376BC9"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2024</w:t>
            </w:r>
            <w:r w:rsidRPr="00D95B42">
              <w:rPr>
                <w:rFonts w:ascii="Times New Roman" w:hAnsi="Times New Roman"/>
                <w:b/>
                <w:color w:val="000000"/>
                <w:sz w:val="18"/>
                <w:szCs w:val="18"/>
              </w:rPr>
              <w:t>年度</w:t>
            </w:r>
          </w:p>
        </w:tc>
        <w:tc>
          <w:tcPr>
            <w:tcW w:w="862" w:type="dxa"/>
            <w:vAlign w:val="center"/>
          </w:tcPr>
          <w:p w14:paraId="422ECD98"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2025</w:t>
            </w:r>
            <w:r w:rsidRPr="00D95B42">
              <w:rPr>
                <w:rFonts w:ascii="Times New Roman" w:hAnsi="Times New Roman"/>
                <w:b/>
                <w:color w:val="000000"/>
                <w:sz w:val="18"/>
                <w:szCs w:val="18"/>
              </w:rPr>
              <w:t>年</w:t>
            </w:r>
            <w:r w:rsidRPr="00D95B42">
              <w:rPr>
                <w:rFonts w:ascii="Times New Roman" w:hAnsi="Times New Roman"/>
                <w:b/>
                <w:color w:val="000000"/>
                <w:sz w:val="18"/>
                <w:szCs w:val="18"/>
              </w:rPr>
              <w:t>1-6</w:t>
            </w:r>
            <w:r w:rsidRPr="00D95B42">
              <w:rPr>
                <w:rFonts w:ascii="Times New Roman" w:hAnsi="Times New Roman"/>
                <w:b/>
                <w:color w:val="000000"/>
                <w:sz w:val="18"/>
                <w:szCs w:val="18"/>
              </w:rPr>
              <w:t>月</w:t>
            </w:r>
          </w:p>
        </w:tc>
        <w:tc>
          <w:tcPr>
            <w:tcW w:w="862" w:type="dxa"/>
            <w:noWrap/>
            <w:vAlign w:val="center"/>
            <w:hideMark/>
          </w:tcPr>
          <w:p w14:paraId="18921650"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2025</w:t>
            </w:r>
            <w:r w:rsidRPr="00D95B42">
              <w:rPr>
                <w:rFonts w:ascii="Times New Roman" w:hAnsi="Times New Roman"/>
                <w:b/>
                <w:color w:val="000000"/>
                <w:sz w:val="18"/>
                <w:szCs w:val="18"/>
              </w:rPr>
              <w:t>年度</w:t>
            </w:r>
          </w:p>
        </w:tc>
        <w:tc>
          <w:tcPr>
            <w:tcW w:w="862" w:type="dxa"/>
            <w:noWrap/>
            <w:vAlign w:val="center"/>
            <w:hideMark/>
          </w:tcPr>
          <w:p w14:paraId="376EC997"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2026</w:t>
            </w:r>
            <w:r w:rsidRPr="00D95B42">
              <w:rPr>
                <w:rFonts w:ascii="Times New Roman" w:hAnsi="Times New Roman"/>
                <w:b/>
                <w:color w:val="000000"/>
                <w:sz w:val="18"/>
                <w:szCs w:val="18"/>
              </w:rPr>
              <w:t>年度</w:t>
            </w:r>
          </w:p>
        </w:tc>
        <w:tc>
          <w:tcPr>
            <w:tcW w:w="862" w:type="dxa"/>
            <w:noWrap/>
            <w:vAlign w:val="center"/>
            <w:hideMark/>
          </w:tcPr>
          <w:p w14:paraId="3038671F"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2027</w:t>
            </w:r>
            <w:r w:rsidRPr="00D95B42">
              <w:rPr>
                <w:rFonts w:ascii="Times New Roman" w:hAnsi="Times New Roman"/>
                <w:b/>
                <w:color w:val="000000"/>
                <w:sz w:val="18"/>
                <w:szCs w:val="18"/>
              </w:rPr>
              <w:t>年度</w:t>
            </w:r>
          </w:p>
        </w:tc>
        <w:tc>
          <w:tcPr>
            <w:tcW w:w="862" w:type="dxa"/>
            <w:noWrap/>
            <w:vAlign w:val="center"/>
            <w:hideMark/>
          </w:tcPr>
          <w:p w14:paraId="7ED8CBC0"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2028</w:t>
            </w:r>
            <w:r w:rsidRPr="00D95B42">
              <w:rPr>
                <w:rFonts w:ascii="Times New Roman" w:hAnsi="Times New Roman"/>
                <w:b/>
                <w:color w:val="000000"/>
                <w:sz w:val="18"/>
                <w:szCs w:val="18"/>
              </w:rPr>
              <w:t>年度</w:t>
            </w:r>
          </w:p>
        </w:tc>
        <w:tc>
          <w:tcPr>
            <w:tcW w:w="862" w:type="dxa"/>
            <w:noWrap/>
            <w:vAlign w:val="center"/>
            <w:hideMark/>
          </w:tcPr>
          <w:p w14:paraId="5E0D8D7E" w14:textId="77777777" w:rsidR="00CD798F" w:rsidRPr="00D95B42" w:rsidRDefault="00CD798F" w:rsidP="00214723">
            <w:pPr>
              <w:keepNext/>
              <w:jc w:val="center"/>
              <w:rPr>
                <w:rFonts w:ascii="Times New Roman" w:hAnsi="Times New Roman"/>
                <w:b/>
                <w:color w:val="000000"/>
                <w:sz w:val="18"/>
                <w:szCs w:val="18"/>
              </w:rPr>
            </w:pPr>
            <w:r w:rsidRPr="00D95B42">
              <w:rPr>
                <w:rFonts w:ascii="Times New Roman" w:hAnsi="Times New Roman"/>
                <w:b/>
                <w:color w:val="000000"/>
                <w:sz w:val="18"/>
                <w:szCs w:val="18"/>
              </w:rPr>
              <w:t>2029</w:t>
            </w:r>
            <w:r w:rsidRPr="00D95B42">
              <w:rPr>
                <w:rFonts w:ascii="Times New Roman" w:hAnsi="Times New Roman"/>
                <w:b/>
                <w:color w:val="000000"/>
                <w:sz w:val="18"/>
                <w:szCs w:val="18"/>
              </w:rPr>
              <w:t>年度</w:t>
            </w:r>
          </w:p>
        </w:tc>
      </w:tr>
      <w:tr w:rsidR="00CD798F" w:rsidRPr="00D95B42" w14:paraId="3B6B27AE" w14:textId="77777777" w:rsidTr="00214723">
        <w:trPr>
          <w:cantSplit/>
          <w:trHeight w:val="384"/>
          <w:jc w:val="center"/>
        </w:trPr>
        <w:tc>
          <w:tcPr>
            <w:tcW w:w="704" w:type="dxa"/>
            <w:vMerge w:val="restart"/>
            <w:vAlign w:val="center"/>
            <w:hideMark/>
          </w:tcPr>
          <w:p w14:paraId="3B041BDC"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非场地设</w:t>
            </w:r>
            <w:r w:rsidRPr="00D95B42">
              <w:rPr>
                <w:rFonts w:ascii="Times New Roman" w:hAnsi="Times New Roman"/>
                <w:color w:val="000000"/>
                <w:sz w:val="18"/>
                <w:szCs w:val="18"/>
              </w:rPr>
              <w:lastRenderedPageBreak/>
              <w:t>备及其他</w:t>
            </w:r>
          </w:p>
        </w:tc>
        <w:tc>
          <w:tcPr>
            <w:tcW w:w="1277" w:type="dxa"/>
            <w:noWrap/>
            <w:vAlign w:val="center"/>
            <w:hideMark/>
          </w:tcPr>
          <w:p w14:paraId="27AD9560"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lastRenderedPageBreak/>
              <w:t>销售单价</w:t>
            </w:r>
          </w:p>
          <w:p w14:paraId="49483E2B"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（元）</w:t>
            </w:r>
          </w:p>
        </w:tc>
        <w:tc>
          <w:tcPr>
            <w:tcW w:w="861" w:type="dxa"/>
            <w:noWrap/>
            <w:vAlign w:val="center"/>
            <w:hideMark/>
          </w:tcPr>
          <w:p w14:paraId="7385DD98" w14:textId="1E3E993E" w:rsidR="00CD798F" w:rsidRPr="00D95B42" w:rsidRDefault="008C155B" w:rsidP="00214723">
            <w:pPr>
              <w:jc w:val="center"/>
              <w:rPr>
                <w:rFonts w:ascii="Times New Roman" w:hAnsi="Times New Roman"/>
                <w:color w:val="000000"/>
                <w:sz w:val="18"/>
                <w:szCs w:val="18"/>
              </w:rPr>
            </w:pPr>
            <w:r>
              <w:rPr>
                <w:rFonts w:ascii="Times New Roman" w:hAnsi="Times New Roman" w:hint="eastAsia"/>
                <w:color w:val="000000"/>
                <w:sz w:val="18"/>
                <w:szCs w:val="18"/>
              </w:rPr>
              <w:t>93.88</w:t>
            </w:r>
          </w:p>
        </w:tc>
        <w:tc>
          <w:tcPr>
            <w:tcW w:w="861" w:type="dxa"/>
            <w:noWrap/>
            <w:vAlign w:val="center"/>
            <w:hideMark/>
          </w:tcPr>
          <w:p w14:paraId="71931896" w14:textId="6289AA60" w:rsidR="00CD798F" w:rsidRPr="00D95B42" w:rsidRDefault="008C155B" w:rsidP="00214723">
            <w:pPr>
              <w:jc w:val="center"/>
              <w:rPr>
                <w:rFonts w:ascii="Times New Roman" w:hAnsi="Times New Roman"/>
                <w:color w:val="000000"/>
                <w:sz w:val="18"/>
                <w:szCs w:val="18"/>
              </w:rPr>
            </w:pPr>
            <w:r>
              <w:rPr>
                <w:rFonts w:ascii="Times New Roman" w:hAnsi="Times New Roman" w:hint="eastAsia"/>
                <w:color w:val="000000"/>
                <w:sz w:val="18"/>
                <w:szCs w:val="18"/>
              </w:rPr>
              <w:t>101.32</w:t>
            </w:r>
          </w:p>
        </w:tc>
        <w:tc>
          <w:tcPr>
            <w:tcW w:w="862" w:type="dxa"/>
            <w:vAlign w:val="center"/>
          </w:tcPr>
          <w:p w14:paraId="332322D0" w14:textId="565A1052" w:rsidR="00CD798F" w:rsidRPr="00D95B42" w:rsidRDefault="008C155B" w:rsidP="00214723">
            <w:pPr>
              <w:jc w:val="center"/>
              <w:rPr>
                <w:rFonts w:ascii="Times New Roman" w:hAnsi="Times New Roman"/>
                <w:color w:val="000000"/>
                <w:sz w:val="18"/>
                <w:szCs w:val="18"/>
              </w:rPr>
            </w:pPr>
            <w:r>
              <w:rPr>
                <w:rFonts w:ascii="Times New Roman" w:hAnsi="Times New Roman" w:hint="eastAsia"/>
                <w:color w:val="000000"/>
                <w:sz w:val="18"/>
                <w:szCs w:val="18"/>
              </w:rPr>
              <w:t>111.42</w:t>
            </w:r>
          </w:p>
        </w:tc>
        <w:tc>
          <w:tcPr>
            <w:tcW w:w="862" w:type="dxa"/>
            <w:noWrap/>
            <w:vAlign w:val="center"/>
            <w:hideMark/>
          </w:tcPr>
          <w:p w14:paraId="65FB43D3"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111.26 </w:t>
            </w:r>
          </w:p>
        </w:tc>
        <w:tc>
          <w:tcPr>
            <w:tcW w:w="862" w:type="dxa"/>
            <w:noWrap/>
            <w:vAlign w:val="center"/>
            <w:hideMark/>
          </w:tcPr>
          <w:p w14:paraId="7365F3AE"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103.56 </w:t>
            </w:r>
          </w:p>
        </w:tc>
        <w:tc>
          <w:tcPr>
            <w:tcW w:w="862" w:type="dxa"/>
            <w:noWrap/>
            <w:vAlign w:val="center"/>
            <w:hideMark/>
          </w:tcPr>
          <w:p w14:paraId="294247FC"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101.54 </w:t>
            </w:r>
          </w:p>
        </w:tc>
        <w:tc>
          <w:tcPr>
            <w:tcW w:w="862" w:type="dxa"/>
            <w:noWrap/>
            <w:vAlign w:val="center"/>
            <w:hideMark/>
          </w:tcPr>
          <w:p w14:paraId="6ED04611"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99.81 </w:t>
            </w:r>
          </w:p>
        </w:tc>
        <w:tc>
          <w:tcPr>
            <w:tcW w:w="862" w:type="dxa"/>
            <w:noWrap/>
            <w:vAlign w:val="center"/>
            <w:hideMark/>
          </w:tcPr>
          <w:p w14:paraId="471CEADE"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98.45 </w:t>
            </w:r>
          </w:p>
        </w:tc>
      </w:tr>
      <w:tr w:rsidR="00CD798F" w:rsidRPr="00D95B42" w14:paraId="506EBBB7" w14:textId="77777777" w:rsidTr="00214723">
        <w:trPr>
          <w:cantSplit/>
          <w:trHeight w:val="384"/>
          <w:jc w:val="center"/>
        </w:trPr>
        <w:tc>
          <w:tcPr>
            <w:tcW w:w="704" w:type="dxa"/>
            <w:vMerge/>
            <w:vAlign w:val="center"/>
          </w:tcPr>
          <w:p w14:paraId="18DE20AB" w14:textId="77777777" w:rsidR="00CD798F" w:rsidRPr="00D95B42" w:rsidRDefault="00CD798F" w:rsidP="00214723">
            <w:pPr>
              <w:rPr>
                <w:rFonts w:ascii="Times New Roman" w:hAnsi="Times New Roman"/>
                <w:color w:val="000000"/>
                <w:sz w:val="18"/>
                <w:szCs w:val="18"/>
              </w:rPr>
            </w:pPr>
          </w:p>
        </w:tc>
        <w:tc>
          <w:tcPr>
            <w:tcW w:w="1277" w:type="dxa"/>
            <w:noWrap/>
            <w:vAlign w:val="center"/>
          </w:tcPr>
          <w:p w14:paraId="1C980D86"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成本单价</w:t>
            </w:r>
          </w:p>
          <w:p w14:paraId="104B9983"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（元</w:t>
            </w:r>
            <w:r w:rsidRPr="00D95B42">
              <w:rPr>
                <w:rFonts w:ascii="Times New Roman" w:hAnsi="Times New Roman"/>
                <w:color w:val="000000"/>
                <w:sz w:val="18"/>
                <w:szCs w:val="18"/>
              </w:rPr>
              <w:t>/</w:t>
            </w:r>
            <w:r w:rsidRPr="00D95B42">
              <w:rPr>
                <w:rFonts w:ascii="Times New Roman" w:hAnsi="Times New Roman"/>
                <w:color w:val="000000"/>
                <w:sz w:val="18"/>
                <w:szCs w:val="18"/>
              </w:rPr>
              <w:t>个）</w:t>
            </w:r>
          </w:p>
        </w:tc>
        <w:tc>
          <w:tcPr>
            <w:tcW w:w="861" w:type="dxa"/>
            <w:noWrap/>
            <w:vAlign w:val="center"/>
          </w:tcPr>
          <w:p w14:paraId="3F4CE32C" w14:textId="583105C2" w:rsidR="00CD798F" w:rsidRPr="00D95B42" w:rsidRDefault="008C155B" w:rsidP="00214723">
            <w:pPr>
              <w:jc w:val="center"/>
              <w:rPr>
                <w:rFonts w:ascii="Times New Roman" w:hAnsi="Times New Roman"/>
                <w:color w:val="000000"/>
                <w:sz w:val="18"/>
                <w:szCs w:val="18"/>
              </w:rPr>
            </w:pPr>
            <w:r>
              <w:rPr>
                <w:rFonts w:ascii="Times New Roman" w:hAnsi="Times New Roman" w:hint="eastAsia"/>
                <w:color w:val="000000"/>
                <w:sz w:val="18"/>
                <w:szCs w:val="18"/>
              </w:rPr>
              <w:t>69.56</w:t>
            </w:r>
          </w:p>
        </w:tc>
        <w:tc>
          <w:tcPr>
            <w:tcW w:w="861" w:type="dxa"/>
            <w:noWrap/>
            <w:vAlign w:val="center"/>
          </w:tcPr>
          <w:p w14:paraId="03B3EBC0" w14:textId="6BB6D9DC" w:rsidR="00CD798F" w:rsidRPr="00D95B42" w:rsidRDefault="008C155B" w:rsidP="00214723">
            <w:pPr>
              <w:jc w:val="center"/>
              <w:rPr>
                <w:rFonts w:ascii="Times New Roman" w:hAnsi="Times New Roman"/>
                <w:color w:val="000000"/>
                <w:sz w:val="18"/>
                <w:szCs w:val="18"/>
              </w:rPr>
            </w:pPr>
            <w:r>
              <w:rPr>
                <w:rFonts w:ascii="Times New Roman" w:hAnsi="Times New Roman" w:hint="eastAsia"/>
                <w:color w:val="000000"/>
                <w:sz w:val="18"/>
                <w:szCs w:val="18"/>
              </w:rPr>
              <w:t>70.96</w:t>
            </w:r>
          </w:p>
        </w:tc>
        <w:tc>
          <w:tcPr>
            <w:tcW w:w="862" w:type="dxa"/>
            <w:vAlign w:val="center"/>
          </w:tcPr>
          <w:p w14:paraId="2867D348" w14:textId="60D0CCD3" w:rsidR="00CD798F" w:rsidRPr="00D95B42" w:rsidRDefault="008C155B" w:rsidP="00214723">
            <w:pPr>
              <w:jc w:val="center"/>
              <w:rPr>
                <w:rFonts w:ascii="Times New Roman" w:hAnsi="Times New Roman"/>
                <w:color w:val="000000"/>
                <w:sz w:val="18"/>
                <w:szCs w:val="18"/>
              </w:rPr>
            </w:pPr>
            <w:r>
              <w:rPr>
                <w:rFonts w:ascii="Times New Roman" w:hAnsi="Times New Roman" w:hint="eastAsia"/>
                <w:color w:val="000000"/>
                <w:sz w:val="18"/>
                <w:szCs w:val="18"/>
              </w:rPr>
              <w:t>81.12</w:t>
            </w:r>
            <w:r w:rsidR="00CD798F" w:rsidRPr="00D95B42">
              <w:rPr>
                <w:rFonts w:ascii="Times New Roman" w:hAnsi="Times New Roman"/>
                <w:color w:val="000000"/>
                <w:sz w:val="18"/>
                <w:szCs w:val="18"/>
              </w:rPr>
              <w:t xml:space="preserve"> </w:t>
            </w:r>
          </w:p>
        </w:tc>
        <w:tc>
          <w:tcPr>
            <w:tcW w:w="862" w:type="dxa"/>
            <w:noWrap/>
            <w:vAlign w:val="center"/>
          </w:tcPr>
          <w:p w14:paraId="32214347"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85.02 </w:t>
            </w:r>
          </w:p>
        </w:tc>
        <w:tc>
          <w:tcPr>
            <w:tcW w:w="862" w:type="dxa"/>
            <w:noWrap/>
            <w:vAlign w:val="center"/>
          </w:tcPr>
          <w:p w14:paraId="411ED7A1"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82.88 </w:t>
            </w:r>
          </w:p>
        </w:tc>
        <w:tc>
          <w:tcPr>
            <w:tcW w:w="862" w:type="dxa"/>
            <w:noWrap/>
            <w:vAlign w:val="center"/>
          </w:tcPr>
          <w:p w14:paraId="57431759"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81.71 </w:t>
            </w:r>
          </w:p>
        </w:tc>
        <w:tc>
          <w:tcPr>
            <w:tcW w:w="862" w:type="dxa"/>
            <w:noWrap/>
            <w:vAlign w:val="center"/>
          </w:tcPr>
          <w:p w14:paraId="43E3A5B2"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80.70 </w:t>
            </w:r>
          </w:p>
        </w:tc>
        <w:tc>
          <w:tcPr>
            <w:tcW w:w="862" w:type="dxa"/>
            <w:noWrap/>
            <w:vAlign w:val="center"/>
          </w:tcPr>
          <w:p w14:paraId="0F587AE1"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79.96 </w:t>
            </w:r>
          </w:p>
        </w:tc>
      </w:tr>
      <w:tr w:rsidR="00CD798F" w:rsidRPr="00D95B42" w14:paraId="24A836B3" w14:textId="77777777" w:rsidTr="00214723">
        <w:trPr>
          <w:cantSplit/>
          <w:trHeight w:val="384"/>
          <w:jc w:val="center"/>
        </w:trPr>
        <w:tc>
          <w:tcPr>
            <w:tcW w:w="704" w:type="dxa"/>
            <w:vMerge/>
            <w:vAlign w:val="center"/>
            <w:hideMark/>
          </w:tcPr>
          <w:p w14:paraId="43243B3D" w14:textId="77777777" w:rsidR="00CD798F" w:rsidRPr="00D95B42" w:rsidRDefault="00CD798F" w:rsidP="00214723">
            <w:pPr>
              <w:rPr>
                <w:rFonts w:ascii="Times New Roman" w:hAnsi="Times New Roman"/>
                <w:color w:val="000000"/>
                <w:sz w:val="18"/>
                <w:szCs w:val="18"/>
              </w:rPr>
            </w:pPr>
          </w:p>
        </w:tc>
        <w:tc>
          <w:tcPr>
            <w:tcW w:w="1277" w:type="dxa"/>
            <w:noWrap/>
            <w:vAlign w:val="center"/>
            <w:hideMark/>
          </w:tcPr>
          <w:p w14:paraId="6001723E" w14:textId="77777777" w:rsidR="00CD798F" w:rsidRPr="00D95B42" w:rsidRDefault="00CD798F" w:rsidP="00214723">
            <w:pPr>
              <w:rPr>
                <w:rFonts w:ascii="Times New Roman" w:hAnsi="Times New Roman"/>
                <w:bCs/>
                <w:color w:val="000000"/>
                <w:sz w:val="18"/>
                <w:szCs w:val="18"/>
              </w:rPr>
            </w:pPr>
            <w:r w:rsidRPr="00D95B42">
              <w:rPr>
                <w:rFonts w:ascii="Times New Roman" w:hAnsi="Times New Roman"/>
                <w:bCs/>
                <w:color w:val="000000"/>
                <w:sz w:val="18"/>
                <w:szCs w:val="18"/>
              </w:rPr>
              <w:t>毛利率</w:t>
            </w:r>
          </w:p>
        </w:tc>
        <w:tc>
          <w:tcPr>
            <w:tcW w:w="861" w:type="dxa"/>
            <w:noWrap/>
            <w:vAlign w:val="center"/>
            <w:hideMark/>
          </w:tcPr>
          <w:p w14:paraId="3288A19F"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25.91%</w:t>
            </w:r>
          </w:p>
        </w:tc>
        <w:tc>
          <w:tcPr>
            <w:tcW w:w="861" w:type="dxa"/>
            <w:noWrap/>
            <w:vAlign w:val="center"/>
            <w:hideMark/>
          </w:tcPr>
          <w:p w14:paraId="3EAD1638"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29.96%</w:t>
            </w:r>
          </w:p>
        </w:tc>
        <w:tc>
          <w:tcPr>
            <w:tcW w:w="862" w:type="dxa"/>
            <w:vAlign w:val="center"/>
          </w:tcPr>
          <w:p w14:paraId="113A4ACC"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27.20%</w:t>
            </w:r>
          </w:p>
        </w:tc>
        <w:tc>
          <w:tcPr>
            <w:tcW w:w="862" w:type="dxa"/>
            <w:noWrap/>
            <w:vAlign w:val="center"/>
            <w:hideMark/>
          </w:tcPr>
          <w:p w14:paraId="04542F88"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23.58%</w:t>
            </w:r>
          </w:p>
        </w:tc>
        <w:tc>
          <w:tcPr>
            <w:tcW w:w="862" w:type="dxa"/>
            <w:noWrap/>
            <w:vAlign w:val="center"/>
            <w:hideMark/>
          </w:tcPr>
          <w:p w14:paraId="2CB02975"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19.97%</w:t>
            </w:r>
          </w:p>
        </w:tc>
        <w:tc>
          <w:tcPr>
            <w:tcW w:w="862" w:type="dxa"/>
            <w:noWrap/>
            <w:vAlign w:val="center"/>
            <w:hideMark/>
          </w:tcPr>
          <w:p w14:paraId="7D33380E"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19.53%</w:t>
            </w:r>
          </w:p>
        </w:tc>
        <w:tc>
          <w:tcPr>
            <w:tcW w:w="862" w:type="dxa"/>
            <w:noWrap/>
            <w:vAlign w:val="center"/>
            <w:hideMark/>
          </w:tcPr>
          <w:p w14:paraId="30FA6706"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19.15%</w:t>
            </w:r>
          </w:p>
        </w:tc>
        <w:tc>
          <w:tcPr>
            <w:tcW w:w="862" w:type="dxa"/>
            <w:noWrap/>
            <w:vAlign w:val="center"/>
            <w:hideMark/>
          </w:tcPr>
          <w:p w14:paraId="114F276D"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18.78%</w:t>
            </w:r>
          </w:p>
        </w:tc>
      </w:tr>
      <w:tr w:rsidR="00CD798F" w:rsidRPr="00D95B42" w14:paraId="55CD15D3" w14:textId="77777777" w:rsidTr="00214723">
        <w:trPr>
          <w:cantSplit/>
          <w:trHeight w:val="384"/>
          <w:jc w:val="center"/>
        </w:trPr>
        <w:tc>
          <w:tcPr>
            <w:tcW w:w="704" w:type="dxa"/>
            <w:vMerge w:val="restart"/>
            <w:noWrap/>
            <w:vAlign w:val="center"/>
            <w:hideMark/>
          </w:tcPr>
          <w:p w14:paraId="64472A0C"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场地整体</w:t>
            </w:r>
          </w:p>
          <w:p w14:paraId="1924F0F8"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解决方案</w:t>
            </w:r>
          </w:p>
        </w:tc>
        <w:tc>
          <w:tcPr>
            <w:tcW w:w="1277" w:type="dxa"/>
            <w:noWrap/>
            <w:vAlign w:val="center"/>
            <w:hideMark/>
          </w:tcPr>
          <w:p w14:paraId="393D0F12"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销售单价</w:t>
            </w:r>
          </w:p>
          <w:p w14:paraId="7677E91F"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（万元）</w:t>
            </w:r>
          </w:p>
        </w:tc>
        <w:tc>
          <w:tcPr>
            <w:tcW w:w="861" w:type="dxa"/>
            <w:noWrap/>
            <w:vAlign w:val="center"/>
            <w:hideMark/>
          </w:tcPr>
          <w:p w14:paraId="71374451"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3.22 </w:t>
            </w:r>
          </w:p>
        </w:tc>
        <w:tc>
          <w:tcPr>
            <w:tcW w:w="861" w:type="dxa"/>
            <w:noWrap/>
            <w:vAlign w:val="center"/>
            <w:hideMark/>
          </w:tcPr>
          <w:p w14:paraId="7044D394"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5.10 </w:t>
            </w:r>
          </w:p>
        </w:tc>
        <w:tc>
          <w:tcPr>
            <w:tcW w:w="862" w:type="dxa"/>
            <w:vAlign w:val="center"/>
          </w:tcPr>
          <w:p w14:paraId="1B75D439"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5.23 </w:t>
            </w:r>
          </w:p>
        </w:tc>
        <w:tc>
          <w:tcPr>
            <w:tcW w:w="862" w:type="dxa"/>
            <w:noWrap/>
            <w:vAlign w:val="center"/>
            <w:hideMark/>
          </w:tcPr>
          <w:p w14:paraId="125B4123"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5.38 </w:t>
            </w:r>
          </w:p>
        </w:tc>
        <w:tc>
          <w:tcPr>
            <w:tcW w:w="862" w:type="dxa"/>
            <w:noWrap/>
            <w:vAlign w:val="center"/>
            <w:hideMark/>
          </w:tcPr>
          <w:p w14:paraId="51DE988E"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5.38 </w:t>
            </w:r>
          </w:p>
        </w:tc>
        <w:tc>
          <w:tcPr>
            <w:tcW w:w="862" w:type="dxa"/>
            <w:noWrap/>
            <w:vAlign w:val="center"/>
            <w:hideMark/>
          </w:tcPr>
          <w:p w14:paraId="638F6C4E"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5.38 </w:t>
            </w:r>
          </w:p>
        </w:tc>
        <w:tc>
          <w:tcPr>
            <w:tcW w:w="862" w:type="dxa"/>
            <w:noWrap/>
            <w:vAlign w:val="center"/>
            <w:hideMark/>
          </w:tcPr>
          <w:p w14:paraId="103ADBAF"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5.38 </w:t>
            </w:r>
          </w:p>
        </w:tc>
        <w:tc>
          <w:tcPr>
            <w:tcW w:w="862" w:type="dxa"/>
            <w:noWrap/>
            <w:vAlign w:val="center"/>
            <w:hideMark/>
          </w:tcPr>
          <w:p w14:paraId="3D0A78E7"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5.38 </w:t>
            </w:r>
          </w:p>
        </w:tc>
      </w:tr>
      <w:tr w:rsidR="00CD798F" w:rsidRPr="00D95B42" w14:paraId="3C4F4DC8" w14:textId="77777777" w:rsidTr="00214723">
        <w:trPr>
          <w:cantSplit/>
          <w:trHeight w:val="384"/>
          <w:jc w:val="center"/>
        </w:trPr>
        <w:tc>
          <w:tcPr>
            <w:tcW w:w="704" w:type="dxa"/>
            <w:vMerge/>
            <w:vAlign w:val="center"/>
          </w:tcPr>
          <w:p w14:paraId="37CB2CAD" w14:textId="77777777" w:rsidR="00CD798F" w:rsidRPr="00D95B42" w:rsidRDefault="00CD798F" w:rsidP="00214723">
            <w:pPr>
              <w:rPr>
                <w:rFonts w:ascii="Times New Roman" w:hAnsi="Times New Roman"/>
                <w:color w:val="000000"/>
                <w:sz w:val="18"/>
                <w:szCs w:val="18"/>
              </w:rPr>
            </w:pPr>
          </w:p>
        </w:tc>
        <w:tc>
          <w:tcPr>
            <w:tcW w:w="1277" w:type="dxa"/>
            <w:noWrap/>
            <w:vAlign w:val="center"/>
          </w:tcPr>
          <w:p w14:paraId="087DA757"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成本单价</w:t>
            </w:r>
          </w:p>
          <w:p w14:paraId="57897AD0"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（万元</w:t>
            </w:r>
            <w:r w:rsidRPr="00D95B42">
              <w:rPr>
                <w:rFonts w:ascii="Times New Roman" w:hAnsi="Times New Roman"/>
                <w:color w:val="000000"/>
                <w:sz w:val="18"/>
                <w:szCs w:val="18"/>
              </w:rPr>
              <w:t>/</w:t>
            </w:r>
            <w:r w:rsidRPr="00D95B42">
              <w:rPr>
                <w:rFonts w:ascii="Times New Roman" w:hAnsi="Times New Roman"/>
                <w:color w:val="000000"/>
                <w:sz w:val="18"/>
                <w:szCs w:val="18"/>
              </w:rPr>
              <w:t>个）</w:t>
            </w:r>
          </w:p>
        </w:tc>
        <w:tc>
          <w:tcPr>
            <w:tcW w:w="861" w:type="dxa"/>
            <w:noWrap/>
            <w:vAlign w:val="center"/>
          </w:tcPr>
          <w:p w14:paraId="50395EF8"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2.04 </w:t>
            </w:r>
          </w:p>
        </w:tc>
        <w:tc>
          <w:tcPr>
            <w:tcW w:w="861" w:type="dxa"/>
            <w:noWrap/>
            <w:vAlign w:val="center"/>
          </w:tcPr>
          <w:p w14:paraId="43FD2F07"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2.90 </w:t>
            </w:r>
          </w:p>
        </w:tc>
        <w:tc>
          <w:tcPr>
            <w:tcW w:w="862" w:type="dxa"/>
            <w:vAlign w:val="center"/>
          </w:tcPr>
          <w:p w14:paraId="6301FEB3"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2.90 </w:t>
            </w:r>
          </w:p>
        </w:tc>
        <w:tc>
          <w:tcPr>
            <w:tcW w:w="862" w:type="dxa"/>
            <w:noWrap/>
            <w:vAlign w:val="center"/>
          </w:tcPr>
          <w:p w14:paraId="5E950D17"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3.01 </w:t>
            </w:r>
          </w:p>
        </w:tc>
        <w:tc>
          <w:tcPr>
            <w:tcW w:w="862" w:type="dxa"/>
            <w:noWrap/>
            <w:vAlign w:val="center"/>
          </w:tcPr>
          <w:p w14:paraId="1724130F"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3.01 </w:t>
            </w:r>
          </w:p>
        </w:tc>
        <w:tc>
          <w:tcPr>
            <w:tcW w:w="862" w:type="dxa"/>
            <w:noWrap/>
            <w:vAlign w:val="center"/>
          </w:tcPr>
          <w:p w14:paraId="5DFBE8E9"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3.01 </w:t>
            </w:r>
          </w:p>
        </w:tc>
        <w:tc>
          <w:tcPr>
            <w:tcW w:w="862" w:type="dxa"/>
            <w:noWrap/>
            <w:vAlign w:val="center"/>
          </w:tcPr>
          <w:p w14:paraId="242310E8"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3.01 </w:t>
            </w:r>
          </w:p>
        </w:tc>
        <w:tc>
          <w:tcPr>
            <w:tcW w:w="862" w:type="dxa"/>
            <w:noWrap/>
            <w:vAlign w:val="center"/>
          </w:tcPr>
          <w:p w14:paraId="704C5B16"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 xml:space="preserve">3.01 </w:t>
            </w:r>
          </w:p>
        </w:tc>
      </w:tr>
      <w:tr w:rsidR="00CD798F" w:rsidRPr="00D95B42" w14:paraId="0ADBFBCA" w14:textId="77777777" w:rsidTr="00214723">
        <w:trPr>
          <w:cantSplit/>
          <w:trHeight w:val="384"/>
          <w:jc w:val="center"/>
        </w:trPr>
        <w:tc>
          <w:tcPr>
            <w:tcW w:w="704" w:type="dxa"/>
            <w:vMerge/>
            <w:vAlign w:val="center"/>
          </w:tcPr>
          <w:p w14:paraId="4967D5FC" w14:textId="77777777" w:rsidR="00CD798F" w:rsidRPr="00D95B42" w:rsidRDefault="00CD798F" w:rsidP="00214723">
            <w:pPr>
              <w:rPr>
                <w:rFonts w:ascii="Times New Roman" w:hAnsi="Times New Roman"/>
                <w:color w:val="000000"/>
                <w:sz w:val="18"/>
                <w:szCs w:val="18"/>
              </w:rPr>
            </w:pPr>
          </w:p>
        </w:tc>
        <w:tc>
          <w:tcPr>
            <w:tcW w:w="1277" w:type="dxa"/>
            <w:noWrap/>
            <w:vAlign w:val="center"/>
          </w:tcPr>
          <w:p w14:paraId="2F8906B4"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color w:val="000000"/>
                <w:sz w:val="18"/>
                <w:szCs w:val="18"/>
              </w:rPr>
              <w:t>毛利率</w:t>
            </w:r>
          </w:p>
        </w:tc>
        <w:tc>
          <w:tcPr>
            <w:tcW w:w="861" w:type="dxa"/>
            <w:noWrap/>
            <w:vAlign w:val="center"/>
          </w:tcPr>
          <w:p w14:paraId="36D2FF48"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36.74%</w:t>
            </w:r>
          </w:p>
        </w:tc>
        <w:tc>
          <w:tcPr>
            <w:tcW w:w="861" w:type="dxa"/>
            <w:noWrap/>
            <w:vAlign w:val="center"/>
          </w:tcPr>
          <w:p w14:paraId="57984977"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43.23%</w:t>
            </w:r>
          </w:p>
        </w:tc>
        <w:tc>
          <w:tcPr>
            <w:tcW w:w="862" w:type="dxa"/>
            <w:vAlign w:val="center"/>
          </w:tcPr>
          <w:p w14:paraId="0847520B"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44.59%</w:t>
            </w:r>
          </w:p>
        </w:tc>
        <w:tc>
          <w:tcPr>
            <w:tcW w:w="862" w:type="dxa"/>
            <w:noWrap/>
            <w:vAlign w:val="center"/>
          </w:tcPr>
          <w:p w14:paraId="3323347B"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44.01%</w:t>
            </w:r>
          </w:p>
        </w:tc>
        <w:tc>
          <w:tcPr>
            <w:tcW w:w="862" w:type="dxa"/>
            <w:noWrap/>
            <w:vAlign w:val="center"/>
          </w:tcPr>
          <w:p w14:paraId="68A12D45"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44.01%</w:t>
            </w:r>
          </w:p>
        </w:tc>
        <w:tc>
          <w:tcPr>
            <w:tcW w:w="862" w:type="dxa"/>
            <w:noWrap/>
            <w:vAlign w:val="center"/>
          </w:tcPr>
          <w:p w14:paraId="0A52A110"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44.01%</w:t>
            </w:r>
          </w:p>
        </w:tc>
        <w:tc>
          <w:tcPr>
            <w:tcW w:w="862" w:type="dxa"/>
            <w:noWrap/>
            <w:vAlign w:val="center"/>
          </w:tcPr>
          <w:p w14:paraId="1EF992FE"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44.01%</w:t>
            </w:r>
          </w:p>
        </w:tc>
        <w:tc>
          <w:tcPr>
            <w:tcW w:w="862" w:type="dxa"/>
            <w:noWrap/>
            <w:vAlign w:val="center"/>
          </w:tcPr>
          <w:p w14:paraId="6788EC3E"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44.01%</w:t>
            </w:r>
          </w:p>
        </w:tc>
      </w:tr>
      <w:tr w:rsidR="00CD798F" w:rsidRPr="00D95B42" w14:paraId="7518B337" w14:textId="77777777" w:rsidTr="00214723">
        <w:trPr>
          <w:cantSplit/>
          <w:trHeight w:val="384"/>
          <w:jc w:val="center"/>
        </w:trPr>
        <w:tc>
          <w:tcPr>
            <w:tcW w:w="1981" w:type="dxa"/>
            <w:gridSpan w:val="2"/>
            <w:noWrap/>
            <w:vAlign w:val="center"/>
            <w:hideMark/>
          </w:tcPr>
          <w:p w14:paraId="34573220" w14:textId="77777777" w:rsidR="00CD798F" w:rsidRPr="00D95B42" w:rsidRDefault="00CD798F" w:rsidP="00214723">
            <w:pPr>
              <w:rPr>
                <w:rFonts w:ascii="Times New Roman" w:hAnsi="Times New Roman"/>
                <w:color w:val="000000"/>
                <w:sz w:val="18"/>
                <w:szCs w:val="18"/>
              </w:rPr>
            </w:pPr>
            <w:r w:rsidRPr="00D95B42">
              <w:rPr>
                <w:rFonts w:ascii="Times New Roman" w:hAnsi="Times New Roman"/>
                <w:bCs/>
                <w:color w:val="000000"/>
                <w:sz w:val="18"/>
                <w:szCs w:val="18"/>
              </w:rPr>
              <w:t>综合毛利率</w:t>
            </w:r>
          </w:p>
        </w:tc>
        <w:tc>
          <w:tcPr>
            <w:tcW w:w="861" w:type="dxa"/>
            <w:noWrap/>
            <w:vAlign w:val="center"/>
            <w:hideMark/>
          </w:tcPr>
          <w:p w14:paraId="102AC2E1"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30.90%</w:t>
            </w:r>
          </w:p>
        </w:tc>
        <w:tc>
          <w:tcPr>
            <w:tcW w:w="861" w:type="dxa"/>
            <w:noWrap/>
            <w:vAlign w:val="center"/>
            <w:hideMark/>
          </w:tcPr>
          <w:p w14:paraId="5382EFA1"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37.55%</w:t>
            </w:r>
          </w:p>
        </w:tc>
        <w:tc>
          <w:tcPr>
            <w:tcW w:w="862" w:type="dxa"/>
            <w:vAlign w:val="center"/>
          </w:tcPr>
          <w:p w14:paraId="612FCEAD"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37.38%</w:t>
            </w:r>
          </w:p>
        </w:tc>
        <w:tc>
          <w:tcPr>
            <w:tcW w:w="862" w:type="dxa"/>
            <w:noWrap/>
            <w:vAlign w:val="center"/>
            <w:hideMark/>
          </w:tcPr>
          <w:p w14:paraId="02189EDD"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36.22%</w:t>
            </w:r>
          </w:p>
        </w:tc>
        <w:tc>
          <w:tcPr>
            <w:tcW w:w="862" w:type="dxa"/>
            <w:noWrap/>
            <w:vAlign w:val="center"/>
            <w:hideMark/>
          </w:tcPr>
          <w:p w14:paraId="059339DD"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34.72%</w:t>
            </w:r>
          </w:p>
        </w:tc>
        <w:tc>
          <w:tcPr>
            <w:tcW w:w="862" w:type="dxa"/>
            <w:noWrap/>
            <w:vAlign w:val="center"/>
            <w:hideMark/>
          </w:tcPr>
          <w:p w14:paraId="7C1F81E4"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33.86%</w:t>
            </w:r>
          </w:p>
        </w:tc>
        <w:tc>
          <w:tcPr>
            <w:tcW w:w="862" w:type="dxa"/>
            <w:noWrap/>
            <w:vAlign w:val="center"/>
            <w:hideMark/>
          </w:tcPr>
          <w:p w14:paraId="5FC6F7E9"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32.99%</w:t>
            </w:r>
          </w:p>
        </w:tc>
        <w:tc>
          <w:tcPr>
            <w:tcW w:w="862" w:type="dxa"/>
            <w:noWrap/>
            <w:vAlign w:val="center"/>
            <w:hideMark/>
          </w:tcPr>
          <w:p w14:paraId="6F218C85" w14:textId="77777777" w:rsidR="00CD798F" w:rsidRPr="00D95B42" w:rsidRDefault="00CD798F" w:rsidP="00214723">
            <w:pPr>
              <w:jc w:val="center"/>
              <w:rPr>
                <w:rFonts w:ascii="Times New Roman" w:hAnsi="Times New Roman"/>
                <w:color w:val="000000"/>
                <w:sz w:val="18"/>
                <w:szCs w:val="18"/>
              </w:rPr>
            </w:pPr>
            <w:r w:rsidRPr="00D95B42">
              <w:rPr>
                <w:rFonts w:ascii="Times New Roman" w:hAnsi="Times New Roman"/>
                <w:color w:val="000000"/>
                <w:sz w:val="18"/>
                <w:szCs w:val="18"/>
              </w:rPr>
              <w:t>32.29%</w:t>
            </w:r>
          </w:p>
        </w:tc>
      </w:tr>
    </w:tbl>
    <w:p w14:paraId="4FA02A35" w14:textId="77777777" w:rsidR="00CD798F" w:rsidRDefault="00CD798F" w:rsidP="00CD798F">
      <w:pPr>
        <w:pStyle w:val="004"/>
        <w:spacing w:before="120" w:after="120"/>
        <w:ind w:firstLine="482"/>
        <w:outlineLvl w:val="4"/>
      </w:pPr>
      <w:r>
        <w:rPr>
          <w:rFonts w:hint="eastAsia"/>
        </w:rPr>
        <w:t>（</w:t>
      </w:r>
      <w:r>
        <w:rPr>
          <w:rFonts w:hint="eastAsia"/>
        </w:rPr>
        <w:t>2</w:t>
      </w:r>
      <w:r>
        <w:rPr>
          <w:rFonts w:hint="eastAsia"/>
        </w:rPr>
        <w:t>）</w:t>
      </w:r>
      <w:r w:rsidRPr="00012E42">
        <w:rPr>
          <w:rFonts w:hint="eastAsia"/>
        </w:rPr>
        <w:t>测算过程、测算依据及合理性分析</w:t>
      </w:r>
    </w:p>
    <w:p w14:paraId="4E801C61" w14:textId="77777777" w:rsidR="00CD798F" w:rsidRDefault="00CD798F" w:rsidP="00CD798F">
      <w:pPr>
        <w:pStyle w:val="005"/>
        <w:spacing w:before="120" w:after="120"/>
        <w:ind w:firstLine="480"/>
      </w:pPr>
      <w:r>
        <w:rPr>
          <w:rFonts w:hint="eastAsia"/>
        </w:rPr>
        <w:t>1</w:t>
      </w:r>
      <w:r>
        <w:rPr>
          <w:rFonts w:hint="eastAsia"/>
        </w:rPr>
        <w:t>）非场地设备的销售毛利率</w:t>
      </w:r>
      <w:r w:rsidRPr="0018200C">
        <w:rPr>
          <w:rFonts w:hint="eastAsia"/>
        </w:rPr>
        <w:t>测算过程、测算依据及合理性分析</w:t>
      </w:r>
    </w:p>
    <w:p w14:paraId="23CD8903" w14:textId="77777777" w:rsidR="00CD798F" w:rsidRDefault="00CD798F" w:rsidP="00CD798F">
      <w:pPr>
        <w:pStyle w:val="005"/>
        <w:spacing w:before="120" w:after="120"/>
        <w:ind w:firstLine="480"/>
      </w:pPr>
      <w:r>
        <w:rPr>
          <w:rFonts w:hint="eastAsia"/>
        </w:rPr>
        <w:t>报告期内，标的公司</w:t>
      </w:r>
      <w:r w:rsidRPr="0018200C">
        <w:rPr>
          <w:rFonts w:hint="eastAsia"/>
        </w:rPr>
        <w:t>非场地设备</w:t>
      </w:r>
      <w:r>
        <w:rPr>
          <w:rFonts w:hint="eastAsia"/>
        </w:rPr>
        <w:t>及其他的成本单价有所上升，毛利率有所下降，</w:t>
      </w:r>
      <w:r w:rsidRPr="00B34C11">
        <w:rPr>
          <w:rFonts w:hint="eastAsia"/>
        </w:rPr>
        <w:t>主要系由于报告期内应用场景</w:t>
      </w:r>
      <w:r>
        <w:rPr>
          <w:rFonts w:hint="eastAsia"/>
        </w:rPr>
        <w:t>销售收入</w:t>
      </w:r>
      <w:r w:rsidRPr="00B34C11">
        <w:rPr>
          <w:rFonts w:hint="eastAsia"/>
        </w:rPr>
        <w:t>结构有所变化，销售</w:t>
      </w:r>
      <w:r>
        <w:rPr>
          <w:rFonts w:hint="eastAsia"/>
        </w:rPr>
        <w:t>毛利率</w:t>
      </w:r>
      <w:r w:rsidRPr="00B34C11">
        <w:rPr>
          <w:rFonts w:hint="eastAsia"/>
        </w:rPr>
        <w:t>较</w:t>
      </w:r>
      <w:r>
        <w:rPr>
          <w:rFonts w:hint="eastAsia"/>
        </w:rPr>
        <w:t>低</w:t>
      </w:r>
      <w:r w:rsidRPr="00B34C11">
        <w:rPr>
          <w:rFonts w:hint="eastAsia"/>
        </w:rPr>
        <w:t>的智慧出行类</w:t>
      </w:r>
      <w:r w:rsidRPr="00B34C11">
        <w:rPr>
          <w:rFonts w:hint="eastAsia"/>
        </w:rPr>
        <w:t>IoT</w:t>
      </w:r>
      <w:r w:rsidRPr="00B34C11">
        <w:rPr>
          <w:rFonts w:hint="eastAsia"/>
        </w:rPr>
        <w:t>智能硬件收入占比持续增长，使得非场地设备</w:t>
      </w:r>
      <w:r>
        <w:rPr>
          <w:rFonts w:hint="eastAsia"/>
        </w:rPr>
        <w:t>整体</w:t>
      </w:r>
      <w:r w:rsidRPr="00B34C11">
        <w:rPr>
          <w:rFonts w:hint="eastAsia"/>
        </w:rPr>
        <w:t>IoT</w:t>
      </w:r>
      <w:r w:rsidRPr="00B34C11">
        <w:rPr>
          <w:rFonts w:hint="eastAsia"/>
        </w:rPr>
        <w:t>智能硬件</w:t>
      </w:r>
      <w:r>
        <w:rPr>
          <w:rFonts w:hint="eastAsia"/>
        </w:rPr>
        <w:t>毛利率</w:t>
      </w:r>
      <w:r w:rsidRPr="00B34C11">
        <w:rPr>
          <w:rFonts w:hint="eastAsia"/>
        </w:rPr>
        <w:t>有所</w:t>
      </w:r>
      <w:r>
        <w:rPr>
          <w:rFonts w:hint="eastAsia"/>
        </w:rPr>
        <w:t>下降。</w:t>
      </w:r>
    </w:p>
    <w:p w14:paraId="1F0DEE6A" w14:textId="77777777" w:rsidR="00CD798F" w:rsidRDefault="00CD798F" w:rsidP="00CD798F">
      <w:pPr>
        <w:pStyle w:val="005"/>
        <w:spacing w:before="120" w:after="120"/>
        <w:ind w:firstLine="480"/>
      </w:pPr>
      <w:r w:rsidRPr="00B34C11">
        <w:rPr>
          <w:rFonts w:hint="eastAsia"/>
        </w:rPr>
        <w:t>预测期内，标的公司非场地设备单位成本主要参照历史期间水平，并结合硬件下游应用场景的市场需求情况综合确定</w:t>
      </w:r>
      <w:r>
        <w:rPr>
          <w:rFonts w:hint="eastAsia"/>
        </w:rPr>
        <w:t>，整体毛利率的</w:t>
      </w:r>
      <w:r w:rsidRPr="003B070B">
        <w:rPr>
          <w:rFonts w:hint="eastAsia"/>
        </w:rPr>
        <w:t>预测情况</w:t>
      </w:r>
      <w:r>
        <w:rPr>
          <w:rFonts w:hint="eastAsia"/>
        </w:rPr>
        <w:t>具备合理性。</w:t>
      </w:r>
    </w:p>
    <w:p w14:paraId="7480266E" w14:textId="77777777" w:rsidR="00CD798F" w:rsidRDefault="00CD798F" w:rsidP="00CD798F">
      <w:pPr>
        <w:pStyle w:val="005"/>
        <w:spacing w:before="120" w:after="120"/>
        <w:ind w:firstLine="480"/>
      </w:pPr>
      <w:r>
        <w:rPr>
          <w:rFonts w:hint="eastAsia"/>
        </w:rPr>
        <w:t>2</w:t>
      </w:r>
      <w:r>
        <w:rPr>
          <w:rFonts w:hint="eastAsia"/>
        </w:rPr>
        <w:t>）</w:t>
      </w:r>
      <w:r w:rsidRPr="00B34C11">
        <w:rPr>
          <w:rFonts w:hint="eastAsia"/>
        </w:rPr>
        <w:t>场地整体解决方案</w:t>
      </w:r>
      <w:r>
        <w:rPr>
          <w:rFonts w:hint="eastAsia"/>
        </w:rPr>
        <w:t>的销售毛利率</w:t>
      </w:r>
      <w:r w:rsidRPr="0018200C">
        <w:rPr>
          <w:rFonts w:hint="eastAsia"/>
        </w:rPr>
        <w:t>测算过程、测算依据及合理性分析</w:t>
      </w:r>
    </w:p>
    <w:p w14:paraId="734F4690" w14:textId="77777777" w:rsidR="00CD798F" w:rsidRDefault="00CD798F" w:rsidP="00CD798F">
      <w:pPr>
        <w:pStyle w:val="005"/>
        <w:spacing w:before="120" w:after="120"/>
        <w:ind w:firstLine="480"/>
      </w:pPr>
      <w:r>
        <w:rPr>
          <w:rFonts w:hint="eastAsia"/>
        </w:rPr>
        <w:t>报告期内，标的公司场地整体解决方案销售成本单价有所上升，但整体毛利率有所上升，主要系标的公司于</w:t>
      </w:r>
      <w:r>
        <w:rPr>
          <w:rFonts w:hint="eastAsia"/>
        </w:rPr>
        <w:t>2024</w:t>
      </w:r>
      <w:r>
        <w:rPr>
          <w:rFonts w:hint="eastAsia"/>
        </w:rPr>
        <w:t>年度进一步优化和丰富场地整体解决方案内容，使得单场地的收入及成本均有所增加，规模化销售后带动毛利率有所上升。预测期内，上述销售方案会持续推广，故对标的公司</w:t>
      </w:r>
      <w:r w:rsidRPr="00B34C11">
        <w:rPr>
          <w:rFonts w:hint="eastAsia"/>
        </w:rPr>
        <w:t>场地整体解决方案</w:t>
      </w:r>
      <w:r>
        <w:rPr>
          <w:rFonts w:hint="eastAsia"/>
        </w:rPr>
        <w:t>单位成本预计将维持稳定，进而毛利率亦按稳定水平预测。</w:t>
      </w:r>
    </w:p>
    <w:p w14:paraId="43530536" w14:textId="77777777" w:rsidR="00CD798F" w:rsidRDefault="00CD798F" w:rsidP="00CD798F">
      <w:pPr>
        <w:pStyle w:val="005"/>
        <w:spacing w:before="120" w:after="120"/>
        <w:ind w:firstLine="480"/>
      </w:pPr>
      <w:r>
        <w:rPr>
          <w:rFonts w:hint="eastAsia"/>
        </w:rPr>
        <w:t>综上，标的公司</w:t>
      </w:r>
      <w:r>
        <w:rPr>
          <w:rFonts w:hint="eastAsia"/>
        </w:rPr>
        <w:t>IoT</w:t>
      </w:r>
      <w:r>
        <w:rPr>
          <w:rFonts w:hint="eastAsia"/>
        </w:rPr>
        <w:t>智能硬件类业务</w:t>
      </w:r>
      <w:r w:rsidRPr="00B34C11">
        <w:rPr>
          <w:rFonts w:hint="eastAsia"/>
        </w:rPr>
        <w:t>预测期各年度毛利率预测情况、测算过程、测算依据</w:t>
      </w:r>
      <w:r>
        <w:rPr>
          <w:rFonts w:hint="eastAsia"/>
        </w:rPr>
        <w:t>具备</w:t>
      </w:r>
      <w:r w:rsidRPr="00B34C11">
        <w:rPr>
          <w:rFonts w:hint="eastAsia"/>
        </w:rPr>
        <w:t>合理性</w:t>
      </w:r>
      <w:r>
        <w:rPr>
          <w:rFonts w:hint="eastAsia"/>
        </w:rPr>
        <w:t>。</w:t>
      </w:r>
    </w:p>
    <w:p w14:paraId="62FBCF0B" w14:textId="77777777" w:rsidR="00CD798F" w:rsidRPr="00467A9C" w:rsidRDefault="00CD798F" w:rsidP="00CD798F">
      <w:pPr>
        <w:pStyle w:val="003"/>
        <w:spacing w:before="120" w:after="120"/>
        <w:ind w:firstLine="482"/>
      </w:pPr>
      <w:r>
        <w:rPr>
          <w:rFonts w:hint="eastAsia"/>
        </w:rPr>
        <w:lastRenderedPageBreak/>
        <w:t>（</w:t>
      </w:r>
      <w:r w:rsidRPr="00467A9C">
        <w:rPr>
          <w:rFonts w:hint="eastAsia"/>
        </w:rPr>
        <w:t>二</w:t>
      </w:r>
      <w:r>
        <w:rPr>
          <w:rFonts w:hint="eastAsia"/>
        </w:rPr>
        <w:t>）</w:t>
      </w:r>
      <w:r>
        <w:rPr>
          <w:rFonts w:hint="eastAsia"/>
        </w:rPr>
        <w:t>SaaS</w:t>
      </w:r>
      <w:r w:rsidRPr="00467A9C">
        <w:rPr>
          <w:rFonts w:hint="eastAsia"/>
        </w:rPr>
        <w:t>云平台业务</w:t>
      </w:r>
    </w:p>
    <w:p w14:paraId="7142BE72" w14:textId="77777777" w:rsidR="00CD798F" w:rsidRDefault="00CD798F" w:rsidP="00CD798F">
      <w:pPr>
        <w:pStyle w:val="004"/>
        <w:spacing w:before="120" w:after="120"/>
        <w:ind w:firstLine="482"/>
      </w:pPr>
      <w:r>
        <w:t>1</w:t>
      </w:r>
      <w:r>
        <w:t>、</w:t>
      </w:r>
      <w:r w:rsidRPr="001D301B">
        <w:rPr>
          <w:rFonts w:hint="eastAsia"/>
        </w:rPr>
        <w:t>预测期各年</w:t>
      </w:r>
      <w:r>
        <w:rPr>
          <w:rFonts w:hint="eastAsia"/>
        </w:rPr>
        <w:t>度</w:t>
      </w:r>
      <w:r w:rsidRPr="008A26CC">
        <w:rPr>
          <w:rFonts w:hint="eastAsia"/>
        </w:rPr>
        <w:t>收入</w:t>
      </w:r>
      <w:r w:rsidRPr="001D301B">
        <w:rPr>
          <w:rFonts w:hint="eastAsia"/>
        </w:rPr>
        <w:t>具体预测情况、测算过程、测算依据及其合理性</w:t>
      </w:r>
    </w:p>
    <w:p w14:paraId="2891195F" w14:textId="77777777" w:rsidR="00CD798F" w:rsidRDefault="00CD798F" w:rsidP="00CD798F">
      <w:pPr>
        <w:pStyle w:val="005"/>
        <w:spacing w:before="120" w:after="120"/>
        <w:ind w:firstLine="480"/>
      </w:pPr>
      <w:r w:rsidRPr="00946C16">
        <w:rPr>
          <w:rFonts w:hint="eastAsia"/>
        </w:rPr>
        <w:t>标的公司</w:t>
      </w:r>
      <w:r w:rsidRPr="00946C16">
        <w:rPr>
          <w:rFonts w:hint="eastAsia"/>
        </w:rPr>
        <w:t>SaaS</w:t>
      </w:r>
      <w:r w:rsidRPr="00946C16">
        <w:rPr>
          <w:rFonts w:hint="eastAsia"/>
        </w:rPr>
        <w:t>云平台业务可提供商家服务、会员服务和收单外包服务，主要包括面向智能自助设备运营商等客户提供基础</w:t>
      </w:r>
      <w:r w:rsidRPr="00946C16">
        <w:rPr>
          <w:rFonts w:hint="eastAsia"/>
        </w:rPr>
        <w:t>SaaS</w:t>
      </w:r>
      <w:r w:rsidRPr="00946C16">
        <w:rPr>
          <w:rFonts w:hint="eastAsia"/>
        </w:rPr>
        <w:t>服务、增值</w:t>
      </w:r>
      <w:r w:rsidRPr="00946C16">
        <w:rPr>
          <w:rFonts w:hint="eastAsia"/>
        </w:rPr>
        <w:t>SaaS</w:t>
      </w:r>
      <w:r w:rsidRPr="00946C16">
        <w:rPr>
          <w:rFonts w:hint="eastAsia"/>
        </w:rPr>
        <w:t>服务等多元化</w:t>
      </w:r>
      <w:r w:rsidRPr="00946C16">
        <w:rPr>
          <w:rFonts w:hint="eastAsia"/>
        </w:rPr>
        <w:t>SaaS</w:t>
      </w:r>
      <w:r w:rsidRPr="00946C16">
        <w:rPr>
          <w:rFonts w:hint="eastAsia"/>
        </w:rPr>
        <w:t>服务，面向终端消费者群体提供各类服务套餐和相关定制服务，</w:t>
      </w:r>
      <w:r w:rsidRPr="00C94A81">
        <w:rPr>
          <w:rFonts w:hint="eastAsia"/>
        </w:rPr>
        <w:t>以及与第三方持牌支付机构开展收单外包合作</w:t>
      </w:r>
      <w:r w:rsidRPr="00946C16">
        <w:rPr>
          <w:rFonts w:hint="eastAsia"/>
        </w:rPr>
        <w:t>。未来标的公司将通过不断丰富服务内容、提升产品价值、扩大服务规模等方式推动</w:t>
      </w:r>
      <w:r w:rsidRPr="00946C16">
        <w:rPr>
          <w:rFonts w:hint="eastAsia"/>
        </w:rPr>
        <w:t>SaaS</w:t>
      </w:r>
      <w:r w:rsidRPr="00946C16">
        <w:rPr>
          <w:rFonts w:hint="eastAsia"/>
        </w:rPr>
        <w:t>云平台的业务收入的持续增长。本次评估对标的公司未来</w:t>
      </w:r>
      <w:r w:rsidRPr="00946C16">
        <w:rPr>
          <w:rFonts w:hint="eastAsia"/>
        </w:rPr>
        <w:t>SaaS</w:t>
      </w:r>
      <w:r w:rsidRPr="00946C16">
        <w:rPr>
          <w:rFonts w:hint="eastAsia"/>
        </w:rPr>
        <w:t>云平台收入进行预测时，参考了历史经营数据，结合支付平台支付流水规模、会员</w:t>
      </w:r>
      <w:r>
        <w:rPr>
          <w:rFonts w:hint="eastAsia"/>
        </w:rPr>
        <w:t>用户</w:t>
      </w:r>
      <w:r w:rsidRPr="00946C16">
        <w:rPr>
          <w:rFonts w:hint="eastAsia"/>
        </w:rPr>
        <w:t>数量规模、各类服务费率等因素进行综合预测。</w:t>
      </w:r>
    </w:p>
    <w:p w14:paraId="4B95D15A" w14:textId="7BCBF776" w:rsidR="00CD798F" w:rsidRDefault="00CD798F" w:rsidP="00CD798F">
      <w:pPr>
        <w:pStyle w:val="004"/>
        <w:spacing w:before="120" w:after="120"/>
        <w:ind w:firstLine="482"/>
        <w:outlineLvl w:val="4"/>
      </w:pPr>
      <w:r>
        <w:rPr>
          <w:rFonts w:hint="eastAsia"/>
        </w:rPr>
        <w:t>（</w:t>
      </w:r>
      <w:r w:rsidR="00A37AF4">
        <w:t>1</w:t>
      </w:r>
      <w:r>
        <w:rPr>
          <w:rFonts w:hint="eastAsia"/>
        </w:rPr>
        <w:t>）商家服务业务收入</w:t>
      </w:r>
      <w:r w:rsidRPr="001D301B">
        <w:rPr>
          <w:rFonts w:hint="eastAsia"/>
        </w:rPr>
        <w:t>预测情况、测算过程、测算依据及其合理性</w:t>
      </w:r>
    </w:p>
    <w:p w14:paraId="7C0A8A9E" w14:textId="77777777" w:rsidR="00D13630" w:rsidRDefault="00D13630" w:rsidP="00D13630">
      <w:pPr>
        <w:pStyle w:val="005"/>
        <w:spacing w:before="120" w:after="120"/>
        <w:ind w:firstLine="480"/>
      </w:pPr>
      <w:r>
        <w:rPr>
          <w:rFonts w:hint="eastAsia"/>
        </w:rPr>
        <w:t>1</w:t>
      </w:r>
      <w:r>
        <w:rPr>
          <w:rFonts w:hint="eastAsia"/>
        </w:rPr>
        <w:t>）非场地设备类商家服务</w:t>
      </w:r>
    </w:p>
    <w:p w14:paraId="3E6A9BB1" w14:textId="3B74D30C" w:rsidR="00CD798F" w:rsidRDefault="00D13630" w:rsidP="00D13630">
      <w:pPr>
        <w:pStyle w:val="005"/>
        <w:spacing w:before="120" w:after="120"/>
        <w:ind w:firstLine="480"/>
      </w:pPr>
      <w:r>
        <w:rPr>
          <w:rFonts w:hint="eastAsia"/>
        </w:rPr>
        <w:t>非场地设备类商家服务业务收入预测主要依据商家流水及相应的收入转化率进行测算，其中商家流水与运营数据中的非场地设备年度支付金额一致。报告期及预测期内商家服务的收入预测情况如下：</w:t>
      </w:r>
    </w:p>
    <w:p w14:paraId="1AE3BBF5" w14:textId="77777777" w:rsidR="00CD798F" w:rsidRPr="003C7A4C" w:rsidRDefault="00CD798F" w:rsidP="00CD798F">
      <w:pPr>
        <w:keepNext/>
        <w:jc w:val="right"/>
      </w:pPr>
      <w:r w:rsidRPr="00D03E0C">
        <w:t>单位：万元</w:t>
      </w:r>
    </w:p>
    <w:tbl>
      <w:tblPr>
        <w:tblW w:w="11044" w:type="dxa"/>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96"/>
        <w:gridCol w:w="1161"/>
        <w:gridCol w:w="1026"/>
        <w:gridCol w:w="1356"/>
        <w:gridCol w:w="1161"/>
        <w:gridCol w:w="1161"/>
        <w:gridCol w:w="1161"/>
        <w:gridCol w:w="1161"/>
        <w:gridCol w:w="1161"/>
      </w:tblGrid>
      <w:tr w:rsidR="00CD798F" w:rsidRPr="00D95B42" w14:paraId="22979C17" w14:textId="77777777" w:rsidTr="00214723">
        <w:trPr>
          <w:cantSplit/>
          <w:trHeight w:val="494"/>
          <w:tblHeader/>
          <w:jc w:val="center"/>
        </w:trPr>
        <w:tc>
          <w:tcPr>
            <w:tcW w:w="1696" w:type="dxa"/>
            <w:noWrap/>
            <w:vAlign w:val="center"/>
            <w:hideMark/>
          </w:tcPr>
          <w:p w14:paraId="2DAE53A3"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项目</w:t>
            </w:r>
            <w:r w:rsidRPr="00D95B42">
              <w:rPr>
                <w:rFonts w:ascii="Times New Roman" w:hAnsi="Times New Roman"/>
                <w:b/>
                <w:color w:val="000000"/>
                <w:sz w:val="18"/>
                <w:szCs w:val="21"/>
              </w:rPr>
              <w:t>\</w:t>
            </w:r>
            <w:r w:rsidRPr="00D95B42">
              <w:rPr>
                <w:rFonts w:ascii="Times New Roman" w:hAnsi="Times New Roman"/>
                <w:b/>
                <w:color w:val="000000"/>
                <w:sz w:val="18"/>
                <w:szCs w:val="21"/>
              </w:rPr>
              <w:t>年份</w:t>
            </w:r>
          </w:p>
        </w:tc>
        <w:tc>
          <w:tcPr>
            <w:tcW w:w="1161" w:type="dxa"/>
            <w:noWrap/>
            <w:vAlign w:val="center"/>
            <w:hideMark/>
          </w:tcPr>
          <w:p w14:paraId="13CB5F72"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2023</w:t>
            </w:r>
            <w:r w:rsidRPr="00D95B42">
              <w:rPr>
                <w:rFonts w:ascii="Times New Roman" w:hAnsi="Times New Roman"/>
                <w:b/>
                <w:color w:val="000000"/>
                <w:sz w:val="18"/>
                <w:szCs w:val="21"/>
              </w:rPr>
              <w:t>年</w:t>
            </w:r>
          </w:p>
        </w:tc>
        <w:tc>
          <w:tcPr>
            <w:tcW w:w="1026" w:type="dxa"/>
            <w:noWrap/>
            <w:vAlign w:val="center"/>
            <w:hideMark/>
          </w:tcPr>
          <w:p w14:paraId="7C1959F9"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2024</w:t>
            </w:r>
            <w:r w:rsidRPr="00D95B42">
              <w:rPr>
                <w:rFonts w:ascii="Times New Roman" w:hAnsi="Times New Roman"/>
                <w:b/>
                <w:color w:val="000000"/>
                <w:sz w:val="18"/>
                <w:szCs w:val="21"/>
              </w:rPr>
              <w:t>年</w:t>
            </w:r>
          </w:p>
        </w:tc>
        <w:tc>
          <w:tcPr>
            <w:tcW w:w="1356" w:type="dxa"/>
            <w:noWrap/>
            <w:vAlign w:val="center"/>
            <w:hideMark/>
          </w:tcPr>
          <w:p w14:paraId="739DA32F"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w:t>
            </w:r>
            <w:r w:rsidRPr="00D95B42">
              <w:rPr>
                <w:rFonts w:ascii="Times New Roman" w:hAnsi="Times New Roman"/>
                <w:b/>
                <w:color w:val="000000"/>
                <w:sz w:val="18"/>
                <w:szCs w:val="21"/>
              </w:rPr>
              <w:t>1-6</w:t>
            </w:r>
            <w:r w:rsidRPr="00D95B42">
              <w:rPr>
                <w:rFonts w:ascii="Times New Roman" w:hAnsi="Times New Roman"/>
                <w:b/>
                <w:color w:val="000000"/>
                <w:sz w:val="18"/>
                <w:szCs w:val="21"/>
              </w:rPr>
              <w:t>月</w:t>
            </w:r>
          </w:p>
        </w:tc>
        <w:tc>
          <w:tcPr>
            <w:tcW w:w="1161" w:type="dxa"/>
            <w:noWrap/>
            <w:vAlign w:val="center"/>
            <w:hideMark/>
          </w:tcPr>
          <w:p w14:paraId="018A3A7D"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2025E</w:t>
            </w:r>
          </w:p>
        </w:tc>
        <w:tc>
          <w:tcPr>
            <w:tcW w:w="1161" w:type="dxa"/>
            <w:noWrap/>
            <w:vAlign w:val="center"/>
            <w:hideMark/>
          </w:tcPr>
          <w:p w14:paraId="2EF27CFE"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2026E</w:t>
            </w:r>
          </w:p>
        </w:tc>
        <w:tc>
          <w:tcPr>
            <w:tcW w:w="1161" w:type="dxa"/>
            <w:noWrap/>
            <w:vAlign w:val="center"/>
            <w:hideMark/>
          </w:tcPr>
          <w:p w14:paraId="27B1DCDD"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2027E</w:t>
            </w:r>
          </w:p>
        </w:tc>
        <w:tc>
          <w:tcPr>
            <w:tcW w:w="1161" w:type="dxa"/>
            <w:noWrap/>
            <w:vAlign w:val="center"/>
            <w:hideMark/>
          </w:tcPr>
          <w:p w14:paraId="6D72DF4A"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2028E</w:t>
            </w:r>
          </w:p>
        </w:tc>
        <w:tc>
          <w:tcPr>
            <w:tcW w:w="1161" w:type="dxa"/>
            <w:noWrap/>
            <w:vAlign w:val="center"/>
            <w:hideMark/>
          </w:tcPr>
          <w:p w14:paraId="6AED09A3"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2029E</w:t>
            </w:r>
          </w:p>
        </w:tc>
      </w:tr>
      <w:tr w:rsidR="00CD798F" w:rsidRPr="00D95B42" w14:paraId="79DAFA1B" w14:textId="77777777" w:rsidTr="00214723">
        <w:trPr>
          <w:cantSplit/>
          <w:trHeight w:val="494"/>
          <w:jc w:val="center"/>
        </w:trPr>
        <w:tc>
          <w:tcPr>
            <w:tcW w:w="1696" w:type="dxa"/>
            <w:noWrap/>
            <w:vAlign w:val="center"/>
            <w:hideMark/>
          </w:tcPr>
          <w:p w14:paraId="2D4BEB29"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支付流水金额</w:t>
            </w:r>
            <w:r w:rsidRPr="00D95B42">
              <w:rPr>
                <w:rFonts w:ascii="Times New Roman" w:hAnsi="Times New Roman"/>
                <w:color w:val="000000"/>
                <w:sz w:val="18"/>
                <w:szCs w:val="21"/>
              </w:rPr>
              <w:t>A</w:t>
            </w:r>
          </w:p>
        </w:tc>
        <w:tc>
          <w:tcPr>
            <w:tcW w:w="1161" w:type="dxa"/>
            <w:noWrap/>
            <w:vAlign w:val="center"/>
            <w:hideMark/>
          </w:tcPr>
          <w:p w14:paraId="54893E56"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1,031,116 </w:t>
            </w:r>
          </w:p>
        </w:tc>
        <w:tc>
          <w:tcPr>
            <w:tcW w:w="1026" w:type="dxa"/>
            <w:noWrap/>
            <w:vAlign w:val="center"/>
            <w:hideMark/>
          </w:tcPr>
          <w:p w14:paraId="30295D28"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981,985 </w:t>
            </w:r>
          </w:p>
        </w:tc>
        <w:tc>
          <w:tcPr>
            <w:tcW w:w="1356" w:type="dxa"/>
            <w:noWrap/>
            <w:vAlign w:val="center"/>
            <w:hideMark/>
          </w:tcPr>
          <w:p w14:paraId="3DE7A14C"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434,597 </w:t>
            </w:r>
          </w:p>
        </w:tc>
        <w:tc>
          <w:tcPr>
            <w:tcW w:w="1161" w:type="dxa"/>
            <w:noWrap/>
            <w:vAlign w:val="center"/>
            <w:hideMark/>
          </w:tcPr>
          <w:p w14:paraId="7A23AB4F"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1,015,925 </w:t>
            </w:r>
          </w:p>
        </w:tc>
        <w:tc>
          <w:tcPr>
            <w:tcW w:w="1161" w:type="dxa"/>
            <w:noWrap/>
            <w:vAlign w:val="center"/>
            <w:hideMark/>
          </w:tcPr>
          <w:p w14:paraId="456FF993"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1,050,000 </w:t>
            </w:r>
          </w:p>
        </w:tc>
        <w:tc>
          <w:tcPr>
            <w:tcW w:w="1161" w:type="dxa"/>
            <w:noWrap/>
            <w:vAlign w:val="center"/>
            <w:hideMark/>
          </w:tcPr>
          <w:p w14:paraId="73C64A40"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1,084,769 </w:t>
            </w:r>
          </w:p>
        </w:tc>
        <w:tc>
          <w:tcPr>
            <w:tcW w:w="1161" w:type="dxa"/>
            <w:noWrap/>
            <w:vAlign w:val="center"/>
            <w:hideMark/>
          </w:tcPr>
          <w:p w14:paraId="191B6EE4"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1,115,751 </w:t>
            </w:r>
          </w:p>
        </w:tc>
        <w:tc>
          <w:tcPr>
            <w:tcW w:w="1161" w:type="dxa"/>
            <w:noWrap/>
            <w:vAlign w:val="center"/>
            <w:hideMark/>
          </w:tcPr>
          <w:p w14:paraId="4C79DB32"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 xml:space="preserve">1,146,878 </w:t>
            </w:r>
          </w:p>
        </w:tc>
      </w:tr>
      <w:tr w:rsidR="00CD798F" w:rsidRPr="00D95B42" w14:paraId="6D32CE97" w14:textId="77777777" w:rsidTr="00214723">
        <w:trPr>
          <w:cantSplit/>
          <w:trHeight w:val="494"/>
          <w:jc w:val="center"/>
        </w:trPr>
        <w:tc>
          <w:tcPr>
            <w:tcW w:w="1696" w:type="dxa"/>
            <w:noWrap/>
            <w:vAlign w:val="center"/>
            <w:hideMark/>
          </w:tcPr>
          <w:p w14:paraId="60B9E20E"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收入流水转化率</w:t>
            </w:r>
            <w:r w:rsidRPr="00D95B42">
              <w:rPr>
                <w:rFonts w:ascii="Times New Roman" w:hAnsi="Times New Roman"/>
                <w:color w:val="000000"/>
                <w:sz w:val="18"/>
                <w:szCs w:val="21"/>
              </w:rPr>
              <w:t>B</w:t>
            </w:r>
          </w:p>
        </w:tc>
        <w:tc>
          <w:tcPr>
            <w:tcW w:w="1161" w:type="dxa"/>
            <w:noWrap/>
            <w:vAlign w:val="center"/>
            <w:hideMark/>
          </w:tcPr>
          <w:p w14:paraId="562223DA"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0.96%</w:t>
            </w:r>
          </w:p>
        </w:tc>
        <w:tc>
          <w:tcPr>
            <w:tcW w:w="1026" w:type="dxa"/>
            <w:noWrap/>
            <w:vAlign w:val="center"/>
            <w:hideMark/>
          </w:tcPr>
          <w:p w14:paraId="76C64A31"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0.87%</w:t>
            </w:r>
          </w:p>
        </w:tc>
        <w:tc>
          <w:tcPr>
            <w:tcW w:w="1356" w:type="dxa"/>
            <w:noWrap/>
            <w:vAlign w:val="center"/>
            <w:hideMark/>
          </w:tcPr>
          <w:p w14:paraId="30193E80"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1.00%</w:t>
            </w:r>
          </w:p>
        </w:tc>
        <w:tc>
          <w:tcPr>
            <w:tcW w:w="1161" w:type="dxa"/>
            <w:noWrap/>
            <w:vAlign w:val="center"/>
            <w:hideMark/>
          </w:tcPr>
          <w:p w14:paraId="537F825A"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0.93%</w:t>
            </w:r>
          </w:p>
        </w:tc>
        <w:tc>
          <w:tcPr>
            <w:tcW w:w="1161" w:type="dxa"/>
            <w:noWrap/>
            <w:vAlign w:val="center"/>
            <w:hideMark/>
          </w:tcPr>
          <w:p w14:paraId="5DB885F8"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0.93%</w:t>
            </w:r>
          </w:p>
        </w:tc>
        <w:tc>
          <w:tcPr>
            <w:tcW w:w="1161" w:type="dxa"/>
            <w:noWrap/>
            <w:vAlign w:val="center"/>
            <w:hideMark/>
          </w:tcPr>
          <w:p w14:paraId="0AF85BAE"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0.94%</w:t>
            </w:r>
          </w:p>
        </w:tc>
        <w:tc>
          <w:tcPr>
            <w:tcW w:w="1161" w:type="dxa"/>
            <w:noWrap/>
            <w:vAlign w:val="center"/>
            <w:hideMark/>
          </w:tcPr>
          <w:p w14:paraId="74E1DADB"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0.95%</w:t>
            </w:r>
          </w:p>
        </w:tc>
        <w:tc>
          <w:tcPr>
            <w:tcW w:w="1161" w:type="dxa"/>
            <w:noWrap/>
            <w:vAlign w:val="center"/>
            <w:hideMark/>
          </w:tcPr>
          <w:p w14:paraId="1795E9B0"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0.96%</w:t>
            </w:r>
          </w:p>
        </w:tc>
      </w:tr>
      <w:tr w:rsidR="00CD798F" w:rsidRPr="00D95B42" w14:paraId="148921AD" w14:textId="77777777" w:rsidTr="00214723">
        <w:trPr>
          <w:cantSplit/>
          <w:trHeight w:val="494"/>
          <w:jc w:val="center"/>
        </w:trPr>
        <w:tc>
          <w:tcPr>
            <w:tcW w:w="1696" w:type="dxa"/>
            <w:noWrap/>
            <w:vAlign w:val="center"/>
          </w:tcPr>
          <w:p w14:paraId="512C65E6"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商家服务销售收入</w:t>
            </w:r>
            <w:r w:rsidRPr="00D95B42">
              <w:rPr>
                <w:rFonts w:ascii="Times New Roman" w:hAnsi="Times New Roman"/>
                <w:b/>
                <w:bCs/>
                <w:color w:val="000000"/>
                <w:sz w:val="18"/>
                <w:szCs w:val="21"/>
              </w:rPr>
              <w:t>C=A*B</w:t>
            </w:r>
          </w:p>
        </w:tc>
        <w:tc>
          <w:tcPr>
            <w:tcW w:w="1161" w:type="dxa"/>
            <w:noWrap/>
            <w:vAlign w:val="center"/>
          </w:tcPr>
          <w:p w14:paraId="2F4E09E3"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9,866.13 </w:t>
            </w:r>
          </w:p>
        </w:tc>
        <w:tc>
          <w:tcPr>
            <w:tcW w:w="1026" w:type="dxa"/>
            <w:noWrap/>
            <w:vAlign w:val="center"/>
          </w:tcPr>
          <w:p w14:paraId="5FDE216E"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8,495.40 </w:t>
            </w:r>
          </w:p>
        </w:tc>
        <w:tc>
          <w:tcPr>
            <w:tcW w:w="1356" w:type="dxa"/>
            <w:noWrap/>
            <w:vAlign w:val="center"/>
          </w:tcPr>
          <w:p w14:paraId="67B55C3D"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4,334.30 </w:t>
            </w:r>
          </w:p>
        </w:tc>
        <w:tc>
          <w:tcPr>
            <w:tcW w:w="1161" w:type="dxa"/>
            <w:noWrap/>
            <w:vAlign w:val="center"/>
          </w:tcPr>
          <w:p w14:paraId="33A083DA"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9,399.37 </w:t>
            </w:r>
          </w:p>
        </w:tc>
        <w:tc>
          <w:tcPr>
            <w:tcW w:w="1161" w:type="dxa"/>
            <w:noWrap/>
            <w:vAlign w:val="center"/>
          </w:tcPr>
          <w:p w14:paraId="2FEF070E"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9,783.93 </w:t>
            </w:r>
          </w:p>
        </w:tc>
        <w:tc>
          <w:tcPr>
            <w:tcW w:w="1161" w:type="dxa"/>
            <w:noWrap/>
            <w:vAlign w:val="center"/>
          </w:tcPr>
          <w:p w14:paraId="7FEE7B26"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10,207.99 </w:t>
            </w:r>
          </w:p>
        </w:tc>
        <w:tc>
          <w:tcPr>
            <w:tcW w:w="1161" w:type="dxa"/>
            <w:noWrap/>
            <w:vAlign w:val="center"/>
          </w:tcPr>
          <w:p w14:paraId="7AF7638D"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10,579.05 </w:t>
            </w:r>
          </w:p>
        </w:tc>
        <w:tc>
          <w:tcPr>
            <w:tcW w:w="1161" w:type="dxa"/>
            <w:noWrap/>
            <w:vAlign w:val="center"/>
          </w:tcPr>
          <w:p w14:paraId="7FB31713" w14:textId="77777777" w:rsidR="00CD798F" w:rsidRPr="00D95B42" w:rsidRDefault="00CD798F" w:rsidP="00214723">
            <w:pPr>
              <w:jc w:val="center"/>
              <w:rPr>
                <w:rFonts w:ascii="Times New Roman" w:hAnsi="Times New Roman"/>
                <w:b/>
                <w:bCs/>
                <w:color w:val="000000"/>
                <w:sz w:val="18"/>
                <w:szCs w:val="21"/>
              </w:rPr>
            </w:pPr>
            <w:r w:rsidRPr="00D95B42">
              <w:rPr>
                <w:rFonts w:ascii="Times New Roman" w:hAnsi="Times New Roman"/>
                <w:b/>
                <w:bCs/>
                <w:color w:val="000000"/>
                <w:sz w:val="18"/>
                <w:szCs w:val="21"/>
              </w:rPr>
              <w:t xml:space="preserve">10,969.79 </w:t>
            </w:r>
          </w:p>
        </w:tc>
      </w:tr>
    </w:tbl>
    <w:p w14:paraId="6BDDA15E" w14:textId="27827A1E" w:rsidR="00CD798F" w:rsidRDefault="00D13630" w:rsidP="00CD798F">
      <w:pPr>
        <w:pStyle w:val="005"/>
        <w:spacing w:before="120" w:after="120"/>
        <w:ind w:firstLine="480"/>
      </w:pPr>
      <w:r w:rsidRPr="00D13630">
        <w:rPr>
          <w:rFonts w:hint="eastAsia"/>
        </w:rPr>
        <w:t>报告期内，收入流水转化率存在一定波动，主要受宏观经济及消费环境影响。预测期内，收入流水转化率预计将逐步提升，主要基于下游业务场景中流水结构发生变化，收入流水转化率较高的智慧出行场景流水贡献预计将持续增长，此外随着促消费政策逐步见效，收入流水转化率也将进一步提高。综上，标的公司非场地设备类商家服务业务收入预测具备合理性。</w:t>
      </w:r>
    </w:p>
    <w:p w14:paraId="37AB9FA9" w14:textId="77777777" w:rsidR="00D13630" w:rsidRDefault="00D13630" w:rsidP="00D13630">
      <w:pPr>
        <w:pStyle w:val="005"/>
        <w:spacing w:before="120" w:after="120"/>
        <w:ind w:firstLine="480"/>
      </w:pPr>
      <w:r>
        <w:rPr>
          <w:rFonts w:hint="eastAsia"/>
        </w:rPr>
        <w:lastRenderedPageBreak/>
        <w:t>2</w:t>
      </w:r>
      <w:r>
        <w:rPr>
          <w:rFonts w:hint="eastAsia"/>
        </w:rPr>
        <w:t>）场地整体解决方案类商家服务</w:t>
      </w:r>
    </w:p>
    <w:p w14:paraId="66C2B023" w14:textId="4E18D8C8" w:rsidR="00CD798F" w:rsidRDefault="00D13630" w:rsidP="00D13630">
      <w:pPr>
        <w:pStyle w:val="005"/>
        <w:spacing w:before="120" w:after="120"/>
        <w:ind w:firstLine="480"/>
      </w:pPr>
      <w:r>
        <w:rPr>
          <w:rFonts w:hint="eastAsia"/>
        </w:rPr>
        <w:t>场地整体解决方案类商家服务业务由于其主要为商家提供按年度收取费用的云服务和运营等订阅服务，因此其收入预测主要依据销售单价和活跃场地数量进行测算，同时考虑了少量偶发性的其他商家服务收入。商家服务业务收入预测具体情况如下：</w:t>
      </w:r>
    </w:p>
    <w:tbl>
      <w:tblPr>
        <w:tblW w:w="6088"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695"/>
        <w:gridCol w:w="1167"/>
        <w:gridCol w:w="1167"/>
        <w:gridCol w:w="1000"/>
        <w:gridCol w:w="1000"/>
        <w:gridCol w:w="1000"/>
        <w:gridCol w:w="1000"/>
        <w:gridCol w:w="1004"/>
      </w:tblGrid>
      <w:tr w:rsidR="00CD798F" w:rsidRPr="00D95B42" w14:paraId="1ACA5DB2" w14:textId="77777777" w:rsidTr="00D13630">
        <w:trPr>
          <w:cantSplit/>
          <w:trHeight w:val="461"/>
          <w:tblHeader/>
          <w:jc w:val="center"/>
        </w:trPr>
        <w:tc>
          <w:tcPr>
            <w:tcW w:w="1675" w:type="pct"/>
            <w:vMerge w:val="restart"/>
            <w:noWrap/>
            <w:vAlign w:val="center"/>
          </w:tcPr>
          <w:p w14:paraId="55EC112B"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项目</w:t>
            </w:r>
            <w:r w:rsidRPr="00D95B42">
              <w:rPr>
                <w:rFonts w:ascii="Times New Roman" w:hAnsi="Times New Roman"/>
                <w:b/>
                <w:color w:val="000000"/>
                <w:sz w:val="18"/>
                <w:szCs w:val="21"/>
              </w:rPr>
              <w:t>\</w:t>
            </w:r>
            <w:r w:rsidRPr="00D95B42">
              <w:rPr>
                <w:rFonts w:ascii="Times New Roman" w:hAnsi="Times New Roman"/>
                <w:b/>
                <w:color w:val="000000"/>
                <w:sz w:val="18"/>
                <w:szCs w:val="21"/>
              </w:rPr>
              <w:t>年份</w:t>
            </w:r>
          </w:p>
        </w:tc>
        <w:tc>
          <w:tcPr>
            <w:tcW w:w="1058" w:type="pct"/>
            <w:gridSpan w:val="2"/>
            <w:noWrap/>
            <w:vAlign w:val="center"/>
          </w:tcPr>
          <w:p w14:paraId="5C5B9262"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报告期</w:t>
            </w:r>
          </w:p>
        </w:tc>
        <w:tc>
          <w:tcPr>
            <w:tcW w:w="2267" w:type="pct"/>
            <w:gridSpan w:val="5"/>
            <w:vAlign w:val="center"/>
          </w:tcPr>
          <w:p w14:paraId="400BABCB"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预测期</w:t>
            </w:r>
          </w:p>
        </w:tc>
      </w:tr>
      <w:tr w:rsidR="00CD798F" w:rsidRPr="00D95B42" w14:paraId="3B37A696" w14:textId="77777777" w:rsidTr="00D13630">
        <w:trPr>
          <w:cantSplit/>
          <w:trHeight w:val="461"/>
          <w:tblHeader/>
          <w:jc w:val="center"/>
        </w:trPr>
        <w:tc>
          <w:tcPr>
            <w:tcW w:w="1675" w:type="pct"/>
            <w:vMerge/>
            <w:noWrap/>
            <w:vAlign w:val="center"/>
            <w:hideMark/>
          </w:tcPr>
          <w:p w14:paraId="60792C0F" w14:textId="77777777" w:rsidR="00CD798F" w:rsidRPr="00D95B42" w:rsidRDefault="00CD798F" w:rsidP="00214723">
            <w:pPr>
              <w:keepNext/>
              <w:jc w:val="center"/>
              <w:rPr>
                <w:rFonts w:ascii="Times New Roman" w:hAnsi="Times New Roman"/>
                <w:b/>
                <w:color w:val="000000"/>
                <w:sz w:val="18"/>
                <w:szCs w:val="21"/>
              </w:rPr>
            </w:pPr>
          </w:p>
        </w:tc>
        <w:tc>
          <w:tcPr>
            <w:tcW w:w="529" w:type="pct"/>
            <w:noWrap/>
            <w:vAlign w:val="center"/>
            <w:hideMark/>
          </w:tcPr>
          <w:p w14:paraId="239C36B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2023</w:t>
            </w:r>
            <w:r w:rsidRPr="00D95B42">
              <w:rPr>
                <w:rFonts w:ascii="Times New Roman" w:hAnsi="Times New Roman"/>
                <w:b/>
                <w:color w:val="000000"/>
                <w:sz w:val="18"/>
                <w:szCs w:val="21"/>
              </w:rPr>
              <w:t>年度</w:t>
            </w:r>
          </w:p>
        </w:tc>
        <w:tc>
          <w:tcPr>
            <w:tcW w:w="529" w:type="pct"/>
            <w:noWrap/>
            <w:vAlign w:val="center"/>
            <w:hideMark/>
          </w:tcPr>
          <w:p w14:paraId="3AEB8FE0"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2024</w:t>
            </w:r>
            <w:r w:rsidRPr="00D95B42">
              <w:rPr>
                <w:rFonts w:ascii="Times New Roman" w:hAnsi="Times New Roman"/>
                <w:b/>
                <w:color w:val="000000"/>
                <w:sz w:val="18"/>
                <w:szCs w:val="21"/>
              </w:rPr>
              <w:t>年度</w:t>
            </w:r>
          </w:p>
        </w:tc>
        <w:tc>
          <w:tcPr>
            <w:tcW w:w="453" w:type="pct"/>
            <w:vAlign w:val="center"/>
          </w:tcPr>
          <w:p w14:paraId="79FB613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年度</w:t>
            </w:r>
          </w:p>
        </w:tc>
        <w:tc>
          <w:tcPr>
            <w:tcW w:w="453" w:type="pct"/>
            <w:vAlign w:val="center"/>
          </w:tcPr>
          <w:p w14:paraId="3BCD307B"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2026</w:t>
            </w:r>
            <w:r w:rsidRPr="00D95B42">
              <w:rPr>
                <w:rFonts w:ascii="Times New Roman" w:hAnsi="Times New Roman"/>
                <w:b/>
                <w:color w:val="000000"/>
                <w:sz w:val="18"/>
                <w:szCs w:val="21"/>
              </w:rPr>
              <w:t>年度</w:t>
            </w:r>
          </w:p>
        </w:tc>
        <w:tc>
          <w:tcPr>
            <w:tcW w:w="453" w:type="pct"/>
            <w:vAlign w:val="center"/>
          </w:tcPr>
          <w:p w14:paraId="49C9ACD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2027</w:t>
            </w:r>
            <w:r w:rsidRPr="00D95B42">
              <w:rPr>
                <w:rFonts w:ascii="Times New Roman" w:hAnsi="Times New Roman"/>
                <w:b/>
                <w:color w:val="000000"/>
                <w:sz w:val="18"/>
                <w:szCs w:val="21"/>
              </w:rPr>
              <w:t>年度</w:t>
            </w:r>
          </w:p>
        </w:tc>
        <w:tc>
          <w:tcPr>
            <w:tcW w:w="453" w:type="pct"/>
            <w:vAlign w:val="center"/>
          </w:tcPr>
          <w:p w14:paraId="58F85286"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2028</w:t>
            </w:r>
            <w:r w:rsidRPr="00D95B42">
              <w:rPr>
                <w:rFonts w:ascii="Times New Roman" w:hAnsi="Times New Roman"/>
                <w:b/>
                <w:color w:val="000000"/>
                <w:sz w:val="18"/>
                <w:szCs w:val="21"/>
              </w:rPr>
              <w:t>年度</w:t>
            </w:r>
          </w:p>
        </w:tc>
        <w:tc>
          <w:tcPr>
            <w:tcW w:w="454" w:type="pct"/>
            <w:vAlign w:val="center"/>
          </w:tcPr>
          <w:p w14:paraId="4982D524"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2029</w:t>
            </w:r>
            <w:r w:rsidRPr="00D95B42">
              <w:rPr>
                <w:rFonts w:ascii="Times New Roman" w:hAnsi="Times New Roman"/>
                <w:b/>
                <w:color w:val="000000"/>
                <w:sz w:val="18"/>
                <w:szCs w:val="21"/>
              </w:rPr>
              <w:t>年度</w:t>
            </w:r>
          </w:p>
        </w:tc>
      </w:tr>
      <w:tr w:rsidR="00CD798F" w:rsidRPr="00D95B42" w14:paraId="38FE08BC" w14:textId="77777777" w:rsidTr="00D13630">
        <w:trPr>
          <w:cantSplit/>
          <w:trHeight w:val="461"/>
          <w:jc w:val="center"/>
        </w:trPr>
        <w:tc>
          <w:tcPr>
            <w:tcW w:w="1675" w:type="pct"/>
            <w:noWrap/>
            <w:vAlign w:val="center"/>
            <w:hideMark/>
          </w:tcPr>
          <w:p w14:paraId="60FEA088"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订阅服务销售单价（元）</w:t>
            </w:r>
            <w:r w:rsidRPr="00D95B42">
              <w:rPr>
                <w:rFonts w:ascii="Times New Roman" w:hAnsi="Times New Roman"/>
                <w:color w:val="000000"/>
                <w:sz w:val="18"/>
                <w:szCs w:val="21"/>
              </w:rPr>
              <w:t>A</w:t>
            </w:r>
          </w:p>
        </w:tc>
        <w:tc>
          <w:tcPr>
            <w:tcW w:w="529" w:type="pct"/>
            <w:noWrap/>
            <w:vAlign w:val="center"/>
            <w:hideMark/>
          </w:tcPr>
          <w:p w14:paraId="23616BA8"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3,319</w:t>
            </w:r>
          </w:p>
        </w:tc>
        <w:tc>
          <w:tcPr>
            <w:tcW w:w="529" w:type="pct"/>
            <w:noWrap/>
            <w:vAlign w:val="center"/>
            <w:hideMark/>
          </w:tcPr>
          <w:p w14:paraId="6B6BD53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2,532</w:t>
            </w:r>
          </w:p>
        </w:tc>
        <w:tc>
          <w:tcPr>
            <w:tcW w:w="453" w:type="pct"/>
            <w:vAlign w:val="center"/>
          </w:tcPr>
          <w:p w14:paraId="22E04A6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2,406</w:t>
            </w:r>
          </w:p>
        </w:tc>
        <w:tc>
          <w:tcPr>
            <w:tcW w:w="453" w:type="pct"/>
            <w:vAlign w:val="center"/>
          </w:tcPr>
          <w:p w14:paraId="1192D83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2,310</w:t>
            </w:r>
          </w:p>
        </w:tc>
        <w:tc>
          <w:tcPr>
            <w:tcW w:w="453" w:type="pct"/>
            <w:vAlign w:val="center"/>
          </w:tcPr>
          <w:p w14:paraId="497E63F1"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2,240</w:t>
            </w:r>
          </w:p>
        </w:tc>
        <w:tc>
          <w:tcPr>
            <w:tcW w:w="453" w:type="pct"/>
            <w:vAlign w:val="center"/>
          </w:tcPr>
          <w:p w14:paraId="10CCEED8"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2,240</w:t>
            </w:r>
          </w:p>
        </w:tc>
        <w:tc>
          <w:tcPr>
            <w:tcW w:w="454" w:type="pct"/>
            <w:vAlign w:val="center"/>
          </w:tcPr>
          <w:p w14:paraId="20F3833A"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2,240</w:t>
            </w:r>
          </w:p>
        </w:tc>
      </w:tr>
      <w:tr w:rsidR="00CD798F" w:rsidRPr="00D95B42" w14:paraId="08E72579" w14:textId="77777777" w:rsidTr="00D13630">
        <w:trPr>
          <w:cantSplit/>
          <w:trHeight w:val="461"/>
          <w:jc w:val="center"/>
        </w:trPr>
        <w:tc>
          <w:tcPr>
            <w:tcW w:w="1675" w:type="pct"/>
            <w:noWrap/>
            <w:vAlign w:val="center"/>
            <w:hideMark/>
          </w:tcPr>
          <w:p w14:paraId="04A1E4C6"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活跃场地数量（个）</w:t>
            </w:r>
            <w:r w:rsidRPr="00D95B42">
              <w:rPr>
                <w:rFonts w:ascii="Times New Roman" w:hAnsi="Times New Roman"/>
                <w:color w:val="000000"/>
                <w:sz w:val="18"/>
                <w:szCs w:val="21"/>
              </w:rPr>
              <w:t>B</w:t>
            </w:r>
          </w:p>
        </w:tc>
        <w:tc>
          <w:tcPr>
            <w:tcW w:w="529" w:type="pct"/>
            <w:noWrap/>
            <w:vAlign w:val="center"/>
            <w:hideMark/>
          </w:tcPr>
          <w:p w14:paraId="51D2368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3,620</w:t>
            </w:r>
          </w:p>
        </w:tc>
        <w:tc>
          <w:tcPr>
            <w:tcW w:w="529" w:type="pct"/>
            <w:noWrap/>
            <w:vAlign w:val="center"/>
            <w:hideMark/>
          </w:tcPr>
          <w:p w14:paraId="0883A90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5,399</w:t>
            </w:r>
          </w:p>
        </w:tc>
        <w:tc>
          <w:tcPr>
            <w:tcW w:w="453" w:type="pct"/>
            <w:vAlign w:val="center"/>
          </w:tcPr>
          <w:p w14:paraId="3DF810F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7,127</w:t>
            </w:r>
          </w:p>
        </w:tc>
        <w:tc>
          <w:tcPr>
            <w:tcW w:w="453" w:type="pct"/>
            <w:vAlign w:val="center"/>
          </w:tcPr>
          <w:p w14:paraId="70AEA52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8,742</w:t>
            </w:r>
          </w:p>
        </w:tc>
        <w:tc>
          <w:tcPr>
            <w:tcW w:w="453" w:type="pct"/>
            <w:vAlign w:val="center"/>
          </w:tcPr>
          <w:p w14:paraId="77027419"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10,182</w:t>
            </w:r>
          </w:p>
        </w:tc>
        <w:tc>
          <w:tcPr>
            <w:tcW w:w="453" w:type="pct"/>
            <w:vAlign w:val="center"/>
          </w:tcPr>
          <w:p w14:paraId="342CE66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11,457</w:t>
            </w:r>
          </w:p>
        </w:tc>
        <w:tc>
          <w:tcPr>
            <w:tcW w:w="454" w:type="pct"/>
            <w:vAlign w:val="center"/>
          </w:tcPr>
          <w:p w14:paraId="3990F3D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12,612</w:t>
            </w:r>
          </w:p>
        </w:tc>
      </w:tr>
      <w:tr w:rsidR="00CD798F" w:rsidRPr="00D95B42" w14:paraId="163D0870" w14:textId="77777777" w:rsidTr="00D13630">
        <w:trPr>
          <w:cantSplit/>
          <w:trHeight w:val="461"/>
          <w:jc w:val="center"/>
        </w:trPr>
        <w:tc>
          <w:tcPr>
            <w:tcW w:w="1675" w:type="pct"/>
            <w:noWrap/>
            <w:vAlign w:val="center"/>
          </w:tcPr>
          <w:p w14:paraId="2695466F"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订阅式商家服务收入（万元）</w:t>
            </w:r>
            <w:r w:rsidRPr="00D95B42">
              <w:rPr>
                <w:rFonts w:ascii="Times New Roman" w:hAnsi="Times New Roman"/>
                <w:b/>
                <w:bCs/>
                <w:color w:val="000000"/>
                <w:sz w:val="18"/>
                <w:szCs w:val="21"/>
              </w:rPr>
              <w:t>C=A*B</w:t>
            </w:r>
          </w:p>
        </w:tc>
        <w:tc>
          <w:tcPr>
            <w:tcW w:w="529" w:type="pct"/>
            <w:noWrap/>
            <w:vAlign w:val="center"/>
          </w:tcPr>
          <w:p w14:paraId="47BBE1FF"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1,201.57</w:t>
            </w:r>
          </w:p>
        </w:tc>
        <w:tc>
          <w:tcPr>
            <w:tcW w:w="529" w:type="pct"/>
            <w:noWrap/>
            <w:vAlign w:val="center"/>
          </w:tcPr>
          <w:p w14:paraId="0DD9CD08"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1,367.29</w:t>
            </w:r>
          </w:p>
        </w:tc>
        <w:tc>
          <w:tcPr>
            <w:tcW w:w="453" w:type="pct"/>
            <w:vAlign w:val="center"/>
          </w:tcPr>
          <w:p w14:paraId="779B53C4"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1,714.66</w:t>
            </w:r>
          </w:p>
        </w:tc>
        <w:tc>
          <w:tcPr>
            <w:tcW w:w="453" w:type="pct"/>
            <w:vAlign w:val="center"/>
          </w:tcPr>
          <w:p w14:paraId="1CE97852"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2,019.07</w:t>
            </w:r>
          </w:p>
        </w:tc>
        <w:tc>
          <w:tcPr>
            <w:tcW w:w="453" w:type="pct"/>
            <w:vAlign w:val="center"/>
          </w:tcPr>
          <w:p w14:paraId="43B9ADD7"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2,281.11</w:t>
            </w:r>
          </w:p>
        </w:tc>
        <w:tc>
          <w:tcPr>
            <w:tcW w:w="453" w:type="pct"/>
            <w:vAlign w:val="center"/>
          </w:tcPr>
          <w:p w14:paraId="454EF8F5"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2,566.75</w:t>
            </w:r>
          </w:p>
        </w:tc>
        <w:tc>
          <w:tcPr>
            <w:tcW w:w="454" w:type="pct"/>
            <w:vAlign w:val="center"/>
          </w:tcPr>
          <w:p w14:paraId="01B19F68"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2,825.51</w:t>
            </w:r>
          </w:p>
        </w:tc>
      </w:tr>
      <w:tr w:rsidR="00CD798F" w:rsidRPr="00D95B42" w14:paraId="128D240D" w14:textId="77777777" w:rsidTr="00D13630">
        <w:trPr>
          <w:cantSplit/>
          <w:trHeight w:val="461"/>
          <w:jc w:val="center"/>
        </w:trPr>
        <w:tc>
          <w:tcPr>
            <w:tcW w:w="1675" w:type="pct"/>
            <w:noWrap/>
            <w:vAlign w:val="center"/>
            <w:hideMark/>
          </w:tcPr>
          <w:p w14:paraId="3E79783F"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其他商家服务收入（万元）</w:t>
            </w:r>
            <w:r w:rsidRPr="00D95B42">
              <w:rPr>
                <w:rFonts w:ascii="Times New Roman" w:hAnsi="Times New Roman"/>
                <w:b/>
                <w:bCs/>
                <w:color w:val="000000"/>
                <w:sz w:val="18"/>
                <w:szCs w:val="21"/>
              </w:rPr>
              <w:t>D</w:t>
            </w:r>
          </w:p>
        </w:tc>
        <w:tc>
          <w:tcPr>
            <w:tcW w:w="529" w:type="pct"/>
            <w:noWrap/>
            <w:vAlign w:val="center"/>
            <w:hideMark/>
          </w:tcPr>
          <w:p w14:paraId="5506E546"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353.49</w:t>
            </w:r>
          </w:p>
        </w:tc>
        <w:tc>
          <w:tcPr>
            <w:tcW w:w="529" w:type="pct"/>
            <w:noWrap/>
            <w:vAlign w:val="center"/>
            <w:hideMark/>
          </w:tcPr>
          <w:p w14:paraId="049686D9"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220.60</w:t>
            </w:r>
          </w:p>
        </w:tc>
        <w:tc>
          <w:tcPr>
            <w:tcW w:w="453" w:type="pct"/>
            <w:vAlign w:val="center"/>
          </w:tcPr>
          <w:p w14:paraId="1DBFF333"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113.83</w:t>
            </w:r>
          </w:p>
        </w:tc>
        <w:tc>
          <w:tcPr>
            <w:tcW w:w="453" w:type="pct"/>
            <w:vAlign w:val="center"/>
          </w:tcPr>
          <w:p w14:paraId="67E1A020"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122.37</w:t>
            </w:r>
          </w:p>
        </w:tc>
        <w:tc>
          <w:tcPr>
            <w:tcW w:w="453" w:type="pct"/>
            <w:vAlign w:val="center"/>
          </w:tcPr>
          <w:p w14:paraId="55C8D918"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127.20</w:t>
            </w:r>
          </w:p>
        </w:tc>
        <w:tc>
          <w:tcPr>
            <w:tcW w:w="453" w:type="pct"/>
            <w:vAlign w:val="center"/>
          </w:tcPr>
          <w:p w14:paraId="153D5606"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129.86</w:t>
            </w:r>
          </w:p>
        </w:tc>
        <w:tc>
          <w:tcPr>
            <w:tcW w:w="454" w:type="pct"/>
            <w:vAlign w:val="center"/>
          </w:tcPr>
          <w:p w14:paraId="6D19D1A9"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129.86</w:t>
            </w:r>
          </w:p>
        </w:tc>
      </w:tr>
      <w:tr w:rsidR="00CD798F" w:rsidRPr="00D95B42" w14:paraId="3BAB820D" w14:textId="77777777" w:rsidTr="00D13630">
        <w:trPr>
          <w:cantSplit/>
          <w:trHeight w:val="461"/>
          <w:jc w:val="center"/>
        </w:trPr>
        <w:tc>
          <w:tcPr>
            <w:tcW w:w="1675" w:type="pct"/>
            <w:noWrap/>
            <w:vAlign w:val="center"/>
          </w:tcPr>
          <w:p w14:paraId="4BACD0AD"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广州宝点商家服务收入合计（万元）</w:t>
            </w:r>
            <w:r w:rsidRPr="00D95B42">
              <w:rPr>
                <w:rFonts w:ascii="Times New Roman" w:hAnsi="Times New Roman"/>
                <w:b/>
                <w:bCs/>
                <w:color w:val="000000"/>
                <w:sz w:val="18"/>
                <w:szCs w:val="21"/>
              </w:rPr>
              <w:t>E=C+D</w:t>
            </w:r>
          </w:p>
        </w:tc>
        <w:tc>
          <w:tcPr>
            <w:tcW w:w="529" w:type="pct"/>
            <w:noWrap/>
            <w:vAlign w:val="center"/>
          </w:tcPr>
          <w:p w14:paraId="3FCE6167"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1,555.06</w:t>
            </w:r>
          </w:p>
        </w:tc>
        <w:tc>
          <w:tcPr>
            <w:tcW w:w="529" w:type="pct"/>
            <w:noWrap/>
            <w:vAlign w:val="center"/>
          </w:tcPr>
          <w:p w14:paraId="6B7B7D1D"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1,587.89</w:t>
            </w:r>
          </w:p>
        </w:tc>
        <w:tc>
          <w:tcPr>
            <w:tcW w:w="453" w:type="pct"/>
            <w:vAlign w:val="center"/>
          </w:tcPr>
          <w:p w14:paraId="7B7BB36C"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1,828.49</w:t>
            </w:r>
          </w:p>
        </w:tc>
        <w:tc>
          <w:tcPr>
            <w:tcW w:w="453" w:type="pct"/>
            <w:vAlign w:val="center"/>
          </w:tcPr>
          <w:p w14:paraId="539F3A08"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2,141.44</w:t>
            </w:r>
          </w:p>
        </w:tc>
        <w:tc>
          <w:tcPr>
            <w:tcW w:w="453" w:type="pct"/>
            <w:vAlign w:val="center"/>
          </w:tcPr>
          <w:p w14:paraId="1E82323B"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2,408.31</w:t>
            </w:r>
          </w:p>
        </w:tc>
        <w:tc>
          <w:tcPr>
            <w:tcW w:w="453" w:type="pct"/>
            <w:vAlign w:val="center"/>
          </w:tcPr>
          <w:p w14:paraId="03CDB570"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2,696.61</w:t>
            </w:r>
          </w:p>
        </w:tc>
        <w:tc>
          <w:tcPr>
            <w:tcW w:w="454" w:type="pct"/>
            <w:vAlign w:val="center"/>
          </w:tcPr>
          <w:p w14:paraId="05B63F6A"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2,955.37</w:t>
            </w:r>
          </w:p>
        </w:tc>
      </w:tr>
    </w:tbl>
    <w:p w14:paraId="5AA4C342" w14:textId="77777777" w:rsidR="00D13630" w:rsidRDefault="00D13630" w:rsidP="00D13630">
      <w:pPr>
        <w:pStyle w:val="005"/>
        <w:spacing w:before="120" w:after="120"/>
        <w:ind w:firstLine="480"/>
      </w:pPr>
      <w:r>
        <w:rPr>
          <w:rFonts w:hint="eastAsia"/>
        </w:rPr>
        <w:t>报告期内，场地整体解决方案类商家订阅服务销售单价有所下降，主要系标的公司为进一步提高市场份额以及维持已合作商家的合作关系，对订阅服务的销售单价有所下调。预测期内基于谨慎性考虑，未来的销售单价考虑在小幅下降后保持稳定，具备合理性。其他商家服务收入报告期内有所下降，主要系为商户提供人脸识别等功能的开发服务，属于偶发需求，可持续性较低，因此预测期仅考虑少量可持续的其他商家服务收入。</w:t>
      </w:r>
    </w:p>
    <w:p w14:paraId="1714A382" w14:textId="7DE399D5" w:rsidR="00CD798F" w:rsidRDefault="00D13630" w:rsidP="00D13630">
      <w:pPr>
        <w:pStyle w:val="005"/>
        <w:spacing w:before="120" w:after="120"/>
        <w:ind w:firstLine="480"/>
      </w:pPr>
      <w:r>
        <w:rPr>
          <w:rFonts w:hint="eastAsia"/>
        </w:rPr>
        <w:t>综上，标的公司商家服务收入预测具备合理性。</w:t>
      </w:r>
    </w:p>
    <w:p w14:paraId="0DD1610F" w14:textId="157B1D2E" w:rsidR="00CD798F" w:rsidRDefault="00CD798F" w:rsidP="00CD798F">
      <w:pPr>
        <w:pStyle w:val="004"/>
        <w:spacing w:before="120" w:after="120"/>
        <w:ind w:firstLine="482"/>
        <w:outlineLvl w:val="4"/>
      </w:pPr>
      <w:r>
        <w:rPr>
          <w:rFonts w:hint="eastAsia"/>
        </w:rPr>
        <w:t>（</w:t>
      </w:r>
      <w:r w:rsidR="00A37AF4">
        <w:t>2</w:t>
      </w:r>
      <w:r>
        <w:rPr>
          <w:rFonts w:hint="eastAsia"/>
        </w:rPr>
        <w:t>）会员服务业务收入</w:t>
      </w:r>
      <w:r w:rsidRPr="001D301B">
        <w:rPr>
          <w:rFonts w:hint="eastAsia"/>
        </w:rPr>
        <w:t>预测情况、测算过程、测算依据及其合理性</w:t>
      </w:r>
    </w:p>
    <w:p w14:paraId="34854415" w14:textId="77777777" w:rsidR="00CD798F" w:rsidRDefault="00CD798F" w:rsidP="00CD798F">
      <w:pPr>
        <w:pStyle w:val="005"/>
        <w:spacing w:before="120" w:after="120"/>
        <w:ind w:firstLine="480"/>
      </w:pPr>
      <w:r w:rsidRPr="00541E14">
        <w:rPr>
          <w:rFonts w:hint="eastAsia"/>
        </w:rPr>
        <w:t>标的公司</w:t>
      </w:r>
      <w:r>
        <w:rPr>
          <w:rFonts w:hint="eastAsia"/>
        </w:rPr>
        <w:t>会员</w:t>
      </w:r>
      <w:r w:rsidRPr="00541E14">
        <w:rPr>
          <w:rFonts w:hint="eastAsia"/>
        </w:rPr>
        <w:t>服务业务收入预测主要依据</w:t>
      </w:r>
      <w:r>
        <w:rPr>
          <w:rFonts w:hint="eastAsia"/>
        </w:rPr>
        <w:t>年度支付用户数量和单用户贡献金额进行测算，其中支付用户数量与运营数据中的支付用户总数存在一定差异，主要系会员服务并非针对所有支付用户开展所致。预测期内对于测算涉及的年度支付用户数量基于运营数据中支付用户总数剔除了不涉及会员服务业务场景的支付用户数后得出。会员服务业务收入具体测算情况如下：</w:t>
      </w:r>
    </w:p>
    <w:tbl>
      <w:tblPr>
        <w:tblW w:w="10391" w:type="dxa"/>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016"/>
        <w:gridCol w:w="1016"/>
        <w:gridCol w:w="1016"/>
        <w:gridCol w:w="1016"/>
        <w:gridCol w:w="1016"/>
        <w:gridCol w:w="1016"/>
        <w:gridCol w:w="1016"/>
        <w:gridCol w:w="1016"/>
      </w:tblGrid>
      <w:tr w:rsidR="00CD798F" w:rsidRPr="00D95B42" w14:paraId="3A80D830" w14:textId="77777777" w:rsidTr="00214723">
        <w:trPr>
          <w:cantSplit/>
          <w:trHeight w:val="454"/>
          <w:tblHeader/>
          <w:jc w:val="center"/>
        </w:trPr>
        <w:tc>
          <w:tcPr>
            <w:tcW w:w="2263" w:type="dxa"/>
            <w:vMerge w:val="restart"/>
            <w:noWrap/>
            <w:vAlign w:val="center"/>
          </w:tcPr>
          <w:p w14:paraId="7791A5FA"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lastRenderedPageBreak/>
              <w:t>项目</w:t>
            </w:r>
            <w:r w:rsidRPr="00D95B42">
              <w:rPr>
                <w:rFonts w:ascii="Times New Roman" w:hAnsi="Times New Roman"/>
                <w:b/>
                <w:color w:val="000000"/>
                <w:sz w:val="18"/>
                <w:szCs w:val="21"/>
              </w:rPr>
              <w:t>\</w:t>
            </w:r>
            <w:r w:rsidRPr="00D95B42">
              <w:rPr>
                <w:rFonts w:ascii="Times New Roman" w:hAnsi="Times New Roman"/>
                <w:b/>
                <w:color w:val="000000"/>
                <w:sz w:val="18"/>
                <w:szCs w:val="21"/>
              </w:rPr>
              <w:t>年份</w:t>
            </w:r>
          </w:p>
        </w:tc>
        <w:tc>
          <w:tcPr>
            <w:tcW w:w="3048" w:type="dxa"/>
            <w:gridSpan w:val="3"/>
            <w:noWrap/>
            <w:vAlign w:val="center"/>
          </w:tcPr>
          <w:p w14:paraId="29996B8C"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报告期</w:t>
            </w:r>
          </w:p>
        </w:tc>
        <w:tc>
          <w:tcPr>
            <w:tcW w:w="5080" w:type="dxa"/>
            <w:gridSpan w:val="5"/>
            <w:noWrap/>
            <w:vAlign w:val="center"/>
          </w:tcPr>
          <w:p w14:paraId="7DBF99EB"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预测期</w:t>
            </w:r>
          </w:p>
        </w:tc>
      </w:tr>
      <w:tr w:rsidR="00CD798F" w:rsidRPr="00D95B42" w14:paraId="54A918B1" w14:textId="77777777" w:rsidTr="00214723">
        <w:trPr>
          <w:cantSplit/>
          <w:trHeight w:val="454"/>
          <w:tblHeader/>
          <w:jc w:val="center"/>
        </w:trPr>
        <w:tc>
          <w:tcPr>
            <w:tcW w:w="2263" w:type="dxa"/>
            <w:vMerge/>
            <w:noWrap/>
            <w:vAlign w:val="center"/>
            <w:hideMark/>
          </w:tcPr>
          <w:p w14:paraId="7BF2812D" w14:textId="77777777" w:rsidR="00CD798F" w:rsidRPr="00D95B42" w:rsidRDefault="00CD798F" w:rsidP="00214723">
            <w:pPr>
              <w:keepNext/>
              <w:jc w:val="center"/>
              <w:rPr>
                <w:rFonts w:ascii="Times New Roman" w:hAnsi="Times New Roman"/>
                <w:b/>
                <w:color w:val="000000"/>
                <w:sz w:val="18"/>
                <w:szCs w:val="21"/>
              </w:rPr>
            </w:pPr>
          </w:p>
        </w:tc>
        <w:tc>
          <w:tcPr>
            <w:tcW w:w="1016" w:type="dxa"/>
            <w:noWrap/>
            <w:vAlign w:val="center"/>
            <w:hideMark/>
          </w:tcPr>
          <w:p w14:paraId="21529017"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2023</w:t>
            </w:r>
            <w:r w:rsidRPr="00D95B42">
              <w:rPr>
                <w:rFonts w:ascii="Times New Roman" w:hAnsi="Times New Roman"/>
                <w:b/>
                <w:color w:val="000000"/>
                <w:sz w:val="18"/>
                <w:szCs w:val="21"/>
              </w:rPr>
              <w:t>年</w:t>
            </w:r>
          </w:p>
        </w:tc>
        <w:tc>
          <w:tcPr>
            <w:tcW w:w="1016" w:type="dxa"/>
            <w:noWrap/>
            <w:vAlign w:val="center"/>
            <w:hideMark/>
          </w:tcPr>
          <w:p w14:paraId="776E75D4"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2024</w:t>
            </w:r>
            <w:r w:rsidRPr="00D95B42">
              <w:rPr>
                <w:rFonts w:ascii="Times New Roman" w:hAnsi="Times New Roman"/>
                <w:b/>
                <w:color w:val="000000"/>
                <w:sz w:val="18"/>
                <w:szCs w:val="21"/>
              </w:rPr>
              <w:t>年</w:t>
            </w:r>
          </w:p>
        </w:tc>
        <w:tc>
          <w:tcPr>
            <w:tcW w:w="1016" w:type="dxa"/>
            <w:noWrap/>
            <w:vAlign w:val="center"/>
            <w:hideMark/>
          </w:tcPr>
          <w:p w14:paraId="63AB3E0D"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w:t>
            </w:r>
            <w:r w:rsidRPr="00D95B42">
              <w:rPr>
                <w:rFonts w:ascii="Times New Roman" w:hAnsi="Times New Roman"/>
                <w:b/>
                <w:color w:val="000000"/>
                <w:sz w:val="18"/>
                <w:szCs w:val="21"/>
              </w:rPr>
              <w:t>1-6</w:t>
            </w:r>
            <w:r w:rsidRPr="00D95B42">
              <w:rPr>
                <w:rFonts w:ascii="Times New Roman" w:hAnsi="Times New Roman"/>
                <w:b/>
                <w:color w:val="000000"/>
                <w:sz w:val="18"/>
                <w:szCs w:val="21"/>
              </w:rPr>
              <w:t>月</w:t>
            </w:r>
          </w:p>
        </w:tc>
        <w:tc>
          <w:tcPr>
            <w:tcW w:w="1016" w:type="dxa"/>
            <w:noWrap/>
            <w:vAlign w:val="center"/>
            <w:hideMark/>
          </w:tcPr>
          <w:p w14:paraId="3B785243"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年度</w:t>
            </w:r>
          </w:p>
        </w:tc>
        <w:tc>
          <w:tcPr>
            <w:tcW w:w="1016" w:type="dxa"/>
            <w:noWrap/>
            <w:vAlign w:val="center"/>
            <w:hideMark/>
          </w:tcPr>
          <w:p w14:paraId="11F8B081"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2026</w:t>
            </w:r>
            <w:r w:rsidRPr="00D95B42">
              <w:rPr>
                <w:rFonts w:ascii="Times New Roman" w:hAnsi="Times New Roman"/>
                <w:b/>
                <w:color w:val="000000"/>
                <w:sz w:val="18"/>
                <w:szCs w:val="21"/>
              </w:rPr>
              <w:t>年度</w:t>
            </w:r>
          </w:p>
        </w:tc>
        <w:tc>
          <w:tcPr>
            <w:tcW w:w="1016" w:type="dxa"/>
            <w:noWrap/>
            <w:vAlign w:val="center"/>
            <w:hideMark/>
          </w:tcPr>
          <w:p w14:paraId="0C980861"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2027</w:t>
            </w:r>
            <w:r w:rsidRPr="00D95B42">
              <w:rPr>
                <w:rFonts w:ascii="Times New Roman" w:hAnsi="Times New Roman"/>
                <w:b/>
                <w:color w:val="000000"/>
                <w:sz w:val="18"/>
                <w:szCs w:val="21"/>
              </w:rPr>
              <w:t>年度</w:t>
            </w:r>
          </w:p>
        </w:tc>
        <w:tc>
          <w:tcPr>
            <w:tcW w:w="1016" w:type="dxa"/>
            <w:noWrap/>
            <w:vAlign w:val="center"/>
            <w:hideMark/>
          </w:tcPr>
          <w:p w14:paraId="3F86179A"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2028</w:t>
            </w:r>
            <w:r w:rsidRPr="00D95B42">
              <w:rPr>
                <w:rFonts w:ascii="Times New Roman" w:hAnsi="Times New Roman"/>
                <w:b/>
                <w:color w:val="000000"/>
                <w:sz w:val="18"/>
                <w:szCs w:val="21"/>
              </w:rPr>
              <w:t>年度</w:t>
            </w:r>
          </w:p>
        </w:tc>
        <w:tc>
          <w:tcPr>
            <w:tcW w:w="1016" w:type="dxa"/>
            <w:noWrap/>
            <w:vAlign w:val="center"/>
            <w:hideMark/>
          </w:tcPr>
          <w:p w14:paraId="164448CA"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2029</w:t>
            </w:r>
            <w:r w:rsidRPr="00D95B42">
              <w:rPr>
                <w:rFonts w:ascii="Times New Roman" w:hAnsi="Times New Roman"/>
                <w:b/>
                <w:color w:val="000000"/>
                <w:sz w:val="18"/>
                <w:szCs w:val="21"/>
              </w:rPr>
              <w:t>年度</w:t>
            </w:r>
          </w:p>
        </w:tc>
      </w:tr>
      <w:tr w:rsidR="00CD798F" w:rsidRPr="00D95B42" w14:paraId="2DF04791" w14:textId="77777777" w:rsidTr="00214723">
        <w:trPr>
          <w:cantSplit/>
          <w:trHeight w:val="454"/>
          <w:jc w:val="center"/>
        </w:trPr>
        <w:tc>
          <w:tcPr>
            <w:tcW w:w="2263" w:type="dxa"/>
            <w:noWrap/>
            <w:vAlign w:val="center"/>
            <w:hideMark/>
          </w:tcPr>
          <w:p w14:paraId="762517B0"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支付用户数（万人）</w:t>
            </w:r>
          </w:p>
          <w:p w14:paraId="080AAF88"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w:t>
            </w:r>
            <w:r w:rsidRPr="00D95B42">
              <w:rPr>
                <w:rFonts w:ascii="Times New Roman" w:hAnsi="Times New Roman"/>
                <w:color w:val="000000"/>
                <w:sz w:val="18"/>
                <w:szCs w:val="21"/>
              </w:rPr>
              <w:t>A</w:t>
            </w:r>
            <w:r w:rsidRPr="00D95B42">
              <w:rPr>
                <w:rFonts w:ascii="Times New Roman" w:hAnsi="Times New Roman"/>
                <w:color w:val="000000"/>
                <w:sz w:val="18"/>
                <w:szCs w:val="21"/>
              </w:rPr>
              <w:t>）</w:t>
            </w:r>
          </w:p>
        </w:tc>
        <w:tc>
          <w:tcPr>
            <w:tcW w:w="1016" w:type="dxa"/>
            <w:noWrap/>
            <w:vAlign w:val="center"/>
            <w:hideMark/>
          </w:tcPr>
          <w:p w14:paraId="1CFC99C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47,252.34</w:t>
            </w:r>
          </w:p>
        </w:tc>
        <w:tc>
          <w:tcPr>
            <w:tcW w:w="1016" w:type="dxa"/>
            <w:noWrap/>
            <w:vAlign w:val="center"/>
            <w:hideMark/>
          </w:tcPr>
          <w:p w14:paraId="21A4F31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46,066.82</w:t>
            </w:r>
          </w:p>
        </w:tc>
        <w:tc>
          <w:tcPr>
            <w:tcW w:w="1016" w:type="dxa"/>
            <w:noWrap/>
            <w:vAlign w:val="center"/>
            <w:hideMark/>
          </w:tcPr>
          <w:p w14:paraId="500E73E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22,555.42</w:t>
            </w:r>
          </w:p>
        </w:tc>
        <w:tc>
          <w:tcPr>
            <w:tcW w:w="1016" w:type="dxa"/>
            <w:noWrap/>
            <w:vAlign w:val="center"/>
            <w:hideMark/>
          </w:tcPr>
          <w:p w14:paraId="55802CE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52,568.62</w:t>
            </w:r>
          </w:p>
        </w:tc>
        <w:tc>
          <w:tcPr>
            <w:tcW w:w="1016" w:type="dxa"/>
            <w:noWrap/>
            <w:vAlign w:val="center"/>
            <w:hideMark/>
          </w:tcPr>
          <w:p w14:paraId="314722D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56,580.91</w:t>
            </w:r>
          </w:p>
        </w:tc>
        <w:tc>
          <w:tcPr>
            <w:tcW w:w="1016" w:type="dxa"/>
            <w:noWrap/>
            <w:vAlign w:val="center"/>
            <w:hideMark/>
          </w:tcPr>
          <w:p w14:paraId="111036D3"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60,489.45</w:t>
            </w:r>
          </w:p>
        </w:tc>
        <w:tc>
          <w:tcPr>
            <w:tcW w:w="1016" w:type="dxa"/>
            <w:noWrap/>
            <w:vAlign w:val="center"/>
            <w:hideMark/>
          </w:tcPr>
          <w:p w14:paraId="3613F04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64,068.34</w:t>
            </w:r>
          </w:p>
        </w:tc>
        <w:tc>
          <w:tcPr>
            <w:tcW w:w="1016" w:type="dxa"/>
            <w:noWrap/>
            <w:vAlign w:val="center"/>
            <w:hideMark/>
          </w:tcPr>
          <w:p w14:paraId="35F5B36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67,741.99</w:t>
            </w:r>
          </w:p>
        </w:tc>
      </w:tr>
      <w:tr w:rsidR="00CD798F" w:rsidRPr="00D95B42" w14:paraId="0394F9FB" w14:textId="77777777" w:rsidTr="00214723">
        <w:trPr>
          <w:cantSplit/>
          <w:trHeight w:val="454"/>
          <w:jc w:val="center"/>
        </w:trPr>
        <w:tc>
          <w:tcPr>
            <w:tcW w:w="2263" w:type="dxa"/>
            <w:noWrap/>
            <w:vAlign w:val="center"/>
            <w:hideMark/>
          </w:tcPr>
          <w:p w14:paraId="75F654A6"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单用户贡献（元</w:t>
            </w:r>
            <w:r w:rsidRPr="00D95B42">
              <w:rPr>
                <w:rFonts w:ascii="Times New Roman" w:hAnsi="Times New Roman"/>
                <w:color w:val="000000"/>
                <w:sz w:val="18"/>
                <w:szCs w:val="21"/>
              </w:rPr>
              <w:t>/</w:t>
            </w:r>
            <w:r w:rsidRPr="00D95B42">
              <w:rPr>
                <w:rFonts w:ascii="Times New Roman" w:hAnsi="Times New Roman"/>
                <w:color w:val="000000"/>
                <w:sz w:val="18"/>
                <w:szCs w:val="21"/>
              </w:rPr>
              <w:t>人）</w:t>
            </w:r>
          </w:p>
          <w:p w14:paraId="061A4F62"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w:t>
            </w:r>
            <w:r w:rsidRPr="00D95B42">
              <w:rPr>
                <w:rFonts w:ascii="Times New Roman" w:hAnsi="Times New Roman"/>
                <w:color w:val="000000"/>
                <w:sz w:val="18"/>
                <w:szCs w:val="21"/>
              </w:rPr>
              <w:t>B</w:t>
            </w:r>
            <w:r w:rsidRPr="00D95B42">
              <w:rPr>
                <w:rFonts w:ascii="Times New Roman" w:hAnsi="Times New Roman"/>
                <w:color w:val="000000"/>
                <w:sz w:val="18"/>
                <w:szCs w:val="21"/>
              </w:rPr>
              <w:t>）</w:t>
            </w:r>
          </w:p>
        </w:tc>
        <w:tc>
          <w:tcPr>
            <w:tcW w:w="1016" w:type="dxa"/>
            <w:noWrap/>
            <w:vAlign w:val="center"/>
            <w:hideMark/>
          </w:tcPr>
          <w:p w14:paraId="3A64057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0.03</w:t>
            </w:r>
          </w:p>
        </w:tc>
        <w:tc>
          <w:tcPr>
            <w:tcW w:w="1016" w:type="dxa"/>
            <w:noWrap/>
            <w:vAlign w:val="center"/>
            <w:hideMark/>
          </w:tcPr>
          <w:p w14:paraId="2A31ABA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0.09</w:t>
            </w:r>
          </w:p>
        </w:tc>
        <w:tc>
          <w:tcPr>
            <w:tcW w:w="1016" w:type="dxa"/>
            <w:noWrap/>
            <w:vAlign w:val="center"/>
            <w:hideMark/>
          </w:tcPr>
          <w:p w14:paraId="4E92D2D9"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0.18</w:t>
            </w:r>
          </w:p>
        </w:tc>
        <w:tc>
          <w:tcPr>
            <w:tcW w:w="1016" w:type="dxa"/>
            <w:noWrap/>
            <w:vAlign w:val="center"/>
            <w:hideMark/>
          </w:tcPr>
          <w:p w14:paraId="71AFBCF9"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0.18</w:t>
            </w:r>
          </w:p>
        </w:tc>
        <w:tc>
          <w:tcPr>
            <w:tcW w:w="1016" w:type="dxa"/>
            <w:noWrap/>
            <w:vAlign w:val="center"/>
            <w:hideMark/>
          </w:tcPr>
          <w:p w14:paraId="7DF19D1B"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0.19</w:t>
            </w:r>
          </w:p>
        </w:tc>
        <w:tc>
          <w:tcPr>
            <w:tcW w:w="1016" w:type="dxa"/>
            <w:noWrap/>
            <w:vAlign w:val="center"/>
            <w:hideMark/>
          </w:tcPr>
          <w:p w14:paraId="3925105E"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0.20</w:t>
            </w:r>
          </w:p>
        </w:tc>
        <w:tc>
          <w:tcPr>
            <w:tcW w:w="1016" w:type="dxa"/>
            <w:noWrap/>
            <w:vAlign w:val="center"/>
            <w:hideMark/>
          </w:tcPr>
          <w:p w14:paraId="5DF1ADDA"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0.21</w:t>
            </w:r>
          </w:p>
        </w:tc>
        <w:tc>
          <w:tcPr>
            <w:tcW w:w="1016" w:type="dxa"/>
            <w:noWrap/>
            <w:vAlign w:val="center"/>
            <w:hideMark/>
          </w:tcPr>
          <w:p w14:paraId="1BA77DE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0.21</w:t>
            </w:r>
          </w:p>
        </w:tc>
      </w:tr>
      <w:tr w:rsidR="00CD798F" w:rsidRPr="00D95B42" w14:paraId="18DDC57E" w14:textId="77777777" w:rsidTr="00214723">
        <w:trPr>
          <w:cantSplit/>
          <w:trHeight w:val="454"/>
          <w:jc w:val="center"/>
        </w:trPr>
        <w:tc>
          <w:tcPr>
            <w:tcW w:w="2263" w:type="dxa"/>
            <w:noWrap/>
            <w:vAlign w:val="center"/>
          </w:tcPr>
          <w:p w14:paraId="0546D27A"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会员服务销售收入（万元）（</w:t>
            </w:r>
            <w:r w:rsidRPr="00D95B42">
              <w:rPr>
                <w:rFonts w:ascii="Times New Roman" w:hAnsi="Times New Roman"/>
                <w:b/>
                <w:bCs/>
                <w:color w:val="000000"/>
                <w:sz w:val="18"/>
                <w:szCs w:val="21"/>
              </w:rPr>
              <w:t>C=A*B</w:t>
            </w:r>
            <w:r w:rsidRPr="00D95B42">
              <w:rPr>
                <w:rFonts w:ascii="Times New Roman" w:hAnsi="Times New Roman"/>
                <w:b/>
                <w:bCs/>
                <w:color w:val="000000"/>
                <w:sz w:val="18"/>
                <w:szCs w:val="21"/>
              </w:rPr>
              <w:t>）</w:t>
            </w:r>
          </w:p>
        </w:tc>
        <w:tc>
          <w:tcPr>
            <w:tcW w:w="1016" w:type="dxa"/>
            <w:noWrap/>
            <w:vAlign w:val="center"/>
          </w:tcPr>
          <w:p w14:paraId="09053FF5"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1,634.10 </w:t>
            </w:r>
          </w:p>
        </w:tc>
        <w:tc>
          <w:tcPr>
            <w:tcW w:w="1016" w:type="dxa"/>
            <w:noWrap/>
            <w:vAlign w:val="center"/>
          </w:tcPr>
          <w:p w14:paraId="29733EDF"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3,983.36 </w:t>
            </w:r>
          </w:p>
        </w:tc>
        <w:tc>
          <w:tcPr>
            <w:tcW w:w="1016" w:type="dxa"/>
            <w:noWrap/>
            <w:vAlign w:val="center"/>
          </w:tcPr>
          <w:p w14:paraId="453FB293"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4,083.02 </w:t>
            </w:r>
          </w:p>
        </w:tc>
        <w:tc>
          <w:tcPr>
            <w:tcW w:w="1016" w:type="dxa"/>
            <w:noWrap/>
            <w:vAlign w:val="center"/>
          </w:tcPr>
          <w:p w14:paraId="37B288C5"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9,320.35 </w:t>
            </w:r>
          </w:p>
        </w:tc>
        <w:tc>
          <w:tcPr>
            <w:tcW w:w="1016" w:type="dxa"/>
            <w:noWrap/>
            <w:vAlign w:val="center"/>
          </w:tcPr>
          <w:p w14:paraId="5735BF76"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10,842.71 </w:t>
            </w:r>
          </w:p>
        </w:tc>
        <w:tc>
          <w:tcPr>
            <w:tcW w:w="1016" w:type="dxa"/>
            <w:noWrap/>
            <w:vAlign w:val="center"/>
          </w:tcPr>
          <w:p w14:paraId="43FF0029"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12,196.58 </w:t>
            </w:r>
          </w:p>
        </w:tc>
        <w:tc>
          <w:tcPr>
            <w:tcW w:w="1016" w:type="dxa"/>
            <w:noWrap/>
            <w:vAlign w:val="center"/>
          </w:tcPr>
          <w:p w14:paraId="28B60D1F"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13,313.90 </w:t>
            </w:r>
          </w:p>
        </w:tc>
        <w:tc>
          <w:tcPr>
            <w:tcW w:w="1016" w:type="dxa"/>
            <w:noWrap/>
            <w:vAlign w:val="center"/>
          </w:tcPr>
          <w:p w14:paraId="6B222B23"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 xml:space="preserve">13,964.35 </w:t>
            </w:r>
          </w:p>
        </w:tc>
      </w:tr>
    </w:tbl>
    <w:p w14:paraId="0EEE3C48" w14:textId="77777777" w:rsidR="00CD798F" w:rsidRDefault="00CD798F" w:rsidP="00CD798F">
      <w:pPr>
        <w:pStyle w:val="005"/>
        <w:spacing w:before="120" w:after="120"/>
        <w:ind w:firstLine="480"/>
      </w:pPr>
      <w:r>
        <w:rPr>
          <w:rFonts w:hint="eastAsia"/>
        </w:rPr>
        <w:t>报告期内单用户贡献金额增长较快，主要系由于标的</w:t>
      </w:r>
      <w:r w:rsidRPr="00EC6764">
        <w:rPr>
          <w:rFonts w:hint="eastAsia"/>
        </w:rPr>
        <w:t>公司自</w:t>
      </w:r>
      <w:r w:rsidRPr="00EC6764">
        <w:rPr>
          <w:rFonts w:hint="eastAsia"/>
        </w:rPr>
        <w:t>2023</w:t>
      </w:r>
      <w:r w:rsidRPr="00EC6764">
        <w:rPr>
          <w:rFonts w:hint="eastAsia"/>
        </w:rPr>
        <w:t>年开始开展会员服务业务以来，经历业务打磨和用户潜力挖掘</w:t>
      </w:r>
      <w:r>
        <w:rPr>
          <w:rFonts w:hint="eastAsia"/>
        </w:rPr>
        <w:t>，</w:t>
      </w:r>
      <w:r w:rsidRPr="00EC6764">
        <w:rPr>
          <w:rFonts w:hint="eastAsia"/>
        </w:rPr>
        <w:t>增加</w:t>
      </w:r>
      <w:r>
        <w:rPr>
          <w:rFonts w:hint="eastAsia"/>
        </w:rPr>
        <w:t>了</w:t>
      </w:r>
      <w:r w:rsidRPr="00EC6764">
        <w:rPr>
          <w:rFonts w:hint="eastAsia"/>
        </w:rPr>
        <w:t>丰富的</w:t>
      </w:r>
      <w:r w:rsidRPr="00EC6764">
        <w:rPr>
          <w:rFonts w:hint="eastAsia"/>
        </w:rPr>
        <w:t>C</w:t>
      </w:r>
      <w:r w:rsidRPr="00EC6764">
        <w:rPr>
          <w:rFonts w:hint="eastAsia"/>
        </w:rPr>
        <w:t>端用户会员权益</w:t>
      </w:r>
      <w:r>
        <w:rPr>
          <w:rFonts w:hint="eastAsia"/>
        </w:rPr>
        <w:t>，进而提高了单用户贡献金额。预测期内，标的公司将持续更新和丰富权益内容，进一步满足</w:t>
      </w:r>
      <w:r w:rsidRPr="00EC6764">
        <w:rPr>
          <w:rFonts w:hint="eastAsia"/>
        </w:rPr>
        <w:t>用户群体的日常消费需要</w:t>
      </w:r>
      <w:r>
        <w:rPr>
          <w:rFonts w:hint="eastAsia"/>
        </w:rPr>
        <w:t>，推动单用户贡献金额的进一步提升，进而带动会员服务销售收入的持续增长。综上，会员服务业务收入预测具备合理性。</w:t>
      </w:r>
    </w:p>
    <w:p w14:paraId="648B50E6" w14:textId="42FF7021" w:rsidR="00CD798F" w:rsidRPr="002B6565" w:rsidRDefault="00CD798F" w:rsidP="00CD798F">
      <w:pPr>
        <w:pStyle w:val="004"/>
        <w:spacing w:before="120" w:after="120"/>
        <w:ind w:firstLine="482"/>
        <w:outlineLvl w:val="4"/>
      </w:pPr>
      <w:r>
        <w:rPr>
          <w:rFonts w:hint="eastAsia"/>
        </w:rPr>
        <w:t>（</w:t>
      </w:r>
      <w:r w:rsidR="00A37AF4">
        <w:t>3</w:t>
      </w:r>
      <w:r>
        <w:rPr>
          <w:rFonts w:hint="eastAsia"/>
        </w:rPr>
        <w:t>）收单外包及其他服务收入</w:t>
      </w:r>
      <w:r w:rsidRPr="001D301B">
        <w:rPr>
          <w:rFonts w:hint="eastAsia"/>
        </w:rPr>
        <w:t>预测情况、测算过程、测算依据及其合理性</w:t>
      </w:r>
    </w:p>
    <w:p w14:paraId="499FC909" w14:textId="5F0AEDC2" w:rsidR="00CD798F" w:rsidRDefault="001C21CA" w:rsidP="00CD798F">
      <w:pPr>
        <w:pStyle w:val="005"/>
        <w:spacing w:before="120" w:after="120"/>
        <w:ind w:firstLine="480"/>
      </w:pPr>
      <w:r w:rsidRPr="001C21CA">
        <w:rPr>
          <w:rFonts w:hint="eastAsia"/>
        </w:rPr>
        <w:t>标的公司收单外包的业务逻辑均为基于服务费率及</w:t>
      </w:r>
      <w:r w:rsidRPr="001C21CA">
        <w:rPr>
          <w:rFonts w:hint="eastAsia"/>
        </w:rPr>
        <w:t>GMV</w:t>
      </w:r>
      <w:r w:rsidRPr="001C21CA">
        <w:rPr>
          <w:rFonts w:hint="eastAsia"/>
        </w:rPr>
        <w:t>流水进行测算。报告期内综合费率由于场地整体解决方案类与非场地设备类存在一定差异，其中场地整体解决方案类服务费率略低于非场地设备类服务费率，场地整体解决方案类业务</w:t>
      </w:r>
      <w:r w:rsidRPr="001C21CA">
        <w:rPr>
          <w:rFonts w:hint="eastAsia"/>
        </w:rPr>
        <w:t>GMV</w:t>
      </w:r>
      <w:r w:rsidRPr="001C21CA">
        <w:rPr>
          <w:rFonts w:hint="eastAsia"/>
        </w:rPr>
        <w:t>规模有所提升，使得综合服务费率有所下降。报告期内，标的公司收单外包服务及其他服务费率与实际签约费率相匹配，预计未来服务费率将维持</w:t>
      </w:r>
      <w:r w:rsidRPr="001C21CA">
        <w:rPr>
          <w:rFonts w:hint="eastAsia"/>
        </w:rPr>
        <w:t>0.30%~0.31%</w:t>
      </w:r>
      <w:r w:rsidRPr="001C21CA">
        <w:rPr>
          <w:rFonts w:hint="eastAsia"/>
        </w:rPr>
        <w:t>水平，较为稳定，故预测期内收单外包服务收入及服务费率预测情况具有合理性。</w:t>
      </w:r>
    </w:p>
    <w:p w14:paraId="11F0460C" w14:textId="77777777" w:rsidR="00CD798F" w:rsidRPr="00E958DD" w:rsidRDefault="00CD798F" w:rsidP="00CD798F">
      <w:pPr>
        <w:pStyle w:val="004"/>
        <w:spacing w:before="120" w:after="120"/>
        <w:ind w:firstLine="482"/>
      </w:pPr>
      <w:r w:rsidRPr="00E958DD">
        <w:rPr>
          <w:rFonts w:hint="eastAsia"/>
        </w:rPr>
        <w:t>2</w:t>
      </w:r>
      <w:r w:rsidRPr="00E958DD">
        <w:rPr>
          <w:rFonts w:hint="eastAsia"/>
        </w:rPr>
        <w:t>、</w:t>
      </w:r>
      <w:r w:rsidRPr="00461310">
        <w:rPr>
          <w:rFonts w:hint="eastAsia"/>
        </w:rPr>
        <w:t>预测期各年度毛利率预测情况、测算过程、测算依据及合理性分析</w:t>
      </w:r>
    </w:p>
    <w:p w14:paraId="49BC03CA" w14:textId="77777777" w:rsidR="00CD798F" w:rsidRDefault="00CD798F" w:rsidP="00CD798F">
      <w:pPr>
        <w:pStyle w:val="005"/>
        <w:spacing w:before="120" w:after="120"/>
        <w:ind w:firstLine="480"/>
      </w:pPr>
      <w:r w:rsidRPr="00E958DD">
        <w:rPr>
          <w:rFonts w:hint="eastAsia"/>
        </w:rPr>
        <w:t>预测期内</w:t>
      </w:r>
      <w:r>
        <w:rPr>
          <w:rFonts w:hint="eastAsia"/>
        </w:rPr>
        <w:t>SaaS</w:t>
      </w:r>
      <w:r w:rsidRPr="00E958DD">
        <w:rPr>
          <w:rFonts w:hint="eastAsia"/>
        </w:rPr>
        <w:t>云平台业务下，各大业务的毛利率情况如下：</w:t>
      </w:r>
    </w:p>
    <w:p w14:paraId="4CEA3685" w14:textId="77777777" w:rsidR="00CD798F" w:rsidRDefault="00CD798F" w:rsidP="00CD798F">
      <w:pPr>
        <w:keepNext/>
        <w:jc w:val="right"/>
      </w:pPr>
      <w:r w:rsidRPr="004B1244">
        <w:t>单位：万元</w:t>
      </w:r>
    </w:p>
    <w:tbl>
      <w:tblPr>
        <w:tblW w:w="6086"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16"/>
        <w:gridCol w:w="1051"/>
        <w:gridCol w:w="6"/>
        <w:gridCol w:w="989"/>
        <w:gridCol w:w="7"/>
        <w:gridCol w:w="990"/>
        <w:gridCol w:w="6"/>
        <w:gridCol w:w="990"/>
        <w:gridCol w:w="6"/>
        <w:gridCol w:w="990"/>
        <w:gridCol w:w="6"/>
        <w:gridCol w:w="990"/>
        <w:gridCol w:w="6"/>
        <w:gridCol w:w="990"/>
        <w:gridCol w:w="6"/>
        <w:gridCol w:w="990"/>
        <w:gridCol w:w="6"/>
        <w:gridCol w:w="984"/>
      </w:tblGrid>
      <w:tr w:rsidR="00CD798F" w:rsidRPr="00D95B42" w14:paraId="7D7EDFB5" w14:textId="77777777" w:rsidTr="00214723">
        <w:trPr>
          <w:cantSplit/>
          <w:trHeight w:val="454"/>
          <w:tblHeader/>
          <w:jc w:val="center"/>
        </w:trPr>
        <w:tc>
          <w:tcPr>
            <w:tcW w:w="1173" w:type="pct"/>
            <w:gridSpan w:val="3"/>
            <w:vMerge w:val="restart"/>
            <w:noWrap/>
            <w:vAlign w:val="center"/>
            <w:hideMark/>
          </w:tcPr>
          <w:p w14:paraId="503A79DC"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项目</w:t>
            </w:r>
          </w:p>
        </w:tc>
        <w:tc>
          <w:tcPr>
            <w:tcW w:w="1436" w:type="pct"/>
            <w:gridSpan w:val="6"/>
            <w:noWrap/>
            <w:vAlign w:val="center"/>
            <w:hideMark/>
          </w:tcPr>
          <w:p w14:paraId="6E61DC30"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报告期</w:t>
            </w:r>
          </w:p>
        </w:tc>
        <w:tc>
          <w:tcPr>
            <w:tcW w:w="2391" w:type="pct"/>
            <w:gridSpan w:val="9"/>
            <w:noWrap/>
            <w:vAlign w:val="center"/>
            <w:hideMark/>
          </w:tcPr>
          <w:p w14:paraId="3B491386"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预测期</w:t>
            </w:r>
          </w:p>
        </w:tc>
      </w:tr>
      <w:tr w:rsidR="00CD798F" w:rsidRPr="00D95B42" w14:paraId="47566485" w14:textId="77777777" w:rsidTr="00214723">
        <w:trPr>
          <w:cantSplit/>
          <w:trHeight w:val="454"/>
          <w:tblHeader/>
          <w:jc w:val="center"/>
        </w:trPr>
        <w:tc>
          <w:tcPr>
            <w:tcW w:w="1173" w:type="pct"/>
            <w:gridSpan w:val="3"/>
            <w:vMerge/>
            <w:vAlign w:val="center"/>
            <w:hideMark/>
          </w:tcPr>
          <w:p w14:paraId="07590F67" w14:textId="77777777" w:rsidR="00CD798F" w:rsidRPr="00D95B42" w:rsidRDefault="00CD798F" w:rsidP="00214723">
            <w:pPr>
              <w:keepNext/>
              <w:jc w:val="center"/>
              <w:rPr>
                <w:rFonts w:ascii="Times New Roman" w:hAnsi="Times New Roman"/>
                <w:b/>
                <w:color w:val="000000"/>
                <w:sz w:val="20"/>
              </w:rPr>
            </w:pPr>
          </w:p>
        </w:tc>
        <w:tc>
          <w:tcPr>
            <w:tcW w:w="479" w:type="pct"/>
            <w:gridSpan w:val="2"/>
            <w:noWrap/>
            <w:vAlign w:val="center"/>
            <w:hideMark/>
          </w:tcPr>
          <w:p w14:paraId="7EB0A493"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2023</w:t>
            </w:r>
            <w:r w:rsidRPr="00D95B42">
              <w:rPr>
                <w:rFonts w:ascii="Times New Roman" w:hAnsi="Times New Roman"/>
                <w:b/>
                <w:bCs/>
                <w:color w:val="000000"/>
                <w:sz w:val="20"/>
              </w:rPr>
              <w:t>年</w:t>
            </w:r>
          </w:p>
        </w:tc>
        <w:tc>
          <w:tcPr>
            <w:tcW w:w="479" w:type="pct"/>
            <w:gridSpan w:val="2"/>
            <w:noWrap/>
            <w:vAlign w:val="center"/>
            <w:hideMark/>
          </w:tcPr>
          <w:p w14:paraId="59A6AA84"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2024</w:t>
            </w:r>
            <w:r w:rsidRPr="00D95B42">
              <w:rPr>
                <w:rFonts w:ascii="Times New Roman" w:hAnsi="Times New Roman"/>
                <w:b/>
                <w:bCs/>
                <w:color w:val="000000"/>
                <w:sz w:val="20"/>
              </w:rPr>
              <w:t>年</w:t>
            </w:r>
          </w:p>
        </w:tc>
        <w:tc>
          <w:tcPr>
            <w:tcW w:w="479" w:type="pct"/>
            <w:gridSpan w:val="2"/>
            <w:noWrap/>
            <w:vAlign w:val="center"/>
            <w:hideMark/>
          </w:tcPr>
          <w:p w14:paraId="69E86164"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2025</w:t>
            </w:r>
            <w:r w:rsidRPr="00D95B42">
              <w:rPr>
                <w:rFonts w:ascii="Times New Roman" w:hAnsi="Times New Roman"/>
                <w:b/>
                <w:bCs/>
                <w:color w:val="000000"/>
                <w:sz w:val="20"/>
              </w:rPr>
              <w:t>年</w:t>
            </w:r>
          </w:p>
          <w:p w14:paraId="12ED388F"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1-6</w:t>
            </w:r>
            <w:r w:rsidRPr="00D95B42">
              <w:rPr>
                <w:rFonts w:ascii="Times New Roman" w:hAnsi="Times New Roman"/>
                <w:b/>
                <w:bCs/>
                <w:color w:val="000000"/>
                <w:sz w:val="20"/>
              </w:rPr>
              <w:t>月</w:t>
            </w:r>
          </w:p>
        </w:tc>
        <w:tc>
          <w:tcPr>
            <w:tcW w:w="479" w:type="pct"/>
            <w:gridSpan w:val="2"/>
            <w:noWrap/>
            <w:vAlign w:val="center"/>
            <w:hideMark/>
          </w:tcPr>
          <w:p w14:paraId="319F89C3"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2025</w:t>
            </w:r>
            <w:r w:rsidRPr="00D95B42">
              <w:rPr>
                <w:rFonts w:ascii="Times New Roman" w:hAnsi="Times New Roman"/>
                <w:b/>
                <w:bCs/>
                <w:color w:val="000000"/>
                <w:sz w:val="20"/>
              </w:rPr>
              <w:t>年</w:t>
            </w:r>
          </w:p>
        </w:tc>
        <w:tc>
          <w:tcPr>
            <w:tcW w:w="479" w:type="pct"/>
            <w:gridSpan w:val="2"/>
            <w:noWrap/>
            <w:vAlign w:val="center"/>
            <w:hideMark/>
          </w:tcPr>
          <w:p w14:paraId="5074C013"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2026</w:t>
            </w:r>
            <w:r w:rsidRPr="00D95B42">
              <w:rPr>
                <w:rFonts w:ascii="Times New Roman" w:hAnsi="Times New Roman"/>
                <w:b/>
                <w:bCs/>
                <w:color w:val="000000"/>
                <w:sz w:val="20"/>
              </w:rPr>
              <w:t>年</w:t>
            </w:r>
          </w:p>
        </w:tc>
        <w:tc>
          <w:tcPr>
            <w:tcW w:w="479" w:type="pct"/>
            <w:gridSpan w:val="2"/>
            <w:noWrap/>
            <w:vAlign w:val="center"/>
            <w:hideMark/>
          </w:tcPr>
          <w:p w14:paraId="29F9889F"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2027</w:t>
            </w:r>
            <w:r w:rsidRPr="00D95B42">
              <w:rPr>
                <w:rFonts w:ascii="Times New Roman" w:hAnsi="Times New Roman"/>
                <w:b/>
                <w:bCs/>
                <w:color w:val="000000"/>
                <w:sz w:val="20"/>
              </w:rPr>
              <w:t>年</w:t>
            </w:r>
          </w:p>
        </w:tc>
        <w:tc>
          <w:tcPr>
            <w:tcW w:w="479" w:type="pct"/>
            <w:gridSpan w:val="2"/>
            <w:noWrap/>
            <w:vAlign w:val="center"/>
            <w:hideMark/>
          </w:tcPr>
          <w:p w14:paraId="64FB0EEE"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2028</w:t>
            </w:r>
            <w:r w:rsidRPr="00D95B42">
              <w:rPr>
                <w:rFonts w:ascii="Times New Roman" w:hAnsi="Times New Roman"/>
                <w:b/>
                <w:bCs/>
                <w:color w:val="000000"/>
                <w:sz w:val="20"/>
              </w:rPr>
              <w:t>年</w:t>
            </w:r>
          </w:p>
        </w:tc>
        <w:tc>
          <w:tcPr>
            <w:tcW w:w="476" w:type="pct"/>
            <w:noWrap/>
            <w:vAlign w:val="center"/>
            <w:hideMark/>
          </w:tcPr>
          <w:p w14:paraId="0E78B221" w14:textId="77777777" w:rsidR="00CD798F" w:rsidRPr="00D95B42" w:rsidRDefault="00CD798F" w:rsidP="00214723">
            <w:pPr>
              <w:keepNext/>
              <w:jc w:val="center"/>
              <w:rPr>
                <w:rFonts w:ascii="Times New Roman" w:hAnsi="Times New Roman"/>
                <w:b/>
                <w:bCs/>
                <w:color w:val="000000"/>
                <w:sz w:val="20"/>
              </w:rPr>
            </w:pPr>
            <w:r w:rsidRPr="00D95B42">
              <w:rPr>
                <w:rFonts w:ascii="Times New Roman" w:hAnsi="Times New Roman"/>
                <w:b/>
                <w:bCs/>
                <w:color w:val="000000"/>
                <w:sz w:val="20"/>
              </w:rPr>
              <w:t>2029</w:t>
            </w:r>
            <w:r w:rsidRPr="00D95B42">
              <w:rPr>
                <w:rFonts w:ascii="Times New Roman" w:hAnsi="Times New Roman"/>
                <w:b/>
                <w:bCs/>
                <w:color w:val="000000"/>
                <w:sz w:val="20"/>
              </w:rPr>
              <w:t>年</w:t>
            </w:r>
          </w:p>
        </w:tc>
      </w:tr>
      <w:tr w:rsidR="00CD798F" w:rsidRPr="00D95B42" w14:paraId="7C6335B7" w14:textId="77777777" w:rsidTr="00214723">
        <w:trPr>
          <w:cantSplit/>
          <w:trHeight w:val="454"/>
          <w:jc w:val="center"/>
        </w:trPr>
        <w:tc>
          <w:tcPr>
            <w:tcW w:w="666" w:type="pct"/>
            <w:vMerge w:val="restart"/>
            <w:noWrap/>
            <w:vAlign w:val="center"/>
            <w:hideMark/>
          </w:tcPr>
          <w:p w14:paraId="585B1590"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商家服务</w:t>
            </w:r>
          </w:p>
        </w:tc>
        <w:tc>
          <w:tcPr>
            <w:tcW w:w="505" w:type="pct"/>
            <w:noWrap/>
            <w:vAlign w:val="center"/>
            <w:hideMark/>
          </w:tcPr>
          <w:p w14:paraId="39570796"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毛利率</w:t>
            </w:r>
          </w:p>
        </w:tc>
        <w:tc>
          <w:tcPr>
            <w:tcW w:w="479" w:type="pct"/>
            <w:gridSpan w:val="2"/>
            <w:noWrap/>
            <w:vAlign w:val="center"/>
            <w:hideMark/>
          </w:tcPr>
          <w:p w14:paraId="5ACAC9E7"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87.69%</w:t>
            </w:r>
          </w:p>
        </w:tc>
        <w:tc>
          <w:tcPr>
            <w:tcW w:w="479" w:type="pct"/>
            <w:gridSpan w:val="2"/>
            <w:noWrap/>
            <w:vAlign w:val="center"/>
            <w:hideMark/>
          </w:tcPr>
          <w:p w14:paraId="30B0768A"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88.04%</w:t>
            </w:r>
          </w:p>
        </w:tc>
        <w:tc>
          <w:tcPr>
            <w:tcW w:w="479" w:type="pct"/>
            <w:gridSpan w:val="2"/>
            <w:noWrap/>
            <w:vAlign w:val="center"/>
            <w:hideMark/>
          </w:tcPr>
          <w:p w14:paraId="7CC05AE1"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87.96%</w:t>
            </w:r>
          </w:p>
        </w:tc>
        <w:tc>
          <w:tcPr>
            <w:tcW w:w="479" w:type="pct"/>
            <w:gridSpan w:val="2"/>
            <w:noWrap/>
            <w:vAlign w:val="center"/>
            <w:hideMark/>
          </w:tcPr>
          <w:p w14:paraId="7A6B6644"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86.53%</w:t>
            </w:r>
          </w:p>
        </w:tc>
        <w:tc>
          <w:tcPr>
            <w:tcW w:w="479" w:type="pct"/>
            <w:gridSpan w:val="2"/>
            <w:noWrap/>
            <w:vAlign w:val="center"/>
            <w:hideMark/>
          </w:tcPr>
          <w:p w14:paraId="053F3AB7"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86.09%</w:t>
            </w:r>
          </w:p>
        </w:tc>
        <w:tc>
          <w:tcPr>
            <w:tcW w:w="479" w:type="pct"/>
            <w:gridSpan w:val="2"/>
            <w:noWrap/>
            <w:vAlign w:val="center"/>
            <w:hideMark/>
          </w:tcPr>
          <w:p w14:paraId="65BC234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85.64%</w:t>
            </w:r>
          </w:p>
        </w:tc>
        <w:tc>
          <w:tcPr>
            <w:tcW w:w="479" w:type="pct"/>
            <w:gridSpan w:val="2"/>
            <w:noWrap/>
            <w:vAlign w:val="center"/>
            <w:hideMark/>
          </w:tcPr>
          <w:p w14:paraId="7DA1EF0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85.18%</w:t>
            </w:r>
          </w:p>
        </w:tc>
        <w:tc>
          <w:tcPr>
            <w:tcW w:w="476" w:type="pct"/>
            <w:gridSpan w:val="2"/>
            <w:noWrap/>
            <w:vAlign w:val="center"/>
            <w:hideMark/>
          </w:tcPr>
          <w:p w14:paraId="485B94AB"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84.82%</w:t>
            </w:r>
          </w:p>
        </w:tc>
      </w:tr>
      <w:tr w:rsidR="00CD798F" w:rsidRPr="00D95B42" w14:paraId="66985328" w14:textId="77777777" w:rsidTr="00214723">
        <w:trPr>
          <w:cantSplit/>
          <w:trHeight w:val="454"/>
          <w:jc w:val="center"/>
        </w:trPr>
        <w:tc>
          <w:tcPr>
            <w:tcW w:w="666" w:type="pct"/>
            <w:vMerge/>
            <w:vAlign w:val="center"/>
            <w:hideMark/>
          </w:tcPr>
          <w:p w14:paraId="0510A645" w14:textId="77777777" w:rsidR="00CD798F" w:rsidRPr="00D95B42" w:rsidRDefault="00CD798F" w:rsidP="00214723">
            <w:pPr>
              <w:rPr>
                <w:rFonts w:ascii="Times New Roman" w:hAnsi="Times New Roman"/>
                <w:color w:val="000000"/>
                <w:sz w:val="20"/>
              </w:rPr>
            </w:pPr>
          </w:p>
        </w:tc>
        <w:tc>
          <w:tcPr>
            <w:tcW w:w="505" w:type="pct"/>
            <w:noWrap/>
            <w:vAlign w:val="center"/>
            <w:hideMark/>
          </w:tcPr>
          <w:p w14:paraId="6AC7510C"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收入占比</w:t>
            </w:r>
          </w:p>
        </w:tc>
        <w:tc>
          <w:tcPr>
            <w:tcW w:w="479" w:type="pct"/>
            <w:gridSpan w:val="2"/>
            <w:noWrap/>
            <w:vAlign w:val="center"/>
            <w:hideMark/>
          </w:tcPr>
          <w:p w14:paraId="7B7D2B19"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64.75%</w:t>
            </w:r>
          </w:p>
        </w:tc>
        <w:tc>
          <w:tcPr>
            <w:tcW w:w="479" w:type="pct"/>
            <w:gridSpan w:val="2"/>
            <w:noWrap/>
            <w:vAlign w:val="center"/>
            <w:hideMark/>
          </w:tcPr>
          <w:p w14:paraId="0BEB5419"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54.29%</w:t>
            </w:r>
          </w:p>
        </w:tc>
        <w:tc>
          <w:tcPr>
            <w:tcW w:w="479" w:type="pct"/>
            <w:gridSpan w:val="2"/>
            <w:noWrap/>
            <w:vAlign w:val="center"/>
            <w:hideMark/>
          </w:tcPr>
          <w:p w14:paraId="5E05F9DA"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44.66%</w:t>
            </w:r>
          </w:p>
        </w:tc>
        <w:tc>
          <w:tcPr>
            <w:tcW w:w="479" w:type="pct"/>
            <w:gridSpan w:val="2"/>
            <w:noWrap/>
            <w:vAlign w:val="center"/>
            <w:hideMark/>
          </w:tcPr>
          <w:p w14:paraId="264F17EF"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44.23%</w:t>
            </w:r>
          </w:p>
        </w:tc>
        <w:tc>
          <w:tcPr>
            <w:tcW w:w="479" w:type="pct"/>
            <w:gridSpan w:val="2"/>
            <w:noWrap/>
            <w:vAlign w:val="center"/>
            <w:hideMark/>
          </w:tcPr>
          <w:p w14:paraId="4355E957"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42.80%</w:t>
            </w:r>
          </w:p>
        </w:tc>
        <w:tc>
          <w:tcPr>
            <w:tcW w:w="479" w:type="pct"/>
            <w:gridSpan w:val="2"/>
            <w:noWrap/>
            <w:vAlign w:val="center"/>
            <w:hideMark/>
          </w:tcPr>
          <w:p w14:paraId="51E58D50"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41.82%</w:t>
            </w:r>
          </w:p>
        </w:tc>
        <w:tc>
          <w:tcPr>
            <w:tcW w:w="479" w:type="pct"/>
            <w:gridSpan w:val="2"/>
            <w:noWrap/>
            <w:vAlign w:val="center"/>
            <w:hideMark/>
          </w:tcPr>
          <w:p w14:paraId="6E6B26AD"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41.29%</w:t>
            </w:r>
          </w:p>
        </w:tc>
        <w:tc>
          <w:tcPr>
            <w:tcW w:w="476" w:type="pct"/>
            <w:gridSpan w:val="2"/>
            <w:noWrap/>
            <w:vAlign w:val="center"/>
            <w:hideMark/>
          </w:tcPr>
          <w:p w14:paraId="1FB7BB47"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41.41%</w:t>
            </w:r>
          </w:p>
        </w:tc>
      </w:tr>
      <w:tr w:rsidR="00CD798F" w:rsidRPr="00D95B42" w14:paraId="3BEA9599" w14:textId="77777777" w:rsidTr="00214723">
        <w:trPr>
          <w:cantSplit/>
          <w:trHeight w:val="454"/>
          <w:jc w:val="center"/>
        </w:trPr>
        <w:tc>
          <w:tcPr>
            <w:tcW w:w="666" w:type="pct"/>
            <w:vMerge w:val="restart"/>
            <w:noWrap/>
            <w:vAlign w:val="center"/>
            <w:hideMark/>
          </w:tcPr>
          <w:p w14:paraId="7CBB007E"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lastRenderedPageBreak/>
              <w:t>会员服务</w:t>
            </w:r>
          </w:p>
        </w:tc>
        <w:tc>
          <w:tcPr>
            <w:tcW w:w="505" w:type="pct"/>
            <w:noWrap/>
            <w:vAlign w:val="center"/>
            <w:hideMark/>
          </w:tcPr>
          <w:p w14:paraId="2D0ECF3F"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毛利率</w:t>
            </w:r>
          </w:p>
        </w:tc>
        <w:tc>
          <w:tcPr>
            <w:tcW w:w="479" w:type="pct"/>
            <w:gridSpan w:val="2"/>
            <w:noWrap/>
            <w:vAlign w:val="center"/>
            <w:hideMark/>
          </w:tcPr>
          <w:p w14:paraId="2C3165E6"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78.35%</w:t>
            </w:r>
          </w:p>
        </w:tc>
        <w:tc>
          <w:tcPr>
            <w:tcW w:w="479" w:type="pct"/>
            <w:gridSpan w:val="2"/>
            <w:noWrap/>
            <w:vAlign w:val="center"/>
            <w:hideMark/>
          </w:tcPr>
          <w:p w14:paraId="7E1F035D"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72.27%</w:t>
            </w:r>
          </w:p>
        </w:tc>
        <w:tc>
          <w:tcPr>
            <w:tcW w:w="479" w:type="pct"/>
            <w:gridSpan w:val="2"/>
            <w:noWrap/>
            <w:vAlign w:val="center"/>
            <w:hideMark/>
          </w:tcPr>
          <w:p w14:paraId="06D10CB0"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65.65%</w:t>
            </w:r>
          </w:p>
        </w:tc>
        <w:tc>
          <w:tcPr>
            <w:tcW w:w="479" w:type="pct"/>
            <w:gridSpan w:val="2"/>
            <w:noWrap/>
            <w:vAlign w:val="center"/>
            <w:hideMark/>
          </w:tcPr>
          <w:p w14:paraId="1CE05FD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64.98%</w:t>
            </w:r>
          </w:p>
        </w:tc>
        <w:tc>
          <w:tcPr>
            <w:tcW w:w="479" w:type="pct"/>
            <w:gridSpan w:val="2"/>
            <w:noWrap/>
            <w:vAlign w:val="center"/>
            <w:hideMark/>
          </w:tcPr>
          <w:p w14:paraId="66C92214"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64.79%</w:t>
            </w:r>
          </w:p>
        </w:tc>
        <w:tc>
          <w:tcPr>
            <w:tcW w:w="479" w:type="pct"/>
            <w:gridSpan w:val="2"/>
            <w:noWrap/>
            <w:vAlign w:val="center"/>
            <w:hideMark/>
          </w:tcPr>
          <w:p w14:paraId="4D2D3FD8"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64.87%</w:t>
            </w:r>
          </w:p>
        </w:tc>
        <w:tc>
          <w:tcPr>
            <w:tcW w:w="479" w:type="pct"/>
            <w:gridSpan w:val="2"/>
            <w:noWrap/>
            <w:vAlign w:val="center"/>
            <w:hideMark/>
          </w:tcPr>
          <w:p w14:paraId="5BF70E7E"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65.00%</w:t>
            </w:r>
          </w:p>
        </w:tc>
        <w:tc>
          <w:tcPr>
            <w:tcW w:w="476" w:type="pct"/>
            <w:gridSpan w:val="2"/>
            <w:noWrap/>
            <w:vAlign w:val="center"/>
            <w:hideMark/>
          </w:tcPr>
          <w:p w14:paraId="2FF3ED7D"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64.89%</w:t>
            </w:r>
          </w:p>
        </w:tc>
      </w:tr>
      <w:tr w:rsidR="00CD798F" w:rsidRPr="00D95B42" w14:paraId="38310138" w14:textId="77777777" w:rsidTr="00214723">
        <w:trPr>
          <w:cantSplit/>
          <w:trHeight w:val="454"/>
          <w:jc w:val="center"/>
        </w:trPr>
        <w:tc>
          <w:tcPr>
            <w:tcW w:w="666" w:type="pct"/>
            <w:vMerge/>
            <w:vAlign w:val="center"/>
            <w:hideMark/>
          </w:tcPr>
          <w:p w14:paraId="3179E979" w14:textId="77777777" w:rsidR="00CD798F" w:rsidRPr="00D95B42" w:rsidRDefault="00CD798F" w:rsidP="00214723">
            <w:pPr>
              <w:rPr>
                <w:rFonts w:ascii="Times New Roman" w:hAnsi="Times New Roman"/>
                <w:color w:val="000000"/>
                <w:sz w:val="20"/>
              </w:rPr>
            </w:pPr>
          </w:p>
        </w:tc>
        <w:tc>
          <w:tcPr>
            <w:tcW w:w="505" w:type="pct"/>
            <w:noWrap/>
            <w:vAlign w:val="center"/>
            <w:hideMark/>
          </w:tcPr>
          <w:p w14:paraId="2CFE8719"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收入占比</w:t>
            </w:r>
          </w:p>
        </w:tc>
        <w:tc>
          <w:tcPr>
            <w:tcW w:w="479" w:type="pct"/>
            <w:gridSpan w:val="2"/>
            <w:noWrap/>
            <w:vAlign w:val="center"/>
            <w:hideMark/>
          </w:tcPr>
          <w:p w14:paraId="3B919024"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9.26%</w:t>
            </w:r>
          </w:p>
        </w:tc>
        <w:tc>
          <w:tcPr>
            <w:tcW w:w="479" w:type="pct"/>
            <w:gridSpan w:val="2"/>
            <w:noWrap/>
            <w:vAlign w:val="center"/>
            <w:hideMark/>
          </w:tcPr>
          <w:p w14:paraId="5A53888C"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21.45%</w:t>
            </w:r>
          </w:p>
        </w:tc>
        <w:tc>
          <w:tcPr>
            <w:tcW w:w="479" w:type="pct"/>
            <w:gridSpan w:val="2"/>
            <w:noWrap/>
            <w:vAlign w:val="center"/>
            <w:hideMark/>
          </w:tcPr>
          <w:p w14:paraId="51AA4A09"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35.98%</w:t>
            </w:r>
          </w:p>
        </w:tc>
        <w:tc>
          <w:tcPr>
            <w:tcW w:w="479" w:type="pct"/>
            <w:gridSpan w:val="2"/>
            <w:noWrap/>
            <w:vAlign w:val="center"/>
            <w:hideMark/>
          </w:tcPr>
          <w:p w14:paraId="0CE719AF"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36.71%</w:t>
            </w:r>
          </w:p>
        </w:tc>
        <w:tc>
          <w:tcPr>
            <w:tcW w:w="479" w:type="pct"/>
            <w:gridSpan w:val="2"/>
            <w:noWrap/>
            <w:vAlign w:val="center"/>
            <w:hideMark/>
          </w:tcPr>
          <w:p w14:paraId="18D0FCF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38.91%</w:t>
            </w:r>
          </w:p>
        </w:tc>
        <w:tc>
          <w:tcPr>
            <w:tcW w:w="479" w:type="pct"/>
            <w:gridSpan w:val="2"/>
            <w:noWrap/>
            <w:vAlign w:val="center"/>
            <w:hideMark/>
          </w:tcPr>
          <w:p w14:paraId="24850731"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40.43%</w:t>
            </w:r>
          </w:p>
        </w:tc>
        <w:tc>
          <w:tcPr>
            <w:tcW w:w="479" w:type="pct"/>
            <w:gridSpan w:val="2"/>
            <w:noWrap/>
            <w:vAlign w:val="center"/>
            <w:hideMark/>
          </w:tcPr>
          <w:p w14:paraId="1E71A18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41.41%</w:t>
            </w:r>
          </w:p>
        </w:tc>
        <w:tc>
          <w:tcPr>
            <w:tcW w:w="476" w:type="pct"/>
            <w:gridSpan w:val="2"/>
            <w:noWrap/>
            <w:vAlign w:val="center"/>
            <w:hideMark/>
          </w:tcPr>
          <w:p w14:paraId="084E2012"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41.52%</w:t>
            </w:r>
          </w:p>
        </w:tc>
      </w:tr>
      <w:tr w:rsidR="00CD798F" w:rsidRPr="00D95B42" w14:paraId="2F4CD3AA" w14:textId="77777777" w:rsidTr="00214723">
        <w:trPr>
          <w:cantSplit/>
          <w:trHeight w:val="454"/>
          <w:jc w:val="center"/>
        </w:trPr>
        <w:tc>
          <w:tcPr>
            <w:tcW w:w="666" w:type="pct"/>
            <w:vMerge w:val="restart"/>
            <w:noWrap/>
            <w:vAlign w:val="center"/>
            <w:hideMark/>
          </w:tcPr>
          <w:p w14:paraId="4B08A167"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收单外包服务及其他</w:t>
            </w:r>
          </w:p>
        </w:tc>
        <w:tc>
          <w:tcPr>
            <w:tcW w:w="505" w:type="pct"/>
            <w:noWrap/>
            <w:vAlign w:val="center"/>
            <w:hideMark/>
          </w:tcPr>
          <w:p w14:paraId="2524C104"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毛利率</w:t>
            </w:r>
          </w:p>
        </w:tc>
        <w:tc>
          <w:tcPr>
            <w:tcW w:w="479" w:type="pct"/>
            <w:gridSpan w:val="2"/>
            <w:noWrap/>
            <w:vAlign w:val="center"/>
            <w:hideMark/>
          </w:tcPr>
          <w:p w14:paraId="0E0D6CB4"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99.63%</w:t>
            </w:r>
          </w:p>
        </w:tc>
        <w:tc>
          <w:tcPr>
            <w:tcW w:w="479" w:type="pct"/>
            <w:gridSpan w:val="2"/>
            <w:noWrap/>
            <w:vAlign w:val="center"/>
            <w:hideMark/>
          </w:tcPr>
          <w:p w14:paraId="340FFC59"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99.39%</w:t>
            </w:r>
          </w:p>
        </w:tc>
        <w:tc>
          <w:tcPr>
            <w:tcW w:w="479" w:type="pct"/>
            <w:gridSpan w:val="2"/>
            <w:noWrap/>
            <w:vAlign w:val="center"/>
            <w:hideMark/>
          </w:tcPr>
          <w:p w14:paraId="6450BCB2"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98.99%</w:t>
            </w:r>
          </w:p>
        </w:tc>
        <w:tc>
          <w:tcPr>
            <w:tcW w:w="479" w:type="pct"/>
            <w:gridSpan w:val="2"/>
            <w:noWrap/>
            <w:vAlign w:val="center"/>
            <w:hideMark/>
          </w:tcPr>
          <w:p w14:paraId="0863D4C1"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99.16%</w:t>
            </w:r>
          </w:p>
        </w:tc>
        <w:tc>
          <w:tcPr>
            <w:tcW w:w="479" w:type="pct"/>
            <w:gridSpan w:val="2"/>
            <w:noWrap/>
            <w:vAlign w:val="center"/>
            <w:hideMark/>
          </w:tcPr>
          <w:p w14:paraId="78E5ACA7"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99.30%</w:t>
            </w:r>
          </w:p>
        </w:tc>
        <w:tc>
          <w:tcPr>
            <w:tcW w:w="479" w:type="pct"/>
            <w:gridSpan w:val="2"/>
            <w:noWrap/>
            <w:vAlign w:val="center"/>
            <w:hideMark/>
          </w:tcPr>
          <w:p w14:paraId="1E1D79E2"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99.21%</w:t>
            </w:r>
          </w:p>
        </w:tc>
        <w:tc>
          <w:tcPr>
            <w:tcW w:w="479" w:type="pct"/>
            <w:gridSpan w:val="2"/>
            <w:noWrap/>
            <w:vAlign w:val="center"/>
            <w:hideMark/>
          </w:tcPr>
          <w:p w14:paraId="6BD98646"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99.12%</w:t>
            </w:r>
          </w:p>
        </w:tc>
        <w:tc>
          <w:tcPr>
            <w:tcW w:w="476" w:type="pct"/>
            <w:gridSpan w:val="2"/>
            <w:noWrap/>
            <w:vAlign w:val="center"/>
            <w:hideMark/>
          </w:tcPr>
          <w:p w14:paraId="13012DF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99.03%</w:t>
            </w:r>
          </w:p>
        </w:tc>
      </w:tr>
      <w:tr w:rsidR="00CD798F" w:rsidRPr="00D95B42" w14:paraId="1522A779" w14:textId="77777777" w:rsidTr="00214723">
        <w:trPr>
          <w:cantSplit/>
          <w:trHeight w:val="454"/>
          <w:jc w:val="center"/>
        </w:trPr>
        <w:tc>
          <w:tcPr>
            <w:tcW w:w="666" w:type="pct"/>
            <w:vMerge/>
            <w:vAlign w:val="center"/>
            <w:hideMark/>
          </w:tcPr>
          <w:p w14:paraId="3160FB6C" w14:textId="77777777" w:rsidR="00CD798F" w:rsidRPr="00D95B42" w:rsidRDefault="00CD798F" w:rsidP="00214723">
            <w:pPr>
              <w:rPr>
                <w:rFonts w:ascii="Times New Roman" w:hAnsi="Times New Roman"/>
                <w:color w:val="000000"/>
                <w:sz w:val="20"/>
              </w:rPr>
            </w:pPr>
          </w:p>
        </w:tc>
        <w:tc>
          <w:tcPr>
            <w:tcW w:w="505" w:type="pct"/>
            <w:noWrap/>
            <w:vAlign w:val="center"/>
            <w:hideMark/>
          </w:tcPr>
          <w:p w14:paraId="709A2FD4"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收入占比</w:t>
            </w:r>
          </w:p>
        </w:tc>
        <w:tc>
          <w:tcPr>
            <w:tcW w:w="479" w:type="pct"/>
            <w:gridSpan w:val="2"/>
            <w:noWrap/>
            <w:vAlign w:val="center"/>
            <w:hideMark/>
          </w:tcPr>
          <w:p w14:paraId="6629D0CC"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25.99%</w:t>
            </w:r>
          </w:p>
        </w:tc>
        <w:tc>
          <w:tcPr>
            <w:tcW w:w="479" w:type="pct"/>
            <w:gridSpan w:val="2"/>
            <w:noWrap/>
            <w:vAlign w:val="center"/>
            <w:hideMark/>
          </w:tcPr>
          <w:p w14:paraId="6D3C1AD1"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24.26%</w:t>
            </w:r>
          </w:p>
        </w:tc>
        <w:tc>
          <w:tcPr>
            <w:tcW w:w="479" w:type="pct"/>
            <w:gridSpan w:val="2"/>
            <w:noWrap/>
            <w:vAlign w:val="center"/>
            <w:hideMark/>
          </w:tcPr>
          <w:p w14:paraId="35DDB5AB"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19.35%</w:t>
            </w:r>
          </w:p>
        </w:tc>
        <w:tc>
          <w:tcPr>
            <w:tcW w:w="479" w:type="pct"/>
            <w:gridSpan w:val="2"/>
            <w:noWrap/>
            <w:vAlign w:val="center"/>
            <w:hideMark/>
          </w:tcPr>
          <w:p w14:paraId="158F30C6"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19.06%</w:t>
            </w:r>
          </w:p>
        </w:tc>
        <w:tc>
          <w:tcPr>
            <w:tcW w:w="479" w:type="pct"/>
            <w:gridSpan w:val="2"/>
            <w:noWrap/>
            <w:vAlign w:val="center"/>
            <w:hideMark/>
          </w:tcPr>
          <w:p w14:paraId="314ED2A1"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18.29%</w:t>
            </w:r>
          </w:p>
        </w:tc>
        <w:tc>
          <w:tcPr>
            <w:tcW w:w="479" w:type="pct"/>
            <w:gridSpan w:val="2"/>
            <w:noWrap/>
            <w:vAlign w:val="center"/>
            <w:hideMark/>
          </w:tcPr>
          <w:p w14:paraId="37F334E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17.75%</w:t>
            </w:r>
          </w:p>
        </w:tc>
        <w:tc>
          <w:tcPr>
            <w:tcW w:w="479" w:type="pct"/>
            <w:gridSpan w:val="2"/>
            <w:noWrap/>
            <w:vAlign w:val="center"/>
            <w:hideMark/>
          </w:tcPr>
          <w:p w14:paraId="0840F6D5"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17.30%</w:t>
            </w:r>
          </w:p>
        </w:tc>
        <w:tc>
          <w:tcPr>
            <w:tcW w:w="476" w:type="pct"/>
            <w:gridSpan w:val="2"/>
            <w:noWrap/>
            <w:vAlign w:val="center"/>
            <w:hideMark/>
          </w:tcPr>
          <w:p w14:paraId="3F4A015A"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17.07%</w:t>
            </w:r>
          </w:p>
        </w:tc>
      </w:tr>
      <w:tr w:rsidR="00CD798F" w:rsidRPr="00D95B42" w14:paraId="7CCF4D58" w14:textId="77777777" w:rsidTr="00214723">
        <w:trPr>
          <w:cantSplit/>
          <w:trHeight w:val="454"/>
          <w:jc w:val="center"/>
        </w:trPr>
        <w:tc>
          <w:tcPr>
            <w:tcW w:w="666" w:type="pct"/>
            <w:vMerge w:val="restart"/>
            <w:noWrap/>
            <w:vAlign w:val="center"/>
            <w:hideMark/>
          </w:tcPr>
          <w:p w14:paraId="6D7F9543" w14:textId="77777777" w:rsidR="00CD798F" w:rsidRPr="00D95B42" w:rsidRDefault="00CD798F" w:rsidP="00214723">
            <w:pPr>
              <w:rPr>
                <w:rFonts w:ascii="Times New Roman" w:hAnsi="Times New Roman"/>
                <w:b/>
                <w:bCs/>
                <w:color w:val="000000"/>
                <w:sz w:val="20"/>
              </w:rPr>
            </w:pPr>
            <w:r w:rsidRPr="00D95B42">
              <w:rPr>
                <w:rFonts w:ascii="Times New Roman" w:hAnsi="Times New Roman"/>
                <w:b/>
                <w:bCs/>
                <w:color w:val="000000"/>
                <w:sz w:val="20"/>
              </w:rPr>
              <w:t>SaaS</w:t>
            </w:r>
            <w:r w:rsidRPr="00D95B42">
              <w:rPr>
                <w:rFonts w:ascii="Times New Roman" w:hAnsi="Times New Roman"/>
                <w:b/>
                <w:bCs/>
                <w:color w:val="000000"/>
                <w:sz w:val="20"/>
              </w:rPr>
              <w:t>云平台业务</w:t>
            </w:r>
          </w:p>
        </w:tc>
        <w:tc>
          <w:tcPr>
            <w:tcW w:w="505" w:type="pct"/>
            <w:noWrap/>
            <w:vAlign w:val="center"/>
            <w:hideMark/>
          </w:tcPr>
          <w:p w14:paraId="528E100B" w14:textId="77777777" w:rsidR="00CD798F" w:rsidRPr="00D95B42" w:rsidRDefault="00CD798F" w:rsidP="00214723">
            <w:pPr>
              <w:rPr>
                <w:rFonts w:ascii="Times New Roman" w:hAnsi="Times New Roman"/>
                <w:b/>
                <w:bCs/>
                <w:color w:val="000000"/>
                <w:sz w:val="20"/>
              </w:rPr>
            </w:pPr>
            <w:r w:rsidRPr="00D95B42">
              <w:rPr>
                <w:rFonts w:ascii="Times New Roman" w:hAnsi="Times New Roman"/>
                <w:b/>
                <w:bCs/>
                <w:color w:val="000000"/>
                <w:sz w:val="20"/>
              </w:rPr>
              <w:t>毛利率</w:t>
            </w:r>
          </w:p>
        </w:tc>
        <w:tc>
          <w:tcPr>
            <w:tcW w:w="479" w:type="pct"/>
            <w:gridSpan w:val="2"/>
            <w:noWrap/>
            <w:vAlign w:val="center"/>
            <w:hideMark/>
          </w:tcPr>
          <w:p w14:paraId="2F0A54A2"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89.93%</w:t>
            </w:r>
          </w:p>
        </w:tc>
        <w:tc>
          <w:tcPr>
            <w:tcW w:w="479" w:type="pct"/>
            <w:gridSpan w:val="2"/>
            <w:noWrap/>
            <w:vAlign w:val="center"/>
            <w:hideMark/>
          </w:tcPr>
          <w:p w14:paraId="3A5D8E23"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87.41%</w:t>
            </w:r>
          </w:p>
        </w:tc>
        <w:tc>
          <w:tcPr>
            <w:tcW w:w="479" w:type="pct"/>
            <w:gridSpan w:val="2"/>
            <w:noWrap/>
            <w:vAlign w:val="center"/>
            <w:hideMark/>
          </w:tcPr>
          <w:p w14:paraId="3222B2E7"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82.07%</w:t>
            </w:r>
          </w:p>
        </w:tc>
        <w:tc>
          <w:tcPr>
            <w:tcW w:w="479" w:type="pct"/>
            <w:gridSpan w:val="2"/>
            <w:noWrap/>
            <w:vAlign w:val="center"/>
            <w:hideMark/>
          </w:tcPr>
          <w:p w14:paraId="783607C1"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81.03%</w:t>
            </w:r>
          </w:p>
        </w:tc>
        <w:tc>
          <w:tcPr>
            <w:tcW w:w="479" w:type="pct"/>
            <w:gridSpan w:val="2"/>
            <w:noWrap/>
            <w:vAlign w:val="center"/>
            <w:hideMark/>
          </w:tcPr>
          <w:p w14:paraId="4BD46E06"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80.22%</w:t>
            </w:r>
          </w:p>
        </w:tc>
        <w:tc>
          <w:tcPr>
            <w:tcW w:w="479" w:type="pct"/>
            <w:gridSpan w:val="2"/>
            <w:noWrap/>
            <w:vAlign w:val="center"/>
            <w:hideMark/>
          </w:tcPr>
          <w:p w14:paraId="2F8DC036"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79.65%</w:t>
            </w:r>
          </w:p>
        </w:tc>
        <w:tc>
          <w:tcPr>
            <w:tcW w:w="479" w:type="pct"/>
            <w:gridSpan w:val="2"/>
            <w:noWrap/>
            <w:vAlign w:val="center"/>
            <w:hideMark/>
          </w:tcPr>
          <w:p w14:paraId="6C139DE6"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79.23%</w:t>
            </w:r>
          </w:p>
        </w:tc>
        <w:tc>
          <w:tcPr>
            <w:tcW w:w="476" w:type="pct"/>
            <w:gridSpan w:val="2"/>
            <w:noWrap/>
            <w:vAlign w:val="center"/>
            <w:hideMark/>
          </w:tcPr>
          <w:p w14:paraId="479D68EE"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78.97%</w:t>
            </w:r>
          </w:p>
        </w:tc>
      </w:tr>
      <w:tr w:rsidR="00CD798F" w:rsidRPr="00D95B42" w14:paraId="46FDB3EC" w14:textId="77777777" w:rsidTr="00214723">
        <w:trPr>
          <w:cantSplit/>
          <w:trHeight w:val="454"/>
          <w:jc w:val="center"/>
        </w:trPr>
        <w:tc>
          <w:tcPr>
            <w:tcW w:w="666" w:type="pct"/>
            <w:vMerge/>
            <w:vAlign w:val="center"/>
            <w:hideMark/>
          </w:tcPr>
          <w:p w14:paraId="37D735D6" w14:textId="77777777" w:rsidR="00CD798F" w:rsidRPr="00D95B42" w:rsidRDefault="00CD798F" w:rsidP="00214723">
            <w:pPr>
              <w:rPr>
                <w:rFonts w:ascii="Times New Roman" w:hAnsi="Times New Roman"/>
                <w:b/>
                <w:bCs/>
                <w:color w:val="000000"/>
                <w:sz w:val="20"/>
              </w:rPr>
            </w:pPr>
          </w:p>
        </w:tc>
        <w:tc>
          <w:tcPr>
            <w:tcW w:w="505" w:type="pct"/>
            <w:noWrap/>
            <w:vAlign w:val="center"/>
            <w:hideMark/>
          </w:tcPr>
          <w:p w14:paraId="563918CD" w14:textId="77777777" w:rsidR="00CD798F" w:rsidRPr="00D95B42" w:rsidRDefault="00CD798F" w:rsidP="00214723">
            <w:pPr>
              <w:rPr>
                <w:rFonts w:ascii="Times New Roman" w:hAnsi="Times New Roman"/>
                <w:b/>
                <w:bCs/>
                <w:color w:val="000000"/>
                <w:sz w:val="20"/>
              </w:rPr>
            </w:pPr>
            <w:r w:rsidRPr="00D95B42">
              <w:rPr>
                <w:rFonts w:ascii="Times New Roman" w:hAnsi="Times New Roman"/>
                <w:b/>
                <w:bCs/>
                <w:color w:val="000000"/>
                <w:sz w:val="20"/>
              </w:rPr>
              <w:t>收入占比</w:t>
            </w:r>
          </w:p>
        </w:tc>
        <w:tc>
          <w:tcPr>
            <w:tcW w:w="479" w:type="pct"/>
            <w:gridSpan w:val="2"/>
            <w:noWrap/>
            <w:vAlign w:val="center"/>
            <w:hideMark/>
          </w:tcPr>
          <w:p w14:paraId="677943F1"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c>
          <w:tcPr>
            <w:tcW w:w="479" w:type="pct"/>
            <w:gridSpan w:val="2"/>
            <w:noWrap/>
            <w:vAlign w:val="center"/>
            <w:hideMark/>
          </w:tcPr>
          <w:p w14:paraId="32305BBA"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c>
          <w:tcPr>
            <w:tcW w:w="479" w:type="pct"/>
            <w:gridSpan w:val="2"/>
            <w:noWrap/>
            <w:vAlign w:val="center"/>
            <w:hideMark/>
          </w:tcPr>
          <w:p w14:paraId="043BCCFC"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c>
          <w:tcPr>
            <w:tcW w:w="479" w:type="pct"/>
            <w:gridSpan w:val="2"/>
            <w:noWrap/>
            <w:vAlign w:val="center"/>
            <w:hideMark/>
          </w:tcPr>
          <w:p w14:paraId="05338DEE"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c>
          <w:tcPr>
            <w:tcW w:w="479" w:type="pct"/>
            <w:gridSpan w:val="2"/>
            <w:noWrap/>
            <w:vAlign w:val="center"/>
            <w:hideMark/>
          </w:tcPr>
          <w:p w14:paraId="25D8A7A6"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c>
          <w:tcPr>
            <w:tcW w:w="479" w:type="pct"/>
            <w:gridSpan w:val="2"/>
            <w:noWrap/>
            <w:vAlign w:val="center"/>
            <w:hideMark/>
          </w:tcPr>
          <w:p w14:paraId="03A44A06"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c>
          <w:tcPr>
            <w:tcW w:w="479" w:type="pct"/>
            <w:gridSpan w:val="2"/>
            <w:noWrap/>
            <w:vAlign w:val="center"/>
            <w:hideMark/>
          </w:tcPr>
          <w:p w14:paraId="50B87CEE"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c>
          <w:tcPr>
            <w:tcW w:w="476" w:type="pct"/>
            <w:gridSpan w:val="2"/>
            <w:noWrap/>
            <w:vAlign w:val="center"/>
            <w:hideMark/>
          </w:tcPr>
          <w:p w14:paraId="509D8B81" w14:textId="77777777" w:rsidR="00CD798F" w:rsidRPr="00D95B42" w:rsidRDefault="00CD798F" w:rsidP="00214723">
            <w:pPr>
              <w:jc w:val="right"/>
              <w:rPr>
                <w:rFonts w:ascii="Times New Roman" w:hAnsi="Times New Roman"/>
                <w:b/>
                <w:bCs/>
                <w:color w:val="000000"/>
                <w:sz w:val="20"/>
              </w:rPr>
            </w:pPr>
            <w:r w:rsidRPr="00D95B42">
              <w:rPr>
                <w:rFonts w:ascii="Times New Roman" w:hAnsi="Times New Roman"/>
                <w:b/>
                <w:bCs/>
                <w:color w:val="000000"/>
                <w:sz w:val="20"/>
              </w:rPr>
              <w:t>100.00%</w:t>
            </w:r>
          </w:p>
        </w:tc>
      </w:tr>
    </w:tbl>
    <w:p w14:paraId="0DEC3955" w14:textId="77777777" w:rsidR="00CD798F" w:rsidRPr="00CD7CB6" w:rsidRDefault="00CD798F" w:rsidP="00CD798F">
      <w:pPr>
        <w:pStyle w:val="005"/>
        <w:spacing w:before="120" w:after="120"/>
        <w:ind w:firstLine="400"/>
        <w:rPr>
          <w:sz w:val="20"/>
          <w:szCs w:val="18"/>
        </w:rPr>
      </w:pPr>
      <w:r w:rsidRPr="00CD7CB6">
        <w:rPr>
          <w:rFonts w:hint="eastAsia"/>
          <w:sz w:val="20"/>
          <w:szCs w:val="18"/>
        </w:rPr>
        <w:t>注：其他商家服务包括客户定制化开发业务等。</w:t>
      </w:r>
    </w:p>
    <w:p w14:paraId="3A602821" w14:textId="77777777" w:rsidR="00CD798F" w:rsidRDefault="00CD798F" w:rsidP="00CD798F">
      <w:pPr>
        <w:pStyle w:val="005"/>
        <w:spacing w:before="120" w:after="120"/>
        <w:ind w:firstLine="480"/>
      </w:pPr>
      <w:r w:rsidRPr="00E958DD">
        <w:rPr>
          <w:rFonts w:hint="eastAsia"/>
        </w:rPr>
        <w:t>预测期内</w:t>
      </w:r>
      <w:r>
        <w:rPr>
          <w:rFonts w:hint="eastAsia"/>
        </w:rPr>
        <w:t>SaaS</w:t>
      </w:r>
      <w:r w:rsidRPr="00E958DD">
        <w:rPr>
          <w:rFonts w:hint="eastAsia"/>
        </w:rPr>
        <w:t>云平台的整体业务毛利率呈现逐年下降的趋势，这主要</w:t>
      </w:r>
      <w:r w:rsidRPr="001F1799">
        <w:rPr>
          <w:rFonts w:hint="eastAsia"/>
        </w:rPr>
        <w:t>系收入结构的变化</w:t>
      </w:r>
      <w:r>
        <w:rPr>
          <w:rFonts w:hint="eastAsia"/>
        </w:rPr>
        <w:t>导致</w:t>
      </w:r>
      <w:r w:rsidRPr="001F1799">
        <w:rPr>
          <w:rFonts w:hint="eastAsia"/>
        </w:rPr>
        <w:t>，毛利率较低的会员服务业务在报告期内收入快速增长，预计未来</w:t>
      </w:r>
      <w:r>
        <w:rPr>
          <w:rFonts w:hint="eastAsia"/>
        </w:rPr>
        <w:t>继续</w:t>
      </w:r>
      <w:r w:rsidRPr="001F1799">
        <w:rPr>
          <w:rFonts w:hint="eastAsia"/>
        </w:rPr>
        <w:t>稳步增长</w:t>
      </w:r>
      <w:r>
        <w:rPr>
          <w:rFonts w:hint="eastAsia"/>
        </w:rPr>
        <w:t>，使得</w:t>
      </w:r>
      <w:r w:rsidRPr="001F1799">
        <w:rPr>
          <w:rFonts w:hint="eastAsia"/>
        </w:rPr>
        <w:t>预测期内</w:t>
      </w:r>
      <w:r w:rsidRPr="001F1799">
        <w:rPr>
          <w:rFonts w:hint="eastAsia"/>
        </w:rPr>
        <w:t>SaaS</w:t>
      </w:r>
      <w:r w:rsidRPr="001F1799">
        <w:rPr>
          <w:rFonts w:hint="eastAsia"/>
        </w:rPr>
        <w:t>云平台</w:t>
      </w:r>
      <w:r>
        <w:rPr>
          <w:rFonts w:hint="eastAsia"/>
        </w:rPr>
        <w:t>整体毛利率有所下降。</w:t>
      </w:r>
    </w:p>
    <w:p w14:paraId="15F040F3" w14:textId="77777777" w:rsidR="00CD798F" w:rsidRPr="00E958DD" w:rsidRDefault="00CD798F" w:rsidP="00CD798F">
      <w:pPr>
        <w:pStyle w:val="004"/>
        <w:spacing w:before="120" w:after="120"/>
        <w:ind w:firstLine="482"/>
        <w:outlineLvl w:val="4"/>
      </w:pPr>
      <w:r w:rsidRPr="00461310">
        <w:rPr>
          <w:rFonts w:hint="eastAsia"/>
        </w:rPr>
        <w:t>（</w:t>
      </w:r>
      <w:r>
        <w:rPr>
          <w:rFonts w:hint="eastAsia"/>
        </w:rPr>
        <w:t>1</w:t>
      </w:r>
      <w:r w:rsidRPr="00461310">
        <w:rPr>
          <w:rFonts w:hint="eastAsia"/>
        </w:rPr>
        <w:t>）</w:t>
      </w:r>
      <w:r>
        <w:rPr>
          <w:rFonts w:hint="eastAsia"/>
        </w:rPr>
        <w:t>商家服务</w:t>
      </w:r>
    </w:p>
    <w:p w14:paraId="3CF85E47" w14:textId="77777777" w:rsidR="00CD798F" w:rsidRDefault="00CD798F" w:rsidP="00CD798F">
      <w:pPr>
        <w:pStyle w:val="005"/>
        <w:spacing w:before="120" w:after="120"/>
        <w:ind w:firstLine="480"/>
      </w:pPr>
      <w:r w:rsidRPr="00C60C03">
        <w:rPr>
          <w:rFonts w:hint="eastAsia"/>
        </w:rPr>
        <w:t>预测期内，商家服务收入的毛利率预计将小幅下降，但仍将保持相对稳定。</w:t>
      </w:r>
      <w:r>
        <w:rPr>
          <w:rFonts w:hint="eastAsia"/>
        </w:rPr>
        <w:t>主要系由于毛利率相对较低的智慧出行领域商家服务业务未来预计增长较快，使得整体商家服务毛利率略微下降，</w:t>
      </w:r>
      <w:r w:rsidRPr="00C60C03">
        <w:rPr>
          <w:rFonts w:hint="eastAsia"/>
        </w:rPr>
        <w:t>具备合理</w:t>
      </w:r>
      <w:r>
        <w:rPr>
          <w:rFonts w:hint="eastAsia"/>
        </w:rPr>
        <w:t>性</w:t>
      </w:r>
      <w:r w:rsidRPr="00C60C03">
        <w:rPr>
          <w:rFonts w:hint="eastAsia"/>
        </w:rPr>
        <w:t>。</w:t>
      </w:r>
    </w:p>
    <w:p w14:paraId="1F45A5E2" w14:textId="77777777" w:rsidR="00CD798F" w:rsidRDefault="00CD798F" w:rsidP="00CD798F">
      <w:pPr>
        <w:pStyle w:val="004"/>
        <w:spacing w:before="120" w:after="120"/>
        <w:ind w:firstLine="482"/>
        <w:outlineLvl w:val="4"/>
      </w:pPr>
      <w:r w:rsidRPr="00461310">
        <w:rPr>
          <w:rFonts w:hint="eastAsia"/>
        </w:rPr>
        <w:t>（</w:t>
      </w:r>
      <w:r>
        <w:rPr>
          <w:rFonts w:hint="eastAsia"/>
        </w:rPr>
        <w:t>2</w:t>
      </w:r>
      <w:r w:rsidRPr="00461310">
        <w:rPr>
          <w:rFonts w:hint="eastAsia"/>
        </w:rPr>
        <w:t>）</w:t>
      </w:r>
      <w:r>
        <w:rPr>
          <w:rFonts w:hint="eastAsia"/>
        </w:rPr>
        <w:t>会员服务</w:t>
      </w:r>
    </w:p>
    <w:p w14:paraId="4DF98BA5" w14:textId="77777777" w:rsidR="00CD798F" w:rsidRDefault="00CD798F" w:rsidP="00CD798F">
      <w:pPr>
        <w:pStyle w:val="005"/>
        <w:spacing w:before="120" w:after="120"/>
        <w:ind w:firstLine="480"/>
      </w:pPr>
      <w:r w:rsidRPr="00C60C03">
        <w:rPr>
          <w:rFonts w:hint="eastAsia"/>
        </w:rPr>
        <w:t>报告期内</w:t>
      </w:r>
      <w:r>
        <w:rPr>
          <w:rFonts w:hint="eastAsia"/>
        </w:rPr>
        <w:t>会员服务业务</w:t>
      </w:r>
      <w:r w:rsidRPr="00C60C03">
        <w:rPr>
          <w:rFonts w:hint="eastAsia"/>
        </w:rPr>
        <w:t>毛利率有所下降，</w:t>
      </w:r>
      <w:r>
        <w:rPr>
          <w:rFonts w:hint="eastAsia"/>
        </w:rPr>
        <w:t>主要系</w:t>
      </w:r>
      <w:r w:rsidRPr="00651238">
        <w:rPr>
          <w:rFonts w:hint="eastAsia"/>
        </w:rPr>
        <w:t>标的公司自</w:t>
      </w:r>
      <w:r w:rsidRPr="00651238">
        <w:rPr>
          <w:rFonts w:hint="eastAsia"/>
        </w:rPr>
        <w:t>2023</w:t>
      </w:r>
      <w:r w:rsidRPr="00651238">
        <w:rPr>
          <w:rFonts w:hint="eastAsia"/>
        </w:rPr>
        <w:t>年开始开展会员服务业务以来，</w:t>
      </w:r>
      <w:r>
        <w:rPr>
          <w:rFonts w:hint="eastAsia"/>
        </w:rPr>
        <w:t>持续</w:t>
      </w:r>
      <w:r w:rsidRPr="00651238">
        <w:rPr>
          <w:rFonts w:hint="eastAsia"/>
        </w:rPr>
        <w:t>打磨和挖掘</w:t>
      </w:r>
      <w:r>
        <w:rPr>
          <w:rFonts w:hint="eastAsia"/>
        </w:rPr>
        <w:t>用户潜力</w:t>
      </w:r>
      <w:r w:rsidRPr="00651238">
        <w:rPr>
          <w:rFonts w:hint="eastAsia"/>
        </w:rPr>
        <w:t>，增加了丰富的</w:t>
      </w:r>
      <w:r w:rsidRPr="00651238">
        <w:rPr>
          <w:rFonts w:hint="eastAsia"/>
        </w:rPr>
        <w:t>C</w:t>
      </w:r>
      <w:r w:rsidRPr="00651238">
        <w:rPr>
          <w:rFonts w:hint="eastAsia"/>
        </w:rPr>
        <w:t>端用户会员权益，</w:t>
      </w:r>
      <w:r>
        <w:rPr>
          <w:rFonts w:hint="eastAsia"/>
        </w:rPr>
        <w:t>在</w:t>
      </w:r>
      <w:r w:rsidRPr="00651238">
        <w:rPr>
          <w:rFonts w:hint="eastAsia"/>
        </w:rPr>
        <w:t>提高单用户贡献金额</w:t>
      </w:r>
      <w:r>
        <w:rPr>
          <w:rFonts w:hint="eastAsia"/>
        </w:rPr>
        <w:t>的同时也增加了该业务的成本</w:t>
      </w:r>
      <w:r w:rsidRPr="00651238">
        <w:rPr>
          <w:rFonts w:hint="eastAsia"/>
        </w:rPr>
        <w:t>。预测期内，标的公司将持续</w:t>
      </w:r>
      <w:r w:rsidRPr="008E5366">
        <w:rPr>
          <w:rFonts w:hint="eastAsia"/>
        </w:rPr>
        <w:t>增强用户粘性</w:t>
      </w:r>
      <w:r>
        <w:rPr>
          <w:rFonts w:hint="eastAsia"/>
        </w:rPr>
        <w:t>、</w:t>
      </w:r>
      <w:r w:rsidRPr="00651238">
        <w:rPr>
          <w:rFonts w:hint="eastAsia"/>
        </w:rPr>
        <w:t>丰富权益内容</w:t>
      </w:r>
      <w:r>
        <w:rPr>
          <w:rFonts w:hint="eastAsia"/>
        </w:rPr>
        <w:t>和扩大会员规模</w:t>
      </w:r>
      <w:r w:rsidRPr="00651238">
        <w:rPr>
          <w:rFonts w:hint="eastAsia"/>
        </w:rPr>
        <w:t>，进一步满足用户群体的日常消费需要</w:t>
      </w:r>
      <w:r>
        <w:rPr>
          <w:rFonts w:hint="eastAsia"/>
        </w:rPr>
        <w:t>。因此在该经营策略下，预测期内标的公司在</w:t>
      </w:r>
      <w:r w:rsidRPr="00651238">
        <w:rPr>
          <w:rFonts w:hint="eastAsia"/>
        </w:rPr>
        <w:t>带动会员服务销售收入的持续增长</w:t>
      </w:r>
      <w:r>
        <w:rPr>
          <w:rFonts w:hint="eastAsia"/>
        </w:rPr>
        <w:t>的同时成本持续提高，毛利率有所下降但总体保持稳定，具备合理性。</w:t>
      </w:r>
    </w:p>
    <w:p w14:paraId="796F09C9" w14:textId="330E5B2F" w:rsidR="00CD798F" w:rsidRDefault="00CD798F" w:rsidP="00CD798F">
      <w:pPr>
        <w:pStyle w:val="004"/>
        <w:spacing w:before="120" w:after="120"/>
        <w:ind w:firstLine="482"/>
        <w:outlineLvl w:val="4"/>
      </w:pPr>
      <w:r w:rsidRPr="00461310">
        <w:rPr>
          <w:rFonts w:hint="eastAsia"/>
        </w:rPr>
        <w:lastRenderedPageBreak/>
        <w:t>（</w:t>
      </w:r>
      <w:r>
        <w:rPr>
          <w:rFonts w:hint="eastAsia"/>
        </w:rPr>
        <w:t>3</w:t>
      </w:r>
      <w:r w:rsidRPr="00461310">
        <w:rPr>
          <w:rFonts w:hint="eastAsia"/>
        </w:rPr>
        <w:t>）</w:t>
      </w:r>
      <w:r>
        <w:rPr>
          <w:rFonts w:hint="eastAsia"/>
        </w:rPr>
        <w:t>收单外包</w:t>
      </w:r>
      <w:r w:rsidR="00AB58E0">
        <w:rPr>
          <w:rFonts w:hint="eastAsia"/>
        </w:rPr>
        <w:t>及其他</w:t>
      </w:r>
      <w:r>
        <w:rPr>
          <w:rFonts w:hint="eastAsia"/>
        </w:rPr>
        <w:t>服务</w:t>
      </w:r>
    </w:p>
    <w:p w14:paraId="33D763D9" w14:textId="2C145282" w:rsidR="00CD798F" w:rsidRPr="001F1799" w:rsidRDefault="001C21CA" w:rsidP="00CD798F">
      <w:pPr>
        <w:pStyle w:val="005"/>
        <w:spacing w:before="120" w:after="120"/>
        <w:ind w:firstLine="480"/>
      </w:pPr>
      <w:r w:rsidRPr="001C21CA">
        <w:rPr>
          <w:rFonts w:hint="eastAsia"/>
        </w:rPr>
        <w:t>报告期内及预测期内，收单外包服务的毛利率维持在较高水平并保持稳定，主要系由于收单外包服务成本主要为按交易金额向渠道方支付的少量手续费，该成本金额占收入比例较低且稳定，因此预测期内毛利率预测具备合理性。</w:t>
      </w:r>
    </w:p>
    <w:p w14:paraId="691E512C" w14:textId="77777777" w:rsidR="00CD798F" w:rsidRPr="00E958DD" w:rsidRDefault="00CD798F" w:rsidP="00CD798F">
      <w:pPr>
        <w:pStyle w:val="003"/>
        <w:spacing w:before="120" w:after="120"/>
        <w:ind w:firstLine="482"/>
      </w:pPr>
      <w:r>
        <w:rPr>
          <w:rFonts w:hint="eastAsia"/>
        </w:rPr>
        <w:t>（</w:t>
      </w:r>
      <w:r w:rsidRPr="005F07B4">
        <w:rPr>
          <w:rFonts w:hint="eastAsia"/>
        </w:rPr>
        <w:t>三</w:t>
      </w:r>
      <w:r>
        <w:rPr>
          <w:rFonts w:hint="eastAsia"/>
        </w:rPr>
        <w:t>）</w:t>
      </w:r>
      <w:r w:rsidRPr="005F07B4">
        <w:rPr>
          <w:rFonts w:hint="eastAsia"/>
        </w:rPr>
        <w:t>数字增值服务板块</w:t>
      </w:r>
    </w:p>
    <w:p w14:paraId="4B1D00EA" w14:textId="77777777" w:rsidR="00CD798F" w:rsidRDefault="00CD798F" w:rsidP="00CD798F">
      <w:pPr>
        <w:pStyle w:val="004"/>
        <w:spacing w:before="120" w:after="120"/>
        <w:ind w:firstLine="482"/>
      </w:pPr>
      <w:r w:rsidRPr="005F07B4">
        <w:rPr>
          <w:rFonts w:hint="eastAsia"/>
        </w:rPr>
        <w:t>1</w:t>
      </w:r>
      <w:r w:rsidRPr="005F07B4">
        <w:rPr>
          <w:rFonts w:hint="eastAsia"/>
        </w:rPr>
        <w:t>、</w:t>
      </w:r>
      <w:r w:rsidRPr="001D301B">
        <w:rPr>
          <w:rFonts w:hint="eastAsia"/>
        </w:rPr>
        <w:t>预测期各年</w:t>
      </w:r>
      <w:r>
        <w:rPr>
          <w:rFonts w:hint="eastAsia"/>
        </w:rPr>
        <w:t>度</w:t>
      </w:r>
      <w:r w:rsidRPr="008A26CC">
        <w:rPr>
          <w:rFonts w:hint="eastAsia"/>
        </w:rPr>
        <w:t>收入</w:t>
      </w:r>
      <w:r w:rsidRPr="001D301B">
        <w:rPr>
          <w:rFonts w:hint="eastAsia"/>
        </w:rPr>
        <w:t>具体预测情况、测算过程、测算依据及其合理性</w:t>
      </w:r>
    </w:p>
    <w:p w14:paraId="32B8FB7B" w14:textId="77777777" w:rsidR="00CD798F" w:rsidRDefault="00CD798F" w:rsidP="00CD798F">
      <w:pPr>
        <w:pStyle w:val="005"/>
        <w:spacing w:before="120" w:after="120"/>
        <w:ind w:firstLine="480"/>
      </w:pPr>
      <w:r w:rsidRPr="00946C16">
        <w:rPr>
          <w:rFonts w:hint="eastAsia"/>
        </w:rPr>
        <w:t>标的公司数字增值服务主要包括基于自身</w:t>
      </w:r>
      <w:r w:rsidRPr="00946C16">
        <w:rPr>
          <w:rFonts w:hint="eastAsia"/>
        </w:rPr>
        <w:t>SaaS</w:t>
      </w:r>
      <w:r w:rsidRPr="00946C16">
        <w:rPr>
          <w:rFonts w:hint="eastAsia"/>
        </w:rPr>
        <w:t>云平台为电商平台等客户提供包括开屏广告等全场景数字增值服务。标的公司凭借广泛的用户覆盖、多样化的应用场景及强大的下沉市场渗透能力，未来数字增值服务业务收入将持续增长。本次评估对标的公司未来数字增值服务收入进行预测时，参考了历史经营数据，同时结合支付用户数量、单用户贡献等因素进行综合预测</w:t>
      </w:r>
      <w:r>
        <w:rPr>
          <w:rFonts w:hint="eastAsia"/>
        </w:rPr>
        <w:t>。</w:t>
      </w:r>
    </w:p>
    <w:p w14:paraId="7D947BCA" w14:textId="77777777" w:rsidR="00CD798F" w:rsidRDefault="00CD798F" w:rsidP="00CD798F">
      <w:pPr>
        <w:pStyle w:val="004"/>
        <w:spacing w:before="120" w:after="120"/>
        <w:ind w:firstLine="482"/>
        <w:outlineLvl w:val="4"/>
      </w:pPr>
      <w:r w:rsidRPr="00461310">
        <w:rPr>
          <w:rFonts w:hint="eastAsia"/>
        </w:rPr>
        <w:t>（</w:t>
      </w:r>
      <w:r>
        <w:rPr>
          <w:rFonts w:hint="eastAsia"/>
        </w:rPr>
        <w:t>1</w:t>
      </w:r>
      <w:r w:rsidRPr="00461310">
        <w:rPr>
          <w:rFonts w:hint="eastAsia"/>
        </w:rPr>
        <w:t>）</w:t>
      </w:r>
      <w:r w:rsidRPr="00C60330">
        <w:rPr>
          <w:rFonts w:hint="eastAsia"/>
        </w:rPr>
        <w:t>非场地设备业务</w:t>
      </w:r>
      <w:r w:rsidRPr="00994345">
        <w:rPr>
          <w:rFonts w:hint="eastAsia"/>
        </w:rPr>
        <w:t>数字增值服务</w:t>
      </w:r>
    </w:p>
    <w:p w14:paraId="445DF9FB" w14:textId="77777777" w:rsidR="00CD798F" w:rsidRDefault="00CD798F" w:rsidP="00CD798F">
      <w:pPr>
        <w:pStyle w:val="005"/>
        <w:spacing w:before="120" w:after="120"/>
        <w:ind w:firstLine="480"/>
      </w:pPr>
      <w:r w:rsidRPr="00C60330">
        <w:rPr>
          <w:rFonts w:hint="eastAsia"/>
        </w:rPr>
        <w:t>非场地设备业务</w:t>
      </w:r>
      <w:r>
        <w:rPr>
          <w:rFonts w:hint="eastAsia"/>
        </w:rPr>
        <w:t>数字增值服务</w:t>
      </w:r>
      <w:r w:rsidRPr="00994345">
        <w:rPr>
          <w:rFonts w:hint="eastAsia"/>
        </w:rPr>
        <w:t>业务收入预测主要依据年度支付用户数量和单用户贡献金额进行测算，</w:t>
      </w:r>
      <w:r>
        <w:rPr>
          <w:rFonts w:hint="eastAsia"/>
        </w:rPr>
        <w:t>具体测算情况</w:t>
      </w:r>
      <w:r w:rsidRPr="005F07B4">
        <w:rPr>
          <w:rFonts w:hint="eastAsia"/>
        </w:rPr>
        <w:t>如下：</w:t>
      </w:r>
    </w:p>
    <w:tbl>
      <w:tblPr>
        <w:tblW w:w="6447"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85"/>
        <w:gridCol w:w="1161"/>
        <w:gridCol w:w="1161"/>
        <w:gridCol w:w="1164"/>
        <w:gridCol w:w="1162"/>
        <w:gridCol w:w="1162"/>
        <w:gridCol w:w="1162"/>
        <w:gridCol w:w="1162"/>
        <w:gridCol w:w="1164"/>
      </w:tblGrid>
      <w:tr w:rsidR="00CD798F" w:rsidRPr="00D95B42" w14:paraId="0CBA39EF" w14:textId="77777777" w:rsidTr="00214723">
        <w:trPr>
          <w:cantSplit/>
          <w:trHeight w:val="454"/>
          <w:tblHeader/>
          <w:jc w:val="center"/>
        </w:trPr>
        <w:tc>
          <w:tcPr>
            <w:tcW w:w="1006" w:type="pct"/>
            <w:vMerge w:val="restart"/>
            <w:noWrap/>
            <w:vAlign w:val="center"/>
          </w:tcPr>
          <w:p w14:paraId="644BE6ED"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项目</w:t>
            </w:r>
            <w:r w:rsidRPr="00D95B42">
              <w:rPr>
                <w:rFonts w:ascii="Times New Roman" w:hAnsi="Times New Roman"/>
                <w:b/>
                <w:color w:val="000000"/>
                <w:sz w:val="18"/>
                <w:szCs w:val="21"/>
              </w:rPr>
              <w:t>\</w:t>
            </w:r>
            <w:r w:rsidRPr="00D95B42">
              <w:rPr>
                <w:rFonts w:ascii="Times New Roman" w:hAnsi="Times New Roman"/>
                <w:b/>
                <w:color w:val="000000"/>
                <w:sz w:val="18"/>
                <w:szCs w:val="21"/>
              </w:rPr>
              <w:t>年份</w:t>
            </w:r>
          </w:p>
        </w:tc>
        <w:tc>
          <w:tcPr>
            <w:tcW w:w="1498" w:type="pct"/>
            <w:gridSpan w:val="3"/>
            <w:noWrap/>
            <w:vAlign w:val="center"/>
          </w:tcPr>
          <w:p w14:paraId="4EE6FCA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报告期</w:t>
            </w:r>
          </w:p>
        </w:tc>
        <w:tc>
          <w:tcPr>
            <w:tcW w:w="2496" w:type="pct"/>
            <w:gridSpan w:val="5"/>
            <w:noWrap/>
            <w:vAlign w:val="center"/>
          </w:tcPr>
          <w:p w14:paraId="0E772B06"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预测期</w:t>
            </w:r>
          </w:p>
        </w:tc>
      </w:tr>
      <w:tr w:rsidR="00CD798F" w:rsidRPr="00D95B42" w14:paraId="2EF4E8D9" w14:textId="77777777" w:rsidTr="00214723">
        <w:trPr>
          <w:cantSplit/>
          <w:trHeight w:val="454"/>
          <w:tblHeader/>
          <w:jc w:val="center"/>
        </w:trPr>
        <w:tc>
          <w:tcPr>
            <w:tcW w:w="1006" w:type="pct"/>
            <w:vMerge/>
            <w:noWrap/>
            <w:vAlign w:val="center"/>
            <w:hideMark/>
          </w:tcPr>
          <w:p w14:paraId="5F4D3481" w14:textId="77777777" w:rsidR="00CD798F" w:rsidRPr="00D95B42" w:rsidRDefault="00CD798F" w:rsidP="00214723">
            <w:pPr>
              <w:keepNext/>
              <w:jc w:val="center"/>
              <w:rPr>
                <w:rFonts w:ascii="Times New Roman" w:hAnsi="Times New Roman"/>
                <w:b/>
                <w:color w:val="000000"/>
                <w:sz w:val="18"/>
                <w:szCs w:val="21"/>
              </w:rPr>
            </w:pPr>
          </w:p>
        </w:tc>
        <w:tc>
          <w:tcPr>
            <w:tcW w:w="499" w:type="pct"/>
            <w:noWrap/>
            <w:vAlign w:val="center"/>
            <w:hideMark/>
          </w:tcPr>
          <w:p w14:paraId="2FE418EC"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2023</w:t>
            </w:r>
            <w:r w:rsidRPr="00D95B42">
              <w:rPr>
                <w:rFonts w:ascii="Times New Roman" w:hAnsi="Times New Roman"/>
                <w:b/>
                <w:color w:val="000000"/>
                <w:sz w:val="18"/>
                <w:szCs w:val="21"/>
              </w:rPr>
              <w:t>年度</w:t>
            </w:r>
          </w:p>
        </w:tc>
        <w:tc>
          <w:tcPr>
            <w:tcW w:w="499" w:type="pct"/>
            <w:noWrap/>
            <w:vAlign w:val="center"/>
            <w:hideMark/>
          </w:tcPr>
          <w:p w14:paraId="5C9CEA54"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2024</w:t>
            </w:r>
            <w:r w:rsidRPr="00D95B42">
              <w:rPr>
                <w:rFonts w:ascii="Times New Roman" w:hAnsi="Times New Roman"/>
                <w:b/>
                <w:color w:val="000000"/>
                <w:sz w:val="18"/>
                <w:szCs w:val="21"/>
              </w:rPr>
              <w:t>年度</w:t>
            </w:r>
          </w:p>
        </w:tc>
        <w:tc>
          <w:tcPr>
            <w:tcW w:w="499" w:type="pct"/>
            <w:vAlign w:val="center"/>
          </w:tcPr>
          <w:p w14:paraId="0AD67521"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w:t>
            </w:r>
            <w:r w:rsidRPr="00D95B42">
              <w:rPr>
                <w:rFonts w:ascii="Times New Roman" w:hAnsi="Times New Roman"/>
                <w:b/>
                <w:color w:val="000000"/>
                <w:sz w:val="18"/>
                <w:szCs w:val="21"/>
              </w:rPr>
              <w:t>1-6</w:t>
            </w:r>
            <w:r w:rsidRPr="00D95B42">
              <w:rPr>
                <w:rFonts w:ascii="Times New Roman" w:hAnsi="Times New Roman"/>
                <w:b/>
                <w:color w:val="000000"/>
                <w:sz w:val="18"/>
                <w:szCs w:val="21"/>
              </w:rPr>
              <w:t>月</w:t>
            </w:r>
          </w:p>
        </w:tc>
        <w:tc>
          <w:tcPr>
            <w:tcW w:w="499" w:type="pct"/>
            <w:noWrap/>
            <w:vAlign w:val="center"/>
            <w:hideMark/>
          </w:tcPr>
          <w:p w14:paraId="605839F2"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年度</w:t>
            </w:r>
          </w:p>
        </w:tc>
        <w:tc>
          <w:tcPr>
            <w:tcW w:w="499" w:type="pct"/>
            <w:noWrap/>
            <w:vAlign w:val="center"/>
            <w:hideMark/>
          </w:tcPr>
          <w:p w14:paraId="33B3D347"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2026</w:t>
            </w:r>
            <w:r w:rsidRPr="00D95B42">
              <w:rPr>
                <w:rFonts w:ascii="Times New Roman" w:hAnsi="Times New Roman"/>
                <w:b/>
                <w:color w:val="000000"/>
                <w:sz w:val="18"/>
                <w:szCs w:val="21"/>
              </w:rPr>
              <w:t>年度</w:t>
            </w:r>
          </w:p>
        </w:tc>
        <w:tc>
          <w:tcPr>
            <w:tcW w:w="499" w:type="pct"/>
            <w:noWrap/>
            <w:vAlign w:val="center"/>
            <w:hideMark/>
          </w:tcPr>
          <w:p w14:paraId="14BD26E2"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2027</w:t>
            </w:r>
            <w:r w:rsidRPr="00D95B42">
              <w:rPr>
                <w:rFonts w:ascii="Times New Roman" w:hAnsi="Times New Roman"/>
                <w:b/>
                <w:color w:val="000000"/>
                <w:sz w:val="18"/>
                <w:szCs w:val="21"/>
              </w:rPr>
              <w:t>年度</w:t>
            </w:r>
          </w:p>
        </w:tc>
        <w:tc>
          <w:tcPr>
            <w:tcW w:w="499" w:type="pct"/>
            <w:noWrap/>
            <w:vAlign w:val="center"/>
            <w:hideMark/>
          </w:tcPr>
          <w:p w14:paraId="378968A5"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2028</w:t>
            </w:r>
            <w:r w:rsidRPr="00D95B42">
              <w:rPr>
                <w:rFonts w:ascii="Times New Roman" w:hAnsi="Times New Roman"/>
                <w:b/>
                <w:color w:val="000000"/>
                <w:sz w:val="18"/>
                <w:szCs w:val="21"/>
              </w:rPr>
              <w:t>年度</w:t>
            </w:r>
          </w:p>
        </w:tc>
        <w:tc>
          <w:tcPr>
            <w:tcW w:w="499" w:type="pct"/>
            <w:noWrap/>
            <w:vAlign w:val="center"/>
            <w:hideMark/>
          </w:tcPr>
          <w:p w14:paraId="2D8052CA"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2029</w:t>
            </w:r>
            <w:r w:rsidRPr="00D95B42">
              <w:rPr>
                <w:rFonts w:ascii="Times New Roman" w:hAnsi="Times New Roman"/>
                <w:b/>
                <w:color w:val="000000"/>
                <w:sz w:val="18"/>
                <w:szCs w:val="21"/>
              </w:rPr>
              <w:t>年度</w:t>
            </w:r>
          </w:p>
        </w:tc>
      </w:tr>
      <w:tr w:rsidR="00CD798F" w:rsidRPr="00D95B42" w14:paraId="33BB76E1" w14:textId="77777777" w:rsidTr="00214723">
        <w:trPr>
          <w:cantSplit/>
          <w:trHeight w:val="454"/>
          <w:jc w:val="center"/>
        </w:trPr>
        <w:tc>
          <w:tcPr>
            <w:tcW w:w="1006" w:type="pct"/>
            <w:noWrap/>
            <w:vAlign w:val="center"/>
            <w:hideMark/>
          </w:tcPr>
          <w:p w14:paraId="0495A208"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非场地设备业务</w:t>
            </w:r>
          </w:p>
          <w:p w14:paraId="7B75AE2C"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支付用户数量（万人）</w:t>
            </w:r>
          </w:p>
        </w:tc>
        <w:tc>
          <w:tcPr>
            <w:tcW w:w="499" w:type="pct"/>
            <w:noWrap/>
            <w:vAlign w:val="center"/>
            <w:hideMark/>
          </w:tcPr>
          <w:p w14:paraId="6CA7C0B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53,185.80</w:t>
            </w:r>
          </w:p>
        </w:tc>
        <w:tc>
          <w:tcPr>
            <w:tcW w:w="499" w:type="pct"/>
            <w:noWrap/>
            <w:vAlign w:val="center"/>
            <w:hideMark/>
          </w:tcPr>
          <w:p w14:paraId="7A98707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52,634.31</w:t>
            </w:r>
          </w:p>
        </w:tc>
        <w:tc>
          <w:tcPr>
            <w:tcW w:w="499" w:type="pct"/>
            <w:vAlign w:val="center"/>
          </w:tcPr>
          <w:p w14:paraId="451F4C3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23,893.93</w:t>
            </w:r>
          </w:p>
        </w:tc>
        <w:tc>
          <w:tcPr>
            <w:tcW w:w="499" w:type="pct"/>
            <w:noWrap/>
            <w:vAlign w:val="center"/>
            <w:hideMark/>
          </w:tcPr>
          <w:p w14:paraId="5CBAA7E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55,053.01</w:t>
            </w:r>
          </w:p>
        </w:tc>
        <w:tc>
          <w:tcPr>
            <w:tcW w:w="499" w:type="pct"/>
            <w:noWrap/>
            <w:vAlign w:val="center"/>
            <w:hideMark/>
          </w:tcPr>
          <w:p w14:paraId="7FC71F6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58,783.92</w:t>
            </w:r>
          </w:p>
        </w:tc>
        <w:tc>
          <w:tcPr>
            <w:tcW w:w="499" w:type="pct"/>
            <w:noWrap/>
            <w:vAlign w:val="center"/>
            <w:hideMark/>
          </w:tcPr>
          <w:p w14:paraId="150D9DC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62,434.04</w:t>
            </w:r>
          </w:p>
        </w:tc>
        <w:tc>
          <w:tcPr>
            <w:tcW w:w="499" w:type="pct"/>
            <w:noWrap/>
            <w:vAlign w:val="center"/>
            <w:hideMark/>
          </w:tcPr>
          <w:p w14:paraId="466979A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65,783.09</w:t>
            </w:r>
          </w:p>
        </w:tc>
        <w:tc>
          <w:tcPr>
            <w:tcW w:w="499" w:type="pct"/>
            <w:noWrap/>
            <w:vAlign w:val="center"/>
            <w:hideMark/>
          </w:tcPr>
          <w:p w14:paraId="576E0B7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69,267.97</w:t>
            </w:r>
          </w:p>
        </w:tc>
      </w:tr>
      <w:tr w:rsidR="00CD798F" w:rsidRPr="00D95B42" w14:paraId="61AE6E8C" w14:textId="77777777" w:rsidTr="00214723">
        <w:trPr>
          <w:cantSplit/>
          <w:trHeight w:val="454"/>
          <w:jc w:val="center"/>
        </w:trPr>
        <w:tc>
          <w:tcPr>
            <w:tcW w:w="1006" w:type="pct"/>
            <w:noWrap/>
            <w:vAlign w:val="center"/>
            <w:hideMark/>
          </w:tcPr>
          <w:p w14:paraId="39CC5F9E"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单用户贡献（元</w:t>
            </w:r>
            <w:r w:rsidRPr="00D95B42">
              <w:rPr>
                <w:rFonts w:ascii="Times New Roman" w:hAnsi="Times New Roman"/>
                <w:color w:val="000000"/>
                <w:sz w:val="18"/>
                <w:szCs w:val="21"/>
              </w:rPr>
              <w:t>/</w:t>
            </w:r>
            <w:r w:rsidRPr="00D95B42">
              <w:rPr>
                <w:rFonts w:ascii="Times New Roman" w:hAnsi="Times New Roman"/>
                <w:color w:val="000000"/>
                <w:sz w:val="18"/>
                <w:szCs w:val="21"/>
              </w:rPr>
              <w:t>人）</w:t>
            </w:r>
          </w:p>
        </w:tc>
        <w:tc>
          <w:tcPr>
            <w:tcW w:w="499" w:type="pct"/>
            <w:noWrap/>
            <w:vAlign w:val="center"/>
            <w:hideMark/>
          </w:tcPr>
          <w:p w14:paraId="707D0DFB"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0.10</w:t>
            </w:r>
          </w:p>
        </w:tc>
        <w:tc>
          <w:tcPr>
            <w:tcW w:w="499" w:type="pct"/>
            <w:noWrap/>
            <w:vAlign w:val="center"/>
            <w:hideMark/>
          </w:tcPr>
          <w:p w14:paraId="088E515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0.14</w:t>
            </w:r>
          </w:p>
        </w:tc>
        <w:tc>
          <w:tcPr>
            <w:tcW w:w="499" w:type="pct"/>
            <w:vAlign w:val="center"/>
          </w:tcPr>
          <w:p w14:paraId="56D44E4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0.14</w:t>
            </w:r>
          </w:p>
        </w:tc>
        <w:tc>
          <w:tcPr>
            <w:tcW w:w="499" w:type="pct"/>
            <w:noWrap/>
            <w:vAlign w:val="center"/>
            <w:hideMark/>
          </w:tcPr>
          <w:p w14:paraId="29CCC0EE"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0.13</w:t>
            </w:r>
          </w:p>
        </w:tc>
        <w:tc>
          <w:tcPr>
            <w:tcW w:w="499" w:type="pct"/>
            <w:noWrap/>
            <w:vAlign w:val="center"/>
            <w:hideMark/>
          </w:tcPr>
          <w:p w14:paraId="2F1245F3"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0.13</w:t>
            </w:r>
          </w:p>
        </w:tc>
        <w:tc>
          <w:tcPr>
            <w:tcW w:w="499" w:type="pct"/>
            <w:noWrap/>
            <w:vAlign w:val="center"/>
            <w:hideMark/>
          </w:tcPr>
          <w:p w14:paraId="6B124CC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0.13</w:t>
            </w:r>
          </w:p>
        </w:tc>
        <w:tc>
          <w:tcPr>
            <w:tcW w:w="499" w:type="pct"/>
            <w:noWrap/>
            <w:vAlign w:val="center"/>
            <w:hideMark/>
          </w:tcPr>
          <w:p w14:paraId="38191FE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0.14</w:t>
            </w:r>
          </w:p>
        </w:tc>
        <w:tc>
          <w:tcPr>
            <w:tcW w:w="499" w:type="pct"/>
            <w:noWrap/>
            <w:vAlign w:val="center"/>
            <w:hideMark/>
          </w:tcPr>
          <w:p w14:paraId="36EA9DA4"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0.14</w:t>
            </w:r>
          </w:p>
        </w:tc>
      </w:tr>
      <w:tr w:rsidR="00CD798F" w:rsidRPr="00D95B42" w14:paraId="0A9A9782" w14:textId="77777777" w:rsidTr="00214723">
        <w:trPr>
          <w:cantSplit/>
          <w:trHeight w:val="454"/>
          <w:jc w:val="center"/>
        </w:trPr>
        <w:tc>
          <w:tcPr>
            <w:tcW w:w="1006" w:type="pct"/>
            <w:noWrap/>
            <w:vAlign w:val="center"/>
          </w:tcPr>
          <w:p w14:paraId="7BD3E61E"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非场地设备业务</w:t>
            </w:r>
          </w:p>
          <w:p w14:paraId="0B30175F"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数字增值服务收入（万元）</w:t>
            </w:r>
          </w:p>
        </w:tc>
        <w:tc>
          <w:tcPr>
            <w:tcW w:w="499" w:type="pct"/>
            <w:noWrap/>
            <w:vAlign w:val="center"/>
          </w:tcPr>
          <w:p w14:paraId="4EFD3E66"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5,282.76</w:t>
            </w:r>
          </w:p>
        </w:tc>
        <w:tc>
          <w:tcPr>
            <w:tcW w:w="499" w:type="pct"/>
            <w:noWrap/>
            <w:vAlign w:val="center"/>
          </w:tcPr>
          <w:p w14:paraId="644FB34F"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7,238.74</w:t>
            </w:r>
          </w:p>
        </w:tc>
        <w:tc>
          <w:tcPr>
            <w:tcW w:w="499" w:type="pct"/>
            <w:vAlign w:val="center"/>
          </w:tcPr>
          <w:p w14:paraId="609EB8E3"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3,377.04</w:t>
            </w:r>
          </w:p>
        </w:tc>
        <w:tc>
          <w:tcPr>
            <w:tcW w:w="499" w:type="pct"/>
            <w:noWrap/>
            <w:vAlign w:val="center"/>
          </w:tcPr>
          <w:p w14:paraId="4427B87A"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7,160.45</w:t>
            </w:r>
          </w:p>
        </w:tc>
        <w:tc>
          <w:tcPr>
            <w:tcW w:w="499" w:type="pct"/>
            <w:noWrap/>
            <w:vAlign w:val="center"/>
          </w:tcPr>
          <w:p w14:paraId="42DCFC42"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7,799.77</w:t>
            </w:r>
          </w:p>
        </w:tc>
        <w:tc>
          <w:tcPr>
            <w:tcW w:w="499" w:type="pct"/>
            <w:noWrap/>
            <w:vAlign w:val="center"/>
          </w:tcPr>
          <w:p w14:paraId="32C644F2"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8,380.01</w:t>
            </w:r>
          </w:p>
        </w:tc>
        <w:tc>
          <w:tcPr>
            <w:tcW w:w="499" w:type="pct"/>
            <w:noWrap/>
            <w:vAlign w:val="center"/>
          </w:tcPr>
          <w:p w14:paraId="7B4FD100"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8,913.45</w:t>
            </w:r>
          </w:p>
        </w:tc>
        <w:tc>
          <w:tcPr>
            <w:tcW w:w="499" w:type="pct"/>
            <w:noWrap/>
            <w:vAlign w:val="center"/>
          </w:tcPr>
          <w:p w14:paraId="4011EC14"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9,469.42</w:t>
            </w:r>
          </w:p>
        </w:tc>
      </w:tr>
    </w:tbl>
    <w:p w14:paraId="67B2FA57" w14:textId="2A728593" w:rsidR="00CD798F" w:rsidRDefault="00CD798F" w:rsidP="00CD798F">
      <w:pPr>
        <w:pStyle w:val="005"/>
        <w:spacing w:before="120" w:after="120"/>
        <w:ind w:firstLine="480"/>
      </w:pPr>
      <w:r w:rsidRPr="00C60330">
        <w:rPr>
          <w:rFonts w:hint="eastAsia"/>
        </w:rPr>
        <w:t>非场地设备</w:t>
      </w:r>
      <w:r>
        <w:rPr>
          <w:rFonts w:hint="eastAsia"/>
        </w:rPr>
        <w:t>的</w:t>
      </w:r>
      <w:r w:rsidRPr="00C60330">
        <w:rPr>
          <w:rFonts w:hint="eastAsia"/>
        </w:rPr>
        <w:t>数字增值服务主要为具有品牌推广、用户增长或广告投放需求的广告客户提供精准营销服务。公司依托所积累的</w:t>
      </w:r>
      <w:r w:rsidRPr="00C60330">
        <w:rPr>
          <w:rFonts w:hint="eastAsia"/>
        </w:rPr>
        <w:t>C</w:t>
      </w:r>
      <w:r w:rsidRPr="00C60330">
        <w:rPr>
          <w:rFonts w:hint="eastAsia"/>
        </w:rPr>
        <w:t>端用户资源，通过广告展示、链接跳转、公众号推送等形式，协助客户达成用户获取与业务推广的目标。</w:t>
      </w:r>
    </w:p>
    <w:p w14:paraId="583ACA93" w14:textId="77777777" w:rsidR="00CD798F" w:rsidRDefault="00CD798F" w:rsidP="00CD798F">
      <w:pPr>
        <w:pStyle w:val="005"/>
        <w:spacing w:before="120" w:after="120"/>
        <w:ind w:firstLine="480"/>
      </w:pPr>
      <w:r>
        <w:rPr>
          <w:rFonts w:hint="eastAsia"/>
        </w:rPr>
        <w:t>报告期内，单用户贡献金额有所增长，主要得益于广告主在制定投放决策时，通常会综合评估投放平台的运营能力、终端用户覆盖规模及用户画像特征，标的公司报</w:t>
      </w:r>
      <w:r>
        <w:rPr>
          <w:rFonts w:hint="eastAsia"/>
        </w:rPr>
        <w:lastRenderedPageBreak/>
        <w:t>告期末终端消费者接入数量已近</w:t>
      </w:r>
      <w:r>
        <w:rPr>
          <w:rFonts w:hint="eastAsia"/>
        </w:rPr>
        <w:t>6</w:t>
      </w:r>
      <w:r>
        <w:rPr>
          <w:rFonts w:hint="eastAsia"/>
        </w:rPr>
        <w:t>亿，支付用户数超过</w:t>
      </w:r>
      <w:r>
        <w:rPr>
          <w:rFonts w:hint="eastAsia"/>
        </w:rPr>
        <w:t>5</w:t>
      </w:r>
      <w:r>
        <w:rPr>
          <w:rFonts w:hint="eastAsia"/>
        </w:rPr>
        <w:t>亿，且用户以高活跃度、高消费潜力的青年群体为主，与京东、支付宝等主要广告主的投放目标客群高度契合，使得单用户贡献金额有所增加。基于公司现有用户基础及持续拓展能力，未来将持续获得稳定的广告合作，</w:t>
      </w:r>
      <w:r w:rsidRPr="00C60330">
        <w:rPr>
          <w:rFonts w:hint="eastAsia"/>
        </w:rPr>
        <w:t>预测期内，</w:t>
      </w:r>
      <w:r>
        <w:rPr>
          <w:rFonts w:hint="eastAsia"/>
        </w:rPr>
        <w:t>单用户贡献金额</w:t>
      </w:r>
      <w:r w:rsidRPr="00C60330">
        <w:rPr>
          <w:rFonts w:hint="eastAsia"/>
        </w:rPr>
        <w:t>按</w:t>
      </w:r>
      <w:r w:rsidRPr="00C60330">
        <w:rPr>
          <w:rFonts w:hint="eastAsia"/>
        </w:rPr>
        <w:t>0.13</w:t>
      </w:r>
      <w:r w:rsidRPr="00C60330">
        <w:rPr>
          <w:rFonts w:hint="eastAsia"/>
        </w:rPr>
        <w:t>元至</w:t>
      </w:r>
      <w:r w:rsidRPr="00C60330">
        <w:rPr>
          <w:rFonts w:hint="eastAsia"/>
        </w:rPr>
        <w:t>0.14</w:t>
      </w:r>
      <w:r w:rsidRPr="00C60330">
        <w:rPr>
          <w:rFonts w:hint="eastAsia"/>
        </w:rPr>
        <w:t>元</w:t>
      </w:r>
      <w:r w:rsidRPr="00C60330">
        <w:rPr>
          <w:rFonts w:hint="eastAsia"/>
        </w:rPr>
        <w:t>/</w:t>
      </w:r>
      <w:r>
        <w:rPr>
          <w:rFonts w:hint="eastAsia"/>
        </w:rPr>
        <w:t>人</w:t>
      </w:r>
      <w:r w:rsidRPr="00C60330">
        <w:rPr>
          <w:rFonts w:hint="eastAsia"/>
        </w:rPr>
        <w:t>进行测算具备合理性</w:t>
      </w:r>
      <w:r>
        <w:rPr>
          <w:rFonts w:hint="eastAsia"/>
        </w:rPr>
        <w:t>。</w:t>
      </w:r>
    </w:p>
    <w:p w14:paraId="627A439D" w14:textId="77777777" w:rsidR="00CD798F" w:rsidRPr="00C60330" w:rsidRDefault="00CD798F" w:rsidP="00CD798F">
      <w:pPr>
        <w:pStyle w:val="004"/>
        <w:spacing w:before="120" w:after="120"/>
        <w:ind w:firstLine="482"/>
        <w:outlineLvl w:val="4"/>
      </w:pPr>
      <w:r w:rsidRPr="00461310">
        <w:rPr>
          <w:rFonts w:hint="eastAsia"/>
        </w:rPr>
        <w:t>（</w:t>
      </w:r>
      <w:r>
        <w:rPr>
          <w:rFonts w:hint="eastAsia"/>
        </w:rPr>
        <w:t>1</w:t>
      </w:r>
      <w:r w:rsidRPr="00461310">
        <w:rPr>
          <w:rFonts w:hint="eastAsia"/>
        </w:rPr>
        <w:t>）</w:t>
      </w:r>
      <w:r w:rsidRPr="00C60330">
        <w:rPr>
          <w:rFonts w:hint="eastAsia"/>
        </w:rPr>
        <w:t>场地解决方案业务数字增值服务</w:t>
      </w:r>
    </w:p>
    <w:p w14:paraId="0780D28D" w14:textId="77777777" w:rsidR="00CD798F" w:rsidRDefault="00CD798F" w:rsidP="00CD798F">
      <w:pPr>
        <w:pStyle w:val="005"/>
        <w:spacing w:before="120" w:after="120"/>
        <w:ind w:firstLine="480"/>
      </w:pPr>
      <w:r>
        <w:rPr>
          <w:rFonts w:hint="eastAsia"/>
        </w:rPr>
        <w:t>场地设备解决方案业务的数字增值服务主要系为客户提供引流、运营规划等服务，标的公司</w:t>
      </w:r>
      <w:r w:rsidRPr="00EC47A6">
        <w:rPr>
          <w:rFonts w:hint="eastAsia"/>
        </w:rPr>
        <w:t>基于当期交易额的一定比例收取代运营服务费</w:t>
      </w:r>
      <w:r>
        <w:rPr>
          <w:rFonts w:hint="eastAsia"/>
        </w:rPr>
        <w:t>。因此其</w:t>
      </w:r>
      <w:r w:rsidRPr="00EC47A6">
        <w:rPr>
          <w:rFonts w:hint="eastAsia"/>
        </w:rPr>
        <w:t>收入预测主要依据年度</w:t>
      </w:r>
      <w:r>
        <w:rPr>
          <w:rFonts w:hint="eastAsia"/>
        </w:rPr>
        <w:t>服务费率</w:t>
      </w:r>
      <w:r w:rsidRPr="00EC47A6">
        <w:rPr>
          <w:rFonts w:hint="eastAsia"/>
        </w:rPr>
        <w:t>和</w:t>
      </w:r>
      <w:r>
        <w:rPr>
          <w:rFonts w:hint="eastAsia"/>
        </w:rPr>
        <w:t>代运营总交易金额</w:t>
      </w:r>
      <w:r w:rsidRPr="00EC47A6">
        <w:rPr>
          <w:rFonts w:hint="eastAsia"/>
        </w:rPr>
        <w:t>进行测算</w:t>
      </w:r>
      <w:r>
        <w:rPr>
          <w:rFonts w:hint="eastAsia"/>
        </w:rPr>
        <w:t>。</w:t>
      </w:r>
    </w:p>
    <w:tbl>
      <w:tblPr>
        <w:tblW w:w="6241"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00"/>
        <w:gridCol w:w="1104"/>
        <w:gridCol w:w="1106"/>
        <w:gridCol w:w="1102"/>
        <w:gridCol w:w="1099"/>
        <w:gridCol w:w="1099"/>
        <w:gridCol w:w="1099"/>
        <w:gridCol w:w="1099"/>
        <w:gridCol w:w="1102"/>
      </w:tblGrid>
      <w:tr w:rsidR="00CD798F" w:rsidRPr="00D95B42" w14:paraId="2E13EBCF" w14:textId="77777777" w:rsidTr="00214723">
        <w:trPr>
          <w:cantSplit/>
          <w:trHeight w:val="454"/>
          <w:tblHeader/>
          <w:jc w:val="center"/>
        </w:trPr>
        <w:tc>
          <w:tcPr>
            <w:tcW w:w="1105" w:type="pct"/>
            <w:vMerge w:val="restart"/>
            <w:noWrap/>
            <w:vAlign w:val="center"/>
          </w:tcPr>
          <w:p w14:paraId="741A3001"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项目</w:t>
            </w:r>
            <w:r w:rsidRPr="00D95B42">
              <w:rPr>
                <w:rFonts w:ascii="Times New Roman" w:hAnsi="Times New Roman"/>
                <w:b/>
                <w:color w:val="000000"/>
                <w:sz w:val="18"/>
                <w:szCs w:val="21"/>
              </w:rPr>
              <w:t>\</w:t>
            </w:r>
            <w:r w:rsidRPr="00D95B42">
              <w:rPr>
                <w:rFonts w:ascii="Times New Roman" w:hAnsi="Times New Roman"/>
                <w:b/>
                <w:color w:val="000000"/>
                <w:sz w:val="18"/>
                <w:szCs w:val="21"/>
              </w:rPr>
              <w:t>年份</w:t>
            </w:r>
          </w:p>
        </w:tc>
        <w:tc>
          <w:tcPr>
            <w:tcW w:w="1464" w:type="pct"/>
            <w:gridSpan w:val="3"/>
            <w:noWrap/>
            <w:vAlign w:val="center"/>
          </w:tcPr>
          <w:p w14:paraId="2BB08CD4"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报告期</w:t>
            </w:r>
          </w:p>
        </w:tc>
        <w:tc>
          <w:tcPr>
            <w:tcW w:w="2431" w:type="pct"/>
            <w:gridSpan w:val="5"/>
            <w:noWrap/>
            <w:vAlign w:val="center"/>
          </w:tcPr>
          <w:p w14:paraId="2F175B3C"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预测期</w:t>
            </w:r>
          </w:p>
        </w:tc>
      </w:tr>
      <w:tr w:rsidR="00CD798F" w:rsidRPr="00D95B42" w14:paraId="71C9E998" w14:textId="77777777" w:rsidTr="00214723">
        <w:trPr>
          <w:cantSplit/>
          <w:trHeight w:val="454"/>
          <w:tblHeader/>
          <w:jc w:val="center"/>
        </w:trPr>
        <w:tc>
          <w:tcPr>
            <w:tcW w:w="1105" w:type="pct"/>
            <w:vMerge/>
            <w:noWrap/>
            <w:vAlign w:val="center"/>
            <w:hideMark/>
          </w:tcPr>
          <w:p w14:paraId="4D4A23F6" w14:textId="77777777" w:rsidR="00CD798F" w:rsidRPr="00D95B42" w:rsidRDefault="00CD798F" w:rsidP="00214723">
            <w:pPr>
              <w:keepNext/>
              <w:jc w:val="center"/>
              <w:rPr>
                <w:rFonts w:ascii="Times New Roman" w:hAnsi="Times New Roman"/>
                <w:b/>
                <w:color w:val="000000"/>
                <w:sz w:val="18"/>
                <w:szCs w:val="21"/>
              </w:rPr>
            </w:pPr>
          </w:p>
        </w:tc>
        <w:tc>
          <w:tcPr>
            <w:tcW w:w="488" w:type="pct"/>
            <w:noWrap/>
            <w:vAlign w:val="center"/>
            <w:hideMark/>
          </w:tcPr>
          <w:p w14:paraId="30528450"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2023</w:t>
            </w:r>
            <w:r w:rsidRPr="00D95B42">
              <w:rPr>
                <w:rFonts w:ascii="Times New Roman" w:hAnsi="Times New Roman"/>
                <w:b/>
                <w:color w:val="000000"/>
                <w:sz w:val="18"/>
                <w:szCs w:val="21"/>
              </w:rPr>
              <w:t>年度</w:t>
            </w:r>
          </w:p>
        </w:tc>
        <w:tc>
          <w:tcPr>
            <w:tcW w:w="489" w:type="pct"/>
            <w:noWrap/>
            <w:vAlign w:val="center"/>
            <w:hideMark/>
          </w:tcPr>
          <w:p w14:paraId="68AAB2C6"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2024</w:t>
            </w:r>
            <w:r w:rsidRPr="00D95B42">
              <w:rPr>
                <w:rFonts w:ascii="Times New Roman" w:hAnsi="Times New Roman"/>
                <w:b/>
                <w:color w:val="000000"/>
                <w:sz w:val="18"/>
                <w:szCs w:val="21"/>
              </w:rPr>
              <w:t>年度</w:t>
            </w:r>
          </w:p>
        </w:tc>
        <w:tc>
          <w:tcPr>
            <w:tcW w:w="486" w:type="pct"/>
            <w:vAlign w:val="center"/>
          </w:tcPr>
          <w:p w14:paraId="77993B3B"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w:t>
            </w:r>
          </w:p>
          <w:p w14:paraId="4C823673"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1-6</w:t>
            </w:r>
            <w:r w:rsidRPr="00D95B42">
              <w:rPr>
                <w:rFonts w:ascii="Times New Roman" w:hAnsi="Times New Roman"/>
                <w:b/>
                <w:color w:val="000000"/>
                <w:sz w:val="18"/>
                <w:szCs w:val="21"/>
              </w:rPr>
              <w:t>月</w:t>
            </w:r>
          </w:p>
        </w:tc>
        <w:tc>
          <w:tcPr>
            <w:tcW w:w="486" w:type="pct"/>
            <w:noWrap/>
            <w:vAlign w:val="center"/>
            <w:hideMark/>
          </w:tcPr>
          <w:p w14:paraId="3A6FC8E6"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年度</w:t>
            </w:r>
          </w:p>
        </w:tc>
        <w:tc>
          <w:tcPr>
            <w:tcW w:w="486" w:type="pct"/>
            <w:noWrap/>
            <w:vAlign w:val="center"/>
            <w:hideMark/>
          </w:tcPr>
          <w:p w14:paraId="6D7AE157"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2026</w:t>
            </w:r>
            <w:r w:rsidRPr="00D95B42">
              <w:rPr>
                <w:rFonts w:ascii="Times New Roman" w:hAnsi="Times New Roman"/>
                <w:b/>
                <w:color w:val="000000"/>
                <w:sz w:val="18"/>
                <w:szCs w:val="21"/>
              </w:rPr>
              <w:t>年度</w:t>
            </w:r>
          </w:p>
        </w:tc>
        <w:tc>
          <w:tcPr>
            <w:tcW w:w="486" w:type="pct"/>
            <w:noWrap/>
            <w:vAlign w:val="center"/>
            <w:hideMark/>
          </w:tcPr>
          <w:p w14:paraId="1E23B2E1"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2027</w:t>
            </w:r>
            <w:r w:rsidRPr="00D95B42">
              <w:rPr>
                <w:rFonts w:ascii="Times New Roman" w:hAnsi="Times New Roman"/>
                <w:b/>
                <w:color w:val="000000"/>
                <w:sz w:val="18"/>
                <w:szCs w:val="21"/>
              </w:rPr>
              <w:t>年度</w:t>
            </w:r>
          </w:p>
        </w:tc>
        <w:tc>
          <w:tcPr>
            <w:tcW w:w="486" w:type="pct"/>
            <w:noWrap/>
            <w:vAlign w:val="center"/>
            <w:hideMark/>
          </w:tcPr>
          <w:p w14:paraId="5A922758"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2028</w:t>
            </w:r>
            <w:r w:rsidRPr="00D95B42">
              <w:rPr>
                <w:rFonts w:ascii="Times New Roman" w:hAnsi="Times New Roman"/>
                <w:b/>
                <w:color w:val="000000"/>
                <w:sz w:val="18"/>
                <w:szCs w:val="21"/>
              </w:rPr>
              <w:t>年度</w:t>
            </w:r>
          </w:p>
        </w:tc>
        <w:tc>
          <w:tcPr>
            <w:tcW w:w="486" w:type="pct"/>
            <w:noWrap/>
            <w:vAlign w:val="center"/>
            <w:hideMark/>
          </w:tcPr>
          <w:p w14:paraId="33FC515B"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2029</w:t>
            </w:r>
            <w:r w:rsidRPr="00D95B42">
              <w:rPr>
                <w:rFonts w:ascii="Times New Roman" w:hAnsi="Times New Roman"/>
                <w:b/>
                <w:color w:val="000000"/>
                <w:sz w:val="18"/>
                <w:szCs w:val="21"/>
              </w:rPr>
              <w:t>年度</w:t>
            </w:r>
          </w:p>
        </w:tc>
      </w:tr>
      <w:tr w:rsidR="00CD798F" w:rsidRPr="00D95B42" w14:paraId="0FF5F3BF" w14:textId="77777777" w:rsidTr="00214723">
        <w:trPr>
          <w:cantSplit/>
          <w:trHeight w:val="454"/>
          <w:jc w:val="center"/>
        </w:trPr>
        <w:tc>
          <w:tcPr>
            <w:tcW w:w="1105" w:type="pct"/>
            <w:noWrap/>
            <w:vAlign w:val="center"/>
            <w:hideMark/>
          </w:tcPr>
          <w:p w14:paraId="6A136EBE"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代运营总交易金额（万元）</w:t>
            </w:r>
          </w:p>
        </w:tc>
        <w:tc>
          <w:tcPr>
            <w:tcW w:w="488" w:type="pct"/>
            <w:noWrap/>
            <w:vAlign w:val="center"/>
            <w:hideMark/>
          </w:tcPr>
          <w:p w14:paraId="068C590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4,437.94</w:t>
            </w:r>
          </w:p>
        </w:tc>
        <w:tc>
          <w:tcPr>
            <w:tcW w:w="489" w:type="pct"/>
            <w:noWrap/>
            <w:vAlign w:val="center"/>
            <w:hideMark/>
          </w:tcPr>
          <w:p w14:paraId="5140FC06"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12,532.53</w:t>
            </w:r>
          </w:p>
        </w:tc>
        <w:tc>
          <w:tcPr>
            <w:tcW w:w="486" w:type="pct"/>
            <w:vAlign w:val="center"/>
          </w:tcPr>
          <w:p w14:paraId="451143C7" w14:textId="77777777" w:rsidR="00CD798F" w:rsidRPr="00D95B42" w:rsidRDefault="00CD798F" w:rsidP="00214723">
            <w:pPr>
              <w:jc w:val="center"/>
              <w:rPr>
                <w:rFonts w:ascii="Times New Roman" w:hAnsi="Times New Roman"/>
                <w:color w:val="000000"/>
                <w:sz w:val="18"/>
                <w:szCs w:val="21"/>
              </w:rPr>
            </w:pPr>
            <w:r w:rsidRPr="00D95B42">
              <w:rPr>
                <w:rFonts w:ascii="Times New Roman" w:hAnsi="Times New Roman"/>
                <w:color w:val="000000"/>
                <w:sz w:val="18"/>
                <w:szCs w:val="21"/>
              </w:rPr>
              <w:t>11,373.23</w:t>
            </w:r>
          </w:p>
        </w:tc>
        <w:tc>
          <w:tcPr>
            <w:tcW w:w="486" w:type="pct"/>
            <w:noWrap/>
            <w:vAlign w:val="center"/>
            <w:hideMark/>
          </w:tcPr>
          <w:p w14:paraId="4261FBB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21,904.46</w:t>
            </w:r>
          </w:p>
        </w:tc>
        <w:tc>
          <w:tcPr>
            <w:tcW w:w="486" w:type="pct"/>
            <w:noWrap/>
            <w:vAlign w:val="center"/>
            <w:hideMark/>
          </w:tcPr>
          <w:p w14:paraId="44026DD4"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28,773.06</w:t>
            </w:r>
          </w:p>
        </w:tc>
        <w:tc>
          <w:tcPr>
            <w:tcW w:w="486" w:type="pct"/>
            <w:noWrap/>
            <w:vAlign w:val="center"/>
            <w:hideMark/>
          </w:tcPr>
          <w:p w14:paraId="2C3C296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35,601.06</w:t>
            </w:r>
          </w:p>
        </w:tc>
        <w:tc>
          <w:tcPr>
            <w:tcW w:w="486" w:type="pct"/>
            <w:noWrap/>
            <w:vAlign w:val="center"/>
            <w:hideMark/>
          </w:tcPr>
          <w:p w14:paraId="1B0CD731"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41,365.31</w:t>
            </w:r>
          </w:p>
        </w:tc>
        <w:tc>
          <w:tcPr>
            <w:tcW w:w="486" w:type="pct"/>
            <w:noWrap/>
            <w:vAlign w:val="center"/>
            <w:hideMark/>
          </w:tcPr>
          <w:p w14:paraId="56A841E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45,238.82</w:t>
            </w:r>
          </w:p>
        </w:tc>
      </w:tr>
      <w:tr w:rsidR="00CD798F" w:rsidRPr="00D95B42" w14:paraId="4E39556C" w14:textId="77777777" w:rsidTr="00214723">
        <w:trPr>
          <w:cantSplit/>
          <w:trHeight w:val="454"/>
          <w:jc w:val="center"/>
        </w:trPr>
        <w:tc>
          <w:tcPr>
            <w:tcW w:w="1105" w:type="pct"/>
            <w:noWrap/>
            <w:vAlign w:val="center"/>
            <w:hideMark/>
          </w:tcPr>
          <w:p w14:paraId="6994A746"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服务费率</w:t>
            </w:r>
          </w:p>
        </w:tc>
        <w:tc>
          <w:tcPr>
            <w:tcW w:w="488" w:type="pct"/>
            <w:noWrap/>
            <w:vAlign w:val="center"/>
            <w:hideMark/>
          </w:tcPr>
          <w:p w14:paraId="06E20DD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12.2%</w:t>
            </w:r>
          </w:p>
        </w:tc>
        <w:tc>
          <w:tcPr>
            <w:tcW w:w="489" w:type="pct"/>
            <w:noWrap/>
            <w:vAlign w:val="center"/>
            <w:hideMark/>
          </w:tcPr>
          <w:p w14:paraId="29388ED3"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9.9%</w:t>
            </w:r>
          </w:p>
        </w:tc>
        <w:tc>
          <w:tcPr>
            <w:tcW w:w="486" w:type="pct"/>
            <w:vAlign w:val="center"/>
          </w:tcPr>
          <w:p w14:paraId="79CBF935"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8.7%</w:t>
            </w:r>
          </w:p>
        </w:tc>
        <w:tc>
          <w:tcPr>
            <w:tcW w:w="486" w:type="pct"/>
            <w:noWrap/>
            <w:vAlign w:val="center"/>
            <w:hideMark/>
          </w:tcPr>
          <w:p w14:paraId="21246E2D"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8.7%</w:t>
            </w:r>
          </w:p>
        </w:tc>
        <w:tc>
          <w:tcPr>
            <w:tcW w:w="486" w:type="pct"/>
            <w:noWrap/>
            <w:vAlign w:val="center"/>
            <w:hideMark/>
          </w:tcPr>
          <w:p w14:paraId="0DA37B0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8.3%</w:t>
            </w:r>
          </w:p>
        </w:tc>
        <w:tc>
          <w:tcPr>
            <w:tcW w:w="486" w:type="pct"/>
            <w:noWrap/>
            <w:vAlign w:val="center"/>
            <w:hideMark/>
          </w:tcPr>
          <w:p w14:paraId="53B2BA3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7.8%</w:t>
            </w:r>
          </w:p>
        </w:tc>
        <w:tc>
          <w:tcPr>
            <w:tcW w:w="486" w:type="pct"/>
            <w:noWrap/>
            <w:vAlign w:val="center"/>
            <w:hideMark/>
          </w:tcPr>
          <w:p w14:paraId="0A9EBC8E"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7.4%</w:t>
            </w:r>
          </w:p>
        </w:tc>
        <w:tc>
          <w:tcPr>
            <w:tcW w:w="486" w:type="pct"/>
            <w:noWrap/>
            <w:vAlign w:val="center"/>
            <w:hideMark/>
          </w:tcPr>
          <w:p w14:paraId="06B44EA2"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6.9%</w:t>
            </w:r>
          </w:p>
        </w:tc>
      </w:tr>
      <w:tr w:rsidR="00CD798F" w:rsidRPr="00DB118A" w14:paraId="7A697D5C" w14:textId="77777777" w:rsidTr="00214723">
        <w:trPr>
          <w:cantSplit/>
          <w:trHeight w:val="454"/>
          <w:jc w:val="center"/>
        </w:trPr>
        <w:tc>
          <w:tcPr>
            <w:tcW w:w="1105" w:type="pct"/>
            <w:noWrap/>
            <w:vAlign w:val="center"/>
          </w:tcPr>
          <w:p w14:paraId="088EEF66" w14:textId="77777777" w:rsidR="00CD798F" w:rsidRPr="00E72DA1" w:rsidRDefault="00CD798F" w:rsidP="00214723">
            <w:pPr>
              <w:rPr>
                <w:rFonts w:ascii="Times New Roman" w:hAnsi="Times New Roman"/>
                <w:b/>
                <w:bCs/>
                <w:color w:val="000000"/>
                <w:sz w:val="18"/>
                <w:szCs w:val="21"/>
              </w:rPr>
            </w:pPr>
            <w:r w:rsidRPr="00E72DA1">
              <w:rPr>
                <w:rFonts w:ascii="Times New Roman" w:hAnsi="Times New Roman" w:hint="eastAsia"/>
                <w:b/>
                <w:bCs/>
                <w:color w:val="000000"/>
                <w:sz w:val="18"/>
                <w:szCs w:val="21"/>
              </w:rPr>
              <w:t>场地设备解决方案</w:t>
            </w:r>
          </w:p>
          <w:p w14:paraId="6E82C364" w14:textId="77777777" w:rsidR="00CD798F" w:rsidRPr="00E72DA1" w:rsidRDefault="00CD798F" w:rsidP="00214723">
            <w:pPr>
              <w:rPr>
                <w:rFonts w:ascii="Times New Roman" w:hAnsi="Times New Roman"/>
                <w:b/>
                <w:bCs/>
                <w:color w:val="000000"/>
                <w:sz w:val="18"/>
                <w:szCs w:val="21"/>
              </w:rPr>
            </w:pPr>
            <w:r w:rsidRPr="00E72DA1">
              <w:rPr>
                <w:rFonts w:ascii="Times New Roman" w:hAnsi="Times New Roman" w:hint="eastAsia"/>
                <w:b/>
                <w:bCs/>
                <w:color w:val="000000"/>
                <w:sz w:val="18"/>
                <w:szCs w:val="21"/>
              </w:rPr>
              <w:t>数字增值服务收入（万元）</w:t>
            </w:r>
          </w:p>
        </w:tc>
        <w:tc>
          <w:tcPr>
            <w:tcW w:w="488" w:type="pct"/>
            <w:noWrap/>
            <w:vAlign w:val="center"/>
          </w:tcPr>
          <w:p w14:paraId="298EBB08"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539.40</w:t>
            </w:r>
          </w:p>
        </w:tc>
        <w:tc>
          <w:tcPr>
            <w:tcW w:w="489" w:type="pct"/>
            <w:noWrap/>
            <w:vAlign w:val="center"/>
          </w:tcPr>
          <w:p w14:paraId="63A9E45E"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1,240.79</w:t>
            </w:r>
          </w:p>
        </w:tc>
        <w:tc>
          <w:tcPr>
            <w:tcW w:w="486" w:type="pct"/>
            <w:vAlign w:val="center"/>
          </w:tcPr>
          <w:p w14:paraId="07AAC869" w14:textId="77777777" w:rsidR="00CD798F" w:rsidRPr="00E72DA1" w:rsidRDefault="00CD798F" w:rsidP="00214723">
            <w:pPr>
              <w:jc w:val="center"/>
              <w:rPr>
                <w:rFonts w:ascii="Times New Roman" w:hAnsi="Times New Roman"/>
                <w:b/>
                <w:bCs/>
                <w:color w:val="000000"/>
                <w:sz w:val="18"/>
                <w:szCs w:val="21"/>
              </w:rPr>
            </w:pPr>
            <w:r w:rsidRPr="00E72DA1">
              <w:rPr>
                <w:rFonts w:ascii="Times New Roman" w:hAnsi="Times New Roman"/>
                <w:b/>
                <w:bCs/>
                <w:color w:val="000000"/>
                <w:sz w:val="18"/>
                <w:szCs w:val="21"/>
              </w:rPr>
              <w:t>984.25</w:t>
            </w:r>
          </w:p>
        </w:tc>
        <w:tc>
          <w:tcPr>
            <w:tcW w:w="486" w:type="pct"/>
            <w:noWrap/>
            <w:vAlign w:val="center"/>
          </w:tcPr>
          <w:p w14:paraId="3DD72AF4"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1,898.31</w:t>
            </w:r>
          </w:p>
        </w:tc>
        <w:tc>
          <w:tcPr>
            <w:tcW w:w="486" w:type="pct"/>
            <w:noWrap/>
            <w:vAlign w:val="center"/>
          </w:tcPr>
          <w:p w14:paraId="02979F12"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2,378.17</w:t>
            </w:r>
          </w:p>
        </w:tc>
        <w:tc>
          <w:tcPr>
            <w:tcW w:w="486" w:type="pct"/>
            <w:noWrap/>
            <w:vAlign w:val="center"/>
          </w:tcPr>
          <w:p w14:paraId="0DBE3382"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2,789.97</w:t>
            </w:r>
          </w:p>
        </w:tc>
        <w:tc>
          <w:tcPr>
            <w:tcW w:w="486" w:type="pct"/>
            <w:noWrap/>
            <w:vAlign w:val="center"/>
          </w:tcPr>
          <w:p w14:paraId="54CABE05"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3,057.08</w:t>
            </w:r>
          </w:p>
        </w:tc>
        <w:tc>
          <w:tcPr>
            <w:tcW w:w="486" w:type="pct"/>
            <w:noWrap/>
            <w:vAlign w:val="center"/>
          </w:tcPr>
          <w:p w14:paraId="00E8B4B7" w14:textId="77777777" w:rsidR="00CD798F" w:rsidRPr="00E72DA1" w:rsidRDefault="00CD798F" w:rsidP="00214723">
            <w:pPr>
              <w:jc w:val="right"/>
              <w:rPr>
                <w:rFonts w:ascii="Times New Roman" w:hAnsi="Times New Roman"/>
                <w:b/>
                <w:bCs/>
                <w:color w:val="000000"/>
                <w:sz w:val="18"/>
                <w:szCs w:val="21"/>
              </w:rPr>
            </w:pPr>
            <w:r w:rsidRPr="00E72DA1">
              <w:rPr>
                <w:rFonts w:ascii="Times New Roman" w:hAnsi="Times New Roman"/>
                <w:b/>
                <w:bCs/>
                <w:color w:val="000000"/>
                <w:sz w:val="18"/>
                <w:szCs w:val="21"/>
              </w:rPr>
              <w:t>3,136.03</w:t>
            </w:r>
          </w:p>
        </w:tc>
      </w:tr>
    </w:tbl>
    <w:p w14:paraId="3BFB2B0F" w14:textId="77777777" w:rsidR="00CD798F" w:rsidRPr="006E621F" w:rsidRDefault="00CD798F" w:rsidP="00CD798F">
      <w:pPr>
        <w:pStyle w:val="005"/>
        <w:spacing w:before="120" w:after="120"/>
        <w:ind w:firstLine="400"/>
        <w:rPr>
          <w:sz w:val="20"/>
          <w:szCs w:val="18"/>
        </w:rPr>
      </w:pPr>
      <w:r w:rsidRPr="006E621F">
        <w:rPr>
          <w:rFonts w:hint="eastAsia"/>
          <w:sz w:val="20"/>
          <w:szCs w:val="18"/>
        </w:rPr>
        <w:t>注：代运营总交易金额测算主要结合活跃场地数量和单场地代运营交易金额进行测算</w:t>
      </w:r>
    </w:p>
    <w:p w14:paraId="2DAFAE66" w14:textId="77777777" w:rsidR="00CD798F" w:rsidRDefault="00CD798F" w:rsidP="00CD798F">
      <w:pPr>
        <w:pStyle w:val="005"/>
        <w:spacing w:before="120" w:after="120"/>
        <w:ind w:firstLine="480"/>
      </w:pPr>
      <w:r w:rsidRPr="007D473F">
        <w:rPr>
          <w:rFonts w:hint="eastAsia"/>
        </w:rPr>
        <w:t>报告期内，代运营服务费率有所下降，主要系公司为扩大业务规模、拓展下游场地运营商合作伙伴并提升市场份额，主动采取了更具竞争力的费率策略。公司预计在未来期间将继续通过适度的费率调整，进一步扩大市场份额并推动代运营收入持续增长</w:t>
      </w:r>
      <w:r>
        <w:rPr>
          <w:rFonts w:hint="eastAsia"/>
        </w:rPr>
        <w:t>，此外服务</w:t>
      </w:r>
      <w:r w:rsidRPr="007D473F">
        <w:rPr>
          <w:rFonts w:hint="eastAsia"/>
        </w:rPr>
        <w:t>费率调整</w:t>
      </w:r>
      <w:r>
        <w:rPr>
          <w:rFonts w:hint="eastAsia"/>
        </w:rPr>
        <w:t>将</w:t>
      </w:r>
      <w:r w:rsidRPr="007D473F">
        <w:rPr>
          <w:rFonts w:hint="eastAsia"/>
        </w:rPr>
        <w:t>有助于增强与场地运营商的合作关系，进而促进其新增场地优先选用公司提供的</w:t>
      </w:r>
      <w:r>
        <w:rPr>
          <w:rFonts w:hint="eastAsia"/>
        </w:rPr>
        <w:t>场地整体</w:t>
      </w:r>
      <w:r w:rsidRPr="007D473F">
        <w:rPr>
          <w:rFonts w:hint="eastAsia"/>
        </w:rPr>
        <w:t>解决方案，实现</w:t>
      </w:r>
      <w:r w:rsidRPr="007D473F">
        <w:rPr>
          <w:rFonts w:hint="eastAsia"/>
        </w:rPr>
        <w:t>SaaS</w:t>
      </w:r>
      <w:r w:rsidRPr="007D473F">
        <w:rPr>
          <w:rFonts w:hint="eastAsia"/>
        </w:rPr>
        <w:t>服务与</w:t>
      </w:r>
      <w:r w:rsidRPr="007D473F">
        <w:rPr>
          <w:rFonts w:hint="eastAsia"/>
        </w:rPr>
        <w:t>IoT</w:t>
      </w:r>
      <w:r w:rsidRPr="007D473F">
        <w:rPr>
          <w:rFonts w:hint="eastAsia"/>
        </w:rPr>
        <w:t>硬件销售的业务协同与相互促进。</w:t>
      </w:r>
      <w:r>
        <w:rPr>
          <w:rFonts w:hint="eastAsia"/>
        </w:rPr>
        <w:t>预计</w:t>
      </w:r>
      <w:r w:rsidRPr="007D473F">
        <w:rPr>
          <w:rFonts w:hint="eastAsia"/>
        </w:rPr>
        <w:t>至</w:t>
      </w:r>
      <w:r w:rsidRPr="007D473F">
        <w:rPr>
          <w:rFonts w:hint="eastAsia"/>
        </w:rPr>
        <w:t>2029</w:t>
      </w:r>
      <w:r w:rsidRPr="007D473F">
        <w:rPr>
          <w:rFonts w:hint="eastAsia"/>
        </w:rPr>
        <w:t>年，</w:t>
      </w:r>
      <w:r>
        <w:rPr>
          <w:rFonts w:hint="eastAsia"/>
        </w:rPr>
        <w:t>服务</w:t>
      </w:r>
      <w:r w:rsidRPr="007D473F">
        <w:rPr>
          <w:rFonts w:hint="eastAsia"/>
        </w:rPr>
        <w:t>费率调整的边际效应趋于稳定，永续期将维持该费率水平。</w:t>
      </w:r>
    </w:p>
    <w:p w14:paraId="47C251A0" w14:textId="0A6820A9" w:rsidR="00CD798F" w:rsidRDefault="00CD798F" w:rsidP="00CD798F">
      <w:pPr>
        <w:pStyle w:val="005"/>
        <w:spacing w:before="120" w:after="120"/>
        <w:ind w:firstLine="480"/>
      </w:pPr>
      <w:r>
        <w:rPr>
          <w:rFonts w:hint="eastAsia"/>
        </w:rPr>
        <w:t>除代运营收入以外，</w:t>
      </w:r>
      <w:r w:rsidRPr="007D473F">
        <w:rPr>
          <w:rFonts w:hint="eastAsia"/>
        </w:rPr>
        <w:t>场地设备解决方案业务的数字增值服务</w:t>
      </w:r>
      <w:r>
        <w:rPr>
          <w:rFonts w:hint="eastAsia"/>
        </w:rPr>
        <w:t>存在少量</w:t>
      </w:r>
      <w:r w:rsidR="00137BA5" w:rsidRPr="00137BA5">
        <w:rPr>
          <w:rFonts w:hint="eastAsia"/>
        </w:rPr>
        <w:t>其他</w:t>
      </w:r>
      <w:r>
        <w:rPr>
          <w:rFonts w:hint="eastAsia"/>
        </w:rPr>
        <w:t>收入，该类收入未来按一定金额规模进行测算。</w:t>
      </w:r>
    </w:p>
    <w:p w14:paraId="04C24769" w14:textId="77777777" w:rsidR="00CD798F" w:rsidRDefault="00CD798F" w:rsidP="00CD798F">
      <w:pPr>
        <w:pStyle w:val="005"/>
        <w:spacing w:before="120" w:after="120"/>
        <w:ind w:firstLine="480"/>
      </w:pPr>
      <w:r>
        <w:rPr>
          <w:rFonts w:hint="eastAsia"/>
        </w:rPr>
        <w:lastRenderedPageBreak/>
        <w:t>综上，标的公司数字增值服务收入测算具备合理性。</w:t>
      </w:r>
    </w:p>
    <w:p w14:paraId="2C3A4A48" w14:textId="77777777" w:rsidR="00CD798F" w:rsidRDefault="00CD798F" w:rsidP="00CD798F">
      <w:pPr>
        <w:pStyle w:val="004"/>
        <w:spacing w:before="120" w:after="120"/>
        <w:ind w:firstLine="482"/>
      </w:pPr>
      <w:r w:rsidRPr="00E958DD">
        <w:rPr>
          <w:rFonts w:hint="eastAsia"/>
        </w:rPr>
        <w:t>2</w:t>
      </w:r>
      <w:r w:rsidRPr="00E958DD">
        <w:rPr>
          <w:rFonts w:hint="eastAsia"/>
        </w:rPr>
        <w:t>、</w:t>
      </w:r>
      <w:r w:rsidRPr="00461310">
        <w:rPr>
          <w:rFonts w:hint="eastAsia"/>
        </w:rPr>
        <w:t>预测期各年度毛利率预测情况、测算过程、测算依据及合理性分析</w:t>
      </w:r>
    </w:p>
    <w:p w14:paraId="53407C67" w14:textId="77777777" w:rsidR="00CD798F" w:rsidRDefault="00CD798F" w:rsidP="00CD798F">
      <w:pPr>
        <w:pStyle w:val="005"/>
        <w:spacing w:before="120" w:after="120"/>
        <w:ind w:firstLine="480"/>
      </w:pPr>
      <w:r>
        <w:rPr>
          <w:rFonts w:hint="eastAsia"/>
        </w:rPr>
        <w:t>预测期内，标的公司数字增值服务业务毛利率在</w:t>
      </w:r>
      <w:r>
        <w:rPr>
          <w:rFonts w:hint="eastAsia"/>
        </w:rPr>
        <w:t>5</w:t>
      </w:r>
      <w:r>
        <w:t>8%-61</w:t>
      </w:r>
      <w:r>
        <w:rPr>
          <w:rFonts w:hint="eastAsia"/>
        </w:rPr>
        <w:t>%</w:t>
      </w:r>
      <w:r>
        <w:rPr>
          <w:rFonts w:hint="eastAsia"/>
        </w:rPr>
        <w:t>之间，具体情况如下：</w:t>
      </w:r>
    </w:p>
    <w:tbl>
      <w:tblPr>
        <w:tblW w:w="6021"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48"/>
        <w:gridCol w:w="1209"/>
        <w:gridCol w:w="1209"/>
        <w:gridCol w:w="1300"/>
        <w:gridCol w:w="1209"/>
        <w:gridCol w:w="1209"/>
        <w:gridCol w:w="1209"/>
        <w:gridCol w:w="1209"/>
        <w:gridCol w:w="1209"/>
      </w:tblGrid>
      <w:tr w:rsidR="00CD798F" w:rsidRPr="00D95B42" w14:paraId="64E27D85" w14:textId="77777777" w:rsidTr="00214723">
        <w:trPr>
          <w:cantSplit/>
          <w:trHeight w:val="454"/>
          <w:tblHeader/>
          <w:jc w:val="center"/>
        </w:trPr>
        <w:tc>
          <w:tcPr>
            <w:tcW w:w="527" w:type="pct"/>
            <w:vMerge w:val="restart"/>
            <w:noWrap/>
            <w:vAlign w:val="center"/>
            <w:hideMark/>
          </w:tcPr>
          <w:p w14:paraId="6BF169DC" w14:textId="77777777" w:rsidR="00CD798F" w:rsidRPr="00D95B42" w:rsidRDefault="00CD798F" w:rsidP="00214723">
            <w:pPr>
              <w:keepNext/>
              <w:jc w:val="center"/>
              <w:rPr>
                <w:rFonts w:ascii="Times New Roman" w:hAnsi="Times New Roman"/>
                <w:b/>
                <w:color w:val="000000"/>
                <w:sz w:val="18"/>
                <w:szCs w:val="20"/>
              </w:rPr>
            </w:pPr>
            <w:r w:rsidRPr="00D95B42">
              <w:rPr>
                <w:rFonts w:ascii="Times New Roman" w:hAnsi="Times New Roman"/>
                <w:b/>
                <w:color w:val="000000"/>
                <w:sz w:val="18"/>
                <w:szCs w:val="20"/>
              </w:rPr>
              <w:t>项目</w:t>
            </w:r>
          </w:p>
        </w:tc>
        <w:tc>
          <w:tcPr>
            <w:tcW w:w="1698" w:type="pct"/>
            <w:gridSpan w:val="3"/>
            <w:noWrap/>
            <w:vAlign w:val="center"/>
            <w:hideMark/>
          </w:tcPr>
          <w:p w14:paraId="27771316" w14:textId="77777777" w:rsidR="00CD798F" w:rsidRPr="00D95B42" w:rsidRDefault="00CD798F" w:rsidP="00214723">
            <w:pPr>
              <w:keepNext/>
              <w:jc w:val="center"/>
              <w:rPr>
                <w:rFonts w:ascii="Times New Roman" w:hAnsi="Times New Roman"/>
                <w:b/>
                <w:color w:val="000000"/>
                <w:sz w:val="18"/>
                <w:szCs w:val="20"/>
              </w:rPr>
            </w:pPr>
            <w:r w:rsidRPr="00D95B42">
              <w:rPr>
                <w:rFonts w:ascii="Times New Roman" w:hAnsi="Times New Roman"/>
                <w:b/>
                <w:color w:val="000000"/>
                <w:sz w:val="18"/>
                <w:szCs w:val="20"/>
              </w:rPr>
              <w:t>报告期</w:t>
            </w:r>
          </w:p>
        </w:tc>
        <w:tc>
          <w:tcPr>
            <w:tcW w:w="2775" w:type="pct"/>
            <w:gridSpan w:val="5"/>
            <w:noWrap/>
            <w:vAlign w:val="center"/>
            <w:hideMark/>
          </w:tcPr>
          <w:p w14:paraId="1E23F7B4" w14:textId="77777777" w:rsidR="00CD798F" w:rsidRPr="00D95B42" w:rsidRDefault="00CD798F" w:rsidP="00214723">
            <w:pPr>
              <w:keepNext/>
              <w:jc w:val="center"/>
              <w:rPr>
                <w:rFonts w:ascii="Times New Roman" w:hAnsi="Times New Roman"/>
                <w:b/>
                <w:color w:val="000000"/>
                <w:sz w:val="18"/>
                <w:szCs w:val="20"/>
              </w:rPr>
            </w:pPr>
            <w:r w:rsidRPr="00D95B42">
              <w:rPr>
                <w:rFonts w:ascii="Times New Roman" w:hAnsi="Times New Roman"/>
                <w:b/>
                <w:color w:val="000000"/>
                <w:sz w:val="18"/>
                <w:szCs w:val="20"/>
              </w:rPr>
              <w:t>预测期</w:t>
            </w:r>
          </w:p>
        </w:tc>
      </w:tr>
      <w:tr w:rsidR="00CD798F" w:rsidRPr="00D95B42" w14:paraId="44DF19AB" w14:textId="77777777" w:rsidTr="00214723">
        <w:trPr>
          <w:cantSplit/>
          <w:trHeight w:val="454"/>
          <w:tblHeader/>
          <w:jc w:val="center"/>
        </w:trPr>
        <w:tc>
          <w:tcPr>
            <w:tcW w:w="527" w:type="pct"/>
            <w:vMerge/>
            <w:vAlign w:val="center"/>
            <w:hideMark/>
          </w:tcPr>
          <w:p w14:paraId="5FF63BF2" w14:textId="77777777" w:rsidR="00CD798F" w:rsidRPr="00D95B42" w:rsidRDefault="00CD798F" w:rsidP="00214723">
            <w:pPr>
              <w:keepNext/>
              <w:jc w:val="center"/>
              <w:rPr>
                <w:rFonts w:ascii="Times New Roman" w:hAnsi="Times New Roman"/>
                <w:b/>
                <w:color w:val="000000"/>
                <w:sz w:val="18"/>
                <w:szCs w:val="20"/>
              </w:rPr>
            </w:pPr>
          </w:p>
        </w:tc>
        <w:tc>
          <w:tcPr>
            <w:tcW w:w="555" w:type="pct"/>
            <w:noWrap/>
            <w:vAlign w:val="center"/>
            <w:hideMark/>
          </w:tcPr>
          <w:p w14:paraId="04668A96"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2023</w:t>
            </w:r>
            <w:r w:rsidRPr="00D95B42">
              <w:rPr>
                <w:rFonts w:ascii="Times New Roman" w:hAnsi="Times New Roman"/>
                <w:b/>
                <w:bCs/>
                <w:color w:val="000000"/>
                <w:sz w:val="18"/>
                <w:szCs w:val="20"/>
              </w:rPr>
              <w:t>年度</w:t>
            </w:r>
          </w:p>
        </w:tc>
        <w:tc>
          <w:tcPr>
            <w:tcW w:w="555" w:type="pct"/>
            <w:noWrap/>
            <w:vAlign w:val="center"/>
            <w:hideMark/>
          </w:tcPr>
          <w:p w14:paraId="6CDF3D88"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2024</w:t>
            </w:r>
            <w:r w:rsidRPr="00D95B42">
              <w:rPr>
                <w:rFonts w:ascii="Times New Roman" w:hAnsi="Times New Roman"/>
                <w:b/>
                <w:bCs/>
                <w:color w:val="000000"/>
                <w:sz w:val="18"/>
                <w:szCs w:val="20"/>
              </w:rPr>
              <w:t>年度</w:t>
            </w:r>
          </w:p>
        </w:tc>
        <w:tc>
          <w:tcPr>
            <w:tcW w:w="588" w:type="pct"/>
            <w:noWrap/>
            <w:vAlign w:val="center"/>
            <w:hideMark/>
          </w:tcPr>
          <w:p w14:paraId="4B488E94"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2025</w:t>
            </w:r>
            <w:r w:rsidRPr="00D95B42">
              <w:rPr>
                <w:rFonts w:ascii="Times New Roman" w:hAnsi="Times New Roman"/>
                <w:b/>
                <w:bCs/>
                <w:color w:val="000000"/>
                <w:sz w:val="18"/>
                <w:szCs w:val="20"/>
              </w:rPr>
              <w:t>年</w:t>
            </w:r>
            <w:r w:rsidRPr="00D95B42">
              <w:rPr>
                <w:rFonts w:ascii="Times New Roman" w:hAnsi="Times New Roman"/>
                <w:b/>
                <w:bCs/>
                <w:color w:val="000000"/>
                <w:sz w:val="18"/>
                <w:szCs w:val="20"/>
              </w:rPr>
              <w:t>1-6</w:t>
            </w:r>
            <w:r w:rsidRPr="00D95B42">
              <w:rPr>
                <w:rFonts w:ascii="Times New Roman" w:hAnsi="Times New Roman"/>
                <w:b/>
                <w:bCs/>
                <w:color w:val="000000"/>
                <w:sz w:val="18"/>
                <w:szCs w:val="20"/>
              </w:rPr>
              <w:t>月</w:t>
            </w:r>
          </w:p>
        </w:tc>
        <w:tc>
          <w:tcPr>
            <w:tcW w:w="555" w:type="pct"/>
            <w:noWrap/>
            <w:vAlign w:val="center"/>
            <w:hideMark/>
          </w:tcPr>
          <w:p w14:paraId="3992AD7D"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2025</w:t>
            </w:r>
            <w:r w:rsidRPr="00D95B42">
              <w:rPr>
                <w:rFonts w:ascii="Times New Roman" w:hAnsi="Times New Roman"/>
                <w:b/>
                <w:bCs/>
                <w:color w:val="000000"/>
                <w:sz w:val="18"/>
                <w:szCs w:val="20"/>
              </w:rPr>
              <w:t>年度</w:t>
            </w:r>
          </w:p>
        </w:tc>
        <w:tc>
          <w:tcPr>
            <w:tcW w:w="555" w:type="pct"/>
            <w:noWrap/>
            <w:vAlign w:val="center"/>
            <w:hideMark/>
          </w:tcPr>
          <w:p w14:paraId="4B167990"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2026</w:t>
            </w:r>
            <w:r w:rsidRPr="00D95B42">
              <w:rPr>
                <w:rFonts w:ascii="Times New Roman" w:hAnsi="Times New Roman"/>
                <w:b/>
                <w:bCs/>
                <w:color w:val="000000"/>
                <w:sz w:val="18"/>
                <w:szCs w:val="20"/>
              </w:rPr>
              <w:t>年度</w:t>
            </w:r>
          </w:p>
        </w:tc>
        <w:tc>
          <w:tcPr>
            <w:tcW w:w="555" w:type="pct"/>
            <w:noWrap/>
            <w:vAlign w:val="center"/>
            <w:hideMark/>
          </w:tcPr>
          <w:p w14:paraId="38426B65"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2027</w:t>
            </w:r>
            <w:r w:rsidRPr="00D95B42">
              <w:rPr>
                <w:rFonts w:ascii="Times New Roman" w:hAnsi="Times New Roman"/>
                <w:b/>
                <w:bCs/>
                <w:color w:val="000000"/>
                <w:sz w:val="18"/>
                <w:szCs w:val="20"/>
              </w:rPr>
              <w:t>年度</w:t>
            </w:r>
          </w:p>
        </w:tc>
        <w:tc>
          <w:tcPr>
            <w:tcW w:w="555" w:type="pct"/>
            <w:noWrap/>
            <w:vAlign w:val="center"/>
            <w:hideMark/>
          </w:tcPr>
          <w:p w14:paraId="671ED29D"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2028</w:t>
            </w:r>
            <w:r w:rsidRPr="00D95B42">
              <w:rPr>
                <w:rFonts w:ascii="Times New Roman" w:hAnsi="Times New Roman"/>
                <w:b/>
                <w:bCs/>
                <w:color w:val="000000"/>
                <w:sz w:val="18"/>
                <w:szCs w:val="20"/>
              </w:rPr>
              <w:t>年度</w:t>
            </w:r>
          </w:p>
        </w:tc>
        <w:tc>
          <w:tcPr>
            <w:tcW w:w="554" w:type="pct"/>
            <w:noWrap/>
            <w:vAlign w:val="center"/>
            <w:hideMark/>
          </w:tcPr>
          <w:p w14:paraId="2482B178" w14:textId="77777777" w:rsidR="00CD798F" w:rsidRPr="00D95B42" w:rsidRDefault="00CD798F" w:rsidP="00214723">
            <w:pPr>
              <w:keepNext/>
              <w:jc w:val="center"/>
              <w:rPr>
                <w:rFonts w:ascii="Times New Roman" w:hAnsi="Times New Roman"/>
                <w:b/>
                <w:bCs/>
                <w:color w:val="000000"/>
                <w:sz w:val="18"/>
                <w:szCs w:val="20"/>
              </w:rPr>
            </w:pPr>
            <w:r w:rsidRPr="00D95B42">
              <w:rPr>
                <w:rFonts w:ascii="Times New Roman" w:hAnsi="Times New Roman"/>
                <w:b/>
                <w:bCs/>
                <w:color w:val="000000"/>
                <w:sz w:val="18"/>
                <w:szCs w:val="20"/>
              </w:rPr>
              <w:t>2029</w:t>
            </w:r>
            <w:r w:rsidRPr="00D95B42">
              <w:rPr>
                <w:rFonts w:ascii="Times New Roman" w:hAnsi="Times New Roman"/>
                <w:b/>
                <w:bCs/>
                <w:color w:val="000000"/>
                <w:sz w:val="18"/>
                <w:szCs w:val="20"/>
              </w:rPr>
              <w:t>年度</w:t>
            </w:r>
          </w:p>
        </w:tc>
      </w:tr>
      <w:tr w:rsidR="00CD798F" w:rsidRPr="00D95B42" w14:paraId="4A4819A5" w14:textId="77777777" w:rsidTr="00214723">
        <w:trPr>
          <w:cantSplit/>
          <w:trHeight w:val="454"/>
          <w:jc w:val="center"/>
        </w:trPr>
        <w:tc>
          <w:tcPr>
            <w:tcW w:w="527" w:type="pct"/>
            <w:noWrap/>
            <w:vAlign w:val="center"/>
            <w:hideMark/>
          </w:tcPr>
          <w:p w14:paraId="3DE87D21" w14:textId="77777777" w:rsidR="00CD798F" w:rsidRPr="00D95B42" w:rsidRDefault="00CD798F" w:rsidP="00214723">
            <w:pPr>
              <w:rPr>
                <w:rFonts w:ascii="Times New Roman" w:hAnsi="Times New Roman"/>
                <w:color w:val="000000"/>
                <w:sz w:val="18"/>
                <w:szCs w:val="20"/>
              </w:rPr>
            </w:pPr>
            <w:r w:rsidRPr="00D95B42">
              <w:rPr>
                <w:rFonts w:ascii="Times New Roman" w:hAnsi="Times New Roman"/>
                <w:color w:val="000000"/>
                <w:sz w:val="18"/>
                <w:szCs w:val="20"/>
              </w:rPr>
              <w:t>营业收入</w:t>
            </w:r>
          </w:p>
        </w:tc>
        <w:tc>
          <w:tcPr>
            <w:tcW w:w="555" w:type="pct"/>
            <w:noWrap/>
            <w:vAlign w:val="center"/>
            <w:hideMark/>
          </w:tcPr>
          <w:p w14:paraId="1B1523D2"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5,821.77</w:t>
            </w:r>
          </w:p>
        </w:tc>
        <w:tc>
          <w:tcPr>
            <w:tcW w:w="555" w:type="pct"/>
            <w:noWrap/>
            <w:vAlign w:val="center"/>
            <w:hideMark/>
          </w:tcPr>
          <w:p w14:paraId="150BF80C"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8,479.53</w:t>
            </w:r>
          </w:p>
        </w:tc>
        <w:tc>
          <w:tcPr>
            <w:tcW w:w="588" w:type="pct"/>
            <w:noWrap/>
            <w:vAlign w:val="center"/>
            <w:hideMark/>
          </w:tcPr>
          <w:p w14:paraId="0737A626"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4,361.28</w:t>
            </w:r>
          </w:p>
        </w:tc>
        <w:tc>
          <w:tcPr>
            <w:tcW w:w="555" w:type="pct"/>
            <w:noWrap/>
            <w:vAlign w:val="center"/>
            <w:hideMark/>
          </w:tcPr>
          <w:p w14:paraId="7CEDC5B6"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9,058.76</w:t>
            </w:r>
          </w:p>
        </w:tc>
        <w:tc>
          <w:tcPr>
            <w:tcW w:w="555" w:type="pct"/>
            <w:noWrap/>
            <w:vAlign w:val="center"/>
            <w:hideMark/>
          </w:tcPr>
          <w:p w14:paraId="48C6C304"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10,177.93</w:t>
            </w:r>
          </w:p>
        </w:tc>
        <w:tc>
          <w:tcPr>
            <w:tcW w:w="555" w:type="pct"/>
            <w:noWrap/>
            <w:vAlign w:val="center"/>
            <w:hideMark/>
          </w:tcPr>
          <w:p w14:paraId="0C343983"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11,169.98</w:t>
            </w:r>
          </w:p>
        </w:tc>
        <w:tc>
          <w:tcPr>
            <w:tcW w:w="555" w:type="pct"/>
            <w:noWrap/>
            <w:vAlign w:val="center"/>
            <w:hideMark/>
          </w:tcPr>
          <w:p w14:paraId="4A8F0DE3"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11,970.53</w:t>
            </w:r>
          </w:p>
        </w:tc>
        <w:tc>
          <w:tcPr>
            <w:tcW w:w="554" w:type="pct"/>
            <w:noWrap/>
            <w:vAlign w:val="center"/>
            <w:hideMark/>
          </w:tcPr>
          <w:p w14:paraId="6D149940"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12,605.45</w:t>
            </w:r>
          </w:p>
        </w:tc>
      </w:tr>
      <w:tr w:rsidR="00CD798F" w:rsidRPr="00D95B42" w14:paraId="1B27E8E6" w14:textId="77777777" w:rsidTr="00214723">
        <w:trPr>
          <w:cantSplit/>
          <w:trHeight w:val="454"/>
          <w:jc w:val="center"/>
        </w:trPr>
        <w:tc>
          <w:tcPr>
            <w:tcW w:w="527" w:type="pct"/>
            <w:noWrap/>
            <w:vAlign w:val="center"/>
            <w:hideMark/>
          </w:tcPr>
          <w:p w14:paraId="4B0CB046" w14:textId="77777777" w:rsidR="00CD798F" w:rsidRPr="00D95B42" w:rsidRDefault="00CD798F" w:rsidP="00214723">
            <w:pPr>
              <w:rPr>
                <w:rFonts w:ascii="Times New Roman" w:hAnsi="Times New Roman"/>
                <w:color w:val="000000"/>
                <w:sz w:val="18"/>
                <w:szCs w:val="20"/>
              </w:rPr>
            </w:pPr>
            <w:r w:rsidRPr="00D95B42">
              <w:rPr>
                <w:rFonts w:ascii="Times New Roman" w:hAnsi="Times New Roman"/>
                <w:color w:val="000000"/>
                <w:sz w:val="18"/>
                <w:szCs w:val="20"/>
              </w:rPr>
              <w:t>营业成本</w:t>
            </w:r>
          </w:p>
        </w:tc>
        <w:tc>
          <w:tcPr>
            <w:tcW w:w="555" w:type="pct"/>
            <w:noWrap/>
            <w:vAlign w:val="center"/>
            <w:hideMark/>
          </w:tcPr>
          <w:p w14:paraId="40D34565"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3,304.35</w:t>
            </w:r>
          </w:p>
        </w:tc>
        <w:tc>
          <w:tcPr>
            <w:tcW w:w="555" w:type="pct"/>
            <w:noWrap/>
            <w:vAlign w:val="center"/>
            <w:hideMark/>
          </w:tcPr>
          <w:p w14:paraId="041A16FA"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3,370.80</w:t>
            </w:r>
          </w:p>
        </w:tc>
        <w:tc>
          <w:tcPr>
            <w:tcW w:w="588" w:type="pct"/>
            <w:noWrap/>
            <w:vAlign w:val="center"/>
            <w:hideMark/>
          </w:tcPr>
          <w:p w14:paraId="77F01BC8"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1,738.34</w:t>
            </w:r>
          </w:p>
        </w:tc>
        <w:tc>
          <w:tcPr>
            <w:tcW w:w="555" w:type="pct"/>
            <w:noWrap/>
            <w:vAlign w:val="center"/>
            <w:hideMark/>
          </w:tcPr>
          <w:p w14:paraId="5166B2E1"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3,542.32</w:t>
            </w:r>
          </w:p>
        </w:tc>
        <w:tc>
          <w:tcPr>
            <w:tcW w:w="555" w:type="pct"/>
            <w:noWrap/>
            <w:vAlign w:val="center"/>
            <w:hideMark/>
          </w:tcPr>
          <w:p w14:paraId="6BE938E1"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4,123.03</w:t>
            </w:r>
          </w:p>
        </w:tc>
        <w:tc>
          <w:tcPr>
            <w:tcW w:w="555" w:type="pct"/>
            <w:noWrap/>
            <w:vAlign w:val="center"/>
            <w:hideMark/>
          </w:tcPr>
          <w:p w14:paraId="6D37F317"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4,631.73</w:t>
            </w:r>
          </w:p>
        </w:tc>
        <w:tc>
          <w:tcPr>
            <w:tcW w:w="555" w:type="pct"/>
            <w:noWrap/>
            <w:vAlign w:val="center"/>
            <w:hideMark/>
          </w:tcPr>
          <w:p w14:paraId="1675B42A"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5,020.55</w:t>
            </w:r>
          </w:p>
        </w:tc>
        <w:tc>
          <w:tcPr>
            <w:tcW w:w="554" w:type="pct"/>
            <w:noWrap/>
            <w:vAlign w:val="center"/>
            <w:hideMark/>
          </w:tcPr>
          <w:p w14:paraId="3C8D7E02" w14:textId="77777777" w:rsidR="00CD798F" w:rsidRPr="00D95B42" w:rsidRDefault="00CD798F" w:rsidP="00214723">
            <w:pPr>
              <w:jc w:val="right"/>
              <w:rPr>
                <w:rFonts w:ascii="Times New Roman" w:hAnsi="Times New Roman"/>
                <w:color w:val="000000"/>
                <w:sz w:val="18"/>
                <w:szCs w:val="20"/>
              </w:rPr>
            </w:pPr>
            <w:r w:rsidRPr="00D95B42">
              <w:rPr>
                <w:rFonts w:ascii="Times New Roman" w:hAnsi="Times New Roman"/>
                <w:color w:val="000000"/>
                <w:sz w:val="18"/>
                <w:szCs w:val="20"/>
              </w:rPr>
              <w:t>5,268.36</w:t>
            </w:r>
          </w:p>
        </w:tc>
      </w:tr>
      <w:tr w:rsidR="00CD798F" w:rsidRPr="00D95B42" w14:paraId="01D4EC03" w14:textId="77777777" w:rsidTr="00214723">
        <w:trPr>
          <w:cantSplit/>
          <w:trHeight w:val="454"/>
          <w:jc w:val="center"/>
        </w:trPr>
        <w:tc>
          <w:tcPr>
            <w:tcW w:w="527" w:type="pct"/>
            <w:noWrap/>
            <w:vAlign w:val="center"/>
            <w:hideMark/>
          </w:tcPr>
          <w:p w14:paraId="651E6EAF" w14:textId="77777777" w:rsidR="00CD798F" w:rsidRPr="00D95B42" w:rsidRDefault="00CD798F" w:rsidP="00214723">
            <w:pPr>
              <w:rPr>
                <w:rFonts w:ascii="Times New Roman" w:hAnsi="Times New Roman"/>
                <w:b/>
                <w:bCs/>
                <w:color w:val="000000"/>
                <w:sz w:val="18"/>
                <w:szCs w:val="20"/>
              </w:rPr>
            </w:pPr>
            <w:r w:rsidRPr="00D95B42">
              <w:rPr>
                <w:rFonts w:ascii="Times New Roman" w:hAnsi="Times New Roman"/>
                <w:b/>
                <w:bCs/>
                <w:color w:val="000000"/>
                <w:sz w:val="18"/>
                <w:szCs w:val="20"/>
              </w:rPr>
              <w:t>毛利率</w:t>
            </w:r>
          </w:p>
        </w:tc>
        <w:tc>
          <w:tcPr>
            <w:tcW w:w="555" w:type="pct"/>
            <w:noWrap/>
            <w:vAlign w:val="center"/>
            <w:hideMark/>
          </w:tcPr>
          <w:p w14:paraId="5B891314"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43.24%</w:t>
            </w:r>
          </w:p>
        </w:tc>
        <w:tc>
          <w:tcPr>
            <w:tcW w:w="555" w:type="pct"/>
            <w:noWrap/>
            <w:vAlign w:val="center"/>
            <w:hideMark/>
          </w:tcPr>
          <w:p w14:paraId="34ADC87F"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60.25%</w:t>
            </w:r>
          </w:p>
        </w:tc>
        <w:tc>
          <w:tcPr>
            <w:tcW w:w="588" w:type="pct"/>
            <w:noWrap/>
            <w:vAlign w:val="center"/>
            <w:hideMark/>
          </w:tcPr>
          <w:p w14:paraId="09F18F00"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60.14%</w:t>
            </w:r>
          </w:p>
        </w:tc>
        <w:tc>
          <w:tcPr>
            <w:tcW w:w="555" w:type="pct"/>
            <w:noWrap/>
            <w:vAlign w:val="center"/>
            <w:hideMark/>
          </w:tcPr>
          <w:p w14:paraId="1307A4D5"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60.90%</w:t>
            </w:r>
          </w:p>
        </w:tc>
        <w:tc>
          <w:tcPr>
            <w:tcW w:w="555" w:type="pct"/>
            <w:noWrap/>
            <w:vAlign w:val="center"/>
            <w:hideMark/>
          </w:tcPr>
          <w:p w14:paraId="274B2AD7"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59.49%</w:t>
            </w:r>
          </w:p>
        </w:tc>
        <w:tc>
          <w:tcPr>
            <w:tcW w:w="555" w:type="pct"/>
            <w:noWrap/>
            <w:vAlign w:val="center"/>
            <w:hideMark/>
          </w:tcPr>
          <w:p w14:paraId="09B73B12"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58.53%</w:t>
            </w:r>
          </w:p>
        </w:tc>
        <w:tc>
          <w:tcPr>
            <w:tcW w:w="555" w:type="pct"/>
            <w:noWrap/>
            <w:vAlign w:val="center"/>
            <w:hideMark/>
          </w:tcPr>
          <w:p w14:paraId="5561E785"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58.06%</w:t>
            </w:r>
          </w:p>
        </w:tc>
        <w:tc>
          <w:tcPr>
            <w:tcW w:w="554" w:type="pct"/>
            <w:noWrap/>
            <w:vAlign w:val="center"/>
            <w:hideMark/>
          </w:tcPr>
          <w:p w14:paraId="27FBCC2F" w14:textId="77777777" w:rsidR="00CD798F" w:rsidRPr="00D95B42" w:rsidRDefault="00CD798F" w:rsidP="00214723">
            <w:pPr>
              <w:jc w:val="right"/>
              <w:rPr>
                <w:rFonts w:ascii="Times New Roman" w:hAnsi="Times New Roman"/>
                <w:b/>
                <w:bCs/>
                <w:color w:val="000000"/>
                <w:sz w:val="18"/>
                <w:szCs w:val="20"/>
              </w:rPr>
            </w:pPr>
            <w:r w:rsidRPr="00D95B42">
              <w:rPr>
                <w:rFonts w:ascii="Times New Roman" w:hAnsi="Times New Roman"/>
                <w:b/>
                <w:bCs/>
                <w:color w:val="000000"/>
                <w:sz w:val="18"/>
                <w:szCs w:val="20"/>
              </w:rPr>
              <w:t>58.21%</w:t>
            </w:r>
          </w:p>
        </w:tc>
      </w:tr>
    </w:tbl>
    <w:p w14:paraId="606EE6C3" w14:textId="77777777" w:rsidR="00CD798F" w:rsidRDefault="00CD798F" w:rsidP="00CD798F">
      <w:pPr>
        <w:pStyle w:val="005"/>
        <w:spacing w:before="120" w:after="120"/>
        <w:ind w:firstLine="480"/>
      </w:pPr>
      <w:r w:rsidRPr="00450FB5">
        <w:rPr>
          <w:rFonts w:hint="eastAsia"/>
        </w:rPr>
        <w:t>报告期内，</w:t>
      </w:r>
      <w:r>
        <w:rPr>
          <w:rFonts w:hint="eastAsia"/>
        </w:rPr>
        <w:t>标的</w:t>
      </w:r>
      <w:r w:rsidRPr="00450FB5">
        <w:rPr>
          <w:rFonts w:hint="eastAsia"/>
        </w:rPr>
        <w:t>公司数字增值服务业务的毛利率显著提升，主要系</w:t>
      </w:r>
      <w:r>
        <w:rPr>
          <w:rFonts w:hint="eastAsia"/>
        </w:rPr>
        <w:t>由于</w:t>
      </w:r>
      <w:r w:rsidRPr="00450FB5">
        <w:rPr>
          <w:rFonts w:hint="eastAsia"/>
        </w:rPr>
        <w:t>业务推广模式变化所致。</w:t>
      </w:r>
      <w:r w:rsidRPr="00450FB5">
        <w:rPr>
          <w:rFonts w:hint="eastAsia"/>
        </w:rPr>
        <w:t>2023</w:t>
      </w:r>
      <w:r w:rsidRPr="00450FB5">
        <w:rPr>
          <w:rFonts w:hint="eastAsia"/>
        </w:rPr>
        <w:t>年</w:t>
      </w:r>
      <w:r>
        <w:rPr>
          <w:rFonts w:hint="eastAsia"/>
        </w:rPr>
        <w:t>度</w:t>
      </w:r>
      <w:r w:rsidRPr="00450FB5">
        <w:rPr>
          <w:rFonts w:hint="eastAsia"/>
        </w:rPr>
        <w:t>，</w:t>
      </w:r>
      <w:r>
        <w:rPr>
          <w:rFonts w:hint="eastAsia"/>
        </w:rPr>
        <w:t>标的公司数字增值服务</w:t>
      </w:r>
      <w:r w:rsidRPr="00450FB5">
        <w:rPr>
          <w:rFonts w:hint="eastAsia"/>
        </w:rPr>
        <w:t>较多依赖线下地推等高成本获客方式，</w:t>
      </w:r>
      <w:r>
        <w:rPr>
          <w:rFonts w:hint="eastAsia"/>
        </w:rPr>
        <w:t>使得</w:t>
      </w:r>
      <w:r w:rsidRPr="00450FB5">
        <w:rPr>
          <w:rFonts w:hint="eastAsia"/>
        </w:rPr>
        <w:t>当期推广成本较高，该情形具有阶段性特征。自</w:t>
      </w:r>
      <w:r w:rsidRPr="00450FB5">
        <w:rPr>
          <w:rFonts w:hint="eastAsia"/>
        </w:rPr>
        <w:t>2024</w:t>
      </w:r>
      <w:r w:rsidRPr="00450FB5">
        <w:rPr>
          <w:rFonts w:hint="eastAsia"/>
        </w:rPr>
        <w:t>年起，公司推广策略转为主要依托自有</w:t>
      </w:r>
      <w:r w:rsidRPr="00450FB5">
        <w:rPr>
          <w:rFonts w:hint="eastAsia"/>
        </w:rPr>
        <w:t>SaaS</w:t>
      </w:r>
      <w:r w:rsidRPr="00450FB5">
        <w:rPr>
          <w:rFonts w:hint="eastAsia"/>
        </w:rPr>
        <w:t>云平台向用户进行精准推送，在有效满足客户需求的同时大幅降低了获客成本，从而推动了毛利率的上升。</w:t>
      </w:r>
    </w:p>
    <w:p w14:paraId="19979F1C" w14:textId="6F68CA8C" w:rsidR="00CD798F" w:rsidRDefault="00CD798F" w:rsidP="00CD798F">
      <w:pPr>
        <w:pStyle w:val="005"/>
        <w:spacing w:before="120" w:after="120"/>
        <w:ind w:firstLine="480"/>
      </w:pPr>
      <w:r w:rsidRPr="0048188A">
        <w:rPr>
          <w:rFonts w:hint="eastAsia"/>
        </w:rPr>
        <w:t>预测期内，公司预计将延续当前以自有平台流量为基础的业务推广模式，预测期预测毛利率时，结合了业务发展规划并参考</w:t>
      </w:r>
      <w:r w:rsidRPr="0048188A">
        <w:rPr>
          <w:rFonts w:hint="eastAsia"/>
        </w:rPr>
        <w:t>2024</w:t>
      </w:r>
      <w:r w:rsidRPr="0048188A">
        <w:rPr>
          <w:rFonts w:hint="eastAsia"/>
        </w:rPr>
        <w:t>年毛利率，将其审慎设定为</w:t>
      </w:r>
      <w:r w:rsidR="00137BA5" w:rsidRPr="0048188A">
        <w:rPr>
          <w:rFonts w:hint="eastAsia"/>
        </w:rPr>
        <w:t>58%-61%</w:t>
      </w:r>
      <w:r w:rsidR="00137BA5" w:rsidRPr="0048188A">
        <w:rPr>
          <w:rFonts w:hint="eastAsia"/>
        </w:rPr>
        <w:t>之间</w:t>
      </w:r>
      <w:r w:rsidRPr="0048188A">
        <w:rPr>
          <w:rFonts w:hint="eastAsia"/>
        </w:rPr>
        <w:t>，</w:t>
      </w:r>
      <w:r w:rsidR="0048188A" w:rsidRPr="0048188A">
        <w:rPr>
          <w:rFonts w:hint="eastAsia"/>
        </w:rPr>
        <w:t>整体来看低于报告期峰值</w:t>
      </w:r>
      <w:r w:rsidRPr="0048188A">
        <w:rPr>
          <w:rFonts w:hint="eastAsia"/>
        </w:rPr>
        <w:t>，该预测具备合理性和谨慎性。</w:t>
      </w:r>
    </w:p>
    <w:p w14:paraId="68BFBE99" w14:textId="77777777" w:rsidR="00CD798F" w:rsidRDefault="00CD798F" w:rsidP="00CD798F">
      <w:pPr>
        <w:pStyle w:val="005"/>
        <w:spacing w:before="120" w:after="120"/>
        <w:ind w:firstLine="480"/>
      </w:pPr>
      <w:r>
        <w:rPr>
          <w:rFonts w:hint="eastAsia"/>
        </w:rPr>
        <w:t>综上，数字增值服务业务</w:t>
      </w:r>
      <w:r w:rsidRPr="00E30CAA">
        <w:rPr>
          <w:rFonts w:hint="eastAsia"/>
        </w:rPr>
        <w:t>预测期各年度毛利率预测情况、测算过程、测算依据</w:t>
      </w:r>
      <w:r>
        <w:rPr>
          <w:rFonts w:hint="eastAsia"/>
        </w:rPr>
        <w:t>具备</w:t>
      </w:r>
      <w:r w:rsidRPr="00E30CAA">
        <w:rPr>
          <w:rFonts w:hint="eastAsia"/>
        </w:rPr>
        <w:t>合理性</w:t>
      </w:r>
      <w:r>
        <w:rPr>
          <w:rFonts w:hint="eastAsia"/>
        </w:rPr>
        <w:t>。</w:t>
      </w:r>
    </w:p>
    <w:p w14:paraId="1EFFF416" w14:textId="77777777" w:rsidR="00CD798F" w:rsidRPr="00D03E0C" w:rsidRDefault="00CD798F" w:rsidP="00CD798F">
      <w:pPr>
        <w:pStyle w:val="005"/>
        <w:spacing w:before="120" w:after="120"/>
        <w:ind w:firstLine="480"/>
        <w:rPr>
          <w:rFonts w:ascii="宋体" w:hAnsi="宋体" w:hint="eastAsia"/>
        </w:rPr>
      </w:pPr>
      <w:r w:rsidRPr="00D03E0C">
        <w:rPr>
          <w:rFonts w:hint="eastAsia"/>
        </w:rPr>
        <w:t>上述内容已在</w:t>
      </w:r>
      <w:r>
        <w:rPr>
          <w:rFonts w:hint="eastAsia"/>
        </w:rPr>
        <w:t>《重组报告书》</w:t>
      </w:r>
      <w:r w:rsidRPr="00D03E0C">
        <w:rPr>
          <w:rFonts w:hint="eastAsia"/>
        </w:rPr>
        <w:t>“第六节</w:t>
      </w:r>
      <w:r w:rsidRPr="00D03E0C">
        <w:rPr>
          <w:rFonts w:hint="eastAsia"/>
        </w:rPr>
        <w:t xml:space="preserve"> </w:t>
      </w:r>
      <w:r w:rsidRPr="00D03E0C">
        <w:rPr>
          <w:rFonts w:hint="eastAsia"/>
        </w:rPr>
        <w:t>交易标的评估情况”之“二、标的公司评估基本情况”之“（三）收益法的评估情况及分析”之“</w:t>
      </w:r>
      <w:r w:rsidRPr="00D03E0C">
        <w:rPr>
          <w:rFonts w:hint="eastAsia"/>
        </w:rPr>
        <w:t>4</w:t>
      </w:r>
      <w:r w:rsidRPr="00D03E0C">
        <w:rPr>
          <w:rFonts w:hint="eastAsia"/>
        </w:rPr>
        <w:t>、未来收益预测”</w:t>
      </w:r>
      <w:r w:rsidRPr="00D03E0C">
        <w:rPr>
          <w:rFonts w:ascii="宋体" w:hAnsi="宋体" w:hint="eastAsia"/>
        </w:rPr>
        <w:t>补充披露。</w:t>
      </w:r>
    </w:p>
    <w:p w14:paraId="5C43B72C" w14:textId="77777777" w:rsidR="00CD798F" w:rsidRDefault="00CD798F" w:rsidP="00CD798F">
      <w:pPr>
        <w:pStyle w:val="005"/>
        <w:spacing w:before="120" w:after="120"/>
        <w:ind w:firstLine="480"/>
      </w:pPr>
    </w:p>
    <w:p w14:paraId="2CD70241" w14:textId="77777777" w:rsidR="00CD798F" w:rsidRDefault="00CD798F" w:rsidP="00CD798F">
      <w:pPr>
        <w:pStyle w:val="002"/>
        <w:spacing w:before="120" w:after="120"/>
        <w:ind w:firstLine="482"/>
      </w:pPr>
      <w:r>
        <w:rPr>
          <w:rFonts w:hint="eastAsia"/>
        </w:rPr>
        <w:lastRenderedPageBreak/>
        <w:t>二</w:t>
      </w:r>
      <w:r>
        <w:t>、</w:t>
      </w:r>
      <w:r w:rsidRPr="008A26CC">
        <w:rPr>
          <w:rFonts w:hint="eastAsia"/>
        </w:rPr>
        <w:t>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补充说明各业务收入预测是否合理、谨慎，预测期内</w:t>
      </w:r>
      <w:r w:rsidRPr="008A26CC">
        <w:rPr>
          <w:rFonts w:hint="eastAsia"/>
        </w:rPr>
        <w:t>IoT</w:t>
      </w:r>
      <w:r w:rsidRPr="008A26CC">
        <w:rPr>
          <w:rFonts w:hint="eastAsia"/>
        </w:rPr>
        <w:t>智能硬件收入相对稳定的情况下</w:t>
      </w:r>
      <w:r>
        <w:rPr>
          <w:rFonts w:hint="eastAsia"/>
        </w:rPr>
        <w:t>SaaS</w:t>
      </w:r>
      <w:r w:rsidRPr="008A26CC">
        <w:rPr>
          <w:rFonts w:hint="eastAsia"/>
        </w:rPr>
        <w:t>云平台、数字增值服务收入维持增长的合理性</w:t>
      </w:r>
    </w:p>
    <w:p w14:paraId="4F7E4756" w14:textId="77777777" w:rsidR="00CD798F" w:rsidRPr="00E958DD" w:rsidRDefault="00CD798F" w:rsidP="00CD798F">
      <w:pPr>
        <w:pStyle w:val="003"/>
        <w:spacing w:before="120" w:after="120"/>
        <w:ind w:firstLine="482"/>
      </w:pPr>
      <w:r>
        <w:rPr>
          <w:rFonts w:hint="eastAsia"/>
        </w:rPr>
        <w:t>（一）</w:t>
      </w:r>
      <w:r w:rsidRPr="00A81F49">
        <w:rPr>
          <w:rFonts w:hint="eastAsia"/>
        </w:rPr>
        <w:t>标的资产各业务的市场空间、行业竞争情况、下游智能自助设备行业的发展情况及趋势</w:t>
      </w:r>
    </w:p>
    <w:p w14:paraId="3A839246" w14:textId="77777777" w:rsidR="00CD798F" w:rsidRDefault="00CD798F" w:rsidP="00CD798F">
      <w:pPr>
        <w:pStyle w:val="004"/>
        <w:spacing w:before="120" w:after="120"/>
        <w:ind w:firstLine="482"/>
      </w:pPr>
      <w:r>
        <w:rPr>
          <w:rFonts w:hint="eastAsia"/>
        </w:rPr>
        <w:t>1</w:t>
      </w:r>
      <w:r>
        <w:rPr>
          <w:rFonts w:hint="eastAsia"/>
        </w:rPr>
        <w:t>、</w:t>
      </w:r>
      <w:r w:rsidRPr="00B412A3">
        <w:rPr>
          <w:rFonts w:hint="eastAsia"/>
        </w:rPr>
        <w:t>标的资产各业务的市场空间</w:t>
      </w:r>
    </w:p>
    <w:p w14:paraId="648F4DB6" w14:textId="77777777" w:rsidR="00CD798F" w:rsidRDefault="00CD798F" w:rsidP="00CD798F">
      <w:pPr>
        <w:pStyle w:val="005"/>
        <w:spacing w:before="120" w:after="120"/>
        <w:ind w:firstLine="480"/>
      </w:pPr>
      <w:r w:rsidRPr="00235BCE">
        <w:rPr>
          <w:rFonts w:hint="eastAsia"/>
        </w:rPr>
        <w:t>标的资产各业务的市场空间</w:t>
      </w:r>
      <w:r>
        <w:rPr>
          <w:rFonts w:hint="eastAsia"/>
        </w:rPr>
        <w:t>情况</w:t>
      </w:r>
      <w:r w:rsidRPr="00235BCE">
        <w:rPr>
          <w:rFonts w:hint="eastAsia"/>
        </w:rPr>
        <w:t>见本回复之“</w:t>
      </w:r>
      <w:r w:rsidRPr="00C820D0">
        <w:rPr>
          <w:rFonts w:hint="eastAsia"/>
        </w:rPr>
        <w:t>问题</w:t>
      </w:r>
      <w:r w:rsidRPr="00C820D0">
        <w:rPr>
          <w:rFonts w:hint="eastAsia"/>
        </w:rPr>
        <w:t>2</w:t>
      </w:r>
      <w:r w:rsidRPr="00235BCE">
        <w:rPr>
          <w:rFonts w:hint="eastAsia"/>
        </w:rPr>
        <w:t>、关于标的资产的经营业绩”之“十二、基于前述分析，并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并进一步结合商誉减值对上市公司财务状况和经营成果的影响等，说明本次交易是否有利于增强上市公司的持续经营能力，是否符合《重组办法》第四十四条的有关规定”之“（一）结合标的资产各类细分业务所在行业发展趋势、市场空间、相关法律法规及行业政策变化对业务的具体影响，标的资产各业务经营资质及相关审批、备案等手续履行完整性，技术水平与核心竞争力的具体体现及其可持续性、主要客户合作稳定性、作为供应商的地位及其可替代性、主要竞争对手情况等，说明标的资产持续经营能力是否存在不确定性”相关内容。</w:t>
      </w:r>
    </w:p>
    <w:p w14:paraId="68A5277D" w14:textId="77777777" w:rsidR="00CD798F" w:rsidRPr="00C820D0" w:rsidRDefault="00CD798F" w:rsidP="00CD798F">
      <w:pPr>
        <w:pStyle w:val="004"/>
        <w:spacing w:before="120" w:after="120"/>
        <w:ind w:firstLine="482"/>
        <w:rPr>
          <w:rFonts w:ascii="宋体" w:hAnsi="宋体" w:hint="eastAsia"/>
        </w:rPr>
      </w:pPr>
      <w:r w:rsidRPr="00C820D0">
        <w:rPr>
          <w:rFonts w:ascii="宋体" w:hAnsi="宋体" w:hint="eastAsia"/>
        </w:rPr>
        <w:t>2、标的资产各业务的行业竞争情况</w:t>
      </w:r>
    </w:p>
    <w:p w14:paraId="22E8E797" w14:textId="77777777" w:rsidR="00CD798F" w:rsidRPr="00C820D0" w:rsidRDefault="00CD798F" w:rsidP="00CD798F">
      <w:pPr>
        <w:pStyle w:val="005"/>
        <w:spacing w:before="120" w:after="120"/>
        <w:ind w:firstLine="480"/>
      </w:pPr>
      <w:r w:rsidRPr="00B412A3">
        <w:rPr>
          <w:rFonts w:hint="eastAsia"/>
        </w:rPr>
        <w:t>自助设备物联网行业具有较大的市场规模，且市场细分领域众多，大多数智能自助设备数字化服务提供商仅专注于少量的细分领域且经营规模较小，市场份额偏低，</w:t>
      </w:r>
      <w:r w:rsidRPr="00B412A3">
        <w:rPr>
          <w:rFonts w:hint="eastAsia"/>
        </w:rPr>
        <w:lastRenderedPageBreak/>
        <w:t>市场竞争关系较为分散。根</w:t>
      </w:r>
      <w:r w:rsidRPr="00C820D0">
        <w:rPr>
          <w:rFonts w:hint="eastAsia"/>
        </w:rPr>
        <w:t>据</w:t>
      </w:r>
      <w:r w:rsidRPr="00C820D0">
        <w:rPr>
          <w:rFonts w:hint="eastAsia"/>
        </w:rPr>
        <w:t>IDC</w:t>
      </w:r>
      <w:r w:rsidRPr="00C820D0">
        <w:rPr>
          <w:rFonts w:hint="eastAsia"/>
        </w:rPr>
        <w:t>数据，</w:t>
      </w:r>
      <w:r w:rsidRPr="00C820D0">
        <w:rPr>
          <w:rFonts w:hint="eastAsia"/>
        </w:rPr>
        <w:t>2024</w:t>
      </w:r>
      <w:r w:rsidRPr="00C820D0">
        <w:rPr>
          <w:rFonts w:hint="eastAsia"/>
        </w:rPr>
        <w:t>年中国物联网市场规模达</w:t>
      </w:r>
      <w:r w:rsidRPr="00C820D0">
        <w:rPr>
          <w:rFonts w:hint="eastAsia"/>
        </w:rPr>
        <w:t>1,982.5</w:t>
      </w:r>
      <w:r w:rsidRPr="00C820D0">
        <w:rPr>
          <w:rFonts w:hint="eastAsia"/>
        </w:rPr>
        <w:t>亿美元，同比增长</w:t>
      </w:r>
      <w:r w:rsidRPr="00C820D0">
        <w:rPr>
          <w:rFonts w:hint="eastAsia"/>
        </w:rPr>
        <w:t>13.2%</w:t>
      </w:r>
      <w:r w:rsidRPr="00C820D0">
        <w:rPr>
          <w:rFonts w:hint="eastAsia"/>
        </w:rPr>
        <w:t>，预计</w:t>
      </w:r>
      <w:r w:rsidRPr="00C820D0">
        <w:rPr>
          <w:rFonts w:hint="eastAsia"/>
        </w:rPr>
        <w:t>2028</w:t>
      </w:r>
      <w:r w:rsidRPr="00C820D0">
        <w:rPr>
          <w:rFonts w:hint="eastAsia"/>
        </w:rPr>
        <w:t>年将增至</w:t>
      </w:r>
      <w:r w:rsidRPr="00C820D0">
        <w:rPr>
          <w:rFonts w:hint="eastAsia"/>
        </w:rPr>
        <w:t>3,264.7</w:t>
      </w:r>
      <w:r w:rsidRPr="00C820D0">
        <w:rPr>
          <w:rFonts w:hint="eastAsia"/>
        </w:rPr>
        <w:t>亿美元，</w:t>
      </w:r>
      <w:r w:rsidRPr="00C820D0">
        <w:rPr>
          <w:rFonts w:hint="eastAsia"/>
        </w:rPr>
        <w:t>5</w:t>
      </w:r>
      <w:r w:rsidRPr="00C820D0">
        <w:rPr>
          <w:rFonts w:hint="eastAsia"/>
        </w:rPr>
        <w:t>年复合平均增长率达</w:t>
      </w:r>
      <w:r w:rsidRPr="00C820D0">
        <w:rPr>
          <w:rFonts w:hint="eastAsia"/>
        </w:rPr>
        <w:t>13.3%</w:t>
      </w:r>
      <w:r w:rsidRPr="00C820D0">
        <w:rPr>
          <w:rFonts w:hint="eastAsia"/>
        </w:rPr>
        <w:t>。</w:t>
      </w:r>
    </w:p>
    <w:p w14:paraId="5C094506" w14:textId="77777777" w:rsidR="00CD798F" w:rsidRPr="00C820D0" w:rsidRDefault="00CD798F" w:rsidP="00CD798F">
      <w:pPr>
        <w:pStyle w:val="005"/>
        <w:spacing w:before="120" w:after="120"/>
        <w:ind w:firstLine="480"/>
      </w:pPr>
      <w:r w:rsidRPr="00B412A3">
        <w:rPr>
          <w:rFonts w:hint="eastAsia"/>
        </w:rPr>
        <w:t>标的公司在长期的行业深耕过程中，形成了“</w:t>
      </w:r>
      <w:r w:rsidRPr="00C820D0">
        <w:rPr>
          <w:rFonts w:hint="eastAsia"/>
        </w:rPr>
        <w:t>IoT</w:t>
      </w:r>
      <w:r w:rsidRPr="00C820D0">
        <w:rPr>
          <w:rFonts w:hint="eastAsia"/>
        </w:rPr>
        <w:t>智能硬件</w:t>
      </w:r>
      <w:r w:rsidRPr="00C820D0">
        <w:rPr>
          <w:rFonts w:hint="eastAsia"/>
        </w:rPr>
        <w:t>+SaaS</w:t>
      </w:r>
      <w:r w:rsidRPr="00C820D0">
        <w:rPr>
          <w:rFonts w:hint="eastAsia"/>
        </w:rPr>
        <w:t>云</w:t>
      </w:r>
      <w:r w:rsidRPr="00B412A3">
        <w:rPr>
          <w:rFonts w:hint="eastAsia"/>
        </w:rPr>
        <w:t>平台”核心技术体系，并主动辐射智慧生活、智慧出行和智慧零售等多个细分领域，已经形成较为完</w:t>
      </w:r>
      <w:r w:rsidRPr="00C820D0">
        <w:rPr>
          <w:rFonts w:hint="eastAsia"/>
        </w:rPr>
        <w:t>善的业务布局体系，具备相对较大的收入和净利润规模，拥有相对领先的市场地位。</w:t>
      </w:r>
    </w:p>
    <w:p w14:paraId="6AA9E7B8" w14:textId="77777777" w:rsidR="00CD798F" w:rsidRPr="00C820D0" w:rsidRDefault="00CD798F" w:rsidP="00CD798F">
      <w:pPr>
        <w:pStyle w:val="005"/>
        <w:spacing w:before="120" w:after="120"/>
        <w:ind w:firstLine="480"/>
      </w:pPr>
      <w:r w:rsidRPr="00C820D0">
        <w:rPr>
          <w:rFonts w:hint="eastAsia"/>
        </w:rPr>
        <w:t>经过长期深耕，标的公司已经成长为自助设备物联网细分领域的头部服务商之一。</w:t>
      </w:r>
      <w:r w:rsidRPr="00C820D0">
        <w:rPr>
          <w:rFonts w:hint="eastAsia"/>
        </w:rPr>
        <w:t>2024</w:t>
      </w:r>
      <w:r w:rsidRPr="00C820D0">
        <w:rPr>
          <w:rFonts w:hint="eastAsia"/>
        </w:rPr>
        <w:t>年度，标的公司全平台在线智能自助设备总数超过</w:t>
      </w:r>
      <w:r w:rsidRPr="00C820D0">
        <w:rPr>
          <w:rFonts w:hint="eastAsia"/>
        </w:rPr>
        <w:t>300</w:t>
      </w:r>
      <w:r w:rsidRPr="00C820D0">
        <w:rPr>
          <w:rFonts w:hint="eastAsia"/>
        </w:rPr>
        <w:t>万台，已覆盖全国</w:t>
      </w:r>
      <w:r w:rsidRPr="00C820D0">
        <w:rPr>
          <w:rFonts w:hint="eastAsia"/>
        </w:rPr>
        <w:t>600</w:t>
      </w:r>
      <w:r w:rsidRPr="00C820D0">
        <w:rPr>
          <w:rFonts w:hint="eastAsia"/>
        </w:rPr>
        <w:t>多个城市。报告期内，标的公司已经累计服务自助设备运营商超</w:t>
      </w:r>
      <w:r w:rsidRPr="00C820D0">
        <w:rPr>
          <w:rFonts w:hint="eastAsia"/>
        </w:rPr>
        <w:t>45</w:t>
      </w:r>
      <w:r w:rsidRPr="00C820D0">
        <w:rPr>
          <w:rFonts w:hint="eastAsia"/>
        </w:rPr>
        <w:t>万家，全部终端设备单日支付笔数峰值突破</w:t>
      </w:r>
      <w:r w:rsidRPr="00C820D0">
        <w:rPr>
          <w:rFonts w:hint="eastAsia"/>
        </w:rPr>
        <w:t>700</w:t>
      </w:r>
      <w:r w:rsidRPr="00C820D0">
        <w:rPr>
          <w:rFonts w:hint="eastAsia"/>
        </w:rPr>
        <w:t>万笔，单月移动支付流水峰值超过</w:t>
      </w:r>
      <w:r w:rsidRPr="00C820D0">
        <w:rPr>
          <w:rFonts w:hint="eastAsia"/>
        </w:rPr>
        <w:t>21</w:t>
      </w:r>
      <w:r w:rsidRPr="00C820D0">
        <w:rPr>
          <w:rFonts w:hint="eastAsia"/>
        </w:rPr>
        <w:t>亿元。</w:t>
      </w:r>
    </w:p>
    <w:p w14:paraId="132B774E" w14:textId="77777777" w:rsidR="00CD798F" w:rsidRPr="00C820D0" w:rsidRDefault="00CD798F" w:rsidP="00CD798F">
      <w:pPr>
        <w:pStyle w:val="005"/>
        <w:spacing w:before="120" w:after="120"/>
        <w:ind w:firstLine="480"/>
      </w:pPr>
      <w:r w:rsidRPr="00C820D0">
        <w:rPr>
          <w:rFonts w:hint="eastAsia"/>
        </w:rPr>
        <w:t>标的公司主要产品市场占有率居于全国领先地位。中国通信工业协会和广东省人工智能产业协会于</w:t>
      </w:r>
      <w:r w:rsidRPr="00C820D0">
        <w:t>2023</w:t>
      </w:r>
      <w:r w:rsidRPr="00C820D0">
        <w:rPr>
          <w:rFonts w:hint="eastAsia"/>
        </w:rPr>
        <w:t>年</w:t>
      </w:r>
      <w:r w:rsidRPr="00C820D0">
        <w:t>3</w:t>
      </w:r>
      <w:r w:rsidRPr="00C820D0">
        <w:rPr>
          <w:rFonts w:hint="eastAsia"/>
        </w:rPr>
        <w:t>月出具的《广东星云开物科技股份有限公司产品市场占有率证明》显示，</w:t>
      </w:r>
      <w:r w:rsidRPr="00C820D0">
        <w:t>2020-2022</w:t>
      </w:r>
      <w:r w:rsidRPr="00C820D0">
        <w:rPr>
          <w:rFonts w:hint="eastAsia"/>
        </w:rPr>
        <w:t>年度，标的公司服务两轮充电桩充电口设备数量分别为</w:t>
      </w:r>
      <w:r w:rsidRPr="00C820D0">
        <w:t>220</w:t>
      </w:r>
      <w:r w:rsidRPr="00C820D0">
        <w:rPr>
          <w:rFonts w:hint="eastAsia"/>
        </w:rPr>
        <w:t>万台、</w:t>
      </w:r>
      <w:r w:rsidRPr="00C820D0">
        <w:t>360</w:t>
      </w:r>
      <w:r w:rsidRPr="00C820D0">
        <w:rPr>
          <w:rFonts w:hint="eastAsia"/>
        </w:rPr>
        <w:t>万台和</w:t>
      </w:r>
      <w:r w:rsidRPr="00C820D0">
        <w:t>500</w:t>
      </w:r>
      <w:r w:rsidRPr="00C820D0">
        <w:rPr>
          <w:rFonts w:hint="eastAsia"/>
        </w:rPr>
        <w:t>万台</w:t>
      </w:r>
      <w:r w:rsidRPr="00C820D0">
        <w:t xml:space="preserve"> </w:t>
      </w:r>
      <w:r w:rsidRPr="00C820D0">
        <w:rPr>
          <w:rFonts w:hint="eastAsia"/>
        </w:rPr>
        <w:t>，对应全国市场占有率分别为</w:t>
      </w:r>
      <w:r w:rsidRPr="00C820D0">
        <w:t>17.23%</w:t>
      </w:r>
      <w:r w:rsidRPr="00C820D0">
        <w:rPr>
          <w:rFonts w:hint="eastAsia"/>
        </w:rPr>
        <w:t>、</w:t>
      </w:r>
      <w:r w:rsidRPr="00C820D0">
        <w:t>25.39%</w:t>
      </w:r>
      <w:r w:rsidRPr="00C820D0">
        <w:rPr>
          <w:rFonts w:hint="eastAsia"/>
        </w:rPr>
        <w:t>和</w:t>
      </w:r>
      <w:r w:rsidRPr="00C820D0">
        <w:t>31.59%</w:t>
      </w:r>
      <w:r w:rsidRPr="00C820D0">
        <w:rPr>
          <w:rFonts w:hint="eastAsia"/>
        </w:rPr>
        <w:t>。报告期内，标的公司暂未取得市场占有率具体数据。</w:t>
      </w:r>
    </w:p>
    <w:p w14:paraId="058CAFAD" w14:textId="77777777" w:rsidR="00CD798F" w:rsidRPr="00C820D0" w:rsidRDefault="00CD798F" w:rsidP="00CD798F">
      <w:pPr>
        <w:pStyle w:val="005"/>
        <w:spacing w:before="120" w:after="120"/>
        <w:ind w:firstLine="480"/>
      </w:pPr>
      <w:r w:rsidRPr="00C820D0">
        <w:rPr>
          <w:rFonts w:hint="eastAsia"/>
        </w:rPr>
        <w:t>综合客户供应商走访、查询公开信息等核查情况，标的公司</w:t>
      </w:r>
      <w:r w:rsidRPr="00C820D0">
        <w:rPr>
          <w:rFonts w:hint="eastAsia"/>
        </w:rPr>
        <w:t>IoT</w:t>
      </w:r>
      <w:r w:rsidRPr="00C820D0">
        <w:rPr>
          <w:rFonts w:hint="eastAsia"/>
        </w:rPr>
        <w:t>智能硬件市场占有率在所处细分行业中处于较高水平。</w:t>
      </w:r>
    </w:p>
    <w:p w14:paraId="013C2624" w14:textId="77777777" w:rsidR="00CD798F" w:rsidRPr="00C820D0" w:rsidRDefault="00CD798F" w:rsidP="00CD798F">
      <w:pPr>
        <w:pStyle w:val="005"/>
        <w:spacing w:before="120" w:after="120"/>
        <w:ind w:firstLine="480"/>
      </w:pPr>
      <w:r w:rsidRPr="00C820D0">
        <w:rPr>
          <w:rFonts w:hint="eastAsia"/>
        </w:rPr>
        <w:t>（</w:t>
      </w:r>
      <w:r w:rsidRPr="00C820D0">
        <w:rPr>
          <w:rFonts w:hint="eastAsia"/>
        </w:rPr>
        <w:t>2</w:t>
      </w:r>
      <w:r w:rsidRPr="00C820D0">
        <w:rPr>
          <w:rFonts w:hint="eastAsia"/>
        </w:rPr>
        <w:t>）</w:t>
      </w:r>
      <w:r w:rsidRPr="00C820D0">
        <w:rPr>
          <w:rFonts w:hint="eastAsia"/>
        </w:rPr>
        <w:t>SaaS</w:t>
      </w:r>
      <w:r w:rsidRPr="00C820D0">
        <w:rPr>
          <w:rFonts w:hint="eastAsia"/>
        </w:rPr>
        <w:t>云平台业务</w:t>
      </w:r>
    </w:p>
    <w:p w14:paraId="7B8FDF95" w14:textId="77777777" w:rsidR="00CD798F" w:rsidRDefault="00CD798F" w:rsidP="00CD798F">
      <w:pPr>
        <w:pStyle w:val="005"/>
        <w:spacing w:before="120" w:after="120"/>
        <w:ind w:firstLine="480"/>
      </w:pPr>
      <w:r w:rsidRPr="00C820D0">
        <w:rPr>
          <w:rFonts w:hint="eastAsia"/>
        </w:rPr>
        <w:t>中国</w:t>
      </w:r>
      <w:r w:rsidRPr="00C820D0">
        <w:rPr>
          <w:rFonts w:hint="eastAsia"/>
        </w:rPr>
        <w:t>SaaS</w:t>
      </w:r>
      <w:r w:rsidRPr="00C820D0">
        <w:rPr>
          <w:rFonts w:hint="eastAsia"/>
        </w:rPr>
        <w:t>市场竞争格局多元化，目前市场上的参与者主要包含三类：</w:t>
      </w:r>
      <w:r w:rsidRPr="00C820D0">
        <w:t>1</w:t>
      </w:r>
      <w:r w:rsidRPr="00C820D0">
        <w:rPr>
          <w:rFonts w:hint="eastAsia"/>
        </w:rPr>
        <w:t>）头部综合云厂商，它们提供从</w:t>
      </w:r>
      <w:r w:rsidRPr="00C820D0">
        <w:rPr>
          <w:rFonts w:hint="eastAsia"/>
        </w:rPr>
        <w:t>IaaS</w:t>
      </w:r>
      <w:r w:rsidRPr="00C820D0">
        <w:rPr>
          <w:rFonts w:hint="eastAsia"/>
        </w:rPr>
        <w:t>到</w:t>
      </w:r>
      <w:r w:rsidRPr="00C820D0">
        <w:rPr>
          <w:rFonts w:hint="eastAsia"/>
        </w:rPr>
        <w:t>PaaS</w:t>
      </w:r>
      <w:r w:rsidRPr="00C820D0">
        <w:rPr>
          <w:rFonts w:hint="eastAsia"/>
        </w:rPr>
        <w:t>、</w:t>
      </w:r>
      <w:r w:rsidRPr="00C820D0">
        <w:rPr>
          <w:rFonts w:hint="eastAsia"/>
        </w:rPr>
        <w:t>SaaS</w:t>
      </w:r>
      <w:r w:rsidRPr="00C820D0">
        <w:rPr>
          <w:rFonts w:hint="eastAsia"/>
        </w:rPr>
        <w:t>的全栈服务，优势在于强大的品牌、资金和技术整合能力；</w:t>
      </w:r>
      <w:r w:rsidRPr="00C820D0">
        <w:t>2</w:t>
      </w:r>
      <w:r w:rsidRPr="00C820D0">
        <w:rPr>
          <w:rFonts w:hint="eastAsia"/>
        </w:rPr>
        <w:t>）垂直领域</w:t>
      </w:r>
      <w:r w:rsidRPr="00C820D0">
        <w:rPr>
          <w:rFonts w:hint="eastAsia"/>
        </w:rPr>
        <w:t>SaaS</w:t>
      </w:r>
      <w:r w:rsidRPr="00C820D0">
        <w:rPr>
          <w:rFonts w:hint="eastAsia"/>
        </w:rPr>
        <w:t>厂商，深度聚焦特定行业，提供专业解决方案。</w:t>
      </w:r>
      <w:r w:rsidRPr="00C820D0">
        <w:t>3</w:t>
      </w:r>
      <w:r w:rsidRPr="00C820D0">
        <w:rPr>
          <w:rFonts w:hint="eastAsia"/>
        </w:rPr>
        <w:t>）专注于</w:t>
      </w:r>
      <w:r w:rsidRPr="00C820D0">
        <w:rPr>
          <w:rFonts w:hint="eastAsia"/>
        </w:rPr>
        <w:t>AI</w:t>
      </w:r>
      <w:r w:rsidRPr="00C820D0">
        <w:rPr>
          <w:rFonts w:hint="eastAsia"/>
        </w:rPr>
        <w:t>、数据等领域的</w:t>
      </w:r>
      <w:r w:rsidRPr="00C820D0">
        <w:rPr>
          <w:rFonts w:hint="eastAsia"/>
        </w:rPr>
        <w:t>PaaS</w:t>
      </w:r>
      <w:r w:rsidRPr="00C820D0">
        <w:rPr>
          <w:rFonts w:hint="eastAsia"/>
        </w:rPr>
        <w:t>及</w:t>
      </w:r>
      <w:r w:rsidRPr="00C820D0">
        <w:rPr>
          <w:rFonts w:hint="eastAsia"/>
        </w:rPr>
        <w:t>SaaS</w:t>
      </w:r>
      <w:r w:rsidRPr="00C820D0">
        <w:rPr>
          <w:rFonts w:hint="eastAsia"/>
        </w:rPr>
        <w:t>新兴创业公司等。目前</w:t>
      </w:r>
      <w:r w:rsidRPr="00C820D0">
        <w:t>S</w:t>
      </w:r>
      <w:r w:rsidRPr="00C820D0">
        <w:rPr>
          <w:rFonts w:hint="eastAsia"/>
        </w:rPr>
        <w:t>aaS</w:t>
      </w:r>
      <w:r w:rsidRPr="00C820D0">
        <w:rPr>
          <w:rFonts w:hint="eastAsia"/>
        </w:rPr>
        <w:t>云平台行业竞争已从早年的“价格战”转向价值竞争。用户关注成本的同时，更加关注</w:t>
      </w:r>
      <w:r w:rsidRPr="00C820D0">
        <w:rPr>
          <w:rFonts w:hint="eastAsia"/>
        </w:rPr>
        <w:t>SaaS</w:t>
      </w:r>
      <w:r w:rsidRPr="00C820D0">
        <w:rPr>
          <w:rFonts w:hint="eastAsia"/>
        </w:rPr>
        <w:t>产品能否带来真正的业务增长和效率提升。</w:t>
      </w:r>
    </w:p>
    <w:p w14:paraId="59815349" w14:textId="77777777" w:rsidR="00CD798F" w:rsidRPr="00C820D0" w:rsidRDefault="00CD798F" w:rsidP="00CD798F">
      <w:pPr>
        <w:pStyle w:val="005"/>
        <w:spacing w:before="120" w:after="120"/>
        <w:ind w:firstLine="480"/>
      </w:pPr>
      <w:r w:rsidRPr="00C820D0">
        <w:rPr>
          <w:rFonts w:hint="eastAsia"/>
        </w:rPr>
        <w:t>标的公司聚焦自助设备等细分领域物联网</w:t>
      </w:r>
      <w:r w:rsidRPr="00C820D0">
        <w:rPr>
          <w:rFonts w:hint="eastAsia"/>
        </w:rPr>
        <w:t>SaaS</w:t>
      </w:r>
      <w:r w:rsidRPr="00C820D0">
        <w:rPr>
          <w:rFonts w:hint="eastAsia"/>
        </w:rPr>
        <w:t>云服务场景，通过自主研发的多品</w:t>
      </w:r>
      <w:r w:rsidRPr="00C820D0">
        <w:rPr>
          <w:rFonts w:hint="eastAsia"/>
        </w:rPr>
        <w:lastRenderedPageBreak/>
        <w:t>类</w:t>
      </w:r>
      <w:r w:rsidRPr="00C820D0">
        <w:rPr>
          <w:rFonts w:hint="eastAsia"/>
        </w:rPr>
        <w:t>IoT</w:t>
      </w:r>
      <w:r w:rsidRPr="00C820D0">
        <w:rPr>
          <w:rFonts w:hint="eastAsia"/>
        </w:rPr>
        <w:t>智能硬件和</w:t>
      </w:r>
      <w:r w:rsidRPr="00C820D0">
        <w:rPr>
          <w:rFonts w:hint="eastAsia"/>
        </w:rPr>
        <w:t>SaaS</w:t>
      </w:r>
      <w:r w:rsidRPr="00C820D0">
        <w:rPr>
          <w:rFonts w:hint="eastAsia"/>
        </w:rPr>
        <w:t>云平台，实现了数据收集、建模、测试、故障诊断和智能预测的智能自助设备全链条数据开发和应用，构建了广泛的市场覆盖网络，并积累了丰富的行业经验，标的公司在自助设备等细分领域具备较强的市场竞争力。</w:t>
      </w:r>
      <w:r w:rsidRPr="00C820D0">
        <w:rPr>
          <w:rFonts w:hint="eastAsia"/>
        </w:rPr>
        <w:t>2024</w:t>
      </w:r>
      <w:r w:rsidRPr="00C820D0">
        <w:rPr>
          <w:rFonts w:hint="eastAsia"/>
        </w:rPr>
        <w:t>年度，标的资产全平台在线智能自助设备总数超</w:t>
      </w:r>
      <w:r w:rsidRPr="00C820D0">
        <w:rPr>
          <w:rFonts w:hint="eastAsia"/>
        </w:rPr>
        <w:t>300</w:t>
      </w:r>
      <w:r w:rsidRPr="00C820D0">
        <w:rPr>
          <w:rFonts w:hint="eastAsia"/>
        </w:rPr>
        <w:t>万台，报告期内全部终端设备单日支付笔数峰值超</w:t>
      </w:r>
      <w:r w:rsidRPr="00C820D0">
        <w:rPr>
          <w:rFonts w:hint="eastAsia"/>
        </w:rPr>
        <w:t>700</w:t>
      </w:r>
      <w:r w:rsidRPr="00C820D0">
        <w:rPr>
          <w:rFonts w:hint="eastAsia"/>
        </w:rPr>
        <w:t>万笔。</w:t>
      </w:r>
    </w:p>
    <w:p w14:paraId="5164FC26" w14:textId="77777777" w:rsidR="00CD798F" w:rsidRPr="00C820D0" w:rsidRDefault="00CD798F" w:rsidP="00CD798F">
      <w:pPr>
        <w:pStyle w:val="005"/>
        <w:spacing w:before="120" w:after="120"/>
        <w:ind w:firstLine="480"/>
      </w:pPr>
      <w:r w:rsidRPr="00C820D0">
        <w:rPr>
          <w:rFonts w:hint="eastAsia"/>
        </w:rPr>
        <w:t>（</w:t>
      </w:r>
      <w:r w:rsidRPr="00C820D0">
        <w:rPr>
          <w:rFonts w:hint="eastAsia"/>
        </w:rPr>
        <w:t>3</w:t>
      </w:r>
      <w:r w:rsidRPr="00C820D0">
        <w:rPr>
          <w:rFonts w:hint="eastAsia"/>
        </w:rPr>
        <w:t>）数字增值服务</w:t>
      </w:r>
    </w:p>
    <w:p w14:paraId="2A2A1579" w14:textId="77777777" w:rsidR="00CD798F" w:rsidRPr="00C820D0" w:rsidRDefault="00CD798F" w:rsidP="00CD798F">
      <w:pPr>
        <w:pStyle w:val="005"/>
        <w:spacing w:before="120" w:after="120"/>
        <w:ind w:firstLine="480"/>
      </w:pPr>
      <w:r w:rsidRPr="00C820D0">
        <w:rPr>
          <w:rFonts w:hint="eastAsia"/>
        </w:rPr>
        <w:t>数字增值服务行业市场竞争格局呈现出多元化、动态化的特点，行业参与者包括互联网巨头、传统软件企业、新兴科技创业公司等。互联网巨头凭借技术、数据和用户基础，占据高端市场和核心场景；传统软件企业通过数字化转型，拓展增值服务领域；新兴创业公司则聚焦细分赛道，以创新技术和灵活服务切入市场。目前，数字增值行业主要竞争方向为通过技术创新提升服务效率、精准度和个性化水平，并通过建立生态体系、深耕行业应用场景等提高市场渗透率。</w:t>
      </w:r>
    </w:p>
    <w:p w14:paraId="2B868A5E" w14:textId="77777777" w:rsidR="00CD798F" w:rsidRDefault="00CD798F" w:rsidP="00CD798F">
      <w:pPr>
        <w:pStyle w:val="005"/>
        <w:spacing w:before="120" w:after="120"/>
        <w:ind w:firstLine="480"/>
      </w:pPr>
      <w:r>
        <w:rPr>
          <w:rFonts w:hint="eastAsia"/>
        </w:rPr>
        <w:t>标的</w:t>
      </w:r>
      <w:r w:rsidRPr="003D188E">
        <w:rPr>
          <w:rFonts w:hint="eastAsia"/>
        </w:rPr>
        <w:t>基于业内领先的“</w:t>
      </w:r>
      <w:r w:rsidRPr="00C820D0">
        <w:rPr>
          <w:rFonts w:hint="eastAsia"/>
        </w:rPr>
        <w:t>IoT</w:t>
      </w:r>
      <w:r w:rsidRPr="00C820D0">
        <w:rPr>
          <w:rFonts w:hint="eastAsia"/>
        </w:rPr>
        <w:t>智能硬件</w:t>
      </w:r>
      <w:r w:rsidRPr="00C820D0">
        <w:rPr>
          <w:rFonts w:hint="eastAsia"/>
        </w:rPr>
        <w:t>+SaaS</w:t>
      </w:r>
      <w:r w:rsidRPr="00C820D0">
        <w:rPr>
          <w:rFonts w:hint="eastAsia"/>
        </w:rPr>
        <w:t>云平台</w:t>
      </w:r>
      <w:r w:rsidRPr="003D188E">
        <w:rPr>
          <w:rFonts w:hint="eastAsia"/>
        </w:rPr>
        <w:t>”一体化解决方案和强大的智能自助设备全链条服务能力，灵活开展广告投放、流量引入和价值转化等多元化数字增值服务，以增加业务收入来源和提升综合盈利能力。</w:t>
      </w:r>
    </w:p>
    <w:p w14:paraId="6376EF98" w14:textId="77777777" w:rsidR="00CD798F" w:rsidRPr="003D188E" w:rsidRDefault="00CD798F" w:rsidP="00CD798F">
      <w:pPr>
        <w:pStyle w:val="004"/>
        <w:spacing w:before="120" w:after="120"/>
        <w:ind w:firstLine="482"/>
      </w:pPr>
      <w:r w:rsidRPr="003D188E">
        <w:rPr>
          <w:rFonts w:hint="eastAsia"/>
        </w:rPr>
        <w:t>3</w:t>
      </w:r>
      <w:r w:rsidRPr="003D188E">
        <w:rPr>
          <w:rFonts w:hint="eastAsia"/>
        </w:rPr>
        <w:t>、下游智能自助设备行业的发展情况及趋势</w:t>
      </w:r>
    </w:p>
    <w:p w14:paraId="64D283F1" w14:textId="77777777" w:rsidR="00CD798F" w:rsidRDefault="00CD798F" w:rsidP="00CD798F">
      <w:pPr>
        <w:pStyle w:val="005"/>
        <w:spacing w:before="120" w:after="120"/>
        <w:ind w:firstLine="480"/>
      </w:pPr>
      <w:r w:rsidRPr="00C820D0">
        <w:rPr>
          <w:rFonts w:hint="eastAsia"/>
        </w:rPr>
        <w:t>自助设备物联网行业具有较大的市场规模，且市场细分领域众多，大多数智能自助设备数字化服务提供商仅专注于少量的细分领域且经营规模较小，市场份额偏低。随着全球数字化进程的加快，智能自助设备在海内外市场的潜力巨大。根据</w:t>
      </w:r>
      <w:r w:rsidRPr="00C820D0">
        <w:rPr>
          <w:rFonts w:hint="eastAsia"/>
        </w:rPr>
        <w:t>IDC</w:t>
      </w:r>
      <w:r w:rsidRPr="00C820D0">
        <w:rPr>
          <w:rFonts w:hint="eastAsia"/>
        </w:rPr>
        <w:t>数据，</w:t>
      </w:r>
      <w:r w:rsidRPr="00C820D0">
        <w:rPr>
          <w:rFonts w:hint="eastAsia"/>
        </w:rPr>
        <w:t>2024</w:t>
      </w:r>
      <w:r w:rsidRPr="00C820D0">
        <w:rPr>
          <w:rFonts w:hint="eastAsia"/>
        </w:rPr>
        <w:t>年中国物联网市场规模达</w:t>
      </w:r>
      <w:r w:rsidRPr="00C820D0">
        <w:rPr>
          <w:rFonts w:hint="eastAsia"/>
        </w:rPr>
        <w:t>1,982.50</w:t>
      </w:r>
      <w:r w:rsidRPr="00C820D0">
        <w:rPr>
          <w:rFonts w:hint="eastAsia"/>
        </w:rPr>
        <w:t>亿美元，同比增长</w:t>
      </w:r>
      <w:r w:rsidRPr="00C820D0">
        <w:rPr>
          <w:rFonts w:hint="eastAsia"/>
        </w:rPr>
        <w:t>13.2%</w:t>
      </w:r>
      <w:r w:rsidRPr="00C820D0">
        <w:rPr>
          <w:rFonts w:hint="eastAsia"/>
        </w:rPr>
        <w:t>，预计</w:t>
      </w:r>
      <w:r w:rsidRPr="00C820D0">
        <w:rPr>
          <w:rFonts w:hint="eastAsia"/>
        </w:rPr>
        <w:t>2028</w:t>
      </w:r>
      <w:r w:rsidRPr="00C820D0">
        <w:rPr>
          <w:rFonts w:hint="eastAsia"/>
        </w:rPr>
        <w:t>年将增至</w:t>
      </w:r>
      <w:r w:rsidRPr="00C820D0">
        <w:rPr>
          <w:rFonts w:hint="eastAsia"/>
        </w:rPr>
        <w:t>3,264.70</w:t>
      </w:r>
      <w:r w:rsidRPr="00C820D0">
        <w:rPr>
          <w:rFonts w:hint="eastAsia"/>
        </w:rPr>
        <w:t>亿美元，</w:t>
      </w:r>
      <w:r w:rsidRPr="00C820D0">
        <w:rPr>
          <w:rFonts w:hint="eastAsia"/>
        </w:rPr>
        <w:t>5</w:t>
      </w:r>
      <w:r w:rsidRPr="00C820D0">
        <w:rPr>
          <w:rFonts w:hint="eastAsia"/>
        </w:rPr>
        <w:t>年</w:t>
      </w:r>
      <w:r w:rsidRPr="00C820D0">
        <w:rPr>
          <w:rFonts w:hint="eastAsia"/>
        </w:rPr>
        <w:t>CAGR</w:t>
      </w:r>
      <w:r w:rsidRPr="00C820D0">
        <w:rPr>
          <w:rFonts w:hint="eastAsia"/>
        </w:rPr>
        <w:t>达</w:t>
      </w:r>
      <w:r w:rsidRPr="00C820D0">
        <w:rPr>
          <w:rFonts w:hint="eastAsia"/>
        </w:rPr>
        <w:t>13.30%</w:t>
      </w:r>
      <w:r w:rsidRPr="00C820D0">
        <w:rPr>
          <w:rFonts w:hint="eastAsia"/>
        </w:rPr>
        <w:t>。</w:t>
      </w:r>
    </w:p>
    <w:p w14:paraId="7B1C99B3" w14:textId="77777777" w:rsidR="00CD798F" w:rsidRDefault="00CD798F" w:rsidP="00CD798F">
      <w:pPr>
        <w:pStyle w:val="005"/>
        <w:spacing w:before="120" w:after="120"/>
        <w:ind w:firstLine="480"/>
      </w:pPr>
      <w:r>
        <w:rPr>
          <w:rFonts w:hint="eastAsia"/>
        </w:rPr>
        <w:t>标的公司在长期的行业深耕过程中，形成了“</w:t>
      </w:r>
      <w:r w:rsidRPr="00C820D0">
        <w:rPr>
          <w:rFonts w:hint="eastAsia"/>
        </w:rPr>
        <w:t>IoT</w:t>
      </w:r>
      <w:r w:rsidRPr="00C820D0">
        <w:rPr>
          <w:rFonts w:hint="eastAsia"/>
        </w:rPr>
        <w:t>智能硬件</w:t>
      </w:r>
      <w:r w:rsidRPr="00C820D0">
        <w:rPr>
          <w:rFonts w:hint="eastAsia"/>
        </w:rPr>
        <w:t>+SaaS</w:t>
      </w:r>
      <w:r w:rsidRPr="00C820D0">
        <w:rPr>
          <w:rFonts w:hint="eastAsia"/>
        </w:rPr>
        <w:t>云平台</w:t>
      </w:r>
      <w:r>
        <w:rPr>
          <w:rFonts w:hint="eastAsia"/>
        </w:rPr>
        <w:t>”核心技术体系，并主动辐射智慧生活、智慧出行和智慧零售等多个细分领域，已具备相对较大的收入和净利润规模，拥有领先的市场地位，未来标的公司将在巩固市场地位的基础上持续增强产品竞争力和细分业务领域，推动经营业绩持续增长。</w:t>
      </w:r>
    </w:p>
    <w:p w14:paraId="1341707A" w14:textId="77777777" w:rsidR="00CD798F" w:rsidRPr="00235BCE" w:rsidRDefault="00CD798F" w:rsidP="00CD798F">
      <w:pPr>
        <w:pStyle w:val="003"/>
        <w:spacing w:before="120" w:after="120"/>
        <w:ind w:firstLine="482"/>
      </w:pPr>
      <w:r w:rsidRPr="00235BCE">
        <w:rPr>
          <w:rFonts w:hint="eastAsia"/>
        </w:rPr>
        <w:lastRenderedPageBreak/>
        <w:t>（二）标的资产的竞争优劣势</w:t>
      </w:r>
    </w:p>
    <w:p w14:paraId="5084A2F4" w14:textId="77777777" w:rsidR="00CD798F" w:rsidRDefault="00CD798F" w:rsidP="00CD798F">
      <w:pPr>
        <w:pStyle w:val="004"/>
        <w:spacing w:before="120" w:after="120"/>
        <w:ind w:firstLine="482"/>
      </w:pPr>
      <w:r>
        <w:rPr>
          <w:rFonts w:hint="eastAsia"/>
        </w:rPr>
        <w:t>1</w:t>
      </w:r>
      <w:r>
        <w:rPr>
          <w:rFonts w:hint="eastAsia"/>
        </w:rPr>
        <w:t>、核心竞争优势</w:t>
      </w:r>
    </w:p>
    <w:p w14:paraId="0B6C520C" w14:textId="77777777" w:rsidR="00CD798F" w:rsidRDefault="00CD798F" w:rsidP="00CD798F">
      <w:pPr>
        <w:pStyle w:val="005"/>
        <w:spacing w:before="120" w:after="120"/>
        <w:ind w:firstLine="480"/>
      </w:pPr>
      <w:r>
        <w:rPr>
          <w:rFonts w:hint="eastAsia"/>
        </w:rPr>
        <w:t>（</w:t>
      </w:r>
      <w:r>
        <w:rPr>
          <w:rFonts w:hint="eastAsia"/>
        </w:rPr>
        <w:t>1</w:t>
      </w:r>
      <w:r>
        <w:rPr>
          <w:rFonts w:hint="eastAsia"/>
        </w:rPr>
        <w:t>）拥有健全领先产品矩阵，全面覆盖终端场景</w:t>
      </w:r>
    </w:p>
    <w:p w14:paraId="55943CF2" w14:textId="77777777" w:rsidR="00CD798F" w:rsidRDefault="00CD798F" w:rsidP="00CD798F">
      <w:pPr>
        <w:pStyle w:val="005"/>
        <w:spacing w:before="120" w:after="120"/>
        <w:ind w:firstLine="480"/>
      </w:pPr>
      <w:r>
        <w:rPr>
          <w:rFonts w:hint="eastAsia"/>
        </w:rPr>
        <w:t>标的公司专注于提供“</w:t>
      </w:r>
      <w:r>
        <w:rPr>
          <w:rFonts w:hint="eastAsia"/>
        </w:rPr>
        <w:t>IoT</w:t>
      </w:r>
      <w:r>
        <w:rPr>
          <w:rFonts w:hint="eastAsia"/>
        </w:rPr>
        <w:t>智能硬件</w:t>
      </w:r>
      <w:r>
        <w:rPr>
          <w:rFonts w:hint="eastAsia"/>
        </w:rPr>
        <w:t>+SaaS</w:t>
      </w:r>
      <w:r>
        <w:rPr>
          <w:rFonts w:hint="eastAsia"/>
        </w:rPr>
        <w:t>云平台”一体化解决方案，实现二者深度耦合。目前，标的公司已经打造覆盖智慧生活解决方案、智慧零售解决方案、智慧出行解决方案等在内的全场景解决方案矩阵，能够全面覆盖多类型的自助设备终端场景，有效满足客户和消费者的多元需求，具体情况如下：</w:t>
      </w:r>
    </w:p>
    <w:p w14:paraId="32F2FEA9" w14:textId="77777777" w:rsidR="00CD798F" w:rsidRDefault="00CD798F" w:rsidP="00CD798F">
      <w:pPr>
        <w:pStyle w:val="005"/>
        <w:spacing w:before="120" w:after="120"/>
        <w:ind w:firstLine="480"/>
      </w:pPr>
      <w:r>
        <w:rPr>
          <w:rFonts w:hint="eastAsia"/>
        </w:rPr>
        <w:t>标的公司提供成熟可靠的</w:t>
      </w:r>
      <w:r>
        <w:rPr>
          <w:rFonts w:hint="eastAsia"/>
        </w:rPr>
        <w:t>IoT</w:t>
      </w:r>
      <w:r>
        <w:rPr>
          <w:rFonts w:hint="eastAsia"/>
        </w:rPr>
        <w:t>智能硬件产品，依托集成芯片模组方案及边缘算力能力，并通过统一的底层</w:t>
      </w:r>
      <w:r>
        <w:rPr>
          <w:rFonts w:hint="eastAsia"/>
        </w:rPr>
        <w:t>SDK</w:t>
      </w:r>
      <w:r>
        <w:rPr>
          <w:rFonts w:hint="eastAsia"/>
        </w:rPr>
        <w:t>实现各类传感器数据及协议标准化。制造商仅需专注自身产品硬件接口的控制，即可借助标的公司提供的集成芯片模组，补足自助设备控制主板的智能化与数字化升级短板，提升硬件研发能力，实现设备在生产测试环节的全流程监测，从而提升产品质量。标的公司在智慧硬件产业链已形成规模化优势，能够进一步降低综合成本，为市场提供更具性价比的智能硬件解决方案。</w:t>
      </w:r>
    </w:p>
    <w:p w14:paraId="2F205EB4" w14:textId="77777777" w:rsidR="00CD798F" w:rsidRDefault="00CD798F" w:rsidP="00CD798F">
      <w:pPr>
        <w:pStyle w:val="005"/>
        <w:spacing w:before="120" w:after="120"/>
        <w:ind w:firstLine="480"/>
      </w:pPr>
      <w:r>
        <w:rPr>
          <w:rFonts w:hint="eastAsia"/>
        </w:rPr>
        <w:t>同时，标的公司还提供功能强大、稳定可靠的</w:t>
      </w:r>
      <w:r>
        <w:rPr>
          <w:rFonts w:hint="eastAsia"/>
        </w:rPr>
        <w:t>SaaS</w:t>
      </w:r>
      <w:r>
        <w:rPr>
          <w:rFonts w:hint="eastAsia"/>
        </w:rPr>
        <w:t>云平台服务，助力自助设备运营商实现经营管理、设备监控、商品调配、数据分析、智能补货及故障预警等“一站式”高效管理，赋能智慧经营决策。此外，该</w:t>
      </w:r>
      <w:r>
        <w:rPr>
          <w:rFonts w:hint="eastAsia"/>
        </w:rPr>
        <w:t>SaaS</w:t>
      </w:r>
      <w:r>
        <w:rPr>
          <w:rFonts w:hint="eastAsia"/>
        </w:rPr>
        <w:t>云平台服务还能为自助设备运营商提供安全保障、智慧营销等方面支持，全方位助力其提升管理效率，优化商业效益。</w:t>
      </w:r>
    </w:p>
    <w:p w14:paraId="07DDF9E8" w14:textId="77777777" w:rsidR="00CD798F" w:rsidRDefault="00CD798F" w:rsidP="00CD798F">
      <w:pPr>
        <w:pStyle w:val="005"/>
        <w:spacing w:before="120" w:after="120"/>
        <w:ind w:firstLine="480"/>
      </w:pPr>
      <w:r>
        <w:rPr>
          <w:rFonts w:hint="eastAsia"/>
        </w:rPr>
        <w:t>（</w:t>
      </w:r>
      <w:r>
        <w:rPr>
          <w:rFonts w:hint="eastAsia"/>
        </w:rPr>
        <w:t>2</w:t>
      </w:r>
      <w:r>
        <w:rPr>
          <w:rFonts w:hint="eastAsia"/>
        </w:rPr>
        <w:t>）高度重视研发创新能力，构建可靠高效的研发体系</w:t>
      </w:r>
    </w:p>
    <w:p w14:paraId="69C8FCF0" w14:textId="77777777" w:rsidR="00CD798F" w:rsidRDefault="00CD798F" w:rsidP="00CD798F">
      <w:pPr>
        <w:pStyle w:val="005"/>
        <w:spacing w:before="120" w:after="120"/>
        <w:ind w:firstLine="480"/>
      </w:pPr>
      <w:r>
        <w:rPr>
          <w:rFonts w:hint="eastAsia"/>
        </w:rPr>
        <w:t>标的公司始终重视研发创新能力的构建与提升，保持较高的研发投入水平，在长期的经营发展过程中打造出一支研发能力过硬、人员稳定且组成结构合理的精英研发团队。在</w:t>
      </w:r>
      <w:r>
        <w:rPr>
          <w:rFonts w:hint="eastAsia"/>
        </w:rPr>
        <w:t>IoT</w:t>
      </w:r>
      <w:r>
        <w:rPr>
          <w:rFonts w:hint="eastAsia"/>
        </w:rPr>
        <w:t>智能硬件及</w:t>
      </w:r>
      <w:r>
        <w:rPr>
          <w:rFonts w:hint="eastAsia"/>
        </w:rPr>
        <w:t>SaaS</w:t>
      </w:r>
      <w:r>
        <w:rPr>
          <w:rFonts w:hint="eastAsia"/>
        </w:rPr>
        <w:t>云平台技术方面，标的公司始终坚持自主研发，持续进行创新技术投入，通过布局边缘计算、</w:t>
      </w:r>
      <w:r>
        <w:rPr>
          <w:rFonts w:hint="eastAsia"/>
        </w:rPr>
        <w:t>AI</w:t>
      </w:r>
      <w:r>
        <w:rPr>
          <w:rFonts w:hint="eastAsia"/>
        </w:rPr>
        <w:t>大数据算法和自助设备低代码开发平台等方式持续驱动产品升级，满足市场快速迭代需求。同时，公司建立了规范高效的研发管理体系，涵盖《研发资源调配机制》《研发项目立项方案》《技术方案评审机制》等关</w:t>
      </w:r>
      <w:r>
        <w:rPr>
          <w:rFonts w:hint="eastAsia"/>
        </w:rPr>
        <w:lastRenderedPageBreak/>
        <w:t>键流程，确保技术研发的科学性、敏捷性，使产品始终精准契合市场需求。</w:t>
      </w:r>
    </w:p>
    <w:p w14:paraId="5E9C8436" w14:textId="77777777" w:rsidR="00CD798F" w:rsidRDefault="00CD798F" w:rsidP="00CD798F">
      <w:pPr>
        <w:pStyle w:val="005"/>
        <w:spacing w:before="120" w:after="120"/>
        <w:ind w:firstLine="480"/>
      </w:pPr>
      <w:r>
        <w:rPr>
          <w:rFonts w:hint="eastAsia"/>
        </w:rPr>
        <w:t>（</w:t>
      </w:r>
      <w:r>
        <w:rPr>
          <w:rFonts w:hint="eastAsia"/>
        </w:rPr>
        <w:t>3</w:t>
      </w:r>
      <w:r>
        <w:rPr>
          <w:rFonts w:hint="eastAsia"/>
        </w:rPr>
        <w:t>）长期深耕自助设备行业，客户资源优势突出</w:t>
      </w:r>
    </w:p>
    <w:p w14:paraId="35890394" w14:textId="77777777" w:rsidR="00CD798F" w:rsidRDefault="00CD798F" w:rsidP="00CD798F">
      <w:pPr>
        <w:pStyle w:val="005"/>
        <w:spacing w:before="120" w:after="120"/>
        <w:ind w:firstLine="480"/>
      </w:pPr>
      <w:r>
        <w:rPr>
          <w:rFonts w:hint="eastAsia"/>
        </w:rPr>
        <w:t>自</w:t>
      </w:r>
      <w:r>
        <w:rPr>
          <w:rFonts w:hint="eastAsia"/>
        </w:rPr>
        <w:t>2015</w:t>
      </w:r>
      <w:r>
        <w:rPr>
          <w:rFonts w:hint="eastAsia"/>
        </w:rPr>
        <w:t>年成立以来，标的公司长期深耕自助设备行业，秉承着行业共赢的理念，通过集成芯片模组，补足自助设备控制主板的智能化、数字化升级短板，提高工业生产合作伙伴的硬件研发能力，从而实现设备在生产测试环节的全流程监测，提高生产质量。依托持续的产品创新、服务优化及敏捷的客户需求响应能力，目前标的公司已与下游各大终端消费场景的自助设备制造商建立了深度战略合作关系，形成了稳定的下游客户生态。</w:t>
      </w:r>
    </w:p>
    <w:p w14:paraId="645B172F" w14:textId="77777777" w:rsidR="00CD798F" w:rsidRDefault="00CD798F" w:rsidP="00CD798F">
      <w:pPr>
        <w:pStyle w:val="005"/>
        <w:spacing w:before="120" w:after="120"/>
        <w:ind w:firstLine="480"/>
      </w:pPr>
      <w:r>
        <w:rPr>
          <w:rFonts w:hint="eastAsia"/>
        </w:rPr>
        <w:t>（</w:t>
      </w:r>
      <w:r>
        <w:rPr>
          <w:rFonts w:hint="eastAsia"/>
        </w:rPr>
        <w:t>4</w:t>
      </w:r>
      <w:r>
        <w:rPr>
          <w:rFonts w:hint="eastAsia"/>
        </w:rPr>
        <w:t>）陪伴物联网设备行业成长，具备较强品牌效应</w:t>
      </w:r>
    </w:p>
    <w:p w14:paraId="15955EC9" w14:textId="77777777" w:rsidR="00CD798F" w:rsidRDefault="00CD798F" w:rsidP="00CD798F">
      <w:pPr>
        <w:pStyle w:val="005"/>
        <w:spacing w:before="120" w:after="120"/>
        <w:ind w:firstLine="480"/>
      </w:pPr>
      <w:r>
        <w:rPr>
          <w:rFonts w:hint="eastAsia"/>
        </w:rPr>
        <w:t>标的公司作为国内最早布局自助设备物联网模块及</w:t>
      </w:r>
      <w:r>
        <w:rPr>
          <w:rFonts w:hint="eastAsia"/>
        </w:rPr>
        <w:t>SaaS</w:t>
      </w:r>
      <w:r>
        <w:rPr>
          <w:rFonts w:hint="eastAsia"/>
        </w:rPr>
        <w:t>云平台服务的企业之一，始终秉持“质量先行、客户至上”的核心服务理念，凭借卓越的技术创新能力、快速迭代的产品体系及全流程服务能力，已在行业内铸就了高口碑的品牌形象。标的公司旗下“乐摇摇”等品牌已广为市场认同与接受，通过</w:t>
      </w:r>
      <w:r>
        <w:rPr>
          <w:rFonts w:hint="eastAsia"/>
        </w:rPr>
        <w:t>7*24</w:t>
      </w:r>
      <w:r>
        <w:rPr>
          <w:rFonts w:hint="eastAsia"/>
        </w:rPr>
        <w:t>小时全天候专业客服支持、智能化系统监控及快速响应的技术运维体系，</w:t>
      </w:r>
      <w:r w:rsidRPr="000E16CE">
        <w:rPr>
          <w:rFonts w:hint="eastAsia"/>
        </w:rPr>
        <w:t>已累计为超过</w:t>
      </w:r>
      <w:r w:rsidRPr="00807CA9">
        <w:t>45</w:t>
      </w:r>
      <w:r w:rsidRPr="000E16CE">
        <w:rPr>
          <w:rFonts w:hint="eastAsia"/>
        </w:rPr>
        <w:t>万家商户提供稳定可靠的技术支持与经营管理赋能</w:t>
      </w:r>
      <w:r>
        <w:rPr>
          <w:rFonts w:hint="eastAsia"/>
        </w:rPr>
        <w:t>，成为广大自助设备运营商日常经营与战略决策的重要合作伙伴。历经十年深耕，标的公司通过持续的技术沉淀、客户资源积累与品牌价值释放，已成功打造出深层次的客户粘性与较强的行业影响力。</w:t>
      </w:r>
    </w:p>
    <w:p w14:paraId="1E621066" w14:textId="77777777" w:rsidR="00CD798F" w:rsidRDefault="00CD798F" w:rsidP="00CD798F">
      <w:pPr>
        <w:pStyle w:val="005"/>
        <w:spacing w:before="120" w:after="120"/>
        <w:ind w:firstLine="480"/>
      </w:pPr>
      <w:r>
        <w:rPr>
          <w:rFonts w:hint="eastAsia"/>
        </w:rPr>
        <w:t>标的公司自设立以来坚持以技术为基石的基本经营原则，以打造业内长期领先的技术创新能力为最终目标，形成了较为完善的核心技术体系。</w:t>
      </w:r>
    </w:p>
    <w:p w14:paraId="331BE88E" w14:textId="77777777" w:rsidR="00CD798F" w:rsidRDefault="00CD798F" w:rsidP="00CD798F">
      <w:pPr>
        <w:pStyle w:val="004"/>
        <w:spacing w:before="120" w:after="120"/>
        <w:ind w:firstLine="482"/>
      </w:pPr>
      <w:r>
        <w:rPr>
          <w:rFonts w:hint="eastAsia"/>
        </w:rPr>
        <w:t>2</w:t>
      </w:r>
      <w:r>
        <w:rPr>
          <w:rFonts w:hint="eastAsia"/>
        </w:rPr>
        <w:t>、竞争劣势</w:t>
      </w:r>
    </w:p>
    <w:p w14:paraId="50B55EB6" w14:textId="77777777" w:rsidR="00CD798F" w:rsidRPr="00F6432D" w:rsidRDefault="00CD798F" w:rsidP="00CD798F">
      <w:pPr>
        <w:pStyle w:val="005"/>
        <w:spacing w:before="120" w:after="120"/>
        <w:ind w:firstLine="480"/>
      </w:pPr>
      <w:r>
        <w:rPr>
          <w:rFonts w:hint="eastAsia"/>
        </w:rPr>
        <w:t>标的公司的主要竞争劣势包含</w:t>
      </w:r>
      <w:r w:rsidRPr="00561C52">
        <w:rPr>
          <w:rFonts w:hint="eastAsia"/>
        </w:rPr>
        <w:t>资金</w:t>
      </w:r>
      <w:r>
        <w:rPr>
          <w:rFonts w:hint="eastAsia"/>
        </w:rPr>
        <w:t>实力较弱、</w:t>
      </w:r>
      <w:r w:rsidRPr="00561C52">
        <w:rPr>
          <w:rFonts w:hint="eastAsia"/>
        </w:rPr>
        <w:t>融资渠道单一</w:t>
      </w:r>
      <w:r>
        <w:rPr>
          <w:rFonts w:hint="eastAsia"/>
        </w:rPr>
        <w:t>、经营规模较小，标的公司</w:t>
      </w:r>
      <w:r w:rsidRPr="00561C52">
        <w:rPr>
          <w:rFonts w:hint="eastAsia"/>
        </w:rPr>
        <w:t>发展需要持续投入研发</w:t>
      </w:r>
      <w:r>
        <w:rPr>
          <w:rFonts w:hint="eastAsia"/>
        </w:rPr>
        <w:t>和</w:t>
      </w:r>
      <w:r w:rsidRPr="00561C52">
        <w:rPr>
          <w:rFonts w:hint="eastAsia"/>
        </w:rPr>
        <w:t>市场开拓，但主要依赖自身经营积累和银行贷款，融资渠道有限，制约了快速发展。</w:t>
      </w:r>
      <w:r>
        <w:rPr>
          <w:rFonts w:hint="eastAsia"/>
        </w:rPr>
        <w:t>此外，标的公司聚焦智能</w:t>
      </w:r>
      <w:r w:rsidRPr="00561C52">
        <w:rPr>
          <w:rFonts w:hint="eastAsia"/>
        </w:rPr>
        <w:t>自助设备</w:t>
      </w:r>
      <w:r>
        <w:rPr>
          <w:rFonts w:hint="eastAsia"/>
        </w:rPr>
        <w:t>领域，该领域市场较为分散，标的公司聚焦细分领域，但</w:t>
      </w:r>
      <w:r w:rsidRPr="00561C52">
        <w:rPr>
          <w:rFonts w:hint="eastAsia"/>
        </w:rPr>
        <w:t>整体资产和经营规模较小，抗市场波动和风险</w:t>
      </w:r>
      <w:r w:rsidRPr="00561C52">
        <w:rPr>
          <w:rFonts w:hint="eastAsia"/>
        </w:rPr>
        <w:lastRenderedPageBreak/>
        <w:t>的能力相对较弱</w:t>
      </w:r>
      <w:r>
        <w:rPr>
          <w:rFonts w:hint="eastAsia"/>
        </w:rPr>
        <w:t>。</w:t>
      </w:r>
    </w:p>
    <w:p w14:paraId="58FF3EC3" w14:textId="77777777" w:rsidR="00CD798F" w:rsidRPr="00E958DD" w:rsidRDefault="00CD798F" w:rsidP="00CD798F">
      <w:pPr>
        <w:pStyle w:val="003"/>
        <w:spacing w:before="120" w:after="120"/>
        <w:ind w:firstLine="482"/>
      </w:pPr>
      <w:r>
        <w:rPr>
          <w:rFonts w:hint="eastAsia"/>
        </w:rPr>
        <w:t>（三）</w:t>
      </w:r>
      <w:r w:rsidRPr="00A81F49">
        <w:rPr>
          <w:rFonts w:hint="eastAsia"/>
        </w:rPr>
        <w:t>与主要客户合作的可持续性、新客户拓展情况</w:t>
      </w:r>
    </w:p>
    <w:p w14:paraId="5317A617" w14:textId="77777777" w:rsidR="00CD798F" w:rsidRDefault="00CD798F" w:rsidP="00CD798F">
      <w:pPr>
        <w:pStyle w:val="004"/>
        <w:spacing w:before="120" w:after="120"/>
        <w:ind w:firstLine="482"/>
      </w:pPr>
      <w:r>
        <w:rPr>
          <w:rFonts w:hint="eastAsia"/>
        </w:rPr>
        <w:t>1</w:t>
      </w:r>
      <w:r>
        <w:rPr>
          <w:rFonts w:hint="eastAsia"/>
        </w:rPr>
        <w:t>、</w:t>
      </w:r>
      <w:r w:rsidRPr="00A81F49">
        <w:rPr>
          <w:rFonts w:hint="eastAsia"/>
        </w:rPr>
        <w:t>与主要客户合作的可持续性</w:t>
      </w:r>
    </w:p>
    <w:p w14:paraId="4D4BA5BC" w14:textId="77777777" w:rsidR="00CD798F" w:rsidRDefault="00CD798F" w:rsidP="00CD798F">
      <w:pPr>
        <w:pStyle w:val="005"/>
        <w:spacing w:before="120" w:after="120"/>
        <w:ind w:firstLine="480"/>
      </w:pPr>
      <w:r>
        <w:rPr>
          <w:rFonts w:hint="eastAsia"/>
        </w:rPr>
        <w:t>标的</w:t>
      </w:r>
      <w:r w:rsidRPr="00352E61">
        <w:rPr>
          <w:rFonts w:hint="eastAsia"/>
        </w:rPr>
        <w:t>公司主营业务为“</w:t>
      </w:r>
      <w:r w:rsidRPr="00352E61">
        <w:rPr>
          <w:rFonts w:hint="eastAsia"/>
        </w:rPr>
        <w:t>IoT</w:t>
      </w:r>
      <w:r w:rsidRPr="00352E61">
        <w:rPr>
          <w:rFonts w:hint="eastAsia"/>
        </w:rPr>
        <w:t>智能硬件</w:t>
      </w:r>
      <w:r w:rsidRPr="00352E61">
        <w:rPr>
          <w:rFonts w:hint="eastAsia"/>
        </w:rPr>
        <w:t>+</w:t>
      </w:r>
      <w:r>
        <w:rPr>
          <w:rFonts w:hint="eastAsia"/>
        </w:rPr>
        <w:t>SaaS</w:t>
      </w:r>
      <w:r w:rsidRPr="00352E61">
        <w:rPr>
          <w:rFonts w:hint="eastAsia"/>
        </w:rPr>
        <w:t>云平台”一体化解决方案，涵盖硬件销售、软件订阅及数字增值服务。在该模式下，客户购买硬件设备后，将持续使用</w:t>
      </w:r>
      <w:r>
        <w:rPr>
          <w:rFonts w:hint="eastAsia"/>
        </w:rPr>
        <w:t>标的</w:t>
      </w:r>
      <w:r w:rsidRPr="00352E61">
        <w:rPr>
          <w:rFonts w:hint="eastAsia"/>
        </w:rPr>
        <w:t>公司</w:t>
      </w:r>
      <w:r>
        <w:rPr>
          <w:rFonts w:hint="eastAsia"/>
        </w:rPr>
        <w:t>SaaS</w:t>
      </w:r>
      <w:r w:rsidRPr="00352E61">
        <w:rPr>
          <w:rFonts w:hint="eastAsia"/>
        </w:rPr>
        <w:t>平台进行设备管理、数据分析和运营优化，从而构建了较强的业务粘性。</w:t>
      </w:r>
    </w:p>
    <w:p w14:paraId="6A21EDEB" w14:textId="77777777" w:rsidR="00CD798F" w:rsidRDefault="00CD798F" w:rsidP="00CD798F">
      <w:pPr>
        <w:pStyle w:val="005"/>
        <w:spacing w:before="120" w:after="120"/>
        <w:ind w:firstLine="480"/>
      </w:pPr>
      <w:r>
        <w:rPr>
          <w:rFonts w:hint="eastAsia"/>
        </w:rPr>
        <w:t>标的</w:t>
      </w:r>
      <w:r w:rsidRPr="00352E61">
        <w:rPr>
          <w:rFonts w:hint="eastAsia"/>
        </w:rPr>
        <w:t>公司客户群体主要包括自助设备制造商、运营商、第三方支付机构（如汇付天下、蚂蚁集团）以及个人消费者。其中，企业客户（</w:t>
      </w:r>
      <w:r w:rsidRPr="00352E61">
        <w:rPr>
          <w:rFonts w:hint="eastAsia"/>
        </w:rPr>
        <w:t>B</w:t>
      </w:r>
      <w:r w:rsidRPr="00352E61">
        <w:rPr>
          <w:rFonts w:hint="eastAsia"/>
        </w:rPr>
        <w:t>端）特别是支付机构及</w:t>
      </w:r>
      <w:r>
        <w:rPr>
          <w:rFonts w:hint="eastAsia"/>
        </w:rPr>
        <w:t>数字营销大型客户</w:t>
      </w:r>
      <w:r w:rsidRPr="00352E61">
        <w:rPr>
          <w:rFonts w:hint="eastAsia"/>
        </w:rPr>
        <w:t>，通常具有合作周期长、需求持续性强、对服务合规性与安全性要求高等特点，客户粘性较高，转换成本亦相对较高。</w:t>
      </w:r>
    </w:p>
    <w:p w14:paraId="32B13B4B" w14:textId="77777777" w:rsidR="00CD798F" w:rsidRDefault="00CD798F" w:rsidP="00CD798F">
      <w:pPr>
        <w:pStyle w:val="005"/>
        <w:spacing w:before="120" w:after="120"/>
        <w:ind w:firstLine="480"/>
      </w:pPr>
      <w:r w:rsidRPr="00352E61">
        <w:rPr>
          <w:rFonts w:hint="eastAsia"/>
        </w:rPr>
        <w:t>报告期内，公司与蚂蚁集团、腾讯、京东、汇付天下等主要客户已形成长期稳定的合作关系，相关交易规模持续增长，体现了客户对</w:t>
      </w:r>
      <w:r>
        <w:rPr>
          <w:rFonts w:hint="eastAsia"/>
        </w:rPr>
        <w:t>标的</w:t>
      </w:r>
      <w:r w:rsidRPr="00352E61">
        <w:rPr>
          <w:rFonts w:hint="eastAsia"/>
        </w:rPr>
        <w:t>公司产品与服务的高度认可及合作关系的稳固性。</w:t>
      </w:r>
    </w:p>
    <w:p w14:paraId="543C8DCD" w14:textId="77777777" w:rsidR="00CD798F" w:rsidRPr="004B1244" w:rsidRDefault="00CD798F" w:rsidP="00CD798F">
      <w:pPr>
        <w:pStyle w:val="005"/>
        <w:spacing w:before="120" w:after="120"/>
        <w:ind w:firstLine="480"/>
      </w:pPr>
      <w:r>
        <w:rPr>
          <w:rFonts w:hint="eastAsia"/>
        </w:rPr>
        <w:t>报告期内主要客户销售情况如下：</w:t>
      </w:r>
    </w:p>
    <w:tbl>
      <w:tblPr>
        <w:tblStyle w:val="a7"/>
        <w:tblW w:w="5040" w:type="pct"/>
        <w:jc w:val="center"/>
        <w:tblBorders>
          <w:top w:val="thinThickSmallGap" w:sz="24" w:space="0" w:color="auto"/>
          <w:bottom w:val="thinThickSmallGap" w:sz="24" w:space="0" w:color="auto"/>
        </w:tblBorders>
        <w:tblLayout w:type="fixed"/>
        <w:tblLook w:val="04A0" w:firstRow="1" w:lastRow="0" w:firstColumn="1" w:lastColumn="0" w:noHBand="0" w:noVBand="1"/>
      </w:tblPr>
      <w:tblGrid>
        <w:gridCol w:w="846"/>
        <w:gridCol w:w="2954"/>
        <w:gridCol w:w="1659"/>
        <w:gridCol w:w="1570"/>
        <w:gridCol w:w="2104"/>
      </w:tblGrid>
      <w:tr w:rsidR="00CD798F" w:rsidRPr="006C4DBC" w14:paraId="7F16ACE2" w14:textId="77777777" w:rsidTr="006C4DBC">
        <w:trPr>
          <w:trHeight w:val="397"/>
          <w:jc w:val="center"/>
        </w:trPr>
        <w:tc>
          <w:tcPr>
            <w:tcW w:w="9133" w:type="dxa"/>
            <w:gridSpan w:val="5"/>
            <w:tcMar>
              <w:top w:w="0" w:type="dxa"/>
              <w:left w:w="108" w:type="dxa"/>
              <w:bottom w:w="0" w:type="dxa"/>
              <w:right w:w="108" w:type="dxa"/>
            </w:tcMar>
            <w:vAlign w:val="center"/>
          </w:tcPr>
          <w:p w14:paraId="3218DE58" w14:textId="77777777" w:rsidR="00CD798F" w:rsidRPr="006C4DBC" w:rsidRDefault="00CD798F" w:rsidP="00214723">
            <w:pPr>
              <w:spacing w:before="120" w:after="120"/>
              <w:ind w:firstLine="422"/>
              <w:jc w:val="center"/>
              <w:rPr>
                <w:rFonts w:ascii="Times New Roman" w:hAnsi="Times New Roman"/>
                <w:b/>
                <w:szCs w:val="21"/>
              </w:rPr>
            </w:pPr>
            <w:r w:rsidRPr="006C4DBC">
              <w:rPr>
                <w:rFonts w:ascii="Times New Roman" w:hAnsi="Times New Roman"/>
                <w:b/>
                <w:szCs w:val="21"/>
              </w:rPr>
              <w:t>2025</w:t>
            </w:r>
            <w:r w:rsidRPr="006C4DBC">
              <w:rPr>
                <w:rFonts w:ascii="Times New Roman" w:hAnsi="Times New Roman"/>
                <w:b/>
                <w:szCs w:val="21"/>
              </w:rPr>
              <w:t>年</w:t>
            </w:r>
            <w:r w:rsidRPr="006C4DBC">
              <w:rPr>
                <w:rFonts w:ascii="Times New Roman" w:hAnsi="Times New Roman"/>
                <w:b/>
                <w:szCs w:val="21"/>
              </w:rPr>
              <w:t>1-6</w:t>
            </w:r>
            <w:r w:rsidRPr="006C4DBC">
              <w:rPr>
                <w:rFonts w:ascii="Times New Roman" w:hAnsi="Times New Roman"/>
                <w:b/>
                <w:szCs w:val="21"/>
              </w:rPr>
              <w:t>月</w:t>
            </w:r>
          </w:p>
        </w:tc>
      </w:tr>
      <w:tr w:rsidR="00CD798F" w:rsidRPr="006C4DBC" w14:paraId="14E4F4CF" w14:textId="77777777" w:rsidTr="006C4DBC">
        <w:trPr>
          <w:trHeight w:val="397"/>
          <w:jc w:val="center"/>
        </w:trPr>
        <w:tc>
          <w:tcPr>
            <w:tcW w:w="846" w:type="dxa"/>
            <w:tcMar>
              <w:top w:w="0" w:type="dxa"/>
              <w:left w:w="108" w:type="dxa"/>
              <w:bottom w:w="0" w:type="dxa"/>
              <w:right w:w="108" w:type="dxa"/>
            </w:tcMar>
            <w:vAlign w:val="center"/>
          </w:tcPr>
          <w:p w14:paraId="23F34EEB"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序号</w:t>
            </w:r>
          </w:p>
        </w:tc>
        <w:tc>
          <w:tcPr>
            <w:tcW w:w="2954" w:type="dxa"/>
            <w:tcMar>
              <w:top w:w="0" w:type="dxa"/>
              <w:left w:w="108" w:type="dxa"/>
              <w:bottom w:w="0" w:type="dxa"/>
              <w:right w:w="108" w:type="dxa"/>
            </w:tcMar>
            <w:vAlign w:val="center"/>
          </w:tcPr>
          <w:p w14:paraId="482747BD"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客户名称</w:t>
            </w:r>
          </w:p>
        </w:tc>
        <w:tc>
          <w:tcPr>
            <w:tcW w:w="1658" w:type="dxa"/>
            <w:tcMar>
              <w:top w:w="0" w:type="dxa"/>
              <w:left w:w="108" w:type="dxa"/>
              <w:bottom w:w="0" w:type="dxa"/>
              <w:right w:w="108" w:type="dxa"/>
            </w:tcMar>
            <w:vAlign w:val="center"/>
          </w:tcPr>
          <w:p w14:paraId="25F80A9C"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主要销售内容</w:t>
            </w:r>
          </w:p>
        </w:tc>
        <w:tc>
          <w:tcPr>
            <w:tcW w:w="1570" w:type="dxa"/>
            <w:tcMar>
              <w:top w:w="0" w:type="dxa"/>
              <w:left w:w="108" w:type="dxa"/>
              <w:bottom w:w="0" w:type="dxa"/>
              <w:right w:w="108" w:type="dxa"/>
            </w:tcMar>
            <w:vAlign w:val="center"/>
          </w:tcPr>
          <w:p w14:paraId="37BBBA32"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金额（万元）</w:t>
            </w:r>
          </w:p>
        </w:tc>
        <w:tc>
          <w:tcPr>
            <w:tcW w:w="2104" w:type="dxa"/>
            <w:tcMar>
              <w:top w:w="0" w:type="dxa"/>
              <w:left w:w="108" w:type="dxa"/>
              <w:bottom w:w="0" w:type="dxa"/>
              <w:right w:w="108" w:type="dxa"/>
            </w:tcMar>
            <w:vAlign w:val="center"/>
          </w:tcPr>
          <w:p w14:paraId="37E2DA7E"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占营业收入的比例</w:t>
            </w:r>
          </w:p>
        </w:tc>
      </w:tr>
      <w:tr w:rsidR="00CD798F" w:rsidRPr="006C4DBC" w14:paraId="6D96DB67" w14:textId="77777777" w:rsidTr="006C4DBC">
        <w:trPr>
          <w:trHeight w:val="397"/>
          <w:jc w:val="center"/>
        </w:trPr>
        <w:tc>
          <w:tcPr>
            <w:tcW w:w="846" w:type="dxa"/>
            <w:tcMar>
              <w:top w:w="0" w:type="dxa"/>
              <w:left w:w="108" w:type="dxa"/>
              <w:bottom w:w="0" w:type="dxa"/>
              <w:right w:w="108" w:type="dxa"/>
            </w:tcMar>
            <w:vAlign w:val="center"/>
          </w:tcPr>
          <w:p w14:paraId="2E90654B"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1</w:t>
            </w:r>
          </w:p>
        </w:tc>
        <w:tc>
          <w:tcPr>
            <w:tcW w:w="2954" w:type="dxa"/>
            <w:tcMar>
              <w:top w:w="0" w:type="dxa"/>
              <w:left w:w="108" w:type="dxa"/>
              <w:bottom w:w="0" w:type="dxa"/>
              <w:right w:w="108" w:type="dxa"/>
            </w:tcMar>
            <w:vAlign w:val="center"/>
          </w:tcPr>
          <w:p w14:paraId="748ABBA5"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汇付天下有限公司</w:t>
            </w:r>
          </w:p>
        </w:tc>
        <w:tc>
          <w:tcPr>
            <w:tcW w:w="1658" w:type="dxa"/>
            <w:tcMar>
              <w:top w:w="0" w:type="dxa"/>
              <w:left w:w="108" w:type="dxa"/>
              <w:bottom w:w="0" w:type="dxa"/>
              <w:right w:w="108" w:type="dxa"/>
            </w:tcMar>
            <w:vAlign w:val="center"/>
          </w:tcPr>
          <w:p w14:paraId="094D9B23"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SaaS</w:t>
            </w:r>
            <w:r w:rsidRPr="006C4DBC">
              <w:rPr>
                <w:rFonts w:ascii="Times New Roman" w:hAnsi="Times New Roman"/>
                <w:color w:val="000000"/>
                <w:szCs w:val="21"/>
              </w:rPr>
              <w:t>云平台</w:t>
            </w:r>
          </w:p>
        </w:tc>
        <w:tc>
          <w:tcPr>
            <w:tcW w:w="1570" w:type="dxa"/>
            <w:tcMar>
              <w:top w:w="0" w:type="dxa"/>
              <w:left w:w="108" w:type="dxa"/>
              <w:bottom w:w="0" w:type="dxa"/>
              <w:right w:w="108" w:type="dxa"/>
            </w:tcMar>
            <w:vAlign w:val="center"/>
          </w:tcPr>
          <w:p w14:paraId="01453A4D"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1,680.10</w:t>
            </w:r>
          </w:p>
        </w:tc>
        <w:tc>
          <w:tcPr>
            <w:tcW w:w="2104" w:type="dxa"/>
            <w:tcMar>
              <w:top w:w="0" w:type="dxa"/>
              <w:left w:w="108" w:type="dxa"/>
              <w:bottom w:w="0" w:type="dxa"/>
              <w:right w:w="108" w:type="dxa"/>
            </w:tcMar>
            <w:vAlign w:val="center"/>
          </w:tcPr>
          <w:p w14:paraId="57DA525F" w14:textId="77777777" w:rsidR="00CD798F" w:rsidRPr="006C4DBC" w:rsidRDefault="00CD798F" w:rsidP="006C4DBC">
            <w:pPr>
              <w:spacing w:before="120" w:after="120"/>
              <w:jc w:val="right"/>
              <w:rPr>
                <w:rFonts w:ascii="Times New Roman" w:hAnsi="Times New Roman"/>
                <w:color w:val="000000"/>
                <w:szCs w:val="21"/>
              </w:rPr>
            </w:pPr>
            <w:r w:rsidRPr="006C4DBC">
              <w:rPr>
                <w:rFonts w:ascii="Times New Roman" w:hAnsi="Times New Roman"/>
                <w:color w:val="000000"/>
                <w:szCs w:val="21"/>
              </w:rPr>
              <w:t>6.77%</w:t>
            </w:r>
          </w:p>
        </w:tc>
      </w:tr>
      <w:tr w:rsidR="00CD798F" w:rsidRPr="006C4DBC" w14:paraId="4CFF5AE5" w14:textId="77777777" w:rsidTr="006C4DBC">
        <w:trPr>
          <w:trHeight w:val="397"/>
          <w:jc w:val="center"/>
        </w:trPr>
        <w:tc>
          <w:tcPr>
            <w:tcW w:w="846" w:type="dxa"/>
            <w:tcMar>
              <w:top w:w="0" w:type="dxa"/>
              <w:left w:w="108" w:type="dxa"/>
              <w:bottom w:w="0" w:type="dxa"/>
              <w:right w:w="108" w:type="dxa"/>
            </w:tcMar>
            <w:vAlign w:val="center"/>
          </w:tcPr>
          <w:p w14:paraId="4F6C025E"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2</w:t>
            </w:r>
          </w:p>
        </w:tc>
        <w:tc>
          <w:tcPr>
            <w:tcW w:w="2954" w:type="dxa"/>
            <w:tcMar>
              <w:top w:w="0" w:type="dxa"/>
              <w:left w:w="108" w:type="dxa"/>
              <w:bottom w:w="0" w:type="dxa"/>
              <w:right w:w="108" w:type="dxa"/>
            </w:tcMar>
            <w:vAlign w:val="center"/>
          </w:tcPr>
          <w:p w14:paraId="7DA3A50A"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蚂蚁科技集团股份有限公司</w:t>
            </w:r>
          </w:p>
        </w:tc>
        <w:tc>
          <w:tcPr>
            <w:tcW w:w="1658" w:type="dxa"/>
            <w:tcMar>
              <w:top w:w="0" w:type="dxa"/>
              <w:left w:w="108" w:type="dxa"/>
              <w:bottom w:w="0" w:type="dxa"/>
              <w:right w:w="108" w:type="dxa"/>
            </w:tcMar>
            <w:vAlign w:val="center"/>
          </w:tcPr>
          <w:p w14:paraId="09FF691F"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数字增值服务</w:t>
            </w:r>
          </w:p>
        </w:tc>
        <w:tc>
          <w:tcPr>
            <w:tcW w:w="1570" w:type="dxa"/>
            <w:tcMar>
              <w:top w:w="0" w:type="dxa"/>
              <w:left w:w="108" w:type="dxa"/>
              <w:bottom w:w="0" w:type="dxa"/>
              <w:right w:w="108" w:type="dxa"/>
            </w:tcMar>
            <w:vAlign w:val="center"/>
          </w:tcPr>
          <w:p w14:paraId="267080BD" w14:textId="77777777" w:rsidR="00CD798F" w:rsidRPr="006C4DBC" w:rsidRDefault="00CD798F" w:rsidP="006C4DBC">
            <w:pPr>
              <w:spacing w:before="120" w:after="120"/>
              <w:jc w:val="right"/>
              <w:rPr>
                <w:rFonts w:ascii="Times New Roman" w:hAnsi="Times New Roman"/>
                <w:bCs/>
                <w:szCs w:val="21"/>
              </w:rPr>
            </w:pPr>
            <w:r w:rsidRPr="006C4DBC">
              <w:rPr>
                <w:rFonts w:ascii="Times New Roman" w:hAnsi="Times New Roman"/>
                <w:color w:val="000000"/>
                <w:szCs w:val="21"/>
              </w:rPr>
              <w:t>1,432.08</w:t>
            </w:r>
          </w:p>
        </w:tc>
        <w:tc>
          <w:tcPr>
            <w:tcW w:w="2104" w:type="dxa"/>
            <w:tcMar>
              <w:top w:w="0" w:type="dxa"/>
              <w:left w:w="108" w:type="dxa"/>
              <w:bottom w:w="0" w:type="dxa"/>
              <w:right w:w="108" w:type="dxa"/>
            </w:tcMar>
            <w:vAlign w:val="center"/>
          </w:tcPr>
          <w:p w14:paraId="45078829" w14:textId="77777777" w:rsidR="00CD798F" w:rsidRPr="006C4DBC" w:rsidRDefault="00CD798F" w:rsidP="006C4DBC">
            <w:pPr>
              <w:spacing w:before="120" w:after="120"/>
              <w:jc w:val="right"/>
              <w:rPr>
                <w:rFonts w:ascii="Times New Roman" w:hAnsi="Times New Roman"/>
                <w:color w:val="000000"/>
                <w:szCs w:val="21"/>
              </w:rPr>
            </w:pPr>
            <w:r w:rsidRPr="006C4DBC">
              <w:rPr>
                <w:rFonts w:ascii="Times New Roman" w:hAnsi="Times New Roman"/>
                <w:color w:val="000000"/>
                <w:szCs w:val="21"/>
              </w:rPr>
              <w:t>5.77%</w:t>
            </w:r>
          </w:p>
        </w:tc>
      </w:tr>
      <w:tr w:rsidR="00CD798F" w:rsidRPr="006C4DBC" w14:paraId="7066887A" w14:textId="77777777" w:rsidTr="006C4DBC">
        <w:trPr>
          <w:trHeight w:val="397"/>
          <w:jc w:val="center"/>
        </w:trPr>
        <w:tc>
          <w:tcPr>
            <w:tcW w:w="846" w:type="dxa"/>
            <w:tcMar>
              <w:top w:w="0" w:type="dxa"/>
              <w:left w:w="108" w:type="dxa"/>
              <w:bottom w:w="0" w:type="dxa"/>
              <w:right w:w="108" w:type="dxa"/>
            </w:tcMar>
            <w:vAlign w:val="center"/>
          </w:tcPr>
          <w:p w14:paraId="7B4EE066"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3</w:t>
            </w:r>
          </w:p>
        </w:tc>
        <w:tc>
          <w:tcPr>
            <w:tcW w:w="2954" w:type="dxa"/>
            <w:tcMar>
              <w:top w:w="0" w:type="dxa"/>
              <w:left w:w="108" w:type="dxa"/>
              <w:bottom w:w="0" w:type="dxa"/>
              <w:right w:w="108" w:type="dxa"/>
            </w:tcMar>
            <w:vAlign w:val="center"/>
          </w:tcPr>
          <w:p w14:paraId="1C03A7C3"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腾讯控股有限公司</w:t>
            </w:r>
          </w:p>
        </w:tc>
        <w:tc>
          <w:tcPr>
            <w:tcW w:w="1658" w:type="dxa"/>
            <w:tcMar>
              <w:top w:w="0" w:type="dxa"/>
              <w:left w:w="108" w:type="dxa"/>
              <w:bottom w:w="0" w:type="dxa"/>
              <w:right w:w="108" w:type="dxa"/>
            </w:tcMar>
            <w:vAlign w:val="center"/>
          </w:tcPr>
          <w:p w14:paraId="53479D4F"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数字增值服务</w:t>
            </w:r>
          </w:p>
        </w:tc>
        <w:tc>
          <w:tcPr>
            <w:tcW w:w="1570" w:type="dxa"/>
            <w:tcMar>
              <w:top w:w="0" w:type="dxa"/>
              <w:left w:w="108" w:type="dxa"/>
              <w:bottom w:w="0" w:type="dxa"/>
              <w:right w:w="108" w:type="dxa"/>
            </w:tcMar>
            <w:vAlign w:val="center"/>
          </w:tcPr>
          <w:p w14:paraId="7D6AC5C0" w14:textId="77777777" w:rsidR="00CD798F" w:rsidRPr="006C4DBC" w:rsidRDefault="00CD798F" w:rsidP="006C4DBC">
            <w:pPr>
              <w:spacing w:before="120" w:after="120"/>
              <w:jc w:val="right"/>
              <w:rPr>
                <w:rFonts w:ascii="Times New Roman" w:hAnsi="Times New Roman"/>
                <w:bCs/>
                <w:szCs w:val="21"/>
              </w:rPr>
            </w:pPr>
            <w:r w:rsidRPr="006C4DBC">
              <w:rPr>
                <w:rFonts w:ascii="Times New Roman" w:hAnsi="Times New Roman"/>
                <w:color w:val="000000"/>
                <w:szCs w:val="21"/>
              </w:rPr>
              <w:t>1,089.16</w:t>
            </w:r>
          </w:p>
        </w:tc>
        <w:tc>
          <w:tcPr>
            <w:tcW w:w="2104" w:type="dxa"/>
            <w:tcMar>
              <w:top w:w="0" w:type="dxa"/>
              <w:left w:w="108" w:type="dxa"/>
              <w:bottom w:w="0" w:type="dxa"/>
              <w:right w:w="108" w:type="dxa"/>
            </w:tcMar>
            <w:vAlign w:val="center"/>
          </w:tcPr>
          <w:p w14:paraId="04313FBB" w14:textId="77777777" w:rsidR="00CD798F" w:rsidRPr="006C4DBC" w:rsidRDefault="00CD798F" w:rsidP="006C4DBC">
            <w:pPr>
              <w:spacing w:before="120" w:after="120"/>
              <w:jc w:val="right"/>
              <w:rPr>
                <w:rFonts w:ascii="Times New Roman" w:hAnsi="Times New Roman"/>
                <w:color w:val="000000"/>
                <w:szCs w:val="21"/>
              </w:rPr>
            </w:pPr>
            <w:r w:rsidRPr="006C4DBC">
              <w:rPr>
                <w:rFonts w:ascii="Times New Roman" w:hAnsi="Times New Roman"/>
                <w:color w:val="000000"/>
                <w:szCs w:val="21"/>
              </w:rPr>
              <w:t>4.39%</w:t>
            </w:r>
          </w:p>
        </w:tc>
      </w:tr>
      <w:tr w:rsidR="00CD798F" w:rsidRPr="006C4DBC" w14:paraId="135D6DB7" w14:textId="77777777" w:rsidTr="006C4DBC">
        <w:trPr>
          <w:trHeight w:val="397"/>
          <w:jc w:val="center"/>
        </w:trPr>
        <w:tc>
          <w:tcPr>
            <w:tcW w:w="846" w:type="dxa"/>
            <w:tcMar>
              <w:top w:w="0" w:type="dxa"/>
              <w:left w:w="108" w:type="dxa"/>
              <w:bottom w:w="0" w:type="dxa"/>
              <w:right w:w="108" w:type="dxa"/>
            </w:tcMar>
            <w:vAlign w:val="center"/>
          </w:tcPr>
          <w:p w14:paraId="288E9C38"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4</w:t>
            </w:r>
          </w:p>
        </w:tc>
        <w:tc>
          <w:tcPr>
            <w:tcW w:w="2954" w:type="dxa"/>
            <w:tcMar>
              <w:top w:w="0" w:type="dxa"/>
              <w:left w:w="108" w:type="dxa"/>
              <w:bottom w:w="0" w:type="dxa"/>
              <w:right w:w="108" w:type="dxa"/>
            </w:tcMar>
            <w:vAlign w:val="center"/>
          </w:tcPr>
          <w:p w14:paraId="020BD967" w14:textId="34D02F28" w:rsidR="00CD798F" w:rsidRPr="006C4DBC" w:rsidRDefault="00E50D19" w:rsidP="006C4DBC">
            <w:pPr>
              <w:spacing w:before="120" w:after="120"/>
              <w:textAlignment w:val="top"/>
              <w:rPr>
                <w:rFonts w:ascii="Times New Roman" w:hAnsi="Times New Roman"/>
                <w:szCs w:val="21"/>
              </w:rPr>
            </w:pPr>
            <w:r w:rsidRPr="00E50D19">
              <w:rPr>
                <w:rFonts w:ascii="Times New Roman" w:hAnsi="Times New Roman"/>
                <w:color w:val="000000"/>
                <w:szCs w:val="21"/>
              </w:rPr>
              <w:t>客户</w:t>
            </w:r>
            <w:r w:rsidRPr="00E50D19">
              <w:rPr>
                <w:rFonts w:ascii="Times New Roman" w:hAnsi="Times New Roman"/>
                <w:color w:val="000000"/>
                <w:szCs w:val="21"/>
              </w:rPr>
              <w:t>A</w:t>
            </w:r>
          </w:p>
        </w:tc>
        <w:tc>
          <w:tcPr>
            <w:tcW w:w="1658" w:type="dxa"/>
            <w:tcMar>
              <w:top w:w="0" w:type="dxa"/>
              <w:left w:w="108" w:type="dxa"/>
              <w:bottom w:w="0" w:type="dxa"/>
              <w:right w:w="108" w:type="dxa"/>
            </w:tcMar>
            <w:vAlign w:val="center"/>
          </w:tcPr>
          <w:p w14:paraId="1B9FFBB8"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IoT</w:t>
            </w:r>
            <w:r w:rsidRPr="006C4DBC">
              <w:rPr>
                <w:rFonts w:ascii="Times New Roman" w:hAnsi="Times New Roman"/>
                <w:color w:val="000000"/>
                <w:szCs w:val="21"/>
              </w:rPr>
              <w:t>智能硬件</w:t>
            </w:r>
          </w:p>
        </w:tc>
        <w:tc>
          <w:tcPr>
            <w:tcW w:w="1570" w:type="dxa"/>
            <w:tcMar>
              <w:top w:w="0" w:type="dxa"/>
              <w:left w:w="108" w:type="dxa"/>
              <w:bottom w:w="0" w:type="dxa"/>
              <w:right w:w="108" w:type="dxa"/>
            </w:tcMar>
            <w:vAlign w:val="center"/>
          </w:tcPr>
          <w:p w14:paraId="63887745"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201.99</w:t>
            </w:r>
          </w:p>
        </w:tc>
        <w:tc>
          <w:tcPr>
            <w:tcW w:w="2104" w:type="dxa"/>
            <w:tcMar>
              <w:top w:w="0" w:type="dxa"/>
              <w:left w:w="108" w:type="dxa"/>
              <w:bottom w:w="0" w:type="dxa"/>
              <w:right w:w="108" w:type="dxa"/>
            </w:tcMar>
            <w:vAlign w:val="center"/>
          </w:tcPr>
          <w:p w14:paraId="0554701B" w14:textId="77777777" w:rsidR="00CD798F" w:rsidRPr="006C4DBC" w:rsidRDefault="00CD798F" w:rsidP="006C4DBC">
            <w:pPr>
              <w:spacing w:before="120" w:after="120"/>
              <w:jc w:val="right"/>
              <w:rPr>
                <w:rFonts w:ascii="Times New Roman" w:hAnsi="Times New Roman"/>
                <w:color w:val="000000"/>
                <w:szCs w:val="21"/>
              </w:rPr>
            </w:pPr>
            <w:r w:rsidRPr="006C4DBC">
              <w:rPr>
                <w:rFonts w:ascii="Times New Roman" w:hAnsi="Times New Roman"/>
                <w:color w:val="000000"/>
                <w:szCs w:val="21"/>
              </w:rPr>
              <w:t>0.81%</w:t>
            </w:r>
          </w:p>
        </w:tc>
      </w:tr>
      <w:tr w:rsidR="00CD798F" w:rsidRPr="006C4DBC" w14:paraId="1D086F91" w14:textId="77777777" w:rsidTr="006C4DBC">
        <w:trPr>
          <w:trHeight w:val="397"/>
          <w:jc w:val="center"/>
        </w:trPr>
        <w:tc>
          <w:tcPr>
            <w:tcW w:w="846" w:type="dxa"/>
            <w:tcMar>
              <w:top w:w="0" w:type="dxa"/>
              <w:left w:w="108" w:type="dxa"/>
              <w:bottom w:w="0" w:type="dxa"/>
              <w:right w:w="108" w:type="dxa"/>
            </w:tcMar>
            <w:vAlign w:val="center"/>
          </w:tcPr>
          <w:p w14:paraId="0246B7E9"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5</w:t>
            </w:r>
          </w:p>
        </w:tc>
        <w:tc>
          <w:tcPr>
            <w:tcW w:w="2954" w:type="dxa"/>
            <w:tcMar>
              <w:top w:w="0" w:type="dxa"/>
              <w:left w:w="108" w:type="dxa"/>
              <w:bottom w:w="0" w:type="dxa"/>
              <w:right w:w="108" w:type="dxa"/>
            </w:tcMar>
            <w:vAlign w:val="center"/>
          </w:tcPr>
          <w:p w14:paraId="6E0A227C" w14:textId="1663EC5D" w:rsidR="00CD798F" w:rsidRPr="006C4DBC" w:rsidRDefault="00E50D19" w:rsidP="006C4DBC">
            <w:pPr>
              <w:spacing w:before="120" w:after="120"/>
              <w:textAlignment w:val="top"/>
              <w:rPr>
                <w:rFonts w:ascii="Times New Roman" w:hAnsi="Times New Roman"/>
                <w:szCs w:val="21"/>
              </w:rPr>
            </w:pPr>
            <w:r w:rsidRPr="00E50D19">
              <w:rPr>
                <w:rFonts w:ascii="Times New Roman" w:hAnsi="Times New Roman"/>
                <w:color w:val="000000"/>
                <w:szCs w:val="21"/>
              </w:rPr>
              <w:t>客户</w:t>
            </w:r>
            <w:r w:rsidRPr="00E50D19">
              <w:rPr>
                <w:rFonts w:ascii="Times New Roman" w:hAnsi="Times New Roman"/>
                <w:color w:val="000000"/>
                <w:szCs w:val="21"/>
              </w:rPr>
              <w:t>B</w:t>
            </w:r>
          </w:p>
        </w:tc>
        <w:tc>
          <w:tcPr>
            <w:tcW w:w="1658" w:type="dxa"/>
            <w:tcMar>
              <w:top w:w="0" w:type="dxa"/>
              <w:left w:w="108" w:type="dxa"/>
              <w:bottom w:w="0" w:type="dxa"/>
              <w:right w:w="108" w:type="dxa"/>
            </w:tcMar>
            <w:vAlign w:val="center"/>
          </w:tcPr>
          <w:p w14:paraId="15D9DBC6"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IoT</w:t>
            </w:r>
            <w:r w:rsidRPr="006C4DBC">
              <w:rPr>
                <w:rFonts w:ascii="Times New Roman" w:hAnsi="Times New Roman"/>
                <w:color w:val="000000"/>
                <w:szCs w:val="21"/>
              </w:rPr>
              <w:t>智能硬件</w:t>
            </w:r>
          </w:p>
        </w:tc>
        <w:tc>
          <w:tcPr>
            <w:tcW w:w="1570" w:type="dxa"/>
            <w:tcMar>
              <w:top w:w="0" w:type="dxa"/>
              <w:left w:w="108" w:type="dxa"/>
              <w:bottom w:w="0" w:type="dxa"/>
              <w:right w:w="108" w:type="dxa"/>
            </w:tcMar>
            <w:vAlign w:val="center"/>
          </w:tcPr>
          <w:p w14:paraId="61D0F48C"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198.96</w:t>
            </w:r>
          </w:p>
        </w:tc>
        <w:tc>
          <w:tcPr>
            <w:tcW w:w="2104" w:type="dxa"/>
            <w:tcMar>
              <w:top w:w="0" w:type="dxa"/>
              <w:left w:w="108" w:type="dxa"/>
              <w:bottom w:w="0" w:type="dxa"/>
              <w:right w:w="108" w:type="dxa"/>
            </w:tcMar>
            <w:vAlign w:val="center"/>
          </w:tcPr>
          <w:p w14:paraId="284292DA" w14:textId="77777777" w:rsidR="00CD798F" w:rsidRPr="006C4DBC" w:rsidRDefault="00CD798F" w:rsidP="006C4DBC">
            <w:pPr>
              <w:spacing w:before="120" w:after="120"/>
              <w:jc w:val="right"/>
              <w:rPr>
                <w:rFonts w:ascii="Times New Roman" w:hAnsi="Times New Roman"/>
                <w:color w:val="000000"/>
                <w:szCs w:val="21"/>
              </w:rPr>
            </w:pPr>
            <w:r w:rsidRPr="006C4DBC">
              <w:rPr>
                <w:rFonts w:ascii="Times New Roman" w:hAnsi="Times New Roman"/>
                <w:color w:val="000000"/>
                <w:szCs w:val="21"/>
              </w:rPr>
              <w:t>0.80%</w:t>
            </w:r>
          </w:p>
        </w:tc>
      </w:tr>
      <w:tr w:rsidR="00CD798F" w:rsidRPr="006C4DBC" w14:paraId="239C5D12" w14:textId="77777777" w:rsidTr="006C4DBC">
        <w:trPr>
          <w:trHeight w:val="397"/>
          <w:jc w:val="center"/>
        </w:trPr>
        <w:tc>
          <w:tcPr>
            <w:tcW w:w="5459" w:type="dxa"/>
            <w:gridSpan w:val="3"/>
            <w:tcMar>
              <w:top w:w="0" w:type="dxa"/>
              <w:left w:w="108" w:type="dxa"/>
              <w:bottom w:w="0" w:type="dxa"/>
              <w:right w:w="108" w:type="dxa"/>
            </w:tcMar>
            <w:vAlign w:val="center"/>
          </w:tcPr>
          <w:p w14:paraId="67ACD442"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合计</w:t>
            </w:r>
          </w:p>
        </w:tc>
        <w:tc>
          <w:tcPr>
            <w:tcW w:w="1570" w:type="dxa"/>
            <w:tcMar>
              <w:top w:w="0" w:type="dxa"/>
              <w:left w:w="108" w:type="dxa"/>
              <w:bottom w:w="0" w:type="dxa"/>
              <w:right w:w="108" w:type="dxa"/>
            </w:tcMar>
            <w:vAlign w:val="center"/>
          </w:tcPr>
          <w:p w14:paraId="6C57C5DC" w14:textId="77777777" w:rsidR="00CD798F" w:rsidRPr="006C4DBC" w:rsidRDefault="00CD798F" w:rsidP="006C4DBC">
            <w:pPr>
              <w:spacing w:before="120" w:after="120"/>
              <w:jc w:val="right"/>
              <w:rPr>
                <w:rFonts w:ascii="Times New Roman" w:hAnsi="Times New Roman"/>
                <w:b/>
                <w:szCs w:val="21"/>
              </w:rPr>
            </w:pPr>
            <w:r w:rsidRPr="006C4DBC">
              <w:rPr>
                <w:rFonts w:ascii="Times New Roman" w:hAnsi="Times New Roman"/>
                <w:b/>
                <w:bCs/>
                <w:color w:val="000000"/>
                <w:szCs w:val="21"/>
              </w:rPr>
              <w:t>4,602.29</w:t>
            </w:r>
          </w:p>
        </w:tc>
        <w:tc>
          <w:tcPr>
            <w:tcW w:w="2104" w:type="dxa"/>
            <w:tcMar>
              <w:top w:w="0" w:type="dxa"/>
              <w:left w:w="108" w:type="dxa"/>
              <w:bottom w:w="0" w:type="dxa"/>
              <w:right w:w="108" w:type="dxa"/>
            </w:tcMar>
            <w:vAlign w:val="center"/>
          </w:tcPr>
          <w:p w14:paraId="7E4E799C" w14:textId="77777777" w:rsidR="00CD798F" w:rsidRPr="006C4DBC" w:rsidRDefault="00CD798F" w:rsidP="006C4DBC">
            <w:pPr>
              <w:spacing w:before="120" w:after="120"/>
              <w:jc w:val="right"/>
              <w:rPr>
                <w:rFonts w:ascii="Times New Roman" w:hAnsi="Times New Roman"/>
                <w:b/>
                <w:szCs w:val="21"/>
              </w:rPr>
            </w:pPr>
            <w:r w:rsidRPr="006C4DBC">
              <w:rPr>
                <w:rFonts w:ascii="Times New Roman" w:hAnsi="Times New Roman"/>
                <w:b/>
                <w:bCs/>
                <w:color w:val="000000"/>
                <w:szCs w:val="21"/>
              </w:rPr>
              <w:t>18.56%</w:t>
            </w:r>
          </w:p>
        </w:tc>
      </w:tr>
      <w:tr w:rsidR="00CD798F" w:rsidRPr="006C4DBC" w14:paraId="0384EF21" w14:textId="77777777" w:rsidTr="006C4DBC">
        <w:trPr>
          <w:trHeight w:val="397"/>
          <w:jc w:val="center"/>
        </w:trPr>
        <w:tc>
          <w:tcPr>
            <w:tcW w:w="9133" w:type="dxa"/>
            <w:gridSpan w:val="5"/>
            <w:tcMar>
              <w:top w:w="0" w:type="dxa"/>
              <w:left w:w="108" w:type="dxa"/>
              <w:bottom w:w="0" w:type="dxa"/>
              <w:right w:w="108" w:type="dxa"/>
            </w:tcMar>
            <w:vAlign w:val="center"/>
          </w:tcPr>
          <w:p w14:paraId="40AB37B5"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2024</w:t>
            </w:r>
            <w:r w:rsidRPr="006C4DBC">
              <w:rPr>
                <w:rFonts w:ascii="Times New Roman" w:hAnsi="Times New Roman"/>
                <w:b/>
                <w:szCs w:val="21"/>
              </w:rPr>
              <w:t>年度</w:t>
            </w:r>
          </w:p>
        </w:tc>
      </w:tr>
      <w:tr w:rsidR="00CD798F" w:rsidRPr="006C4DBC" w14:paraId="24979FD1" w14:textId="77777777" w:rsidTr="006C4DBC">
        <w:trPr>
          <w:trHeight w:val="397"/>
          <w:jc w:val="center"/>
        </w:trPr>
        <w:tc>
          <w:tcPr>
            <w:tcW w:w="846" w:type="dxa"/>
            <w:tcMar>
              <w:top w:w="0" w:type="dxa"/>
              <w:left w:w="108" w:type="dxa"/>
              <w:bottom w:w="0" w:type="dxa"/>
              <w:right w:w="108" w:type="dxa"/>
            </w:tcMar>
            <w:vAlign w:val="center"/>
          </w:tcPr>
          <w:p w14:paraId="1DD66655"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lastRenderedPageBreak/>
              <w:t>序号</w:t>
            </w:r>
          </w:p>
        </w:tc>
        <w:tc>
          <w:tcPr>
            <w:tcW w:w="2954" w:type="dxa"/>
            <w:tcMar>
              <w:top w:w="0" w:type="dxa"/>
              <w:left w:w="108" w:type="dxa"/>
              <w:bottom w:w="0" w:type="dxa"/>
              <w:right w:w="108" w:type="dxa"/>
            </w:tcMar>
            <w:vAlign w:val="center"/>
          </w:tcPr>
          <w:p w14:paraId="45209E33"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t>客户名称</w:t>
            </w:r>
          </w:p>
        </w:tc>
        <w:tc>
          <w:tcPr>
            <w:tcW w:w="1658" w:type="dxa"/>
            <w:tcMar>
              <w:top w:w="0" w:type="dxa"/>
              <w:left w:w="108" w:type="dxa"/>
              <w:bottom w:w="0" w:type="dxa"/>
              <w:right w:w="108" w:type="dxa"/>
            </w:tcMar>
            <w:vAlign w:val="center"/>
          </w:tcPr>
          <w:p w14:paraId="0F61E3C5"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t>主要销售内容</w:t>
            </w:r>
          </w:p>
        </w:tc>
        <w:tc>
          <w:tcPr>
            <w:tcW w:w="1570" w:type="dxa"/>
            <w:tcMar>
              <w:top w:w="0" w:type="dxa"/>
              <w:left w:w="108" w:type="dxa"/>
              <w:bottom w:w="0" w:type="dxa"/>
              <w:right w:w="108" w:type="dxa"/>
            </w:tcMar>
            <w:vAlign w:val="center"/>
          </w:tcPr>
          <w:p w14:paraId="396BBCDB"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t>金额（万元）</w:t>
            </w:r>
          </w:p>
        </w:tc>
        <w:tc>
          <w:tcPr>
            <w:tcW w:w="2104" w:type="dxa"/>
            <w:tcMar>
              <w:top w:w="0" w:type="dxa"/>
              <w:left w:w="108" w:type="dxa"/>
              <w:bottom w:w="0" w:type="dxa"/>
              <w:right w:w="108" w:type="dxa"/>
            </w:tcMar>
            <w:vAlign w:val="center"/>
          </w:tcPr>
          <w:p w14:paraId="7538F18D"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t>占营业收入的比例</w:t>
            </w:r>
          </w:p>
        </w:tc>
      </w:tr>
      <w:tr w:rsidR="00CD798F" w:rsidRPr="006C4DBC" w14:paraId="362E42C6" w14:textId="77777777" w:rsidTr="006C4DBC">
        <w:trPr>
          <w:trHeight w:val="397"/>
          <w:jc w:val="center"/>
        </w:trPr>
        <w:tc>
          <w:tcPr>
            <w:tcW w:w="846" w:type="dxa"/>
            <w:tcMar>
              <w:top w:w="0" w:type="dxa"/>
              <w:left w:w="108" w:type="dxa"/>
              <w:bottom w:w="0" w:type="dxa"/>
              <w:right w:w="108" w:type="dxa"/>
            </w:tcMar>
            <w:vAlign w:val="center"/>
          </w:tcPr>
          <w:p w14:paraId="67DAD67C"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1</w:t>
            </w:r>
          </w:p>
        </w:tc>
        <w:tc>
          <w:tcPr>
            <w:tcW w:w="2954" w:type="dxa"/>
            <w:tcMar>
              <w:top w:w="0" w:type="dxa"/>
              <w:left w:w="108" w:type="dxa"/>
              <w:bottom w:w="0" w:type="dxa"/>
              <w:right w:w="108" w:type="dxa"/>
            </w:tcMar>
            <w:vAlign w:val="center"/>
          </w:tcPr>
          <w:p w14:paraId="516350C7"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汇付天下有限公司</w:t>
            </w:r>
          </w:p>
        </w:tc>
        <w:tc>
          <w:tcPr>
            <w:tcW w:w="1658" w:type="dxa"/>
            <w:tcMar>
              <w:top w:w="0" w:type="dxa"/>
              <w:left w:w="108" w:type="dxa"/>
              <w:bottom w:w="0" w:type="dxa"/>
              <w:right w:w="108" w:type="dxa"/>
            </w:tcMar>
            <w:vAlign w:val="center"/>
          </w:tcPr>
          <w:p w14:paraId="6A1EB430"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SaaS</w:t>
            </w:r>
            <w:r w:rsidRPr="006C4DBC">
              <w:rPr>
                <w:rFonts w:ascii="Times New Roman" w:hAnsi="Times New Roman"/>
                <w:color w:val="000000"/>
                <w:szCs w:val="21"/>
              </w:rPr>
              <w:t>云平台</w:t>
            </w:r>
          </w:p>
        </w:tc>
        <w:tc>
          <w:tcPr>
            <w:tcW w:w="1570" w:type="dxa"/>
            <w:tcMar>
              <w:top w:w="0" w:type="dxa"/>
              <w:left w:w="108" w:type="dxa"/>
              <w:bottom w:w="0" w:type="dxa"/>
              <w:right w:w="108" w:type="dxa"/>
            </w:tcMar>
            <w:vAlign w:val="center"/>
          </w:tcPr>
          <w:p w14:paraId="36F383BC"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3,322.79</w:t>
            </w:r>
          </w:p>
        </w:tc>
        <w:tc>
          <w:tcPr>
            <w:tcW w:w="2104" w:type="dxa"/>
            <w:tcMar>
              <w:top w:w="0" w:type="dxa"/>
              <w:left w:w="108" w:type="dxa"/>
              <w:bottom w:w="0" w:type="dxa"/>
              <w:right w:w="108" w:type="dxa"/>
            </w:tcMar>
            <w:vAlign w:val="center"/>
          </w:tcPr>
          <w:p w14:paraId="37118529"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7.43%</w:t>
            </w:r>
          </w:p>
        </w:tc>
      </w:tr>
      <w:tr w:rsidR="00CD798F" w:rsidRPr="006C4DBC" w14:paraId="26C7B6F6" w14:textId="77777777" w:rsidTr="006C4DBC">
        <w:trPr>
          <w:trHeight w:val="397"/>
          <w:jc w:val="center"/>
        </w:trPr>
        <w:tc>
          <w:tcPr>
            <w:tcW w:w="846" w:type="dxa"/>
            <w:tcMar>
              <w:top w:w="0" w:type="dxa"/>
              <w:left w:w="108" w:type="dxa"/>
              <w:bottom w:w="0" w:type="dxa"/>
              <w:right w:w="108" w:type="dxa"/>
            </w:tcMar>
            <w:vAlign w:val="center"/>
          </w:tcPr>
          <w:p w14:paraId="27C46758"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2</w:t>
            </w:r>
          </w:p>
        </w:tc>
        <w:tc>
          <w:tcPr>
            <w:tcW w:w="2954" w:type="dxa"/>
            <w:tcMar>
              <w:top w:w="0" w:type="dxa"/>
              <w:left w:w="108" w:type="dxa"/>
              <w:bottom w:w="0" w:type="dxa"/>
              <w:right w:w="108" w:type="dxa"/>
            </w:tcMar>
            <w:vAlign w:val="center"/>
          </w:tcPr>
          <w:p w14:paraId="34BD6466"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蚂蚁科技集团股份有限公司</w:t>
            </w:r>
          </w:p>
        </w:tc>
        <w:tc>
          <w:tcPr>
            <w:tcW w:w="1658" w:type="dxa"/>
            <w:tcMar>
              <w:top w:w="0" w:type="dxa"/>
              <w:left w:w="108" w:type="dxa"/>
              <w:bottom w:w="0" w:type="dxa"/>
              <w:right w:w="108" w:type="dxa"/>
            </w:tcMar>
            <w:vAlign w:val="center"/>
          </w:tcPr>
          <w:p w14:paraId="60C17731"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数字增值服务</w:t>
            </w:r>
          </w:p>
        </w:tc>
        <w:tc>
          <w:tcPr>
            <w:tcW w:w="1570" w:type="dxa"/>
            <w:tcMar>
              <w:top w:w="0" w:type="dxa"/>
              <w:left w:w="108" w:type="dxa"/>
              <w:bottom w:w="0" w:type="dxa"/>
              <w:right w:w="108" w:type="dxa"/>
            </w:tcMar>
            <w:vAlign w:val="center"/>
          </w:tcPr>
          <w:p w14:paraId="79068058"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2,629.83</w:t>
            </w:r>
          </w:p>
        </w:tc>
        <w:tc>
          <w:tcPr>
            <w:tcW w:w="2104" w:type="dxa"/>
            <w:tcMar>
              <w:top w:w="0" w:type="dxa"/>
              <w:left w:w="108" w:type="dxa"/>
              <w:bottom w:w="0" w:type="dxa"/>
              <w:right w:w="108" w:type="dxa"/>
            </w:tcMar>
            <w:vAlign w:val="center"/>
          </w:tcPr>
          <w:p w14:paraId="09769F3E"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5.88%</w:t>
            </w:r>
          </w:p>
        </w:tc>
      </w:tr>
      <w:tr w:rsidR="00CD798F" w:rsidRPr="006C4DBC" w14:paraId="1A4B2C6C" w14:textId="77777777" w:rsidTr="006C4DBC">
        <w:trPr>
          <w:trHeight w:val="397"/>
          <w:jc w:val="center"/>
        </w:trPr>
        <w:tc>
          <w:tcPr>
            <w:tcW w:w="846" w:type="dxa"/>
            <w:tcMar>
              <w:top w:w="0" w:type="dxa"/>
              <w:left w:w="108" w:type="dxa"/>
              <w:bottom w:w="0" w:type="dxa"/>
              <w:right w:w="108" w:type="dxa"/>
            </w:tcMar>
            <w:vAlign w:val="center"/>
          </w:tcPr>
          <w:p w14:paraId="56C2C000"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3</w:t>
            </w:r>
          </w:p>
        </w:tc>
        <w:tc>
          <w:tcPr>
            <w:tcW w:w="2954" w:type="dxa"/>
            <w:tcMar>
              <w:top w:w="0" w:type="dxa"/>
              <w:left w:w="108" w:type="dxa"/>
              <w:bottom w:w="0" w:type="dxa"/>
              <w:right w:w="108" w:type="dxa"/>
            </w:tcMar>
            <w:vAlign w:val="center"/>
          </w:tcPr>
          <w:p w14:paraId="084CA887"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腾讯控股有限公司</w:t>
            </w:r>
          </w:p>
        </w:tc>
        <w:tc>
          <w:tcPr>
            <w:tcW w:w="1658" w:type="dxa"/>
            <w:tcMar>
              <w:top w:w="0" w:type="dxa"/>
              <w:left w:w="108" w:type="dxa"/>
              <w:bottom w:w="0" w:type="dxa"/>
              <w:right w:w="108" w:type="dxa"/>
            </w:tcMar>
            <w:vAlign w:val="center"/>
          </w:tcPr>
          <w:p w14:paraId="7FEA056D"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数字增值服务</w:t>
            </w:r>
          </w:p>
        </w:tc>
        <w:tc>
          <w:tcPr>
            <w:tcW w:w="1570" w:type="dxa"/>
            <w:tcMar>
              <w:top w:w="0" w:type="dxa"/>
              <w:left w:w="108" w:type="dxa"/>
              <w:bottom w:w="0" w:type="dxa"/>
              <w:right w:w="108" w:type="dxa"/>
            </w:tcMar>
            <w:vAlign w:val="center"/>
          </w:tcPr>
          <w:p w14:paraId="4FDF2440"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852.83</w:t>
            </w:r>
          </w:p>
        </w:tc>
        <w:tc>
          <w:tcPr>
            <w:tcW w:w="2104" w:type="dxa"/>
            <w:tcMar>
              <w:top w:w="0" w:type="dxa"/>
              <w:left w:w="108" w:type="dxa"/>
              <w:bottom w:w="0" w:type="dxa"/>
              <w:right w:w="108" w:type="dxa"/>
            </w:tcMar>
            <w:vAlign w:val="center"/>
          </w:tcPr>
          <w:p w14:paraId="3E7E9C9E"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1.91%</w:t>
            </w:r>
          </w:p>
        </w:tc>
      </w:tr>
      <w:tr w:rsidR="00CD798F" w:rsidRPr="006C4DBC" w14:paraId="511D4B25" w14:textId="77777777" w:rsidTr="006C4DBC">
        <w:trPr>
          <w:trHeight w:val="397"/>
          <w:jc w:val="center"/>
        </w:trPr>
        <w:tc>
          <w:tcPr>
            <w:tcW w:w="846" w:type="dxa"/>
            <w:tcMar>
              <w:top w:w="0" w:type="dxa"/>
              <w:left w:w="108" w:type="dxa"/>
              <w:bottom w:w="0" w:type="dxa"/>
              <w:right w:w="108" w:type="dxa"/>
            </w:tcMar>
            <w:vAlign w:val="center"/>
          </w:tcPr>
          <w:p w14:paraId="50F3E89A"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4</w:t>
            </w:r>
          </w:p>
        </w:tc>
        <w:tc>
          <w:tcPr>
            <w:tcW w:w="2954" w:type="dxa"/>
            <w:tcMar>
              <w:top w:w="0" w:type="dxa"/>
              <w:left w:w="108" w:type="dxa"/>
              <w:bottom w:w="0" w:type="dxa"/>
              <w:right w:w="108" w:type="dxa"/>
            </w:tcMar>
            <w:vAlign w:val="center"/>
          </w:tcPr>
          <w:p w14:paraId="382F2CB8"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京东集团股份有限公司</w:t>
            </w:r>
          </w:p>
        </w:tc>
        <w:tc>
          <w:tcPr>
            <w:tcW w:w="1658" w:type="dxa"/>
            <w:tcMar>
              <w:top w:w="0" w:type="dxa"/>
              <w:left w:w="108" w:type="dxa"/>
              <w:bottom w:w="0" w:type="dxa"/>
              <w:right w:w="108" w:type="dxa"/>
            </w:tcMar>
            <w:vAlign w:val="center"/>
          </w:tcPr>
          <w:p w14:paraId="04D36158"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SaaS</w:t>
            </w:r>
            <w:r w:rsidRPr="006C4DBC">
              <w:rPr>
                <w:rFonts w:ascii="Times New Roman" w:hAnsi="Times New Roman"/>
                <w:color w:val="000000"/>
                <w:szCs w:val="21"/>
              </w:rPr>
              <w:t>云平台、数字增值服务</w:t>
            </w:r>
          </w:p>
        </w:tc>
        <w:tc>
          <w:tcPr>
            <w:tcW w:w="1570" w:type="dxa"/>
            <w:tcMar>
              <w:top w:w="0" w:type="dxa"/>
              <w:left w:w="108" w:type="dxa"/>
              <w:bottom w:w="0" w:type="dxa"/>
              <w:right w:w="108" w:type="dxa"/>
            </w:tcMar>
            <w:vAlign w:val="center"/>
          </w:tcPr>
          <w:p w14:paraId="3C4A1FEC"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842.81</w:t>
            </w:r>
          </w:p>
        </w:tc>
        <w:tc>
          <w:tcPr>
            <w:tcW w:w="2104" w:type="dxa"/>
            <w:tcMar>
              <w:top w:w="0" w:type="dxa"/>
              <w:left w:w="108" w:type="dxa"/>
              <w:bottom w:w="0" w:type="dxa"/>
              <w:right w:w="108" w:type="dxa"/>
            </w:tcMar>
            <w:vAlign w:val="center"/>
          </w:tcPr>
          <w:p w14:paraId="02B767FF"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1.88%</w:t>
            </w:r>
          </w:p>
        </w:tc>
      </w:tr>
      <w:tr w:rsidR="00CD798F" w:rsidRPr="006C4DBC" w14:paraId="339613E9" w14:textId="77777777" w:rsidTr="006C4DBC">
        <w:trPr>
          <w:trHeight w:val="397"/>
          <w:jc w:val="center"/>
        </w:trPr>
        <w:tc>
          <w:tcPr>
            <w:tcW w:w="846" w:type="dxa"/>
            <w:tcMar>
              <w:top w:w="0" w:type="dxa"/>
              <w:left w:w="108" w:type="dxa"/>
              <w:bottom w:w="0" w:type="dxa"/>
              <w:right w:w="108" w:type="dxa"/>
            </w:tcMar>
            <w:vAlign w:val="center"/>
          </w:tcPr>
          <w:p w14:paraId="6BD8BC68"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5</w:t>
            </w:r>
          </w:p>
        </w:tc>
        <w:tc>
          <w:tcPr>
            <w:tcW w:w="2954" w:type="dxa"/>
            <w:tcMar>
              <w:top w:w="0" w:type="dxa"/>
              <w:left w:w="108" w:type="dxa"/>
              <w:bottom w:w="0" w:type="dxa"/>
              <w:right w:w="108" w:type="dxa"/>
            </w:tcMar>
            <w:vAlign w:val="center"/>
          </w:tcPr>
          <w:p w14:paraId="74C0DD2F"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美团</w:t>
            </w:r>
          </w:p>
        </w:tc>
        <w:tc>
          <w:tcPr>
            <w:tcW w:w="1658" w:type="dxa"/>
            <w:tcMar>
              <w:top w:w="0" w:type="dxa"/>
              <w:left w:w="108" w:type="dxa"/>
              <w:bottom w:w="0" w:type="dxa"/>
              <w:right w:w="108" w:type="dxa"/>
            </w:tcMar>
            <w:vAlign w:val="center"/>
          </w:tcPr>
          <w:p w14:paraId="25F25A93"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数字增值服务</w:t>
            </w:r>
          </w:p>
        </w:tc>
        <w:tc>
          <w:tcPr>
            <w:tcW w:w="1570" w:type="dxa"/>
            <w:tcMar>
              <w:top w:w="0" w:type="dxa"/>
              <w:left w:w="108" w:type="dxa"/>
              <w:bottom w:w="0" w:type="dxa"/>
              <w:right w:w="108" w:type="dxa"/>
            </w:tcMar>
            <w:vAlign w:val="center"/>
          </w:tcPr>
          <w:p w14:paraId="5D896EAD"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764.83</w:t>
            </w:r>
          </w:p>
        </w:tc>
        <w:tc>
          <w:tcPr>
            <w:tcW w:w="2104" w:type="dxa"/>
            <w:tcMar>
              <w:top w:w="0" w:type="dxa"/>
              <w:left w:w="108" w:type="dxa"/>
              <w:bottom w:w="0" w:type="dxa"/>
              <w:right w:w="108" w:type="dxa"/>
            </w:tcMar>
            <w:vAlign w:val="center"/>
          </w:tcPr>
          <w:p w14:paraId="7C67C24E"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1.71%</w:t>
            </w:r>
          </w:p>
        </w:tc>
      </w:tr>
      <w:tr w:rsidR="00CD798F" w:rsidRPr="006C4DBC" w14:paraId="60D8CE20" w14:textId="77777777" w:rsidTr="006C4DBC">
        <w:trPr>
          <w:trHeight w:val="397"/>
          <w:jc w:val="center"/>
        </w:trPr>
        <w:tc>
          <w:tcPr>
            <w:tcW w:w="5459" w:type="dxa"/>
            <w:gridSpan w:val="3"/>
            <w:tcMar>
              <w:top w:w="0" w:type="dxa"/>
              <w:left w:w="108" w:type="dxa"/>
              <w:bottom w:w="0" w:type="dxa"/>
              <w:right w:w="108" w:type="dxa"/>
            </w:tcMar>
            <w:vAlign w:val="center"/>
          </w:tcPr>
          <w:p w14:paraId="1F86A8F0"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合计</w:t>
            </w:r>
          </w:p>
        </w:tc>
        <w:tc>
          <w:tcPr>
            <w:tcW w:w="1570" w:type="dxa"/>
            <w:tcMar>
              <w:top w:w="0" w:type="dxa"/>
              <w:left w:w="108" w:type="dxa"/>
              <w:bottom w:w="0" w:type="dxa"/>
              <w:right w:w="108" w:type="dxa"/>
            </w:tcMar>
            <w:vAlign w:val="center"/>
          </w:tcPr>
          <w:p w14:paraId="0C0BCA1F" w14:textId="77777777" w:rsidR="00CD798F" w:rsidRPr="006C4DBC" w:rsidRDefault="00CD798F" w:rsidP="006C4DBC">
            <w:pPr>
              <w:spacing w:before="120" w:after="120"/>
              <w:jc w:val="right"/>
              <w:rPr>
                <w:rFonts w:ascii="Times New Roman" w:hAnsi="Times New Roman"/>
                <w:b/>
                <w:color w:val="000000"/>
                <w:szCs w:val="21"/>
              </w:rPr>
            </w:pPr>
            <w:r w:rsidRPr="006C4DBC">
              <w:rPr>
                <w:rFonts w:ascii="Times New Roman" w:hAnsi="Times New Roman"/>
                <w:b/>
                <w:bCs/>
                <w:color w:val="000000"/>
                <w:szCs w:val="21"/>
              </w:rPr>
              <w:t>8,413.09</w:t>
            </w:r>
          </w:p>
        </w:tc>
        <w:tc>
          <w:tcPr>
            <w:tcW w:w="2104" w:type="dxa"/>
            <w:tcMar>
              <w:top w:w="0" w:type="dxa"/>
              <w:left w:w="108" w:type="dxa"/>
              <w:bottom w:w="0" w:type="dxa"/>
              <w:right w:w="108" w:type="dxa"/>
            </w:tcMar>
            <w:vAlign w:val="center"/>
          </w:tcPr>
          <w:p w14:paraId="3B55ACF4" w14:textId="77777777" w:rsidR="00CD798F" w:rsidRPr="006C4DBC" w:rsidRDefault="00CD798F" w:rsidP="006C4DBC">
            <w:pPr>
              <w:spacing w:before="120" w:after="120"/>
              <w:jc w:val="right"/>
              <w:rPr>
                <w:rFonts w:ascii="Times New Roman" w:hAnsi="Times New Roman"/>
                <w:b/>
                <w:szCs w:val="21"/>
              </w:rPr>
            </w:pPr>
            <w:r w:rsidRPr="006C4DBC">
              <w:rPr>
                <w:rFonts w:ascii="Times New Roman" w:hAnsi="Times New Roman"/>
                <w:b/>
                <w:bCs/>
                <w:color w:val="000000"/>
                <w:szCs w:val="21"/>
              </w:rPr>
              <w:t>18.81%</w:t>
            </w:r>
          </w:p>
        </w:tc>
      </w:tr>
      <w:tr w:rsidR="00CD798F" w:rsidRPr="006C4DBC" w14:paraId="5FAAE3FB" w14:textId="77777777" w:rsidTr="006C4DBC">
        <w:trPr>
          <w:trHeight w:val="397"/>
          <w:jc w:val="center"/>
        </w:trPr>
        <w:tc>
          <w:tcPr>
            <w:tcW w:w="9133" w:type="dxa"/>
            <w:gridSpan w:val="5"/>
            <w:tcMar>
              <w:top w:w="0" w:type="dxa"/>
              <w:left w:w="108" w:type="dxa"/>
              <w:bottom w:w="0" w:type="dxa"/>
              <w:right w:w="108" w:type="dxa"/>
            </w:tcMar>
            <w:vAlign w:val="center"/>
          </w:tcPr>
          <w:p w14:paraId="78689862"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t>2023</w:t>
            </w:r>
            <w:r w:rsidRPr="006C4DBC">
              <w:rPr>
                <w:rFonts w:ascii="Times New Roman" w:hAnsi="Times New Roman"/>
                <w:b/>
                <w:szCs w:val="21"/>
              </w:rPr>
              <w:t>年度</w:t>
            </w:r>
          </w:p>
        </w:tc>
      </w:tr>
      <w:tr w:rsidR="00CD798F" w:rsidRPr="006C4DBC" w14:paraId="70BEC37C" w14:textId="77777777" w:rsidTr="006C4DBC">
        <w:trPr>
          <w:trHeight w:val="397"/>
          <w:jc w:val="center"/>
        </w:trPr>
        <w:tc>
          <w:tcPr>
            <w:tcW w:w="846" w:type="dxa"/>
            <w:tcMar>
              <w:top w:w="0" w:type="dxa"/>
              <w:left w:w="108" w:type="dxa"/>
              <w:bottom w:w="0" w:type="dxa"/>
              <w:right w:w="108" w:type="dxa"/>
            </w:tcMar>
            <w:vAlign w:val="center"/>
          </w:tcPr>
          <w:p w14:paraId="39F9021B"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t>序号</w:t>
            </w:r>
          </w:p>
        </w:tc>
        <w:tc>
          <w:tcPr>
            <w:tcW w:w="2954" w:type="dxa"/>
            <w:tcMar>
              <w:top w:w="0" w:type="dxa"/>
              <w:left w:w="108" w:type="dxa"/>
              <w:bottom w:w="0" w:type="dxa"/>
              <w:right w:w="108" w:type="dxa"/>
            </w:tcMar>
            <w:vAlign w:val="center"/>
          </w:tcPr>
          <w:p w14:paraId="20D28B32" w14:textId="77777777" w:rsidR="00CD798F" w:rsidRPr="006C4DBC" w:rsidRDefault="00CD798F" w:rsidP="006C4DBC">
            <w:pPr>
              <w:spacing w:before="120" w:after="120"/>
              <w:rPr>
                <w:rFonts w:ascii="Times New Roman" w:hAnsi="Times New Roman"/>
                <w:bCs/>
                <w:szCs w:val="21"/>
              </w:rPr>
            </w:pPr>
            <w:r w:rsidRPr="006C4DBC">
              <w:rPr>
                <w:rFonts w:ascii="Times New Roman" w:hAnsi="Times New Roman"/>
                <w:b/>
                <w:szCs w:val="21"/>
              </w:rPr>
              <w:t>客户名称</w:t>
            </w:r>
          </w:p>
        </w:tc>
        <w:tc>
          <w:tcPr>
            <w:tcW w:w="1658" w:type="dxa"/>
            <w:tcMar>
              <w:top w:w="0" w:type="dxa"/>
              <w:left w:w="108" w:type="dxa"/>
              <w:bottom w:w="0" w:type="dxa"/>
              <w:right w:w="108" w:type="dxa"/>
            </w:tcMar>
            <w:vAlign w:val="center"/>
          </w:tcPr>
          <w:p w14:paraId="4832B848"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
                <w:szCs w:val="21"/>
              </w:rPr>
              <w:t>主要销售内容</w:t>
            </w:r>
          </w:p>
        </w:tc>
        <w:tc>
          <w:tcPr>
            <w:tcW w:w="1570" w:type="dxa"/>
            <w:tcMar>
              <w:top w:w="0" w:type="dxa"/>
              <w:left w:w="108" w:type="dxa"/>
              <w:bottom w:w="0" w:type="dxa"/>
              <w:right w:w="108" w:type="dxa"/>
            </w:tcMar>
            <w:vAlign w:val="center"/>
          </w:tcPr>
          <w:p w14:paraId="5CD4880F" w14:textId="77777777" w:rsidR="00CD798F" w:rsidRPr="006C4DBC" w:rsidRDefault="00CD798F" w:rsidP="006C4DBC">
            <w:pPr>
              <w:spacing w:before="120" w:after="120"/>
              <w:jc w:val="right"/>
              <w:rPr>
                <w:rFonts w:ascii="Times New Roman" w:hAnsi="Times New Roman"/>
                <w:bCs/>
                <w:szCs w:val="21"/>
              </w:rPr>
            </w:pPr>
            <w:r w:rsidRPr="006C4DBC">
              <w:rPr>
                <w:rFonts w:ascii="Times New Roman" w:hAnsi="Times New Roman"/>
                <w:b/>
                <w:szCs w:val="21"/>
              </w:rPr>
              <w:t>金额（万元）</w:t>
            </w:r>
          </w:p>
        </w:tc>
        <w:tc>
          <w:tcPr>
            <w:tcW w:w="2104" w:type="dxa"/>
            <w:tcMar>
              <w:top w:w="0" w:type="dxa"/>
              <w:left w:w="108" w:type="dxa"/>
              <w:bottom w:w="0" w:type="dxa"/>
              <w:right w:w="108" w:type="dxa"/>
            </w:tcMar>
            <w:vAlign w:val="center"/>
          </w:tcPr>
          <w:p w14:paraId="6074827C" w14:textId="77777777" w:rsidR="00CD798F" w:rsidRPr="006C4DBC" w:rsidRDefault="00CD798F" w:rsidP="006C4DBC">
            <w:pPr>
              <w:spacing w:before="120" w:after="120"/>
              <w:jc w:val="right"/>
              <w:rPr>
                <w:rFonts w:ascii="Times New Roman" w:hAnsi="Times New Roman"/>
                <w:bCs/>
                <w:szCs w:val="21"/>
              </w:rPr>
            </w:pPr>
            <w:r w:rsidRPr="006C4DBC">
              <w:rPr>
                <w:rFonts w:ascii="Times New Roman" w:hAnsi="Times New Roman"/>
                <w:b/>
                <w:szCs w:val="21"/>
              </w:rPr>
              <w:t>占营业收入的比例</w:t>
            </w:r>
          </w:p>
        </w:tc>
      </w:tr>
      <w:tr w:rsidR="00CD798F" w:rsidRPr="006C4DBC" w14:paraId="6E00449D" w14:textId="77777777" w:rsidTr="006C4DBC">
        <w:trPr>
          <w:trHeight w:val="408"/>
          <w:jc w:val="center"/>
        </w:trPr>
        <w:tc>
          <w:tcPr>
            <w:tcW w:w="846" w:type="dxa"/>
            <w:tcMar>
              <w:top w:w="0" w:type="dxa"/>
              <w:left w:w="108" w:type="dxa"/>
              <w:bottom w:w="0" w:type="dxa"/>
              <w:right w:w="108" w:type="dxa"/>
            </w:tcMar>
            <w:vAlign w:val="center"/>
          </w:tcPr>
          <w:p w14:paraId="615E5039"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1</w:t>
            </w:r>
          </w:p>
        </w:tc>
        <w:tc>
          <w:tcPr>
            <w:tcW w:w="2954" w:type="dxa"/>
            <w:tcMar>
              <w:top w:w="0" w:type="dxa"/>
              <w:left w:w="108" w:type="dxa"/>
              <w:bottom w:w="0" w:type="dxa"/>
              <w:right w:w="108" w:type="dxa"/>
            </w:tcMar>
            <w:vAlign w:val="center"/>
          </w:tcPr>
          <w:p w14:paraId="7A38955D"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汇付天下有限公司</w:t>
            </w:r>
          </w:p>
        </w:tc>
        <w:tc>
          <w:tcPr>
            <w:tcW w:w="1658" w:type="dxa"/>
            <w:tcMar>
              <w:top w:w="0" w:type="dxa"/>
              <w:left w:w="108" w:type="dxa"/>
              <w:bottom w:w="0" w:type="dxa"/>
              <w:right w:w="108" w:type="dxa"/>
            </w:tcMar>
            <w:vAlign w:val="center"/>
          </w:tcPr>
          <w:p w14:paraId="67C6F7E2"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SaaS</w:t>
            </w:r>
            <w:r w:rsidRPr="006C4DBC">
              <w:rPr>
                <w:rFonts w:ascii="Times New Roman" w:hAnsi="Times New Roman"/>
                <w:color w:val="000000"/>
                <w:szCs w:val="21"/>
              </w:rPr>
              <w:t>云平台</w:t>
            </w:r>
          </w:p>
        </w:tc>
        <w:tc>
          <w:tcPr>
            <w:tcW w:w="1570" w:type="dxa"/>
            <w:tcMar>
              <w:top w:w="0" w:type="dxa"/>
              <w:left w:w="108" w:type="dxa"/>
              <w:bottom w:w="0" w:type="dxa"/>
              <w:right w:w="108" w:type="dxa"/>
            </w:tcMar>
            <w:vAlign w:val="center"/>
          </w:tcPr>
          <w:p w14:paraId="572096E8"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2,836.78</w:t>
            </w:r>
          </w:p>
        </w:tc>
        <w:tc>
          <w:tcPr>
            <w:tcW w:w="2104" w:type="dxa"/>
            <w:tcMar>
              <w:top w:w="0" w:type="dxa"/>
              <w:left w:w="108" w:type="dxa"/>
              <w:bottom w:w="0" w:type="dxa"/>
              <w:right w:w="108" w:type="dxa"/>
            </w:tcMar>
            <w:vAlign w:val="center"/>
          </w:tcPr>
          <w:p w14:paraId="184A1B26"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7.37%</w:t>
            </w:r>
          </w:p>
        </w:tc>
      </w:tr>
      <w:tr w:rsidR="00CD798F" w:rsidRPr="006C4DBC" w14:paraId="6D6924D1" w14:textId="77777777" w:rsidTr="006C4DBC">
        <w:trPr>
          <w:trHeight w:val="397"/>
          <w:jc w:val="center"/>
        </w:trPr>
        <w:tc>
          <w:tcPr>
            <w:tcW w:w="846" w:type="dxa"/>
            <w:tcMar>
              <w:top w:w="0" w:type="dxa"/>
              <w:left w:w="108" w:type="dxa"/>
              <w:bottom w:w="0" w:type="dxa"/>
              <w:right w:w="108" w:type="dxa"/>
            </w:tcMar>
            <w:vAlign w:val="center"/>
          </w:tcPr>
          <w:p w14:paraId="1B5523A3"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2</w:t>
            </w:r>
          </w:p>
        </w:tc>
        <w:tc>
          <w:tcPr>
            <w:tcW w:w="2954" w:type="dxa"/>
            <w:tcMar>
              <w:top w:w="0" w:type="dxa"/>
              <w:left w:w="108" w:type="dxa"/>
              <w:bottom w:w="0" w:type="dxa"/>
              <w:right w:w="108" w:type="dxa"/>
            </w:tcMar>
            <w:vAlign w:val="center"/>
          </w:tcPr>
          <w:p w14:paraId="2C44ED92"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京东集团股份有限公司</w:t>
            </w:r>
          </w:p>
        </w:tc>
        <w:tc>
          <w:tcPr>
            <w:tcW w:w="1658" w:type="dxa"/>
            <w:tcMar>
              <w:top w:w="0" w:type="dxa"/>
              <w:left w:w="108" w:type="dxa"/>
              <w:bottom w:w="0" w:type="dxa"/>
              <w:right w:w="108" w:type="dxa"/>
            </w:tcMar>
            <w:vAlign w:val="center"/>
          </w:tcPr>
          <w:p w14:paraId="6B5ACD35"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SaaS</w:t>
            </w:r>
            <w:r w:rsidRPr="006C4DBC">
              <w:rPr>
                <w:rFonts w:ascii="Times New Roman" w:hAnsi="Times New Roman"/>
                <w:color w:val="000000"/>
                <w:szCs w:val="21"/>
              </w:rPr>
              <w:t>云平台、数字增值服务</w:t>
            </w:r>
          </w:p>
        </w:tc>
        <w:tc>
          <w:tcPr>
            <w:tcW w:w="1570" w:type="dxa"/>
            <w:tcMar>
              <w:top w:w="0" w:type="dxa"/>
              <w:left w:w="108" w:type="dxa"/>
              <w:bottom w:w="0" w:type="dxa"/>
              <w:right w:w="108" w:type="dxa"/>
            </w:tcMar>
            <w:vAlign w:val="center"/>
          </w:tcPr>
          <w:p w14:paraId="157F5BEC"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1,318.39</w:t>
            </w:r>
          </w:p>
        </w:tc>
        <w:tc>
          <w:tcPr>
            <w:tcW w:w="2104" w:type="dxa"/>
            <w:tcMar>
              <w:top w:w="0" w:type="dxa"/>
              <w:left w:w="108" w:type="dxa"/>
              <w:bottom w:w="0" w:type="dxa"/>
              <w:right w:w="108" w:type="dxa"/>
            </w:tcMar>
            <w:vAlign w:val="center"/>
          </w:tcPr>
          <w:p w14:paraId="51F63557"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3.42%</w:t>
            </w:r>
          </w:p>
        </w:tc>
      </w:tr>
      <w:tr w:rsidR="00CD798F" w:rsidRPr="006C4DBC" w14:paraId="6F89899C" w14:textId="77777777" w:rsidTr="006C4DBC">
        <w:trPr>
          <w:trHeight w:val="397"/>
          <w:jc w:val="center"/>
        </w:trPr>
        <w:tc>
          <w:tcPr>
            <w:tcW w:w="846" w:type="dxa"/>
            <w:tcMar>
              <w:top w:w="0" w:type="dxa"/>
              <w:left w:w="108" w:type="dxa"/>
              <w:bottom w:w="0" w:type="dxa"/>
              <w:right w:w="108" w:type="dxa"/>
            </w:tcMar>
            <w:vAlign w:val="center"/>
          </w:tcPr>
          <w:p w14:paraId="75B65A70"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3</w:t>
            </w:r>
          </w:p>
        </w:tc>
        <w:tc>
          <w:tcPr>
            <w:tcW w:w="2954" w:type="dxa"/>
            <w:tcMar>
              <w:top w:w="0" w:type="dxa"/>
              <w:left w:w="108" w:type="dxa"/>
              <w:bottom w:w="0" w:type="dxa"/>
              <w:right w:w="108" w:type="dxa"/>
            </w:tcMar>
            <w:vAlign w:val="center"/>
          </w:tcPr>
          <w:p w14:paraId="6FB865E8"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腾讯控股有限公司</w:t>
            </w:r>
          </w:p>
        </w:tc>
        <w:tc>
          <w:tcPr>
            <w:tcW w:w="1658" w:type="dxa"/>
            <w:tcMar>
              <w:top w:w="0" w:type="dxa"/>
              <w:left w:w="108" w:type="dxa"/>
              <w:bottom w:w="0" w:type="dxa"/>
              <w:right w:w="108" w:type="dxa"/>
            </w:tcMar>
            <w:vAlign w:val="center"/>
          </w:tcPr>
          <w:p w14:paraId="102A72CA"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数字增值服务</w:t>
            </w:r>
          </w:p>
        </w:tc>
        <w:tc>
          <w:tcPr>
            <w:tcW w:w="1570" w:type="dxa"/>
            <w:tcMar>
              <w:top w:w="0" w:type="dxa"/>
              <w:left w:w="108" w:type="dxa"/>
              <w:bottom w:w="0" w:type="dxa"/>
              <w:right w:w="108" w:type="dxa"/>
            </w:tcMar>
            <w:vAlign w:val="center"/>
          </w:tcPr>
          <w:p w14:paraId="47826C73"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1,011.23</w:t>
            </w:r>
          </w:p>
        </w:tc>
        <w:tc>
          <w:tcPr>
            <w:tcW w:w="2104" w:type="dxa"/>
            <w:tcMar>
              <w:top w:w="0" w:type="dxa"/>
              <w:left w:w="108" w:type="dxa"/>
              <w:bottom w:w="0" w:type="dxa"/>
              <w:right w:w="108" w:type="dxa"/>
            </w:tcMar>
            <w:vAlign w:val="center"/>
          </w:tcPr>
          <w:p w14:paraId="7187530A"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2.63%</w:t>
            </w:r>
          </w:p>
        </w:tc>
      </w:tr>
      <w:tr w:rsidR="00CD798F" w:rsidRPr="006C4DBC" w14:paraId="6A6A9CA5" w14:textId="77777777" w:rsidTr="006C4DBC">
        <w:trPr>
          <w:trHeight w:val="397"/>
          <w:jc w:val="center"/>
        </w:trPr>
        <w:tc>
          <w:tcPr>
            <w:tcW w:w="846" w:type="dxa"/>
            <w:tcMar>
              <w:top w:w="0" w:type="dxa"/>
              <w:left w:w="108" w:type="dxa"/>
              <w:bottom w:w="0" w:type="dxa"/>
              <w:right w:w="108" w:type="dxa"/>
            </w:tcMar>
            <w:vAlign w:val="center"/>
          </w:tcPr>
          <w:p w14:paraId="0A7123EE"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4</w:t>
            </w:r>
          </w:p>
        </w:tc>
        <w:tc>
          <w:tcPr>
            <w:tcW w:w="2954" w:type="dxa"/>
            <w:tcMar>
              <w:top w:w="0" w:type="dxa"/>
              <w:left w:w="108" w:type="dxa"/>
              <w:bottom w:w="0" w:type="dxa"/>
              <w:right w:w="108" w:type="dxa"/>
            </w:tcMar>
            <w:vAlign w:val="center"/>
          </w:tcPr>
          <w:p w14:paraId="317C177C" w14:textId="01F778CD" w:rsidR="00CD798F" w:rsidRPr="006C4DBC" w:rsidRDefault="00E50D19" w:rsidP="006C4DBC">
            <w:pPr>
              <w:spacing w:before="120" w:after="120"/>
              <w:textAlignment w:val="top"/>
              <w:rPr>
                <w:rFonts w:ascii="Times New Roman" w:hAnsi="Times New Roman"/>
                <w:szCs w:val="21"/>
              </w:rPr>
            </w:pPr>
            <w:r w:rsidRPr="00E50D19">
              <w:rPr>
                <w:rFonts w:ascii="Times New Roman" w:hAnsi="Times New Roman"/>
                <w:color w:val="000000"/>
                <w:szCs w:val="21"/>
              </w:rPr>
              <w:t>客户</w:t>
            </w:r>
            <w:r w:rsidRPr="00E50D19">
              <w:rPr>
                <w:rFonts w:ascii="Times New Roman" w:hAnsi="Times New Roman"/>
                <w:color w:val="000000"/>
                <w:szCs w:val="21"/>
              </w:rPr>
              <w:t>D</w:t>
            </w:r>
          </w:p>
        </w:tc>
        <w:tc>
          <w:tcPr>
            <w:tcW w:w="1658" w:type="dxa"/>
            <w:tcMar>
              <w:top w:w="0" w:type="dxa"/>
              <w:left w:w="108" w:type="dxa"/>
              <w:bottom w:w="0" w:type="dxa"/>
              <w:right w:w="108" w:type="dxa"/>
            </w:tcMar>
            <w:vAlign w:val="center"/>
          </w:tcPr>
          <w:p w14:paraId="009DC877"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数字增值服务</w:t>
            </w:r>
          </w:p>
        </w:tc>
        <w:tc>
          <w:tcPr>
            <w:tcW w:w="1570" w:type="dxa"/>
            <w:tcMar>
              <w:top w:w="0" w:type="dxa"/>
              <w:left w:w="108" w:type="dxa"/>
              <w:bottom w:w="0" w:type="dxa"/>
              <w:right w:w="108" w:type="dxa"/>
            </w:tcMar>
            <w:vAlign w:val="center"/>
          </w:tcPr>
          <w:p w14:paraId="40203D98"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823.64</w:t>
            </w:r>
          </w:p>
        </w:tc>
        <w:tc>
          <w:tcPr>
            <w:tcW w:w="2104" w:type="dxa"/>
            <w:tcMar>
              <w:top w:w="0" w:type="dxa"/>
              <w:left w:w="108" w:type="dxa"/>
              <w:bottom w:w="0" w:type="dxa"/>
              <w:right w:w="108" w:type="dxa"/>
            </w:tcMar>
            <w:vAlign w:val="center"/>
          </w:tcPr>
          <w:p w14:paraId="2FE7CB2F"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2.14%</w:t>
            </w:r>
          </w:p>
        </w:tc>
      </w:tr>
      <w:tr w:rsidR="00CD798F" w:rsidRPr="006C4DBC" w14:paraId="33205B1E" w14:textId="77777777" w:rsidTr="006C4DBC">
        <w:trPr>
          <w:trHeight w:val="397"/>
          <w:jc w:val="center"/>
        </w:trPr>
        <w:tc>
          <w:tcPr>
            <w:tcW w:w="846" w:type="dxa"/>
            <w:tcMar>
              <w:top w:w="0" w:type="dxa"/>
              <w:left w:w="108" w:type="dxa"/>
              <w:bottom w:w="0" w:type="dxa"/>
              <w:right w:w="108" w:type="dxa"/>
            </w:tcMar>
            <w:vAlign w:val="center"/>
          </w:tcPr>
          <w:p w14:paraId="1708463A"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bCs/>
                <w:szCs w:val="21"/>
              </w:rPr>
              <w:t>5</w:t>
            </w:r>
          </w:p>
        </w:tc>
        <w:tc>
          <w:tcPr>
            <w:tcW w:w="2954" w:type="dxa"/>
            <w:tcMar>
              <w:top w:w="0" w:type="dxa"/>
              <w:left w:w="108" w:type="dxa"/>
              <w:bottom w:w="0" w:type="dxa"/>
              <w:right w:w="108" w:type="dxa"/>
            </w:tcMar>
            <w:vAlign w:val="center"/>
          </w:tcPr>
          <w:p w14:paraId="337AE235" w14:textId="77777777" w:rsidR="00CD798F" w:rsidRPr="006C4DBC" w:rsidRDefault="00CD798F" w:rsidP="006C4DBC">
            <w:pPr>
              <w:spacing w:before="120" w:after="120"/>
              <w:textAlignment w:val="top"/>
              <w:rPr>
                <w:rFonts w:ascii="Times New Roman" w:hAnsi="Times New Roman"/>
                <w:szCs w:val="21"/>
              </w:rPr>
            </w:pPr>
            <w:r w:rsidRPr="006C4DBC">
              <w:rPr>
                <w:rFonts w:ascii="Times New Roman" w:hAnsi="Times New Roman"/>
                <w:color w:val="000000"/>
                <w:szCs w:val="21"/>
              </w:rPr>
              <w:t>小呗无限（深圳）科技有限公司</w:t>
            </w:r>
          </w:p>
        </w:tc>
        <w:tc>
          <w:tcPr>
            <w:tcW w:w="1658" w:type="dxa"/>
            <w:tcMar>
              <w:top w:w="0" w:type="dxa"/>
              <w:left w:w="108" w:type="dxa"/>
              <w:bottom w:w="0" w:type="dxa"/>
              <w:right w:w="108" w:type="dxa"/>
            </w:tcMar>
            <w:vAlign w:val="center"/>
          </w:tcPr>
          <w:p w14:paraId="0C44DB81" w14:textId="77777777" w:rsidR="00CD798F" w:rsidRPr="006C4DBC" w:rsidRDefault="00CD798F" w:rsidP="006C4DBC">
            <w:pPr>
              <w:spacing w:before="120" w:after="120"/>
              <w:jc w:val="center"/>
              <w:rPr>
                <w:rFonts w:ascii="Times New Roman" w:hAnsi="Times New Roman"/>
                <w:bCs/>
                <w:szCs w:val="21"/>
              </w:rPr>
            </w:pPr>
            <w:r w:rsidRPr="006C4DBC">
              <w:rPr>
                <w:rFonts w:ascii="Times New Roman" w:hAnsi="Times New Roman"/>
                <w:color w:val="000000"/>
                <w:szCs w:val="21"/>
              </w:rPr>
              <w:t>IoT</w:t>
            </w:r>
            <w:r w:rsidRPr="006C4DBC">
              <w:rPr>
                <w:rFonts w:ascii="Times New Roman" w:hAnsi="Times New Roman"/>
                <w:color w:val="000000"/>
                <w:szCs w:val="21"/>
              </w:rPr>
              <w:t>智能硬件、</w:t>
            </w:r>
            <w:r w:rsidRPr="006C4DBC">
              <w:rPr>
                <w:rFonts w:ascii="Times New Roman" w:hAnsi="Times New Roman"/>
                <w:color w:val="000000"/>
                <w:szCs w:val="21"/>
              </w:rPr>
              <w:t>SaaS</w:t>
            </w:r>
            <w:r w:rsidRPr="006C4DBC">
              <w:rPr>
                <w:rFonts w:ascii="Times New Roman" w:hAnsi="Times New Roman"/>
                <w:color w:val="000000"/>
                <w:szCs w:val="21"/>
              </w:rPr>
              <w:t>云平台</w:t>
            </w:r>
          </w:p>
        </w:tc>
        <w:tc>
          <w:tcPr>
            <w:tcW w:w="1570" w:type="dxa"/>
            <w:tcMar>
              <w:top w:w="0" w:type="dxa"/>
              <w:left w:w="108" w:type="dxa"/>
              <w:bottom w:w="0" w:type="dxa"/>
              <w:right w:w="108" w:type="dxa"/>
            </w:tcMar>
            <w:vAlign w:val="center"/>
          </w:tcPr>
          <w:p w14:paraId="48A5ABF2"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622.43</w:t>
            </w:r>
          </w:p>
        </w:tc>
        <w:tc>
          <w:tcPr>
            <w:tcW w:w="2104" w:type="dxa"/>
            <w:tcMar>
              <w:top w:w="0" w:type="dxa"/>
              <w:left w:w="108" w:type="dxa"/>
              <w:bottom w:w="0" w:type="dxa"/>
              <w:right w:w="108" w:type="dxa"/>
            </w:tcMar>
            <w:vAlign w:val="center"/>
          </w:tcPr>
          <w:p w14:paraId="16C232B7" w14:textId="77777777" w:rsidR="00CD798F" w:rsidRPr="006C4DBC" w:rsidRDefault="00CD798F" w:rsidP="006C4DBC">
            <w:pPr>
              <w:spacing w:before="120" w:after="120"/>
              <w:jc w:val="right"/>
              <w:rPr>
                <w:rFonts w:ascii="Times New Roman" w:hAnsi="Times New Roman"/>
                <w:szCs w:val="21"/>
              </w:rPr>
            </w:pPr>
            <w:r w:rsidRPr="006C4DBC">
              <w:rPr>
                <w:rFonts w:ascii="Times New Roman" w:hAnsi="Times New Roman"/>
                <w:color w:val="000000"/>
                <w:szCs w:val="21"/>
              </w:rPr>
              <w:t>1.62%</w:t>
            </w:r>
          </w:p>
        </w:tc>
      </w:tr>
      <w:tr w:rsidR="00CD798F" w:rsidRPr="006C4DBC" w14:paraId="7A78AA08" w14:textId="77777777" w:rsidTr="006C4DBC">
        <w:trPr>
          <w:trHeight w:val="397"/>
          <w:jc w:val="center"/>
        </w:trPr>
        <w:tc>
          <w:tcPr>
            <w:tcW w:w="5459" w:type="dxa"/>
            <w:gridSpan w:val="3"/>
            <w:tcMar>
              <w:top w:w="0" w:type="dxa"/>
              <w:left w:w="108" w:type="dxa"/>
              <w:bottom w:w="0" w:type="dxa"/>
              <w:right w:w="108" w:type="dxa"/>
            </w:tcMar>
            <w:vAlign w:val="center"/>
          </w:tcPr>
          <w:p w14:paraId="7B54500F" w14:textId="77777777" w:rsidR="00CD798F" w:rsidRPr="006C4DBC" w:rsidRDefault="00CD798F" w:rsidP="006C4DBC">
            <w:pPr>
              <w:spacing w:before="120" w:after="120"/>
              <w:jc w:val="center"/>
              <w:rPr>
                <w:rFonts w:ascii="Times New Roman" w:hAnsi="Times New Roman"/>
                <w:b/>
                <w:szCs w:val="21"/>
              </w:rPr>
            </w:pPr>
            <w:r w:rsidRPr="006C4DBC">
              <w:rPr>
                <w:rFonts w:ascii="Times New Roman" w:hAnsi="Times New Roman"/>
                <w:b/>
                <w:szCs w:val="21"/>
              </w:rPr>
              <w:t>合计</w:t>
            </w:r>
          </w:p>
        </w:tc>
        <w:tc>
          <w:tcPr>
            <w:tcW w:w="1570" w:type="dxa"/>
            <w:tcMar>
              <w:top w:w="0" w:type="dxa"/>
              <w:left w:w="108" w:type="dxa"/>
              <w:bottom w:w="0" w:type="dxa"/>
              <w:right w:w="108" w:type="dxa"/>
            </w:tcMar>
            <w:vAlign w:val="center"/>
          </w:tcPr>
          <w:p w14:paraId="6C903832" w14:textId="77777777" w:rsidR="00CD798F" w:rsidRPr="006C4DBC" w:rsidRDefault="00CD798F" w:rsidP="006C4DBC">
            <w:pPr>
              <w:spacing w:before="120" w:after="120"/>
              <w:jc w:val="right"/>
              <w:rPr>
                <w:rFonts w:ascii="Times New Roman" w:hAnsi="Times New Roman"/>
                <w:b/>
                <w:bCs/>
                <w:szCs w:val="21"/>
              </w:rPr>
            </w:pPr>
            <w:r w:rsidRPr="006C4DBC">
              <w:rPr>
                <w:rFonts w:ascii="Times New Roman" w:hAnsi="Times New Roman"/>
                <w:b/>
                <w:bCs/>
                <w:color w:val="000000"/>
                <w:szCs w:val="21"/>
              </w:rPr>
              <w:t>6,612.46</w:t>
            </w:r>
          </w:p>
        </w:tc>
        <w:tc>
          <w:tcPr>
            <w:tcW w:w="2104" w:type="dxa"/>
            <w:tcMar>
              <w:top w:w="0" w:type="dxa"/>
              <w:left w:w="108" w:type="dxa"/>
              <w:bottom w:w="0" w:type="dxa"/>
              <w:right w:w="108" w:type="dxa"/>
            </w:tcMar>
            <w:vAlign w:val="center"/>
          </w:tcPr>
          <w:p w14:paraId="73C8D3F7" w14:textId="77777777" w:rsidR="00CD798F" w:rsidRPr="006C4DBC" w:rsidRDefault="00CD798F" w:rsidP="006C4DBC">
            <w:pPr>
              <w:spacing w:before="120" w:after="120"/>
              <w:jc w:val="right"/>
              <w:rPr>
                <w:rFonts w:ascii="Times New Roman" w:hAnsi="Times New Roman"/>
                <w:b/>
                <w:bCs/>
                <w:szCs w:val="21"/>
              </w:rPr>
            </w:pPr>
            <w:r w:rsidRPr="006C4DBC">
              <w:rPr>
                <w:rFonts w:ascii="Times New Roman" w:hAnsi="Times New Roman"/>
                <w:b/>
                <w:bCs/>
                <w:color w:val="000000"/>
                <w:szCs w:val="21"/>
              </w:rPr>
              <w:t>17.17%</w:t>
            </w:r>
          </w:p>
        </w:tc>
      </w:tr>
    </w:tbl>
    <w:p w14:paraId="021FE621" w14:textId="77777777" w:rsidR="00CD798F" w:rsidRDefault="00CD798F" w:rsidP="00CD798F">
      <w:pPr>
        <w:pStyle w:val="004"/>
        <w:spacing w:before="120" w:after="120"/>
        <w:ind w:firstLine="482"/>
      </w:pPr>
      <w:r>
        <w:rPr>
          <w:rFonts w:hint="eastAsia"/>
        </w:rPr>
        <w:t>2</w:t>
      </w:r>
      <w:r>
        <w:rPr>
          <w:rFonts w:hint="eastAsia"/>
        </w:rPr>
        <w:t>、</w:t>
      </w:r>
      <w:r w:rsidRPr="00A81F49">
        <w:rPr>
          <w:rFonts w:hint="eastAsia"/>
        </w:rPr>
        <w:t>新客户拓展情况</w:t>
      </w:r>
    </w:p>
    <w:p w14:paraId="1CCC1EC9" w14:textId="77777777" w:rsidR="00CD798F" w:rsidRDefault="00CD798F" w:rsidP="00CD798F">
      <w:pPr>
        <w:pStyle w:val="005"/>
        <w:spacing w:before="120" w:after="120"/>
        <w:ind w:firstLine="480"/>
      </w:pPr>
      <w:r>
        <w:rPr>
          <w:rFonts w:hint="eastAsia"/>
        </w:rPr>
        <w:t>标的公司</w:t>
      </w:r>
      <w:r w:rsidRPr="0017403A">
        <w:rPr>
          <w:rFonts w:hint="eastAsia"/>
        </w:rPr>
        <w:t>具备良好的新客户拓展能力</w:t>
      </w:r>
      <w:r>
        <w:rPr>
          <w:rFonts w:hint="eastAsia"/>
        </w:rPr>
        <w:t>，</w:t>
      </w:r>
      <w:r w:rsidRPr="00561A81">
        <w:rPr>
          <w:rFonts w:hint="eastAsia"/>
        </w:rPr>
        <w:t>具体体现如下</w:t>
      </w:r>
      <w:r>
        <w:rPr>
          <w:rFonts w:hint="eastAsia"/>
        </w:rPr>
        <w:t>：</w:t>
      </w:r>
    </w:p>
    <w:p w14:paraId="5DC5D199"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w:t>
      </w:r>
      <w:r w:rsidRPr="00807CA9">
        <w:rPr>
          <w:rFonts w:ascii="Times" w:hAnsi="Times" w:cs="Times"/>
        </w:rPr>
        <w:t>1</w:t>
      </w:r>
      <w:r w:rsidRPr="00807CA9">
        <w:rPr>
          <w:rFonts w:ascii="Times" w:hAnsi="Times" w:cs="Times" w:hint="eastAsia"/>
        </w:rPr>
        <w:t>）较强的推广和渠道覆盖能力</w:t>
      </w:r>
    </w:p>
    <w:p w14:paraId="0906BD7E"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rPr>
        <w:t>2024</w:t>
      </w:r>
      <w:r w:rsidRPr="00807CA9">
        <w:rPr>
          <w:rFonts w:ascii="Times" w:hAnsi="Times" w:cs="Times" w:hint="eastAsia"/>
        </w:rPr>
        <w:t>年度，标的公司全平台在线智能自助设备总数超过</w:t>
      </w:r>
      <w:r w:rsidRPr="00807CA9">
        <w:rPr>
          <w:rFonts w:ascii="Times" w:hAnsi="Times" w:cs="Times"/>
        </w:rPr>
        <w:t>300</w:t>
      </w:r>
      <w:r w:rsidRPr="00807CA9">
        <w:rPr>
          <w:rFonts w:ascii="Times" w:hAnsi="Times" w:cs="Times" w:hint="eastAsia"/>
        </w:rPr>
        <w:t>万台，已覆盖全国</w:t>
      </w:r>
      <w:r w:rsidRPr="00807CA9">
        <w:rPr>
          <w:rFonts w:ascii="Times" w:hAnsi="Times" w:cs="Times"/>
        </w:rPr>
        <w:t>600</w:t>
      </w:r>
      <w:r w:rsidRPr="00807CA9">
        <w:rPr>
          <w:rFonts w:ascii="Times" w:hAnsi="Times" w:cs="Times" w:hint="eastAsia"/>
        </w:rPr>
        <w:t>多个城市。报告期内，标的公司已经累计服务自助设备运营商超</w:t>
      </w:r>
      <w:r w:rsidRPr="00807CA9">
        <w:rPr>
          <w:rFonts w:ascii="Times" w:hAnsi="Times" w:cs="Times"/>
        </w:rPr>
        <w:t>45</w:t>
      </w:r>
      <w:r w:rsidRPr="00807CA9">
        <w:rPr>
          <w:rFonts w:ascii="Times" w:hAnsi="Times" w:cs="Times" w:hint="eastAsia"/>
        </w:rPr>
        <w:t>万家，全部终端设备单日支付笔数峰值突破</w:t>
      </w:r>
      <w:r w:rsidRPr="00807CA9">
        <w:rPr>
          <w:rFonts w:ascii="Times" w:hAnsi="Times" w:cs="Times"/>
        </w:rPr>
        <w:t>700</w:t>
      </w:r>
      <w:r w:rsidRPr="00807CA9">
        <w:rPr>
          <w:rFonts w:ascii="Times" w:hAnsi="Times" w:cs="Times" w:hint="eastAsia"/>
        </w:rPr>
        <w:t>万笔，单月移动支付流水峰值超过</w:t>
      </w:r>
      <w:r w:rsidRPr="00807CA9">
        <w:rPr>
          <w:rFonts w:ascii="Times" w:hAnsi="Times" w:cs="Times"/>
        </w:rPr>
        <w:t>21</w:t>
      </w:r>
      <w:r w:rsidRPr="00807CA9">
        <w:rPr>
          <w:rFonts w:ascii="Times" w:hAnsi="Times" w:cs="Times" w:hint="eastAsia"/>
        </w:rPr>
        <w:t>亿元，标的公司拥</w:t>
      </w:r>
      <w:r w:rsidRPr="00807CA9">
        <w:rPr>
          <w:rFonts w:ascii="Times" w:hAnsi="Times" w:cs="Times" w:hint="eastAsia"/>
        </w:rPr>
        <w:lastRenderedPageBreak/>
        <w:t>有较强的推广和渠道覆盖能力。</w:t>
      </w:r>
    </w:p>
    <w:p w14:paraId="62A03542"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w:t>
      </w:r>
      <w:r w:rsidRPr="00807CA9">
        <w:rPr>
          <w:rFonts w:ascii="Times" w:hAnsi="Times" w:cs="Times"/>
        </w:rPr>
        <w:t>2</w:t>
      </w:r>
      <w:r w:rsidRPr="00807CA9">
        <w:rPr>
          <w:rFonts w:ascii="Times" w:hAnsi="Times" w:cs="Times" w:hint="eastAsia"/>
        </w:rPr>
        <w:t>）具备技术壁垒与品牌认可</w:t>
      </w:r>
    </w:p>
    <w:p w14:paraId="3727FE71"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作为国家级专精特新</w:t>
      </w:r>
      <w:r w:rsidRPr="00807CA9">
        <w:rPr>
          <w:rFonts w:ascii="Times" w:hAnsi="Times" w:cs="Times"/>
        </w:rPr>
        <w:t>“</w:t>
      </w:r>
      <w:r w:rsidRPr="00807CA9">
        <w:rPr>
          <w:rFonts w:ascii="Times" w:hAnsi="Times" w:cs="Times" w:hint="eastAsia"/>
        </w:rPr>
        <w:t>小巨人</w:t>
      </w:r>
      <w:r w:rsidRPr="00807CA9">
        <w:rPr>
          <w:rFonts w:ascii="Times" w:hAnsi="Times" w:cs="Times"/>
        </w:rPr>
        <w:t>”</w:t>
      </w:r>
      <w:r w:rsidRPr="00807CA9">
        <w:rPr>
          <w:rFonts w:ascii="Times" w:hAnsi="Times" w:cs="Times" w:hint="eastAsia"/>
        </w:rPr>
        <w:t>企业，标的公司拥有大量专利和软著，技术实力获得官方和市场认可。旗下</w:t>
      </w:r>
      <w:r w:rsidRPr="00807CA9">
        <w:rPr>
          <w:rFonts w:ascii="Times" w:hAnsi="Times" w:cs="Times"/>
        </w:rPr>
        <w:t>“</w:t>
      </w:r>
      <w:r w:rsidRPr="00807CA9">
        <w:rPr>
          <w:rFonts w:ascii="Times" w:hAnsi="Times" w:cs="Times" w:hint="eastAsia"/>
        </w:rPr>
        <w:t>乐摇摇</w:t>
      </w:r>
      <w:r w:rsidRPr="00807CA9">
        <w:rPr>
          <w:rFonts w:ascii="Times" w:hAnsi="Times" w:cs="Times"/>
        </w:rPr>
        <w:t>”</w:t>
      </w:r>
      <w:r w:rsidRPr="00807CA9">
        <w:rPr>
          <w:rFonts w:ascii="Times" w:hAnsi="Times" w:cs="Times" w:hint="eastAsia"/>
        </w:rPr>
        <w:t>等品牌在行业内已形成较高知名度，降低了新客户的信任成本。</w:t>
      </w:r>
    </w:p>
    <w:p w14:paraId="14590A3F"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w:t>
      </w:r>
      <w:r w:rsidRPr="00807CA9">
        <w:rPr>
          <w:rFonts w:ascii="Times" w:hAnsi="Times" w:cs="Times"/>
        </w:rPr>
        <w:t>3</w:t>
      </w:r>
      <w:r w:rsidRPr="00807CA9">
        <w:rPr>
          <w:rFonts w:ascii="Times" w:hAnsi="Times" w:cs="Times" w:hint="eastAsia"/>
        </w:rPr>
        <w:t>）拥有全场景解决方案矩阵</w:t>
      </w:r>
    </w:p>
    <w:p w14:paraId="36EADA85"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标的公司拥有全场景解决方案矩阵，覆盖智慧生活、智慧零售、智慧出行等多个场景，能够满足不同领域客户的多样化需求，拓展了潜在客户的市场范围。</w:t>
      </w:r>
    </w:p>
    <w:p w14:paraId="6ACDECAB"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w:t>
      </w:r>
      <w:r w:rsidRPr="00807CA9">
        <w:rPr>
          <w:rFonts w:ascii="Times" w:hAnsi="Times" w:cs="Times"/>
        </w:rPr>
        <w:t>4</w:t>
      </w:r>
      <w:r w:rsidRPr="00807CA9">
        <w:rPr>
          <w:rFonts w:ascii="Times" w:hAnsi="Times" w:cs="Times" w:hint="eastAsia"/>
        </w:rPr>
        <w:t>）轻资产运营与规模效应</w:t>
      </w:r>
    </w:p>
    <w:p w14:paraId="78FD397B"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标的公司采用外协生产模式，自身聚焦研发和平台运营。随着设备接入规模的扩大，边际成本降低，规模效应显现，使其在定价和服务上更具竞争力，有利于吸引价格敏感型新客户。</w:t>
      </w:r>
    </w:p>
    <w:p w14:paraId="25930A1D" w14:textId="77777777" w:rsidR="00CD798F" w:rsidRPr="00807CA9" w:rsidRDefault="00CD798F" w:rsidP="00CD798F">
      <w:pPr>
        <w:pStyle w:val="005"/>
        <w:spacing w:before="120" w:after="120"/>
        <w:ind w:firstLine="480"/>
        <w:rPr>
          <w:rFonts w:ascii="Times" w:hAnsi="Times" w:cs="Times"/>
        </w:rPr>
      </w:pPr>
      <w:r w:rsidRPr="00807CA9">
        <w:rPr>
          <w:rFonts w:ascii="Times" w:hAnsi="Times" w:cs="Times" w:hint="eastAsia"/>
        </w:rPr>
        <w:t>（</w:t>
      </w:r>
      <w:r w:rsidRPr="00807CA9">
        <w:rPr>
          <w:rFonts w:ascii="Times" w:hAnsi="Times" w:cs="Times"/>
        </w:rPr>
        <w:t>5</w:t>
      </w:r>
      <w:r w:rsidRPr="00807CA9">
        <w:rPr>
          <w:rFonts w:ascii="Times" w:hAnsi="Times" w:cs="Times" w:hint="eastAsia"/>
        </w:rPr>
        <w:t>）行业发展趋势利好</w:t>
      </w:r>
    </w:p>
    <w:p w14:paraId="14F7B9B4" w14:textId="77777777" w:rsidR="00CD798F" w:rsidRDefault="00CD798F" w:rsidP="00CD798F">
      <w:pPr>
        <w:pStyle w:val="005"/>
        <w:spacing w:before="120" w:after="120"/>
        <w:ind w:firstLine="480"/>
      </w:pPr>
      <w:r w:rsidRPr="004D327F">
        <w:rPr>
          <w:rFonts w:hint="eastAsia"/>
        </w:rPr>
        <w:t>国家政策推动生活性服务业数字化转型（如《关于深化智慧城市发展推进城市全域数字化转型的指导意见》），自助设备物联网市场空间广阔，为标的公司新客户拓展提供了良好的外部环境。</w:t>
      </w:r>
    </w:p>
    <w:p w14:paraId="7E9BE695" w14:textId="77777777" w:rsidR="00CD798F" w:rsidRDefault="00CD798F" w:rsidP="00CD798F">
      <w:pPr>
        <w:pStyle w:val="005"/>
        <w:spacing w:before="120" w:after="120"/>
        <w:ind w:firstLine="480"/>
      </w:pPr>
      <w:r w:rsidRPr="00D1581E">
        <w:rPr>
          <w:rFonts w:hint="eastAsia"/>
        </w:rPr>
        <w:t>综上所述，</w:t>
      </w:r>
      <w:r>
        <w:rPr>
          <w:rFonts w:hint="eastAsia"/>
        </w:rPr>
        <w:t>标的</w:t>
      </w:r>
      <w:r w:rsidRPr="00D1581E">
        <w:rPr>
          <w:rFonts w:hint="eastAsia"/>
        </w:rPr>
        <w:t>公司</w:t>
      </w:r>
      <w:r>
        <w:rPr>
          <w:rFonts w:hint="eastAsia"/>
        </w:rPr>
        <w:t>具备</w:t>
      </w:r>
      <w:r w:rsidRPr="00D1581E">
        <w:rPr>
          <w:rFonts w:hint="eastAsia"/>
        </w:rPr>
        <w:t>良好的新客户拓展能力。其“硬件为入口、软件服务实现持续变现、数据资源深化价值”的业务模式具备内生增长性与客户粘性，已在经营实践中验证了其获取与留存多元化客户群体的有效性。公司坚实的技术基础、逐步提升的品牌影响力、规模化的设备连接网络以及与行业头部企业建立的稳定合作，共同构成了其持续开拓新客户、拓宽业务覆盖的坚实基础。</w:t>
      </w:r>
      <w:r>
        <w:rPr>
          <w:rFonts w:hint="eastAsia"/>
        </w:rPr>
        <w:t>未来，标的公司可</w:t>
      </w:r>
      <w:r w:rsidRPr="00F138AA">
        <w:rPr>
          <w:rFonts w:hint="eastAsia"/>
        </w:rPr>
        <w:t>借助与上市公司的协同及技术迭代，</w:t>
      </w:r>
      <w:r>
        <w:rPr>
          <w:rFonts w:hint="eastAsia"/>
        </w:rPr>
        <w:t>进一步开拓</w:t>
      </w:r>
      <w:r w:rsidRPr="00F138AA">
        <w:rPr>
          <w:rFonts w:hint="eastAsia"/>
        </w:rPr>
        <w:t>智慧政务、教育、医疗等领域的</w:t>
      </w:r>
      <w:r w:rsidRPr="00F138AA">
        <w:rPr>
          <w:rFonts w:hint="eastAsia"/>
        </w:rPr>
        <w:t>G</w:t>
      </w:r>
      <w:r w:rsidRPr="00F138AA">
        <w:rPr>
          <w:rFonts w:hint="eastAsia"/>
        </w:rPr>
        <w:t>端和大型</w:t>
      </w:r>
      <w:r w:rsidRPr="00F138AA">
        <w:rPr>
          <w:rFonts w:hint="eastAsia"/>
        </w:rPr>
        <w:t>B</w:t>
      </w:r>
      <w:r w:rsidRPr="00F138AA">
        <w:rPr>
          <w:rFonts w:hint="eastAsia"/>
        </w:rPr>
        <w:t>端客户资源，将业务从消费级市场延伸至产业级和政务级市场，开拓全新的客户群体</w:t>
      </w:r>
      <w:r>
        <w:rPr>
          <w:rFonts w:hint="eastAsia"/>
        </w:rPr>
        <w:t>，</w:t>
      </w:r>
      <w:r w:rsidRPr="00F138AA">
        <w:rPr>
          <w:rFonts w:hint="eastAsia"/>
        </w:rPr>
        <w:t>其新客户拓展能力有望得到进一步强化</w:t>
      </w:r>
      <w:r>
        <w:rPr>
          <w:rFonts w:hint="eastAsia"/>
        </w:rPr>
        <w:t>。</w:t>
      </w:r>
    </w:p>
    <w:p w14:paraId="3DE9EB2C" w14:textId="77777777" w:rsidR="00CD798F" w:rsidRPr="00E958DD" w:rsidRDefault="00CD798F" w:rsidP="00CD798F">
      <w:pPr>
        <w:pStyle w:val="003"/>
        <w:spacing w:before="120" w:after="120"/>
        <w:ind w:firstLine="482"/>
      </w:pPr>
      <w:r>
        <w:rPr>
          <w:rFonts w:hint="eastAsia"/>
        </w:rPr>
        <w:lastRenderedPageBreak/>
        <w:t>（四）</w:t>
      </w:r>
      <w:r w:rsidRPr="00340DEE">
        <w:rPr>
          <w:rFonts w:hint="eastAsia"/>
        </w:rPr>
        <w:t>平台接入终端设备数量、客户数量、支付笔数及交易流水规模、服务费率、单用户贡献等核心运营指标和各类硬件设备单价、销量的变动情况</w:t>
      </w:r>
    </w:p>
    <w:p w14:paraId="51EFD95D" w14:textId="77777777" w:rsidR="00CD798F" w:rsidRDefault="00CD798F" w:rsidP="00CD798F">
      <w:pPr>
        <w:pStyle w:val="005"/>
        <w:spacing w:before="120" w:after="120"/>
        <w:ind w:firstLine="480"/>
      </w:pPr>
      <w:r>
        <w:rPr>
          <w:rFonts w:hint="eastAsia"/>
        </w:rPr>
        <w:t>参见“</w:t>
      </w:r>
      <w:r w:rsidRPr="00340DEE">
        <w:rPr>
          <w:rFonts w:hint="eastAsia"/>
        </w:rPr>
        <w:t>问题</w:t>
      </w:r>
      <w:r w:rsidRPr="00340DEE">
        <w:rPr>
          <w:rFonts w:hint="eastAsia"/>
        </w:rPr>
        <w:t>4</w:t>
      </w:r>
      <w:r w:rsidRPr="00340DEE">
        <w:rPr>
          <w:rFonts w:hint="eastAsia"/>
        </w:rPr>
        <w:t>、关于收益法评估</w:t>
      </w:r>
      <w:r>
        <w:rPr>
          <w:rFonts w:hint="eastAsia"/>
        </w:rPr>
        <w:t>”之“</w:t>
      </w:r>
      <w:r w:rsidRPr="00340DEE">
        <w:rPr>
          <w:rFonts w:hint="eastAsia"/>
        </w:rPr>
        <w:t>补充披露预测期各年各业务收入、毛利率等重要评估参数的具体预测情况、测算过程、测算依据及其合理性</w:t>
      </w:r>
      <w:r>
        <w:rPr>
          <w:rFonts w:hint="eastAsia"/>
        </w:rPr>
        <w:t>”相关回复。</w:t>
      </w:r>
    </w:p>
    <w:p w14:paraId="7972B194" w14:textId="77777777" w:rsidR="00CD798F" w:rsidRDefault="00CD798F" w:rsidP="00CD798F">
      <w:pPr>
        <w:pStyle w:val="003"/>
        <w:spacing w:before="120" w:after="120"/>
        <w:ind w:firstLine="482"/>
      </w:pPr>
      <w:r>
        <w:rPr>
          <w:rFonts w:hint="eastAsia"/>
        </w:rPr>
        <w:t>（五）</w:t>
      </w:r>
      <w:r w:rsidRPr="00FF5141">
        <w:rPr>
          <w:rFonts w:hint="eastAsia"/>
        </w:rPr>
        <w:t>同行业公司或同类产品的比较情况，本次业务收入预测的合理性、谨慎性分析</w:t>
      </w:r>
    </w:p>
    <w:p w14:paraId="40137114" w14:textId="77777777" w:rsidR="00CD798F" w:rsidRDefault="00CD798F" w:rsidP="00CD798F">
      <w:pPr>
        <w:pStyle w:val="005"/>
        <w:spacing w:before="120" w:after="120"/>
        <w:ind w:firstLine="480"/>
      </w:pPr>
      <w:r w:rsidRPr="00014E81">
        <w:rPr>
          <w:rFonts w:hint="eastAsia"/>
        </w:rPr>
        <w:t>目前，已知与公司同属“</w:t>
      </w:r>
      <w:r w:rsidRPr="00014E81">
        <w:t>IoT+</w:t>
      </w:r>
      <w:r w:rsidRPr="00014E81">
        <w:t>云服务</w:t>
      </w:r>
      <w:r w:rsidRPr="00014E81">
        <w:t>”</w:t>
      </w:r>
      <w:r w:rsidRPr="00014E81">
        <w:t>领域的上市公司包括石基信息、映翰通及广联达等，但尚未发现与标的公司下游细分领域完全一致或高度相似的可比同行业上市公司。从</w:t>
      </w:r>
      <w:r>
        <w:rPr>
          <w:rFonts w:hint="eastAsia"/>
        </w:rPr>
        <w:t>市面上的同类</w:t>
      </w:r>
      <w:r w:rsidRPr="00014E81">
        <w:t>产品</w:t>
      </w:r>
      <w:r>
        <w:rPr>
          <w:rFonts w:hint="eastAsia"/>
        </w:rPr>
        <w:t>价格</w:t>
      </w:r>
      <w:r w:rsidRPr="00014E81">
        <w:t>来看，当前市场中</w:t>
      </w:r>
      <w:r w:rsidRPr="00014E81">
        <w:t>4G</w:t>
      </w:r>
      <w:r w:rsidRPr="00014E81">
        <w:t>物联网通信模块的价格普遍介于人民币</w:t>
      </w:r>
      <w:r>
        <w:t>73</w:t>
      </w:r>
      <w:r w:rsidRPr="00014E81">
        <w:t>元至</w:t>
      </w:r>
      <w:r>
        <w:t>526</w:t>
      </w:r>
      <w:r w:rsidRPr="00014E81">
        <w:t>元之间</w:t>
      </w:r>
      <w:r>
        <w:rPr>
          <w:rFonts w:hint="eastAsia"/>
        </w:rPr>
        <w:t>，差异主要是消费级和工业级产品差异、附加功能组件差异（如蓝牙和</w:t>
      </w:r>
      <w:r>
        <w:rPr>
          <w:rFonts w:hint="eastAsia"/>
        </w:rPr>
        <w:t>G</w:t>
      </w:r>
      <w:r>
        <w:t>PS</w:t>
      </w:r>
      <w:r>
        <w:rPr>
          <w:rFonts w:hint="eastAsia"/>
        </w:rPr>
        <w:t>）以及是否附送流量</w:t>
      </w:r>
      <w:r w:rsidRPr="00014E81">
        <w:t>。</w:t>
      </w:r>
    </w:p>
    <w:p w14:paraId="44E5DEE9" w14:textId="77777777" w:rsidR="00CD798F" w:rsidRDefault="00CD798F" w:rsidP="00CD798F">
      <w:pPr>
        <w:pStyle w:val="005"/>
        <w:spacing w:before="120" w:after="120"/>
        <w:ind w:firstLine="480"/>
      </w:pPr>
      <w:r>
        <w:rPr>
          <w:rFonts w:hint="eastAsia"/>
        </w:rPr>
        <w:t>查询结果</w:t>
      </w:r>
      <w:r w:rsidRPr="00014E81">
        <w:t>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49"/>
        <w:gridCol w:w="5879"/>
        <w:gridCol w:w="1533"/>
      </w:tblGrid>
      <w:tr w:rsidR="00CD798F" w:rsidRPr="00D95B42" w14:paraId="3C294451" w14:textId="77777777" w:rsidTr="00214723">
        <w:trPr>
          <w:cantSplit/>
          <w:trHeight w:val="454"/>
          <w:tblHeader/>
          <w:jc w:val="center"/>
        </w:trPr>
        <w:tc>
          <w:tcPr>
            <w:tcW w:w="910" w:type="pct"/>
            <w:noWrap/>
            <w:vAlign w:val="center"/>
            <w:hideMark/>
          </w:tcPr>
          <w:p w14:paraId="41A577E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DTU</w:t>
            </w:r>
            <w:r w:rsidRPr="00D95B42">
              <w:rPr>
                <w:rFonts w:ascii="Times New Roman" w:hAnsi="Times New Roman"/>
                <w:b/>
                <w:color w:val="000000"/>
              </w:rPr>
              <w:t>品牌</w:t>
            </w:r>
          </w:p>
        </w:tc>
        <w:tc>
          <w:tcPr>
            <w:tcW w:w="3244" w:type="pct"/>
            <w:noWrap/>
            <w:vAlign w:val="center"/>
            <w:hideMark/>
          </w:tcPr>
          <w:p w14:paraId="03F5719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型号</w:t>
            </w:r>
          </w:p>
        </w:tc>
        <w:tc>
          <w:tcPr>
            <w:tcW w:w="846" w:type="pct"/>
            <w:noWrap/>
            <w:vAlign w:val="center"/>
            <w:hideMark/>
          </w:tcPr>
          <w:p w14:paraId="7A12BEA9"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零售价（元）</w:t>
            </w:r>
          </w:p>
        </w:tc>
      </w:tr>
      <w:tr w:rsidR="00CD798F" w:rsidRPr="00D95B42" w14:paraId="61A06704" w14:textId="77777777" w:rsidTr="00214723">
        <w:trPr>
          <w:cantSplit/>
          <w:trHeight w:val="454"/>
          <w:jc w:val="center"/>
        </w:trPr>
        <w:tc>
          <w:tcPr>
            <w:tcW w:w="910" w:type="pct"/>
            <w:noWrap/>
            <w:vAlign w:val="center"/>
            <w:hideMark/>
          </w:tcPr>
          <w:p w14:paraId="162EB90F" w14:textId="77777777" w:rsidR="00CD798F" w:rsidRPr="00D95B42" w:rsidRDefault="00CD798F" w:rsidP="00214723">
            <w:pPr>
              <w:jc w:val="center"/>
              <w:rPr>
                <w:rFonts w:ascii="Times New Roman" w:hAnsi="Times New Roman"/>
                <w:color w:val="000000"/>
              </w:rPr>
            </w:pPr>
            <w:bookmarkStart w:id="2" w:name="OLE_LINK1"/>
            <w:r w:rsidRPr="00D95B42">
              <w:rPr>
                <w:rFonts w:ascii="Times New Roman" w:hAnsi="Times New Roman"/>
                <w:color w:val="000000"/>
              </w:rPr>
              <w:t>艾莫迅</w:t>
            </w:r>
            <w:bookmarkEnd w:id="2"/>
          </w:p>
        </w:tc>
        <w:tc>
          <w:tcPr>
            <w:tcW w:w="3244" w:type="pct"/>
            <w:noWrap/>
            <w:vAlign w:val="center"/>
            <w:hideMark/>
          </w:tcPr>
          <w:p w14:paraId="197E41E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4G DTU 485/232</w:t>
            </w:r>
          </w:p>
        </w:tc>
        <w:tc>
          <w:tcPr>
            <w:tcW w:w="846" w:type="pct"/>
            <w:noWrap/>
            <w:vAlign w:val="center"/>
            <w:hideMark/>
          </w:tcPr>
          <w:p w14:paraId="1BB3F3E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129.00-526.00</w:t>
            </w:r>
          </w:p>
        </w:tc>
      </w:tr>
      <w:tr w:rsidR="00CD798F" w:rsidRPr="00D95B42" w14:paraId="18D6F3FD" w14:textId="77777777" w:rsidTr="00214723">
        <w:trPr>
          <w:cantSplit/>
          <w:trHeight w:val="454"/>
          <w:jc w:val="center"/>
        </w:trPr>
        <w:tc>
          <w:tcPr>
            <w:tcW w:w="910" w:type="pct"/>
            <w:noWrap/>
            <w:vAlign w:val="center"/>
            <w:hideMark/>
          </w:tcPr>
          <w:p w14:paraId="619CE196"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有人</w:t>
            </w:r>
          </w:p>
        </w:tc>
        <w:tc>
          <w:tcPr>
            <w:tcW w:w="3244" w:type="pct"/>
            <w:noWrap/>
            <w:vAlign w:val="center"/>
            <w:hideMark/>
          </w:tcPr>
          <w:p w14:paraId="5A872F3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G780s</w:t>
            </w:r>
          </w:p>
        </w:tc>
        <w:tc>
          <w:tcPr>
            <w:tcW w:w="846" w:type="pct"/>
            <w:noWrap/>
            <w:vAlign w:val="center"/>
            <w:hideMark/>
          </w:tcPr>
          <w:p w14:paraId="0F2BA7F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198.00</w:t>
            </w:r>
          </w:p>
        </w:tc>
      </w:tr>
      <w:tr w:rsidR="00CD798F" w:rsidRPr="00D95B42" w14:paraId="5399472D" w14:textId="77777777" w:rsidTr="00214723">
        <w:trPr>
          <w:cantSplit/>
          <w:trHeight w:val="454"/>
          <w:jc w:val="center"/>
        </w:trPr>
        <w:tc>
          <w:tcPr>
            <w:tcW w:w="910" w:type="pct"/>
            <w:noWrap/>
            <w:vAlign w:val="center"/>
            <w:hideMark/>
          </w:tcPr>
          <w:p w14:paraId="095AFB2B"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映翰通</w:t>
            </w:r>
          </w:p>
        </w:tc>
        <w:tc>
          <w:tcPr>
            <w:tcW w:w="3244" w:type="pct"/>
            <w:noWrap/>
            <w:vAlign w:val="center"/>
            <w:hideMark/>
          </w:tcPr>
          <w:p w14:paraId="0262545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LQ20-232-DS</w:t>
            </w:r>
          </w:p>
        </w:tc>
        <w:tc>
          <w:tcPr>
            <w:tcW w:w="846" w:type="pct"/>
            <w:noWrap/>
            <w:vAlign w:val="center"/>
            <w:hideMark/>
          </w:tcPr>
          <w:p w14:paraId="1149B45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518.00</w:t>
            </w:r>
          </w:p>
        </w:tc>
      </w:tr>
      <w:tr w:rsidR="00CD798F" w:rsidRPr="00D95B42" w14:paraId="4E80FD66" w14:textId="77777777" w:rsidTr="00214723">
        <w:trPr>
          <w:cantSplit/>
          <w:trHeight w:val="454"/>
          <w:jc w:val="center"/>
        </w:trPr>
        <w:tc>
          <w:tcPr>
            <w:tcW w:w="910" w:type="pct"/>
            <w:noWrap/>
            <w:vAlign w:val="center"/>
            <w:hideMark/>
          </w:tcPr>
          <w:p w14:paraId="3A4C6FB3"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移远</w:t>
            </w:r>
          </w:p>
        </w:tc>
        <w:tc>
          <w:tcPr>
            <w:tcW w:w="3244" w:type="pct"/>
            <w:noWrap/>
            <w:vAlign w:val="center"/>
            <w:hideMark/>
          </w:tcPr>
          <w:p w14:paraId="2166048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4G EG25-G</w:t>
            </w:r>
          </w:p>
        </w:tc>
        <w:tc>
          <w:tcPr>
            <w:tcW w:w="846" w:type="pct"/>
            <w:noWrap/>
            <w:vAlign w:val="center"/>
            <w:hideMark/>
          </w:tcPr>
          <w:p w14:paraId="61C7F14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309.00</w:t>
            </w:r>
          </w:p>
        </w:tc>
      </w:tr>
      <w:tr w:rsidR="00CD798F" w:rsidRPr="00D95B42" w14:paraId="7409EE80" w14:textId="77777777" w:rsidTr="00214723">
        <w:trPr>
          <w:cantSplit/>
          <w:trHeight w:val="454"/>
          <w:jc w:val="center"/>
        </w:trPr>
        <w:tc>
          <w:tcPr>
            <w:tcW w:w="910" w:type="pct"/>
            <w:noWrap/>
            <w:vAlign w:val="center"/>
            <w:hideMark/>
          </w:tcPr>
          <w:p w14:paraId="45861782"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利尔达</w:t>
            </w:r>
          </w:p>
        </w:tc>
        <w:tc>
          <w:tcPr>
            <w:tcW w:w="3244" w:type="pct"/>
            <w:noWrap/>
            <w:vAlign w:val="center"/>
            <w:hideMark/>
          </w:tcPr>
          <w:p w14:paraId="4440ADD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LSD4WN-DTU470A1</w:t>
            </w:r>
          </w:p>
        </w:tc>
        <w:tc>
          <w:tcPr>
            <w:tcW w:w="846" w:type="pct"/>
            <w:noWrap/>
            <w:vAlign w:val="center"/>
            <w:hideMark/>
          </w:tcPr>
          <w:p w14:paraId="005911B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99.00</w:t>
            </w:r>
          </w:p>
        </w:tc>
      </w:tr>
      <w:tr w:rsidR="00CD798F" w:rsidRPr="00D95B42" w14:paraId="3267F048" w14:textId="77777777" w:rsidTr="00214723">
        <w:trPr>
          <w:cantSplit/>
          <w:trHeight w:val="454"/>
          <w:jc w:val="center"/>
        </w:trPr>
        <w:tc>
          <w:tcPr>
            <w:tcW w:w="910" w:type="pct"/>
            <w:noWrap/>
            <w:vAlign w:val="center"/>
            <w:hideMark/>
          </w:tcPr>
          <w:p w14:paraId="3C0F8DDA"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京宁</w:t>
            </w:r>
          </w:p>
        </w:tc>
        <w:tc>
          <w:tcPr>
            <w:tcW w:w="3244" w:type="pct"/>
            <w:noWrap/>
            <w:vAlign w:val="center"/>
            <w:hideMark/>
          </w:tcPr>
          <w:p w14:paraId="3BC1B4E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4GDTU 485</w:t>
            </w:r>
            <w:r w:rsidRPr="00D95B42">
              <w:rPr>
                <w:rFonts w:ascii="Times New Roman" w:hAnsi="Times New Roman"/>
                <w:color w:val="000000"/>
              </w:rPr>
              <w:t>串口</w:t>
            </w:r>
          </w:p>
        </w:tc>
        <w:tc>
          <w:tcPr>
            <w:tcW w:w="846" w:type="pct"/>
            <w:noWrap/>
            <w:vAlign w:val="center"/>
            <w:hideMark/>
          </w:tcPr>
          <w:p w14:paraId="114580B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73.00-108.00</w:t>
            </w:r>
          </w:p>
        </w:tc>
      </w:tr>
      <w:tr w:rsidR="00CD798F" w:rsidRPr="00D95B42" w14:paraId="2AEF5448" w14:textId="77777777" w:rsidTr="00214723">
        <w:trPr>
          <w:cantSplit/>
          <w:trHeight w:val="454"/>
          <w:jc w:val="center"/>
        </w:trPr>
        <w:tc>
          <w:tcPr>
            <w:tcW w:w="910" w:type="pct"/>
            <w:noWrap/>
            <w:vAlign w:val="center"/>
            <w:hideMark/>
          </w:tcPr>
          <w:p w14:paraId="5879C10A"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塔石</w:t>
            </w:r>
          </w:p>
        </w:tc>
        <w:tc>
          <w:tcPr>
            <w:tcW w:w="3244" w:type="pct"/>
            <w:noWrap/>
            <w:vAlign w:val="center"/>
            <w:hideMark/>
          </w:tcPr>
          <w:p w14:paraId="51EF700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LTE-892D5</w:t>
            </w:r>
            <w:r w:rsidRPr="00D95B42">
              <w:rPr>
                <w:rFonts w:ascii="Times New Roman" w:hAnsi="Times New Roman"/>
                <w:color w:val="000000"/>
              </w:rPr>
              <w:t>、</w:t>
            </w:r>
            <w:r w:rsidRPr="00D95B42">
              <w:rPr>
                <w:rFonts w:ascii="Times New Roman" w:hAnsi="Times New Roman"/>
                <w:color w:val="000000"/>
              </w:rPr>
              <w:t>TAS-LTE-365A-D</w:t>
            </w:r>
          </w:p>
        </w:tc>
        <w:tc>
          <w:tcPr>
            <w:tcW w:w="846" w:type="pct"/>
            <w:noWrap/>
            <w:vAlign w:val="center"/>
            <w:hideMark/>
          </w:tcPr>
          <w:p w14:paraId="69A99CC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131.17-161.00</w:t>
            </w:r>
          </w:p>
        </w:tc>
      </w:tr>
    </w:tbl>
    <w:p w14:paraId="3A812287" w14:textId="269D1EE3" w:rsidR="00CD798F" w:rsidRDefault="00CD798F" w:rsidP="00CD798F">
      <w:pPr>
        <w:pStyle w:val="005"/>
        <w:spacing w:before="120" w:after="120"/>
        <w:ind w:firstLine="480"/>
      </w:pPr>
      <w:r>
        <w:rPr>
          <w:rFonts w:hint="eastAsia"/>
        </w:rPr>
        <w:t>本次收入预测中，星云开物</w:t>
      </w:r>
      <w:r>
        <w:rPr>
          <w:rFonts w:hint="eastAsia"/>
        </w:rPr>
        <w:t>Io</w:t>
      </w:r>
      <w:r>
        <w:t>T</w:t>
      </w:r>
      <w:r>
        <w:rPr>
          <w:rFonts w:hint="eastAsia"/>
        </w:rPr>
        <w:t>智能硬件模块模组类在报告期和预测期的平均价格在</w:t>
      </w:r>
      <w:r>
        <w:rPr>
          <w:rFonts w:hint="eastAsia"/>
        </w:rPr>
        <w:t>9</w:t>
      </w:r>
      <w:r>
        <w:t>0-</w:t>
      </w:r>
      <w:r>
        <w:rPr>
          <w:rFonts w:hint="eastAsia"/>
        </w:rPr>
        <w:t>1</w:t>
      </w:r>
      <w:r w:rsidR="00AB58E0">
        <w:t>2</w:t>
      </w:r>
      <w:r>
        <w:t>0</w:t>
      </w:r>
      <w:r>
        <w:rPr>
          <w:rFonts w:hint="eastAsia"/>
        </w:rPr>
        <w:t>元左右，在上述区间内，具备合理性。</w:t>
      </w:r>
    </w:p>
    <w:p w14:paraId="07165CC1" w14:textId="77777777" w:rsidR="00CD798F" w:rsidRDefault="00CD798F" w:rsidP="00CD798F">
      <w:pPr>
        <w:pStyle w:val="005"/>
        <w:spacing w:before="120" w:after="120"/>
        <w:ind w:firstLine="480"/>
      </w:pPr>
      <w:r w:rsidRPr="00D00358">
        <w:rPr>
          <w:rFonts w:hint="eastAsia"/>
        </w:rPr>
        <w:t>在</w:t>
      </w:r>
      <w:r>
        <w:rPr>
          <w:rFonts w:hint="eastAsia"/>
        </w:rPr>
        <w:t>SaaS</w:t>
      </w:r>
      <w:r>
        <w:rPr>
          <w:rFonts w:hint="eastAsia"/>
        </w:rPr>
        <w:t>云平台业务及数字营销服务业务的</w:t>
      </w:r>
      <w:r w:rsidRPr="00D00358">
        <w:rPr>
          <w:rFonts w:hint="eastAsia"/>
        </w:rPr>
        <w:t>收入预测方面，由于行业内各公司的经营模式与收入结构存在差异，目前市场上缺乏完全可比的同类业务产品。</w:t>
      </w:r>
      <w:r>
        <w:rPr>
          <w:rFonts w:hint="eastAsia"/>
        </w:rPr>
        <w:t>因</w:t>
      </w:r>
      <w:r w:rsidRPr="00D00358">
        <w:rPr>
          <w:rFonts w:hint="eastAsia"/>
        </w:rPr>
        <w:t>此，本次</w:t>
      </w:r>
      <w:r w:rsidRPr="00D00358">
        <w:rPr>
          <w:rFonts w:hint="eastAsia"/>
        </w:rPr>
        <w:lastRenderedPageBreak/>
        <w:t>预测对</w:t>
      </w:r>
      <w:r>
        <w:rPr>
          <w:rFonts w:hint="eastAsia"/>
        </w:rPr>
        <w:t>SaaS</w:t>
      </w:r>
      <w:r>
        <w:rPr>
          <w:rFonts w:hint="eastAsia"/>
        </w:rPr>
        <w:t>云平台业务及数字营销服务业务</w:t>
      </w:r>
      <w:r w:rsidRPr="00D00358">
        <w:rPr>
          <w:rFonts w:hint="eastAsia"/>
        </w:rPr>
        <w:t>收入主要参照历史年度的收入水平或费率予以确定，同时在相关运营指标中考虑了合理的变动趋势。整体来看，该预测方法符合行业特点，具备审慎性与合理性。</w:t>
      </w:r>
    </w:p>
    <w:p w14:paraId="7FF10511" w14:textId="77777777" w:rsidR="00CD798F" w:rsidRDefault="00CD798F" w:rsidP="00CD798F">
      <w:pPr>
        <w:pStyle w:val="003"/>
        <w:spacing w:before="120" w:after="120"/>
        <w:ind w:firstLine="482"/>
      </w:pPr>
      <w:r>
        <w:rPr>
          <w:rFonts w:hint="eastAsia"/>
        </w:rPr>
        <w:t>（六）</w:t>
      </w:r>
      <w:r>
        <w:rPr>
          <w:rFonts w:hint="eastAsia"/>
        </w:rPr>
        <w:t>SaaS</w:t>
      </w:r>
      <w:r w:rsidRPr="00FF5141">
        <w:rPr>
          <w:rFonts w:hint="eastAsia"/>
        </w:rPr>
        <w:t>云平台、数字增值服务收入维持增长的合理性分析</w:t>
      </w:r>
    </w:p>
    <w:p w14:paraId="5C5C5CC7" w14:textId="77777777" w:rsidR="00CD798F" w:rsidRPr="00340DEE" w:rsidRDefault="00CD798F" w:rsidP="00CD798F">
      <w:pPr>
        <w:pStyle w:val="005"/>
        <w:spacing w:before="120" w:after="120"/>
        <w:ind w:firstLine="480"/>
      </w:pPr>
      <w:r w:rsidRPr="000D04DC">
        <w:rPr>
          <w:rFonts w:hint="eastAsia"/>
        </w:rPr>
        <w:t>预测期内，</w:t>
      </w:r>
      <w:r>
        <w:rPr>
          <w:rFonts w:hint="eastAsia"/>
        </w:rPr>
        <w:t>标的</w:t>
      </w:r>
      <w:r w:rsidRPr="000D04DC">
        <w:rPr>
          <w:rFonts w:hint="eastAsia"/>
        </w:rPr>
        <w:t>公司</w:t>
      </w:r>
      <w:r w:rsidRPr="000D04DC">
        <w:rPr>
          <w:rFonts w:hint="eastAsia"/>
        </w:rPr>
        <w:t>IoT</w:t>
      </w:r>
      <w:r w:rsidRPr="000D04DC">
        <w:rPr>
          <w:rFonts w:hint="eastAsia"/>
        </w:rPr>
        <w:t>智能硬件出货规模稳定在约</w:t>
      </w:r>
      <w:r w:rsidRPr="000D04DC">
        <w:rPr>
          <w:rFonts w:hint="eastAsia"/>
        </w:rPr>
        <w:t>1.7</w:t>
      </w:r>
      <w:r w:rsidRPr="000D04DC">
        <w:rPr>
          <w:rFonts w:hint="eastAsia"/>
        </w:rPr>
        <w:t>亿元。硬件出货量保持平稳，</w:t>
      </w:r>
      <w:r>
        <w:rPr>
          <w:rFonts w:hint="eastAsia"/>
        </w:rPr>
        <w:t>进而带动</w:t>
      </w:r>
      <w:r w:rsidRPr="000D04DC">
        <w:rPr>
          <w:rFonts w:hint="eastAsia"/>
        </w:rPr>
        <w:t>接入终端的活跃设备数量</w:t>
      </w:r>
      <w:r>
        <w:rPr>
          <w:rFonts w:hint="eastAsia"/>
        </w:rPr>
        <w:t>稳定</w:t>
      </w:r>
      <w:r w:rsidRPr="000D04DC">
        <w:rPr>
          <w:rFonts w:hint="eastAsia"/>
        </w:rPr>
        <w:t>持续增长。在公司业务模式下，活跃设备规模是支撑</w:t>
      </w:r>
      <w:r>
        <w:rPr>
          <w:rFonts w:hint="eastAsia"/>
        </w:rPr>
        <w:t>SaaS</w:t>
      </w:r>
      <w:r w:rsidRPr="000D04DC">
        <w:rPr>
          <w:rFonts w:hint="eastAsia"/>
        </w:rPr>
        <w:t>业务发展的关键基础，其增长有效推动了支付用户数量、交易流水等核心运营数据的提升。由于</w:t>
      </w:r>
      <w:r>
        <w:rPr>
          <w:rFonts w:hint="eastAsia"/>
        </w:rPr>
        <w:t>SaaS</w:t>
      </w:r>
      <w:r w:rsidRPr="000D04DC">
        <w:rPr>
          <w:rFonts w:hint="eastAsia"/>
        </w:rPr>
        <w:t>云平台收入及数字增值服务收入与上述运营指标密切相关，结合</w:t>
      </w:r>
      <w:r>
        <w:rPr>
          <w:rFonts w:hint="eastAsia"/>
        </w:rPr>
        <w:t>标的</w:t>
      </w:r>
      <w:r w:rsidRPr="000D04DC">
        <w:rPr>
          <w:rFonts w:hint="eastAsia"/>
        </w:rPr>
        <w:t>公司既定的经营规划，预计该等业务收入在未来期间将保持增长态势，该预测具备合理性</w:t>
      </w:r>
      <w:r>
        <w:rPr>
          <w:rFonts w:hint="eastAsia"/>
        </w:rPr>
        <w:t>。</w:t>
      </w:r>
    </w:p>
    <w:p w14:paraId="5E602505" w14:textId="77777777" w:rsidR="00CD798F" w:rsidRDefault="00CD798F" w:rsidP="00CD798F">
      <w:pPr>
        <w:pStyle w:val="002"/>
        <w:spacing w:before="120" w:after="120"/>
        <w:ind w:firstLine="482"/>
      </w:pPr>
      <w:r>
        <w:rPr>
          <w:rFonts w:hint="eastAsia"/>
        </w:rPr>
        <w:t>三</w:t>
      </w:r>
      <w:r>
        <w:t>、</w:t>
      </w:r>
      <w:r w:rsidRPr="008A26CC">
        <w:rPr>
          <w:rFonts w:hint="eastAsia"/>
        </w:rPr>
        <w:t>结合报告期内各项业务毛利率变动原因，各业务毛利率的主要影响因素及其未来变化情况，预测期内各业务毛利率较报告期、同行业可比公司是否存在差异等，补充披露各业务毛利率预测是否合理、谨慎</w:t>
      </w:r>
    </w:p>
    <w:p w14:paraId="29790BC8" w14:textId="77777777" w:rsidR="00CD798F" w:rsidRPr="00E958DD" w:rsidRDefault="00CD798F" w:rsidP="00CD798F">
      <w:pPr>
        <w:pStyle w:val="003"/>
        <w:spacing w:before="120" w:after="120"/>
        <w:ind w:firstLine="482"/>
      </w:pPr>
      <w:r>
        <w:rPr>
          <w:rFonts w:hint="eastAsia"/>
        </w:rPr>
        <w:t>（一）</w:t>
      </w:r>
      <w:r w:rsidRPr="00FF5141">
        <w:rPr>
          <w:rFonts w:hint="eastAsia"/>
        </w:rPr>
        <w:t>报告期内各项业务毛利率变动原因，各业务毛利率的主要影响因素及其未来变化情况</w:t>
      </w:r>
    </w:p>
    <w:p w14:paraId="23C5BEC4" w14:textId="77777777" w:rsidR="00CD798F" w:rsidRPr="00FF5141" w:rsidRDefault="00CD798F" w:rsidP="00CD798F">
      <w:pPr>
        <w:pStyle w:val="005"/>
        <w:spacing w:before="120" w:after="120"/>
        <w:ind w:firstLine="480"/>
      </w:pPr>
      <w:r>
        <w:rPr>
          <w:rFonts w:hint="eastAsia"/>
        </w:rPr>
        <w:t>参见“</w:t>
      </w:r>
      <w:r w:rsidRPr="00340DEE">
        <w:rPr>
          <w:rFonts w:hint="eastAsia"/>
        </w:rPr>
        <w:t>问题</w:t>
      </w:r>
      <w:r w:rsidRPr="00340DEE">
        <w:rPr>
          <w:rFonts w:hint="eastAsia"/>
        </w:rPr>
        <w:t>4</w:t>
      </w:r>
      <w:r w:rsidRPr="00340DEE">
        <w:rPr>
          <w:rFonts w:hint="eastAsia"/>
        </w:rPr>
        <w:t>、关于收益法评估</w:t>
      </w:r>
      <w:r>
        <w:rPr>
          <w:rFonts w:hint="eastAsia"/>
        </w:rPr>
        <w:t>”之“</w:t>
      </w:r>
      <w:r w:rsidRPr="00340DEE">
        <w:rPr>
          <w:rFonts w:hint="eastAsia"/>
        </w:rPr>
        <w:t>补充披露预测期各年各业务收入、毛利率等重要评估参数的具体预测情况、测算过程、测算依据及其合理性</w:t>
      </w:r>
      <w:r>
        <w:rPr>
          <w:rFonts w:hint="eastAsia"/>
        </w:rPr>
        <w:t>”相关回复。</w:t>
      </w:r>
    </w:p>
    <w:p w14:paraId="74342723" w14:textId="77777777" w:rsidR="00CD798F" w:rsidRPr="00E958DD" w:rsidRDefault="00CD798F" w:rsidP="00CD798F">
      <w:pPr>
        <w:pStyle w:val="003"/>
        <w:spacing w:before="120" w:after="120"/>
        <w:ind w:firstLine="482"/>
      </w:pPr>
      <w:r>
        <w:rPr>
          <w:rFonts w:hint="eastAsia"/>
        </w:rPr>
        <w:t>（二）</w:t>
      </w:r>
      <w:r w:rsidRPr="00FF5141">
        <w:rPr>
          <w:rFonts w:hint="eastAsia"/>
        </w:rPr>
        <w:t>预测期内各业务毛利率较报告期、同行业可比公司是否存在差异等，补充披露各业务毛利率预测是否合理、谨慎</w:t>
      </w:r>
    </w:p>
    <w:p w14:paraId="0FCE63ED" w14:textId="77777777" w:rsidR="00CD798F" w:rsidRPr="00FF5141" w:rsidRDefault="00CD798F" w:rsidP="00CD798F">
      <w:pPr>
        <w:pStyle w:val="005"/>
        <w:spacing w:before="120" w:after="120"/>
        <w:ind w:firstLine="480"/>
      </w:pPr>
      <w:r w:rsidRPr="00FF5141">
        <w:rPr>
          <w:rFonts w:hint="eastAsia"/>
        </w:rPr>
        <w:t>标的公司定位</w:t>
      </w:r>
      <w:r>
        <w:rPr>
          <w:rFonts w:hint="eastAsia"/>
        </w:rPr>
        <w:t>为“</w:t>
      </w:r>
      <w:r w:rsidRPr="00FF5141">
        <w:rPr>
          <w:rFonts w:hint="eastAsia"/>
        </w:rPr>
        <w:t>IoT+</w:t>
      </w:r>
      <w:r>
        <w:rPr>
          <w:rFonts w:hint="eastAsia"/>
        </w:rPr>
        <w:t>SaaS</w:t>
      </w:r>
      <w:r>
        <w:rPr>
          <w:rFonts w:hint="eastAsia"/>
        </w:rPr>
        <w:t>”</w:t>
      </w:r>
      <w:r w:rsidRPr="00FF5141">
        <w:rPr>
          <w:rFonts w:hint="eastAsia"/>
        </w:rPr>
        <w:t>的具备物联网硬件销售并提供软件服务供应商，其下属的智慧生活、智慧零售、智慧出行板块均属于消费板块。在软件及信息服务</w:t>
      </w:r>
      <w:r>
        <w:rPr>
          <w:rFonts w:hint="eastAsia"/>
        </w:rPr>
        <w:t>行业</w:t>
      </w:r>
      <w:r w:rsidRPr="00FF5141">
        <w:rPr>
          <w:rFonts w:hint="eastAsia"/>
        </w:rPr>
        <w:t>中，无业务定位、下游板块完全一致的上市公司。故本次选取软件及信息服务业上市公司对比分析其毛利率水平，具体如下：</w:t>
      </w:r>
    </w:p>
    <w:p w14:paraId="7BDC3876" w14:textId="77777777" w:rsidR="00CD798F" w:rsidRPr="00FF5141" w:rsidRDefault="00CD798F" w:rsidP="00CD798F">
      <w:pPr>
        <w:pStyle w:val="005"/>
        <w:spacing w:before="120" w:after="120"/>
        <w:ind w:firstLine="480"/>
      </w:pPr>
      <w:r w:rsidRPr="00FF5141">
        <w:rPr>
          <w:rFonts w:hint="eastAsia"/>
        </w:rPr>
        <w:t>标的公司报告期及预测期毛利水平如下：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24"/>
        <w:gridCol w:w="1506"/>
        <w:gridCol w:w="1506"/>
        <w:gridCol w:w="1658"/>
        <w:gridCol w:w="2167"/>
      </w:tblGrid>
      <w:tr w:rsidR="00CD798F" w:rsidRPr="00D95B42" w14:paraId="047EC7BC" w14:textId="77777777" w:rsidTr="00214723">
        <w:trPr>
          <w:cantSplit/>
          <w:trHeight w:val="454"/>
          <w:tblHeader/>
          <w:jc w:val="center"/>
        </w:trPr>
        <w:tc>
          <w:tcPr>
            <w:tcW w:w="1227" w:type="pct"/>
            <w:vAlign w:val="center"/>
          </w:tcPr>
          <w:p w14:paraId="4A6EFE0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lastRenderedPageBreak/>
              <w:t>项目</w:t>
            </w:r>
            <w:r w:rsidRPr="00D95B42">
              <w:rPr>
                <w:rFonts w:ascii="Times New Roman" w:hAnsi="Times New Roman"/>
                <w:b/>
                <w:color w:val="000000"/>
              </w:rPr>
              <w:t>\</w:t>
            </w:r>
            <w:r w:rsidRPr="00D95B42">
              <w:rPr>
                <w:rFonts w:ascii="Times New Roman" w:hAnsi="Times New Roman"/>
                <w:b/>
                <w:color w:val="000000"/>
              </w:rPr>
              <w:t>年份</w:t>
            </w:r>
          </w:p>
        </w:tc>
        <w:tc>
          <w:tcPr>
            <w:tcW w:w="831" w:type="pct"/>
            <w:vAlign w:val="center"/>
          </w:tcPr>
          <w:p w14:paraId="1F133F0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2023</w:t>
            </w:r>
            <w:r w:rsidRPr="00D95B42">
              <w:rPr>
                <w:rFonts w:ascii="Times New Roman" w:hAnsi="Times New Roman"/>
                <w:b/>
                <w:color w:val="000000"/>
              </w:rPr>
              <w:t>年度</w:t>
            </w:r>
          </w:p>
        </w:tc>
        <w:tc>
          <w:tcPr>
            <w:tcW w:w="831" w:type="pct"/>
            <w:vAlign w:val="center"/>
          </w:tcPr>
          <w:p w14:paraId="406516F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2024</w:t>
            </w:r>
            <w:r w:rsidRPr="00D95B42">
              <w:rPr>
                <w:rFonts w:ascii="Times New Roman" w:hAnsi="Times New Roman"/>
                <w:b/>
                <w:color w:val="000000"/>
              </w:rPr>
              <w:t>年度</w:t>
            </w:r>
          </w:p>
        </w:tc>
        <w:tc>
          <w:tcPr>
            <w:tcW w:w="915" w:type="pct"/>
            <w:vAlign w:val="center"/>
          </w:tcPr>
          <w:p w14:paraId="012F5A3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年</w:t>
            </w:r>
            <w:r w:rsidRPr="00D95B42">
              <w:rPr>
                <w:rFonts w:ascii="Times New Roman" w:hAnsi="Times New Roman"/>
                <w:b/>
                <w:color w:val="000000"/>
              </w:rPr>
              <w:t>1-6</w:t>
            </w:r>
            <w:r w:rsidRPr="00D95B42">
              <w:rPr>
                <w:rFonts w:ascii="Times New Roman" w:hAnsi="Times New Roman"/>
                <w:b/>
                <w:color w:val="000000"/>
              </w:rPr>
              <w:t>月</w:t>
            </w:r>
          </w:p>
        </w:tc>
        <w:tc>
          <w:tcPr>
            <w:tcW w:w="1196" w:type="pct"/>
            <w:vAlign w:val="center"/>
          </w:tcPr>
          <w:p w14:paraId="10A42727"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781F9FA5" w14:textId="77777777" w:rsidTr="00214723">
        <w:trPr>
          <w:cantSplit/>
          <w:trHeight w:val="454"/>
          <w:jc w:val="center"/>
        </w:trPr>
        <w:tc>
          <w:tcPr>
            <w:tcW w:w="1227" w:type="pct"/>
            <w:vAlign w:val="center"/>
          </w:tcPr>
          <w:p w14:paraId="0EC117A2"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毛利率</w:t>
            </w:r>
          </w:p>
        </w:tc>
        <w:tc>
          <w:tcPr>
            <w:tcW w:w="831" w:type="pct"/>
            <w:vAlign w:val="center"/>
          </w:tcPr>
          <w:p w14:paraId="20B450A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60.18%</w:t>
            </w:r>
          </w:p>
        </w:tc>
        <w:tc>
          <w:tcPr>
            <w:tcW w:w="831" w:type="pct"/>
            <w:vAlign w:val="center"/>
          </w:tcPr>
          <w:p w14:paraId="4086A14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62.90%</w:t>
            </w:r>
          </w:p>
        </w:tc>
        <w:tc>
          <w:tcPr>
            <w:tcW w:w="915" w:type="pct"/>
            <w:vAlign w:val="center"/>
          </w:tcPr>
          <w:p w14:paraId="07E5B5A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62.05%</w:t>
            </w:r>
          </w:p>
        </w:tc>
        <w:tc>
          <w:tcPr>
            <w:tcW w:w="1196" w:type="pct"/>
            <w:vAlign w:val="center"/>
          </w:tcPr>
          <w:p w14:paraId="1276F19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61.88%-62.24%</w:t>
            </w:r>
          </w:p>
        </w:tc>
      </w:tr>
    </w:tbl>
    <w:p w14:paraId="703C830F" w14:textId="77777777" w:rsidR="00CD798F" w:rsidRPr="00FF5141" w:rsidRDefault="00CD798F" w:rsidP="00CD798F">
      <w:pPr>
        <w:pStyle w:val="005"/>
        <w:spacing w:before="120" w:after="120"/>
        <w:ind w:firstLine="480"/>
      </w:pPr>
      <w:r w:rsidRPr="00FF5141">
        <w:rPr>
          <w:rFonts w:hint="eastAsia"/>
        </w:rPr>
        <w:t>软件及信息服务业上市公司基准日毛利率水平</w:t>
      </w:r>
      <w:r>
        <w:rPr>
          <w:rFonts w:hint="eastAsia"/>
        </w:rPr>
        <w:t>统计</w:t>
      </w:r>
      <w:r w:rsidRPr="00FF5141">
        <w:rPr>
          <w:rFonts w:hint="eastAsia"/>
        </w:rPr>
        <w:t>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2173"/>
        <w:gridCol w:w="2173"/>
        <w:gridCol w:w="2171"/>
      </w:tblGrid>
      <w:tr w:rsidR="00CD798F" w:rsidRPr="00D95B42" w14:paraId="5A76FA3E" w14:textId="77777777" w:rsidTr="00214723">
        <w:trPr>
          <w:cantSplit/>
          <w:trHeight w:val="454"/>
          <w:tblHeader/>
          <w:jc w:val="center"/>
        </w:trPr>
        <w:tc>
          <w:tcPr>
            <w:tcW w:w="1404" w:type="pct"/>
            <w:noWrap/>
            <w:vAlign w:val="center"/>
            <w:hideMark/>
          </w:tcPr>
          <w:p w14:paraId="5C7CDC0C"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项目（年份）</w:t>
            </w:r>
          </w:p>
        </w:tc>
        <w:tc>
          <w:tcPr>
            <w:tcW w:w="1199" w:type="pct"/>
            <w:noWrap/>
            <w:vAlign w:val="center"/>
            <w:hideMark/>
          </w:tcPr>
          <w:p w14:paraId="3D128D1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毛利率</w:t>
            </w:r>
            <w:r w:rsidRPr="00D95B42">
              <w:rPr>
                <w:rFonts w:ascii="Times New Roman" w:hAnsi="Times New Roman"/>
                <w:b/>
                <w:color w:val="000000"/>
              </w:rPr>
              <w:t>%</w:t>
            </w:r>
            <w:r w:rsidRPr="00D95B42">
              <w:rPr>
                <w:rFonts w:ascii="Times New Roman" w:hAnsi="Times New Roman"/>
                <w:b/>
                <w:color w:val="000000"/>
              </w:rPr>
              <w:t>（</w:t>
            </w:r>
            <w:r w:rsidRPr="00D95B42">
              <w:rPr>
                <w:rFonts w:ascii="Times New Roman" w:hAnsi="Times New Roman"/>
                <w:b/>
                <w:color w:val="000000"/>
              </w:rPr>
              <w:t>2023</w:t>
            </w:r>
            <w:r w:rsidRPr="00D95B42">
              <w:rPr>
                <w:rFonts w:ascii="Times New Roman" w:hAnsi="Times New Roman"/>
                <w:b/>
                <w:color w:val="000000"/>
              </w:rPr>
              <w:t>）</w:t>
            </w:r>
          </w:p>
        </w:tc>
        <w:tc>
          <w:tcPr>
            <w:tcW w:w="1199" w:type="pct"/>
            <w:noWrap/>
            <w:vAlign w:val="center"/>
            <w:hideMark/>
          </w:tcPr>
          <w:p w14:paraId="0BBC08F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毛利率</w:t>
            </w:r>
            <w:r w:rsidRPr="00D95B42">
              <w:rPr>
                <w:rFonts w:ascii="Times New Roman" w:hAnsi="Times New Roman"/>
                <w:b/>
                <w:color w:val="000000"/>
              </w:rPr>
              <w:t>%</w:t>
            </w:r>
            <w:r w:rsidRPr="00D95B42">
              <w:rPr>
                <w:rFonts w:ascii="Times New Roman" w:hAnsi="Times New Roman"/>
                <w:b/>
                <w:color w:val="000000"/>
              </w:rPr>
              <w:t>（</w:t>
            </w:r>
            <w:r w:rsidRPr="00D95B42">
              <w:rPr>
                <w:rFonts w:ascii="Times New Roman" w:hAnsi="Times New Roman"/>
                <w:b/>
                <w:color w:val="000000"/>
              </w:rPr>
              <w:t>2024</w:t>
            </w:r>
            <w:r w:rsidRPr="00D95B42">
              <w:rPr>
                <w:rFonts w:ascii="Times New Roman" w:hAnsi="Times New Roman"/>
                <w:b/>
                <w:color w:val="000000"/>
              </w:rPr>
              <w:t>）</w:t>
            </w:r>
          </w:p>
        </w:tc>
        <w:tc>
          <w:tcPr>
            <w:tcW w:w="1198" w:type="pct"/>
            <w:noWrap/>
            <w:vAlign w:val="center"/>
            <w:hideMark/>
          </w:tcPr>
          <w:p w14:paraId="47B1DD5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毛利率</w:t>
            </w:r>
            <w:r w:rsidRPr="00D95B42">
              <w:rPr>
                <w:rFonts w:ascii="Times New Roman" w:hAnsi="Times New Roman"/>
                <w:b/>
                <w:color w:val="000000"/>
              </w:rPr>
              <w:t>%</w:t>
            </w:r>
          </w:p>
          <w:p w14:paraId="0D85A0D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w:t>
            </w:r>
            <w:r w:rsidRPr="00D95B42">
              <w:rPr>
                <w:rFonts w:ascii="Times New Roman" w:hAnsi="Times New Roman"/>
                <w:b/>
                <w:color w:val="000000"/>
              </w:rPr>
              <w:t>2025</w:t>
            </w:r>
            <w:r w:rsidRPr="00D95B42">
              <w:rPr>
                <w:rFonts w:ascii="Times New Roman" w:hAnsi="Times New Roman"/>
                <w:b/>
                <w:color w:val="000000"/>
              </w:rPr>
              <w:t>上半年）</w:t>
            </w:r>
          </w:p>
        </w:tc>
      </w:tr>
      <w:tr w:rsidR="00CD798F" w:rsidRPr="00D95B42" w14:paraId="4A0CAF53" w14:textId="77777777" w:rsidTr="00214723">
        <w:trPr>
          <w:cantSplit/>
          <w:trHeight w:val="454"/>
          <w:jc w:val="center"/>
        </w:trPr>
        <w:tc>
          <w:tcPr>
            <w:tcW w:w="1404" w:type="pct"/>
            <w:noWrap/>
            <w:vAlign w:val="center"/>
            <w:hideMark/>
          </w:tcPr>
          <w:p w14:paraId="216AFC95"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平均值</w:t>
            </w:r>
          </w:p>
        </w:tc>
        <w:tc>
          <w:tcPr>
            <w:tcW w:w="1199" w:type="pct"/>
            <w:noWrap/>
            <w:vAlign w:val="center"/>
            <w:hideMark/>
          </w:tcPr>
          <w:p w14:paraId="2068B4BA"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48.26</w:t>
            </w:r>
          </w:p>
        </w:tc>
        <w:tc>
          <w:tcPr>
            <w:tcW w:w="1199" w:type="pct"/>
            <w:noWrap/>
            <w:vAlign w:val="center"/>
            <w:hideMark/>
          </w:tcPr>
          <w:p w14:paraId="6BE9F9D1"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50.08</w:t>
            </w:r>
          </w:p>
        </w:tc>
        <w:tc>
          <w:tcPr>
            <w:tcW w:w="1198" w:type="pct"/>
            <w:noWrap/>
            <w:vAlign w:val="center"/>
            <w:hideMark/>
          </w:tcPr>
          <w:p w14:paraId="0A21B440"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49.71</w:t>
            </w:r>
          </w:p>
        </w:tc>
      </w:tr>
      <w:tr w:rsidR="00CD798F" w:rsidRPr="00D95B42" w14:paraId="7B086673" w14:textId="77777777" w:rsidTr="00214723">
        <w:trPr>
          <w:cantSplit/>
          <w:trHeight w:val="454"/>
          <w:jc w:val="center"/>
        </w:trPr>
        <w:tc>
          <w:tcPr>
            <w:tcW w:w="1404" w:type="pct"/>
            <w:noWrap/>
            <w:vAlign w:val="center"/>
            <w:hideMark/>
          </w:tcPr>
          <w:p w14:paraId="63AEE635"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最大值</w:t>
            </w:r>
          </w:p>
        </w:tc>
        <w:tc>
          <w:tcPr>
            <w:tcW w:w="1199" w:type="pct"/>
            <w:noWrap/>
            <w:vAlign w:val="center"/>
            <w:hideMark/>
          </w:tcPr>
          <w:p w14:paraId="47C25E0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94.79</w:t>
            </w:r>
          </w:p>
        </w:tc>
        <w:tc>
          <w:tcPr>
            <w:tcW w:w="1199" w:type="pct"/>
            <w:noWrap/>
            <w:vAlign w:val="center"/>
            <w:hideMark/>
          </w:tcPr>
          <w:p w14:paraId="069E76D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93.41</w:t>
            </w:r>
          </w:p>
        </w:tc>
        <w:tc>
          <w:tcPr>
            <w:tcW w:w="1198" w:type="pct"/>
            <w:noWrap/>
            <w:vAlign w:val="center"/>
            <w:hideMark/>
          </w:tcPr>
          <w:p w14:paraId="0842858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93.93</w:t>
            </w:r>
          </w:p>
        </w:tc>
      </w:tr>
      <w:tr w:rsidR="00CD798F" w:rsidRPr="00D95B42" w14:paraId="37089B61" w14:textId="77777777" w:rsidTr="00214723">
        <w:trPr>
          <w:cantSplit/>
          <w:trHeight w:val="454"/>
          <w:jc w:val="center"/>
        </w:trPr>
        <w:tc>
          <w:tcPr>
            <w:tcW w:w="1404" w:type="pct"/>
            <w:noWrap/>
            <w:vAlign w:val="center"/>
            <w:hideMark/>
          </w:tcPr>
          <w:p w14:paraId="0C4F39A6"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中值</w:t>
            </w:r>
          </w:p>
        </w:tc>
        <w:tc>
          <w:tcPr>
            <w:tcW w:w="1199" w:type="pct"/>
            <w:noWrap/>
            <w:vAlign w:val="center"/>
            <w:hideMark/>
          </w:tcPr>
          <w:p w14:paraId="5663501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51.10</w:t>
            </w:r>
          </w:p>
        </w:tc>
        <w:tc>
          <w:tcPr>
            <w:tcW w:w="1199" w:type="pct"/>
            <w:noWrap/>
            <w:vAlign w:val="center"/>
            <w:hideMark/>
          </w:tcPr>
          <w:p w14:paraId="3B05A5A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50.01</w:t>
            </w:r>
          </w:p>
        </w:tc>
        <w:tc>
          <w:tcPr>
            <w:tcW w:w="1198" w:type="pct"/>
            <w:noWrap/>
            <w:vAlign w:val="center"/>
            <w:hideMark/>
          </w:tcPr>
          <w:p w14:paraId="62B0E33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48.58</w:t>
            </w:r>
          </w:p>
        </w:tc>
      </w:tr>
      <w:tr w:rsidR="00CD798F" w:rsidRPr="00D95B42" w14:paraId="60FC4264" w14:textId="77777777" w:rsidTr="00214723">
        <w:trPr>
          <w:cantSplit/>
          <w:trHeight w:val="454"/>
          <w:jc w:val="center"/>
        </w:trPr>
        <w:tc>
          <w:tcPr>
            <w:tcW w:w="1404" w:type="pct"/>
            <w:noWrap/>
            <w:vAlign w:val="center"/>
            <w:hideMark/>
          </w:tcPr>
          <w:p w14:paraId="603DA424"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最小值</w:t>
            </w:r>
          </w:p>
        </w:tc>
        <w:tc>
          <w:tcPr>
            <w:tcW w:w="1199" w:type="pct"/>
            <w:noWrap/>
            <w:vAlign w:val="center"/>
            <w:hideMark/>
          </w:tcPr>
          <w:p w14:paraId="37CED2F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-1.08</w:t>
            </w:r>
          </w:p>
        </w:tc>
        <w:tc>
          <w:tcPr>
            <w:tcW w:w="1199" w:type="pct"/>
            <w:noWrap/>
            <w:vAlign w:val="center"/>
            <w:hideMark/>
          </w:tcPr>
          <w:p w14:paraId="148132E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7.59</w:t>
            </w:r>
          </w:p>
        </w:tc>
        <w:tc>
          <w:tcPr>
            <w:tcW w:w="1198" w:type="pct"/>
            <w:noWrap/>
            <w:vAlign w:val="center"/>
            <w:hideMark/>
          </w:tcPr>
          <w:p w14:paraId="3B8B104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4.93</w:t>
            </w:r>
          </w:p>
        </w:tc>
      </w:tr>
    </w:tbl>
    <w:p w14:paraId="488BE4EC" w14:textId="77777777" w:rsidR="00CD798F" w:rsidRPr="00D95B42" w:rsidRDefault="00CD798F" w:rsidP="00CD798F">
      <w:pPr>
        <w:pStyle w:val="005"/>
        <w:spacing w:before="120" w:after="120"/>
        <w:ind w:firstLine="480"/>
      </w:pPr>
      <w:r w:rsidRPr="00D95B42">
        <w:t>报告期内，同行业上市公司平均毛利率介于</w:t>
      </w:r>
      <w:r w:rsidRPr="00D95B42">
        <w:t>48.26%</w:t>
      </w:r>
      <w:r w:rsidRPr="00D95B42">
        <w:t>至</w:t>
      </w:r>
      <w:r w:rsidRPr="00D95B42">
        <w:t>50.08%</w:t>
      </w:r>
      <w:r w:rsidRPr="00D95B42">
        <w:t>之间，整体保持稳定。同期，标的公司毛利率处于</w:t>
      </w:r>
      <w:r w:rsidRPr="00D95B42">
        <w:t>60.18%</w:t>
      </w:r>
      <w:r w:rsidRPr="00D95B42">
        <w:t>至</w:t>
      </w:r>
      <w:r w:rsidRPr="00D95B42">
        <w:t>62.90%</w:t>
      </w:r>
      <w:r w:rsidRPr="00D95B42">
        <w:t>区间，较行业平均水平高约</w:t>
      </w:r>
      <w:r w:rsidRPr="00D95B42">
        <w:t>10</w:t>
      </w:r>
      <w:r w:rsidRPr="00D95B42">
        <w:t>个百分点，但仍位于同行业公司的毛利率分布范围之内，且同样呈现稳定态势。同行业公司因下游市场结构、业务布局不同，毛利率水平存在一定差异。标的公司主要聚焦于消费行业，在智慧生活、智慧零售板块已形成深耕优势，并积极拓展智慧出行领域，共同支持其预测期内的稳健发展。整体来看，标的公司预测毛利率水平具有合理的业务基础与可比性。</w:t>
      </w:r>
    </w:p>
    <w:p w14:paraId="39DA0F78" w14:textId="77777777" w:rsidR="00CD798F" w:rsidRPr="00D95B42" w:rsidRDefault="00CD798F" w:rsidP="00CD798F">
      <w:pPr>
        <w:pStyle w:val="005"/>
        <w:spacing w:before="120" w:after="120"/>
        <w:ind w:firstLine="480"/>
      </w:pPr>
      <w:r w:rsidRPr="00D95B42">
        <w:t>上述内容已在《重组报告书》</w:t>
      </w:r>
      <w:r w:rsidRPr="00D95B42">
        <w:t>“</w:t>
      </w:r>
      <w:r w:rsidRPr="00D95B42">
        <w:t>第六节</w:t>
      </w:r>
      <w:r w:rsidRPr="00D95B42">
        <w:t xml:space="preserve"> </w:t>
      </w:r>
      <w:r w:rsidRPr="00D95B42">
        <w:t>交易标的评估情况</w:t>
      </w:r>
      <w:r w:rsidRPr="00D95B42">
        <w:t>”</w:t>
      </w:r>
      <w:r w:rsidRPr="00D95B42">
        <w:t>之</w:t>
      </w:r>
      <w:r w:rsidRPr="00D95B42">
        <w:t>“</w:t>
      </w:r>
      <w:r w:rsidRPr="00D95B42">
        <w:t>二、标的公司评估基本情况</w:t>
      </w:r>
      <w:r w:rsidRPr="00D95B42">
        <w:t>”</w:t>
      </w:r>
      <w:r w:rsidRPr="00D95B42">
        <w:t>之</w:t>
      </w:r>
      <w:r w:rsidRPr="00D95B42">
        <w:t>“</w:t>
      </w:r>
      <w:r w:rsidRPr="00D95B42">
        <w:t>（三）收益法的评估情况及分析</w:t>
      </w:r>
      <w:r w:rsidRPr="00D95B42">
        <w:t>”</w:t>
      </w:r>
      <w:r w:rsidRPr="00D95B42">
        <w:t>之</w:t>
      </w:r>
      <w:r w:rsidRPr="00D95B42">
        <w:t>“4</w:t>
      </w:r>
      <w:r w:rsidRPr="00D95B42">
        <w:t>、未来收益预测</w:t>
      </w:r>
      <w:r w:rsidRPr="00D95B42">
        <w:t>”</w:t>
      </w:r>
      <w:r w:rsidRPr="00D95B42">
        <w:t>补充披露。</w:t>
      </w:r>
    </w:p>
    <w:p w14:paraId="7D905159" w14:textId="77777777" w:rsidR="00CD798F" w:rsidRDefault="00CD798F" w:rsidP="00CD798F">
      <w:pPr>
        <w:pStyle w:val="002"/>
        <w:spacing w:before="120" w:after="120"/>
        <w:ind w:firstLine="482"/>
      </w:pPr>
      <w:r>
        <w:rPr>
          <w:rFonts w:hint="eastAsia"/>
        </w:rPr>
        <w:t>四</w:t>
      </w:r>
      <w:r>
        <w:t>、</w:t>
      </w:r>
      <w:r w:rsidRPr="00D07188">
        <w:rPr>
          <w:rFonts w:hint="eastAsia"/>
        </w:rPr>
        <w:t>结合各项期间费用主要明细项目的具体预测情况、过程及依据，补充披露预测期内期间费用率低于报告期平均水平且呈现逐年下降趋势的合理性，是否足以支撑标的资产的持续发展。</w:t>
      </w:r>
    </w:p>
    <w:p w14:paraId="248DAC9C" w14:textId="77777777" w:rsidR="00CD798F" w:rsidRDefault="00CD798F" w:rsidP="00CD798F">
      <w:pPr>
        <w:pStyle w:val="003"/>
        <w:spacing w:before="120" w:after="120"/>
        <w:ind w:firstLine="482"/>
      </w:pPr>
      <w:r>
        <w:t>（一）</w:t>
      </w:r>
      <w:r>
        <w:rPr>
          <w:rFonts w:hint="eastAsia"/>
        </w:rPr>
        <w:t>销售费用</w:t>
      </w:r>
      <w:r w:rsidRPr="00D12BC3">
        <w:rPr>
          <w:rFonts w:hint="eastAsia"/>
        </w:rPr>
        <w:t>主要明细项目的具体预测情况、过程及依据</w:t>
      </w:r>
    </w:p>
    <w:p w14:paraId="6A239816" w14:textId="77777777" w:rsidR="00CD798F" w:rsidRDefault="00CD798F" w:rsidP="00CD798F">
      <w:pPr>
        <w:pStyle w:val="004"/>
        <w:spacing w:before="120" w:after="120"/>
        <w:ind w:firstLine="482"/>
      </w:pPr>
      <w:r>
        <w:t>1</w:t>
      </w:r>
      <w:r>
        <w:t>、</w:t>
      </w:r>
      <w:r w:rsidRPr="00842842">
        <w:rPr>
          <w:rFonts w:hint="eastAsia"/>
        </w:rPr>
        <w:t>销售费用主要明细项目</w:t>
      </w:r>
    </w:p>
    <w:p w14:paraId="728E85C4" w14:textId="77777777" w:rsidR="00CD798F" w:rsidRDefault="00CD798F" w:rsidP="00CD798F">
      <w:pPr>
        <w:pStyle w:val="005"/>
        <w:spacing w:before="120" w:after="120"/>
        <w:ind w:firstLine="480"/>
      </w:pPr>
      <w:r w:rsidRPr="00842842">
        <w:rPr>
          <w:rFonts w:hint="eastAsia"/>
        </w:rPr>
        <w:t>销售费用主要由职工薪酬及福利费、市场推广费、摊销及折旧等构成</w:t>
      </w:r>
      <w:r>
        <w:rPr>
          <w:rFonts w:hint="eastAsia"/>
        </w:rPr>
        <w:t>，</w:t>
      </w:r>
      <w:r w:rsidRPr="00842842">
        <w:rPr>
          <w:rFonts w:hint="eastAsia"/>
        </w:rPr>
        <w:t>报告期各</w:t>
      </w:r>
      <w:r w:rsidRPr="00842842">
        <w:rPr>
          <w:rFonts w:hint="eastAsia"/>
        </w:rPr>
        <w:lastRenderedPageBreak/>
        <w:t>期，标的公司销售费用分别为</w:t>
      </w:r>
      <w:r w:rsidRPr="00842842">
        <w:rPr>
          <w:rFonts w:hint="eastAsia"/>
        </w:rPr>
        <w:t>7,949.08</w:t>
      </w:r>
      <w:r w:rsidRPr="00842842">
        <w:rPr>
          <w:rFonts w:hint="eastAsia"/>
        </w:rPr>
        <w:t>万元、</w:t>
      </w:r>
      <w:r w:rsidRPr="00842842">
        <w:rPr>
          <w:rFonts w:hint="eastAsia"/>
        </w:rPr>
        <w:t>7,083.27</w:t>
      </w:r>
      <w:r w:rsidRPr="00842842">
        <w:rPr>
          <w:rFonts w:hint="eastAsia"/>
        </w:rPr>
        <w:t>万元和</w:t>
      </w:r>
      <w:r w:rsidRPr="00842842">
        <w:rPr>
          <w:rFonts w:hint="eastAsia"/>
        </w:rPr>
        <w:t>3,749.82</w:t>
      </w:r>
      <w:r w:rsidRPr="00842842">
        <w:rPr>
          <w:rFonts w:hint="eastAsia"/>
        </w:rPr>
        <w:t>万元</w:t>
      </w:r>
      <w:r>
        <w:rPr>
          <w:rFonts w:hint="eastAsia"/>
        </w:rPr>
        <w:t>。具体情况如下：</w:t>
      </w:r>
    </w:p>
    <w:p w14:paraId="60AEA11E" w14:textId="77777777" w:rsidR="00CD798F" w:rsidRPr="00292343"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17"/>
        <w:gridCol w:w="1156"/>
        <w:gridCol w:w="1158"/>
        <w:gridCol w:w="1158"/>
        <w:gridCol w:w="1158"/>
        <w:gridCol w:w="1158"/>
        <w:gridCol w:w="1156"/>
      </w:tblGrid>
      <w:tr w:rsidR="00CD798F" w:rsidRPr="00D95B42" w14:paraId="4C780B9C" w14:textId="77777777" w:rsidTr="00214723">
        <w:trPr>
          <w:trHeight w:val="397"/>
          <w:tblHeader/>
          <w:jc w:val="center"/>
        </w:trPr>
        <w:tc>
          <w:tcPr>
            <w:tcW w:w="1168" w:type="pct"/>
            <w:vMerge w:val="restart"/>
            <w:tcMar>
              <w:top w:w="0" w:type="dxa"/>
              <w:left w:w="108" w:type="dxa"/>
              <w:bottom w:w="0" w:type="dxa"/>
              <w:right w:w="108" w:type="dxa"/>
            </w:tcMar>
            <w:vAlign w:val="center"/>
          </w:tcPr>
          <w:p w14:paraId="2667F1EA"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项目</w:t>
            </w:r>
          </w:p>
        </w:tc>
        <w:tc>
          <w:tcPr>
            <w:tcW w:w="1277" w:type="pct"/>
            <w:gridSpan w:val="2"/>
            <w:tcMar>
              <w:top w:w="0" w:type="dxa"/>
              <w:left w:w="108" w:type="dxa"/>
              <w:bottom w:w="0" w:type="dxa"/>
              <w:right w:w="108" w:type="dxa"/>
            </w:tcMar>
            <w:vAlign w:val="center"/>
          </w:tcPr>
          <w:p w14:paraId="7CB854B4"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2025</w:t>
            </w:r>
            <w:r w:rsidRPr="00D95B42">
              <w:rPr>
                <w:rFonts w:ascii="Times New Roman" w:hAnsi="Times New Roman"/>
                <w:b/>
                <w:bCs/>
                <w:szCs w:val="21"/>
              </w:rPr>
              <w:t>年</w:t>
            </w:r>
            <w:r w:rsidRPr="00D95B42">
              <w:rPr>
                <w:rFonts w:ascii="Times New Roman" w:hAnsi="Times New Roman"/>
                <w:b/>
                <w:bCs/>
                <w:szCs w:val="21"/>
              </w:rPr>
              <w:t>1-6</w:t>
            </w:r>
            <w:r w:rsidRPr="00D95B42">
              <w:rPr>
                <w:rFonts w:ascii="Times New Roman" w:hAnsi="Times New Roman"/>
                <w:b/>
                <w:bCs/>
                <w:szCs w:val="21"/>
              </w:rPr>
              <w:t>月</w:t>
            </w:r>
          </w:p>
        </w:tc>
        <w:tc>
          <w:tcPr>
            <w:tcW w:w="1278" w:type="pct"/>
            <w:gridSpan w:val="2"/>
            <w:tcMar>
              <w:top w:w="0" w:type="dxa"/>
              <w:left w:w="108" w:type="dxa"/>
              <w:bottom w:w="0" w:type="dxa"/>
              <w:right w:w="108" w:type="dxa"/>
            </w:tcMar>
            <w:vAlign w:val="center"/>
          </w:tcPr>
          <w:p w14:paraId="46966E28"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2024</w:t>
            </w:r>
            <w:r w:rsidRPr="00D95B42">
              <w:rPr>
                <w:rFonts w:ascii="Times New Roman" w:hAnsi="Times New Roman"/>
                <w:b/>
                <w:bCs/>
                <w:szCs w:val="21"/>
              </w:rPr>
              <w:t>年度</w:t>
            </w:r>
          </w:p>
        </w:tc>
        <w:tc>
          <w:tcPr>
            <w:tcW w:w="1277" w:type="pct"/>
            <w:gridSpan w:val="2"/>
            <w:tcMar>
              <w:top w:w="0" w:type="dxa"/>
              <w:left w:w="108" w:type="dxa"/>
              <w:bottom w:w="0" w:type="dxa"/>
              <w:right w:w="108" w:type="dxa"/>
            </w:tcMar>
            <w:vAlign w:val="center"/>
          </w:tcPr>
          <w:p w14:paraId="140CDC9C"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2023</w:t>
            </w:r>
            <w:r w:rsidRPr="00D95B42">
              <w:rPr>
                <w:rFonts w:ascii="Times New Roman" w:hAnsi="Times New Roman"/>
                <w:b/>
                <w:bCs/>
                <w:szCs w:val="21"/>
              </w:rPr>
              <w:t>年度</w:t>
            </w:r>
          </w:p>
        </w:tc>
      </w:tr>
      <w:tr w:rsidR="00CD798F" w:rsidRPr="00D95B42" w14:paraId="6AA4AD47" w14:textId="77777777" w:rsidTr="00214723">
        <w:trPr>
          <w:trHeight w:val="397"/>
          <w:tblHeader/>
          <w:jc w:val="center"/>
        </w:trPr>
        <w:tc>
          <w:tcPr>
            <w:tcW w:w="0" w:type="auto"/>
            <w:vMerge/>
            <w:tcMar>
              <w:top w:w="0" w:type="dxa"/>
              <w:left w:w="108" w:type="dxa"/>
              <w:bottom w:w="0" w:type="dxa"/>
              <w:right w:w="108" w:type="dxa"/>
            </w:tcMar>
            <w:vAlign w:val="center"/>
          </w:tcPr>
          <w:p w14:paraId="34624FB1" w14:textId="77777777" w:rsidR="00CD798F" w:rsidRPr="00D95B42" w:rsidRDefault="00CD798F" w:rsidP="00214723">
            <w:pPr>
              <w:rPr>
                <w:rFonts w:ascii="Times New Roman" w:hAnsi="Times New Roman"/>
                <w:b/>
                <w:bCs/>
                <w:szCs w:val="21"/>
              </w:rPr>
            </w:pPr>
          </w:p>
        </w:tc>
        <w:tc>
          <w:tcPr>
            <w:tcW w:w="638" w:type="pct"/>
            <w:tcMar>
              <w:top w:w="0" w:type="dxa"/>
              <w:left w:w="108" w:type="dxa"/>
              <w:bottom w:w="0" w:type="dxa"/>
              <w:right w:w="108" w:type="dxa"/>
            </w:tcMar>
            <w:vAlign w:val="center"/>
          </w:tcPr>
          <w:p w14:paraId="3A9801FB"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639" w:type="pct"/>
            <w:tcMar>
              <w:top w:w="0" w:type="dxa"/>
              <w:left w:w="108" w:type="dxa"/>
              <w:bottom w:w="0" w:type="dxa"/>
              <w:right w:w="108" w:type="dxa"/>
            </w:tcMar>
            <w:vAlign w:val="center"/>
          </w:tcPr>
          <w:p w14:paraId="7490DB5D"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比例</w:t>
            </w:r>
          </w:p>
        </w:tc>
        <w:tc>
          <w:tcPr>
            <w:tcW w:w="639" w:type="pct"/>
            <w:tcMar>
              <w:top w:w="0" w:type="dxa"/>
              <w:left w:w="108" w:type="dxa"/>
              <w:bottom w:w="0" w:type="dxa"/>
              <w:right w:w="108" w:type="dxa"/>
            </w:tcMar>
            <w:vAlign w:val="center"/>
          </w:tcPr>
          <w:p w14:paraId="743C6F2D"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639" w:type="pct"/>
            <w:tcMar>
              <w:top w:w="0" w:type="dxa"/>
              <w:left w:w="108" w:type="dxa"/>
              <w:bottom w:w="0" w:type="dxa"/>
              <w:right w:w="108" w:type="dxa"/>
            </w:tcMar>
            <w:vAlign w:val="center"/>
          </w:tcPr>
          <w:p w14:paraId="4D81FCDF"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比例</w:t>
            </w:r>
          </w:p>
        </w:tc>
        <w:tc>
          <w:tcPr>
            <w:tcW w:w="639" w:type="pct"/>
            <w:tcMar>
              <w:top w:w="0" w:type="dxa"/>
              <w:left w:w="108" w:type="dxa"/>
              <w:bottom w:w="0" w:type="dxa"/>
              <w:right w:w="108" w:type="dxa"/>
            </w:tcMar>
            <w:vAlign w:val="center"/>
          </w:tcPr>
          <w:p w14:paraId="0ECEC3AB"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638" w:type="pct"/>
            <w:tcMar>
              <w:top w:w="0" w:type="dxa"/>
              <w:left w:w="108" w:type="dxa"/>
              <w:bottom w:w="0" w:type="dxa"/>
              <w:right w:w="108" w:type="dxa"/>
            </w:tcMar>
            <w:vAlign w:val="center"/>
          </w:tcPr>
          <w:p w14:paraId="2D3523A1" w14:textId="77777777" w:rsidR="00CD798F" w:rsidRPr="00D95B42" w:rsidRDefault="00CD798F" w:rsidP="00214723">
            <w:pPr>
              <w:jc w:val="center"/>
              <w:rPr>
                <w:rFonts w:ascii="Times New Roman" w:hAnsi="Times New Roman"/>
                <w:szCs w:val="21"/>
              </w:rPr>
            </w:pPr>
            <w:r w:rsidRPr="00D95B42">
              <w:rPr>
                <w:rFonts w:ascii="Times New Roman" w:hAnsi="Times New Roman"/>
                <w:b/>
                <w:bCs/>
                <w:szCs w:val="21"/>
              </w:rPr>
              <w:t>比例</w:t>
            </w:r>
          </w:p>
        </w:tc>
      </w:tr>
      <w:tr w:rsidR="00CD798F" w:rsidRPr="00D95B42" w14:paraId="27250160" w14:textId="77777777" w:rsidTr="00214723">
        <w:trPr>
          <w:trHeight w:val="397"/>
          <w:jc w:val="center"/>
        </w:trPr>
        <w:tc>
          <w:tcPr>
            <w:tcW w:w="1168" w:type="pct"/>
            <w:tcMar>
              <w:top w:w="0" w:type="dxa"/>
              <w:left w:w="108" w:type="dxa"/>
              <w:bottom w:w="0" w:type="dxa"/>
              <w:right w:w="108" w:type="dxa"/>
            </w:tcMar>
            <w:vAlign w:val="center"/>
          </w:tcPr>
          <w:p w14:paraId="4A987C2C" w14:textId="77777777" w:rsidR="00CD798F" w:rsidRPr="00D95B42" w:rsidRDefault="00CD798F" w:rsidP="00214723">
            <w:pPr>
              <w:textAlignment w:val="center"/>
              <w:rPr>
                <w:rFonts w:ascii="Times New Roman" w:hAnsi="Times New Roman"/>
                <w:szCs w:val="21"/>
              </w:rPr>
            </w:pPr>
            <w:r w:rsidRPr="00D95B42">
              <w:rPr>
                <w:rFonts w:ascii="Times New Roman" w:hAnsi="Times New Roman"/>
                <w:szCs w:val="21"/>
              </w:rPr>
              <w:t>职工薪酬及福利费</w:t>
            </w:r>
          </w:p>
        </w:tc>
        <w:tc>
          <w:tcPr>
            <w:tcW w:w="638" w:type="pct"/>
            <w:tcMar>
              <w:top w:w="0" w:type="dxa"/>
              <w:left w:w="108" w:type="dxa"/>
              <w:bottom w:w="0" w:type="dxa"/>
              <w:right w:w="108" w:type="dxa"/>
            </w:tcMar>
            <w:vAlign w:val="center"/>
          </w:tcPr>
          <w:p w14:paraId="56E075BB"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2,371.18</w:t>
            </w:r>
          </w:p>
        </w:tc>
        <w:tc>
          <w:tcPr>
            <w:tcW w:w="639" w:type="pct"/>
            <w:tcMar>
              <w:top w:w="0" w:type="dxa"/>
              <w:left w:w="108" w:type="dxa"/>
              <w:bottom w:w="0" w:type="dxa"/>
              <w:right w:w="108" w:type="dxa"/>
            </w:tcMar>
            <w:vAlign w:val="center"/>
          </w:tcPr>
          <w:p w14:paraId="7C11674A"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63.23%</w:t>
            </w:r>
          </w:p>
        </w:tc>
        <w:tc>
          <w:tcPr>
            <w:tcW w:w="639" w:type="pct"/>
            <w:tcMar>
              <w:top w:w="0" w:type="dxa"/>
              <w:left w:w="108" w:type="dxa"/>
              <w:bottom w:w="0" w:type="dxa"/>
              <w:right w:w="108" w:type="dxa"/>
            </w:tcMar>
            <w:vAlign w:val="center"/>
          </w:tcPr>
          <w:p w14:paraId="42B4725A"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4,092.87</w:t>
            </w:r>
          </w:p>
        </w:tc>
        <w:tc>
          <w:tcPr>
            <w:tcW w:w="639" w:type="pct"/>
            <w:tcMar>
              <w:top w:w="0" w:type="dxa"/>
              <w:left w:w="108" w:type="dxa"/>
              <w:bottom w:w="0" w:type="dxa"/>
              <w:right w:w="108" w:type="dxa"/>
            </w:tcMar>
            <w:vAlign w:val="center"/>
          </w:tcPr>
          <w:p w14:paraId="1F93B2E6"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57.78%</w:t>
            </w:r>
          </w:p>
        </w:tc>
        <w:tc>
          <w:tcPr>
            <w:tcW w:w="639" w:type="pct"/>
            <w:tcMar>
              <w:top w:w="0" w:type="dxa"/>
              <w:left w:w="108" w:type="dxa"/>
              <w:bottom w:w="0" w:type="dxa"/>
              <w:right w:w="108" w:type="dxa"/>
            </w:tcMar>
            <w:vAlign w:val="center"/>
          </w:tcPr>
          <w:p w14:paraId="0042F0FC"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4,061.69</w:t>
            </w:r>
          </w:p>
        </w:tc>
        <w:tc>
          <w:tcPr>
            <w:tcW w:w="638" w:type="pct"/>
            <w:tcMar>
              <w:top w:w="0" w:type="dxa"/>
              <w:left w:w="108" w:type="dxa"/>
              <w:bottom w:w="0" w:type="dxa"/>
              <w:right w:w="108" w:type="dxa"/>
            </w:tcMar>
            <w:vAlign w:val="center"/>
          </w:tcPr>
          <w:p w14:paraId="23239557"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51.10%</w:t>
            </w:r>
          </w:p>
        </w:tc>
      </w:tr>
      <w:tr w:rsidR="00CD798F" w:rsidRPr="00D95B42" w14:paraId="0695A3A6" w14:textId="77777777" w:rsidTr="00214723">
        <w:trPr>
          <w:trHeight w:val="397"/>
          <w:jc w:val="center"/>
        </w:trPr>
        <w:tc>
          <w:tcPr>
            <w:tcW w:w="1168" w:type="pct"/>
            <w:tcMar>
              <w:top w:w="0" w:type="dxa"/>
              <w:left w:w="108" w:type="dxa"/>
              <w:bottom w:w="0" w:type="dxa"/>
              <w:right w:w="108" w:type="dxa"/>
            </w:tcMar>
            <w:vAlign w:val="center"/>
          </w:tcPr>
          <w:p w14:paraId="51B28EC6" w14:textId="77777777" w:rsidR="00CD798F" w:rsidRPr="00D95B42" w:rsidRDefault="00CD798F" w:rsidP="00214723">
            <w:pPr>
              <w:textAlignment w:val="center"/>
              <w:rPr>
                <w:rFonts w:ascii="Times New Roman" w:hAnsi="Times New Roman"/>
                <w:szCs w:val="21"/>
              </w:rPr>
            </w:pPr>
            <w:r w:rsidRPr="00D95B42">
              <w:rPr>
                <w:rFonts w:ascii="Times New Roman" w:hAnsi="Times New Roman"/>
                <w:szCs w:val="21"/>
              </w:rPr>
              <w:t>市场推广费</w:t>
            </w:r>
          </w:p>
        </w:tc>
        <w:tc>
          <w:tcPr>
            <w:tcW w:w="638" w:type="pct"/>
            <w:tcMar>
              <w:top w:w="0" w:type="dxa"/>
              <w:left w:w="108" w:type="dxa"/>
              <w:bottom w:w="0" w:type="dxa"/>
              <w:right w:w="108" w:type="dxa"/>
            </w:tcMar>
            <w:vAlign w:val="center"/>
          </w:tcPr>
          <w:p w14:paraId="4A1C2609"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768.86</w:t>
            </w:r>
          </w:p>
        </w:tc>
        <w:tc>
          <w:tcPr>
            <w:tcW w:w="639" w:type="pct"/>
            <w:tcMar>
              <w:top w:w="0" w:type="dxa"/>
              <w:left w:w="108" w:type="dxa"/>
              <w:bottom w:w="0" w:type="dxa"/>
              <w:right w:w="108" w:type="dxa"/>
            </w:tcMar>
            <w:vAlign w:val="center"/>
          </w:tcPr>
          <w:p w14:paraId="34EBF486"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20.50%</w:t>
            </w:r>
          </w:p>
        </w:tc>
        <w:tc>
          <w:tcPr>
            <w:tcW w:w="639" w:type="pct"/>
            <w:tcMar>
              <w:top w:w="0" w:type="dxa"/>
              <w:left w:w="108" w:type="dxa"/>
              <w:bottom w:w="0" w:type="dxa"/>
              <w:right w:w="108" w:type="dxa"/>
            </w:tcMar>
            <w:vAlign w:val="center"/>
          </w:tcPr>
          <w:p w14:paraId="5B107692"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1,685.88</w:t>
            </w:r>
          </w:p>
        </w:tc>
        <w:tc>
          <w:tcPr>
            <w:tcW w:w="639" w:type="pct"/>
            <w:tcMar>
              <w:top w:w="0" w:type="dxa"/>
              <w:left w:w="108" w:type="dxa"/>
              <w:bottom w:w="0" w:type="dxa"/>
              <w:right w:w="108" w:type="dxa"/>
            </w:tcMar>
            <w:vAlign w:val="center"/>
          </w:tcPr>
          <w:p w14:paraId="21A19A3B"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23.80%</w:t>
            </w:r>
          </w:p>
        </w:tc>
        <w:tc>
          <w:tcPr>
            <w:tcW w:w="639" w:type="pct"/>
            <w:tcMar>
              <w:top w:w="0" w:type="dxa"/>
              <w:left w:w="108" w:type="dxa"/>
              <w:bottom w:w="0" w:type="dxa"/>
              <w:right w:w="108" w:type="dxa"/>
            </w:tcMar>
            <w:vAlign w:val="center"/>
          </w:tcPr>
          <w:p w14:paraId="4FA67F15"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2,441.09</w:t>
            </w:r>
          </w:p>
        </w:tc>
        <w:tc>
          <w:tcPr>
            <w:tcW w:w="638" w:type="pct"/>
            <w:tcMar>
              <w:top w:w="0" w:type="dxa"/>
              <w:left w:w="108" w:type="dxa"/>
              <w:bottom w:w="0" w:type="dxa"/>
              <w:right w:w="108" w:type="dxa"/>
            </w:tcMar>
            <w:vAlign w:val="center"/>
          </w:tcPr>
          <w:p w14:paraId="41662491"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30.71%</w:t>
            </w:r>
          </w:p>
        </w:tc>
      </w:tr>
      <w:tr w:rsidR="00CD798F" w:rsidRPr="00D95B42" w14:paraId="3AA6C695" w14:textId="77777777" w:rsidTr="00214723">
        <w:trPr>
          <w:trHeight w:val="397"/>
          <w:jc w:val="center"/>
        </w:trPr>
        <w:tc>
          <w:tcPr>
            <w:tcW w:w="1168" w:type="pct"/>
            <w:tcMar>
              <w:top w:w="0" w:type="dxa"/>
              <w:left w:w="108" w:type="dxa"/>
              <w:bottom w:w="0" w:type="dxa"/>
              <w:right w:w="108" w:type="dxa"/>
            </w:tcMar>
            <w:vAlign w:val="center"/>
          </w:tcPr>
          <w:p w14:paraId="35B3CA08" w14:textId="77777777" w:rsidR="00CD798F" w:rsidRPr="00D95B42" w:rsidRDefault="00CD798F" w:rsidP="00214723">
            <w:pPr>
              <w:textAlignment w:val="center"/>
              <w:rPr>
                <w:rFonts w:ascii="Times New Roman" w:hAnsi="Times New Roman"/>
                <w:szCs w:val="21"/>
              </w:rPr>
            </w:pPr>
            <w:r w:rsidRPr="00D95B42">
              <w:rPr>
                <w:rFonts w:ascii="Times New Roman" w:hAnsi="Times New Roman"/>
                <w:szCs w:val="21"/>
              </w:rPr>
              <w:t>摊销及折旧</w:t>
            </w:r>
          </w:p>
        </w:tc>
        <w:tc>
          <w:tcPr>
            <w:tcW w:w="638" w:type="pct"/>
            <w:tcMar>
              <w:top w:w="0" w:type="dxa"/>
              <w:left w:w="108" w:type="dxa"/>
              <w:bottom w:w="0" w:type="dxa"/>
              <w:right w:w="108" w:type="dxa"/>
            </w:tcMar>
            <w:vAlign w:val="center"/>
          </w:tcPr>
          <w:p w14:paraId="4D5A6D9F"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259.73</w:t>
            </w:r>
          </w:p>
        </w:tc>
        <w:tc>
          <w:tcPr>
            <w:tcW w:w="639" w:type="pct"/>
            <w:tcMar>
              <w:top w:w="0" w:type="dxa"/>
              <w:left w:w="108" w:type="dxa"/>
              <w:bottom w:w="0" w:type="dxa"/>
              <w:right w:w="108" w:type="dxa"/>
            </w:tcMar>
            <w:vAlign w:val="center"/>
          </w:tcPr>
          <w:p w14:paraId="212C4900"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6.93%</w:t>
            </w:r>
          </w:p>
        </w:tc>
        <w:tc>
          <w:tcPr>
            <w:tcW w:w="639" w:type="pct"/>
            <w:tcMar>
              <w:top w:w="0" w:type="dxa"/>
              <w:left w:w="108" w:type="dxa"/>
              <w:bottom w:w="0" w:type="dxa"/>
              <w:right w:w="108" w:type="dxa"/>
            </w:tcMar>
            <w:vAlign w:val="center"/>
          </w:tcPr>
          <w:p w14:paraId="3AF94F7B"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547.40</w:t>
            </w:r>
          </w:p>
        </w:tc>
        <w:tc>
          <w:tcPr>
            <w:tcW w:w="639" w:type="pct"/>
            <w:tcMar>
              <w:top w:w="0" w:type="dxa"/>
              <w:left w:w="108" w:type="dxa"/>
              <w:bottom w:w="0" w:type="dxa"/>
              <w:right w:w="108" w:type="dxa"/>
            </w:tcMar>
            <w:vAlign w:val="center"/>
          </w:tcPr>
          <w:p w14:paraId="096AEA4B"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7.73%</w:t>
            </w:r>
          </w:p>
        </w:tc>
        <w:tc>
          <w:tcPr>
            <w:tcW w:w="639" w:type="pct"/>
            <w:tcMar>
              <w:top w:w="0" w:type="dxa"/>
              <w:left w:w="108" w:type="dxa"/>
              <w:bottom w:w="0" w:type="dxa"/>
              <w:right w:w="108" w:type="dxa"/>
            </w:tcMar>
            <w:vAlign w:val="center"/>
          </w:tcPr>
          <w:p w14:paraId="65AAF318"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815.05</w:t>
            </w:r>
          </w:p>
        </w:tc>
        <w:tc>
          <w:tcPr>
            <w:tcW w:w="638" w:type="pct"/>
            <w:tcMar>
              <w:top w:w="0" w:type="dxa"/>
              <w:left w:w="108" w:type="dxa"/>
              <w:bottom w:w="0" w:type="dxa"/>
              <w:right w:w="108" w:type="dxa"/>
            </w:tcMar>
            <w:vAlign w:val="center"/>
          </w:tcPr>
          <w:p w14:paraId="6A3CD43B"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10.25%</w:t>
            </w:r>
          </w:p>
        </w:tc>
      </w:tr>
      <w:tr w:rsidR="00CD798F" w:rsidRPr="00D95B42" w14:paraId="63459AA3" w14:textId="77777777" w:rsidTr="00214723">
        <w:trPr>
          <w:trHeight w:val="397"/>
          <w:jc w:val="center"/>
        </w:trPr>
        <w:tc>
          <w:tcPr>
            <w:tcW w:w="1168" w:type="pct"/>
            <w:tcMar>
              <w:top w:w="0" w:type="dxa"/>
              <w:left w:w="108" w:type="dxa"/>
              <w:bottom w:w="0" w:type="dxa"/>
              <w:right w:w="108" w:type="dxa"/>
            </w:tcMar>
            <w:vAlign w:val="center"/>
          </w:tcPr>
          <w:p w14:paraId="2B1D123B" w14:textId="77777777" w:rsidR="00CD798F" w:rsidRPr="00D95B42" w:rsidRDefault="00CD798F" w:rsidP="00214723">
            <w:pPr>
              <w:textAlignment w:val="center"/>
              <w:rPr>
                <w:rFonts w:ascii="Times New Roman" w:hAnsi="Times New Roman"/>
                <w:szCs w:val="21"/>
              </w:rPr>
            </w:pPr>
            <w:r w:rsidRPr="00D95B42">
              <w:rPr>
                <w:rFonts w:ascii="Times New Roman" w:hAnsi="Times New Roman"/>
                <w:szCs w:val="21"/>
              </w:rPr>
              <w:t>办公场所及办公费</w:t>
            </w:r>
          </w:p>
        </w:tc>
        <w:tc>
          <w:tcPr>
            <w:tcW w:w="638" w:type="pct"/>
            <w:tcMar>
              <w:top w:w="0" w:type="dxa"/>
              <w:left w:w="108" w:type="dxa"/>
              <w:bottom w:w="0" w:type="dxa"/>
              <w:right w:w="108" w:type="dxa"/>
            </w:tcMar>
            <w:vAlign w:val="center"/>
          </w:tcPr>
          <w:p w14:paraId="15511B95"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270.76</w:t>
            </w:r>
          </w:p>
        </w:tc>
        <w:tc>
          <w:tcPr>
            <w:tcW w:w="639" w:type="pct"/>
            <w:tcMar>
              <w:top w:w="0" w:type="dxa"/>
              <w:left w:w="108" w:type="dxa"/>
              <w:bottom w:w="0" w:type="dxa"/>
              <w:right w:w="108" w:type="dxa"/>
            </w:tcMar>
            <w:vAlign w:val="center"/>
          </w:tcPr>
          <w:p w14:paraId="639BD4CE"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7.22%</w:t>
            </w:r>
          </w:p>
        </w:tc>
        <w:tc>
          <w:tcPr>
            <w:tcW w:w="639" w:type="pct"/>
            <w:tcMar>
              <w:top w:w="0" w:type="dxa"/>
              <w:left w:w="108" w:type="dxa"/>
              <w:bottom w:w="0" w:type="dxa"/>
              <w:right w:w="108" w:type="dxa"/>
            </w:tcMar>
            <w:vAlign w:val="center"/>
          </w:tcPr>
          <w:p w14:paraId="6C3FCD15"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479.34</w:t>
            </w:r>
          </w:p>
        </w:tc>
        <w:tc>
          <w:tcPr>
            <w:tcW w:w="639" w:type="pct"/>
            <w:tcMar>
              <w:top w:w="0" w:type="dxa"/>
              <w:left w:w="108" w:type="dxa"/>
              <w:bottom w:w="0" w:type="dxa"/>
              <w:right w:w="108" w:type="dxa"/>
            </w:tcMar>
            <w:vAlign w:val="center"/>
          </w:tcPr>
          <w:p w14:paraId="66AB8E32"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6.77%</w:t>
            </w:r>
          </w:p>
        </w:tc>
        <w:tc>
          <w:tcPr>
            <w:tcW w:w="639" w:type="pct"/>
            <w:tcMar>
              <w:top w:w="0" w:type="dxa"/>
              <w:left w:w="108" w:type="dxa"/>
              <w:bottom w:w="0" w:type="dxa"/>
              <w:right w:w="108" w:type="dxa"/>
            </w:tcMar>
            <w:vAlign w:val="center"/>
          </w:tcPr>
          <w:p w14:paraId="5E7AFFD6"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350.34</w:t>
            </w:r>
          </w:p>
        </w:tc>
        <w:tc>
          <w:tcPr>
            <w:tcW w:w="638" w:type="pct"/>
            <w:tcMar>
              <w:top w:w="0" w:type="dxa"/>
              <w:left w:w="108" w:type="dxa"/>
              <w:bottom w:w="0" w:type="dxa"/>
              <w:right w:w="108" w:type="dxa"/>
            </w:tcMar>
            <w:vAlign w:val="center"/>
          </w:tcPr>
          <w:p w14:paraId="2FB58F42"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4.41%</w:t>
            </w:r>
          </w:p>
        </w:tc>
      </w:tr>
      <w:tr w:rsidR="00CD798F" w:rsidRPr="00D95B42" w14:paraId="42423280" w14:textId="77777777" w:rsidTr="00214723">
        <w:trPr>
          <w:trHeight w:val="397"/>
          <w:jc w:val="center"/>
        </w:trPr>
        <w:tc>
          <w:tcPr>
            <w:tcW w:w="1168" w:type="pct"/>
            <w:tcMar>
              <w:top w:w="0" w:type="dxa"/>
              <w:left w:w="108" w:type="dxa"/>
              <w:bottom w:w="0" w:type="dxa"/>
              <w:right w:w="108" w:type="dxa"/>
            </w:tcMar>
            <w:vAlign w:val="center"/>
          </w:tcPr>
          <w:p w14:paraId="004A39E2" w14:textId="77777777" w:rsidR="00CD798F" w:rsidRPr="00D95B42" w:rsidRDefault="00CD798F" w:rsidP="00214723">
            <w:pPr>
              <w:textAlignment w:val="center"/>
              <w:rPr>
                <w:rFonts w:ascii="Times New Roman" w:hAnsi="Times New Roman"/>
                <w:szCs w:val="21"/>
              </w:rPr>
            </w:pPr>
            <w:r w:rsidRPr="00D95B42">
              <w:rPr>
                <w:rFonts w:ascii="Times New Roman" w:hAnsi="Times New Roman"/>
                <w:szCs w:val="21"/>
              </w:rPr>
              <w:t>专业服务费</w:t>
            </w:r>
          </w:p>
        </w:tc>
        <w:tc>
          <w:tcPr>
            <w:tcW w:w="638" w:type="pct"/>
            <w:tcMar>
              <w:top w:w="0" w:type="dxa"/>
              <w:left w:w="108" w:type="dxa"/>
              <w:bottom w:w="0" w:type="dxa"/>
              <w:right w:w="108" w:type="dxa"/>
            </w:tcMar>
            <w:vAlign w:val="center"/>
          </w:tcPr>
          <w:p w14:paraId="3A9B3E56"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18.45</w:t>
            </w:r>
          </w:p>
        </w:tc>
        <w:tc>
          <w:tcPr>
            <w:tcW w:w="639" w:type="pct"/>
            <w:tcMar>
              <w:top w:w="0" w:type="dxa"/>
              <w:left w:w="108" w:type="dxa"/>
              <w:bottom w:w="0" w:type="dxa"/>
              <w:right w:w="108" w:type="dxa"/>
            </w:tcMar>
            <w:vAlign w:val="center"/>
          </w:tcPr>
          <w:p w14:paraId="70B33BAA"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0.49%</w:t>
            </w:r>
          </w:p>
        </w:tc>
        <w:tc>
          <w:tcPr>
            <w:tcW w:w="639" w:type="pct"/>
            <w:tcMar>
              <w:top w:w="0" w:type="dxa"/>
              <w:left w:w="108" w:type="dxa"/>
              <w:bottom w:w="0" w:type="dxa"/>
              <w:right w:w="108" w:type="dxa"/>
            </w:tcMar>
            <w:vAlign w:val="center"/>
          </w:tcPr>
          <w:p w14:paraId="2704C97E"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112.99</w:t>
            </w:r>
          </w:p>
        </w:tc>
        <w:tc>
          <w:tcPr>
            <w:tcW w:w="639" w:type="pct"/>
            <w:tcMar>
              <w:top w:w="0" w:type="dxa"/>
              <w:left w:w="108" w:type="dxa"/>
              <w:bottom w:w="0" w:type="dxa"/>
              <w:right w:w="108" w:type="dxa"/>
            </w:tcMar>
            <w:vAlign w:val="center"/>
          </w:tcPr>
          <w:p w14:paraId="7DB2AD6D"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1.60%</w:t>
            </w:r>
          </w:p>
        </w:tc>
        <w:tc>
          <w:tcPr>
            <w:tcW w:w="639" w:type="pct"/>
            <w:tcMar>
              <w:top w:w="0" w:type="dxa"/>
              <w:left w:w="108" w:type="dxa"/>
              <w:bottom w:w="0" w:type="dxa"/>
              <w:right w:w="108" w:type="dxa"/>
            </w:tcMar>
            <w:vAlign w:val="center"/>
          </w:tcPr>
          <w:p w14:paraId="4AB439D0"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156.14</w:t>
            </w:r>
          </w:p>
        </w:tc>
        <w:tc>
          <w:tcPr>
            <w:tcW w:w="638" w:type="pct"/>
            <w:tcMar>
              <w:top w:w="0" w:type="dxa"/>
              <w:left w:w="108" w:type="dxa"/>
              <w:bottom w:w="0" w:type="dxa"/>
              <w:right w:w="108" w:type="dxa"/>
            </w:tcMar>
            <w:vAlign w:val="center"/>
          </w:tcPr>
          <w:p w14:paraId="7F1ACD48"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1.96%</w:t>
            </w:r>
          </w:p>
        </w:tc>
      </w:tr>
      <w:tr w:rsidR="00CD798F" w:rsidRPr="00D95B42" w14:paraId="3425B9F2" w14:textId="77777777" w:rsidTr="00214723">
        <w:trPr>
          <w:trHeight w:val="397"/>
          <w:jc w:val="center"/>
        </w:trPr>
        <w:tc>
          <w:tcPr>
            <w:tcW w:w="1168" w:type="pct"/>
            <w:tcMar>
              <w:top w:w="0" w:type="dxa"/>
              <w:left w:w="108" w:type="dxa"/>
              <w:bottom w:w="0" w:type="dxa"/>
              <w:right w:w="108" w:type="dxa"/>
            </w:tcMar>
            <w:vAlign w:val="center"/>
          </w:tcPr>
          <w:p w14:paraId="00982F59" w14:textId="77777777" w:rsidR="00CD798F" w:rsidRPr="00D95B42" w:rsidRDefault="00CD798F" w:rsidP="00214723">
            <w:pPr>
              <w:textAlignment w:val="center"/>
              <w:rPr>
                <w:rFonts w:ascii="Times New Roman" w:hAnsi="Times New Roman"/>
                <w:szCs w:val="21"/>
              </w:rPr>
            </w:pPr>
            <w:r w:rsidRPr="00D95B42">
              <w:rPr>
                <w:rFonts w:ascii="Times New Roman" w:hAnsi="Times New Roman"/>
                <w:szCs w:val="21"/>
              </w:rPr>
              <w:t>业务招待费</w:t>
            </w:r>
          </w:p>
        </w:tc>
        <w:tc>
          <w:tcPr>
            <w:tcW w:w="638" w:type="pct"/>
            <w:tcMar>
              <w:top w:w="0" w:type="dxa"/>
              <w:left w:w="108" w:type="dxa"/>
              <w:bottom w:w="0" w:type="dxa"/>
              <w:right w:w="108" w:type="dxa"/>
            </w:tcMar>
            <w:vAlign w:val="center"/>
          </w:tcPr>
          <w:p w14:paraId="695D0A73"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53.56</w:t>
            </w:r>
          </w:p>
        </w:tc>
        <w:tc>
          <w:tcPr>
            <w:tcW w:w="639" w:type="pct"/>
            <w:tcMar>
              <w:top w:w="0" w:type="dxa"/>
              <w:left w:w="108" w:type="dxa"/>
              <w:bottom w:w="0" w:type="dxa"/>
              <w:right w:w="108" w:type="dxa"/>
            </w:tcMar>
            <w:vAlign w:val="center"/>
          </w:tcPr>
          <w:p w14:paraId="3166C28F"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1.43%</w:t>
            </w:r>
          </w:p>
        </w:tc>
        <w:tc>
          <w:tcPr>
            <w:tcW w:w="639" w:type="pct"/>
            <w:tcMar>
              <w:top w:w="0" w:type="dxa"/>
              <w:left w:w="108" w:type="dxa"/>
              <w:bottom w:w="0" w:type="dxa"/>
              <w:right w:w="108" w:type="dxa"/>
            </w:tcMar>
            <w:vAlign w:val="center"/>
          </w:tcPr>
          <w:p w14:paraId="4E42B2A7"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156.86</w:t>
            </w:r>
          </w:p>
        </w:tc>
        <w:tc>
          <w:tcPr>
            <w:tcW w:w="639" w:type="pct"/>
            <w:tcMar>
              <w:top w:w="0" w:type="dxa"/>
              <w:left w:w="108" w:type="dxa"/>
              <w:bottom w:w="0" w:type="dxa"/>
              <w:right w:w="108" w:type="dxa"/>
            </w:tcMar>
            <w:vAlign w:val="center"/>
          </w:tcPr>
          <w:p w14:paraId="6FCC8E2D"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2.21%</w:t>
            </w:r>
          </w:p>
        </w:tc>
        <w:tc>
          <w:tcPr>
            <w:tcW w:w="639" w:type="pct"/>
            <w:tcMar>
              <w:top w:w="0" w:type="dxa"/>
              <w:left w:w="108" w:type="dxa"/>
              <w:bottom w:w="0" w:type="dxa"/>
              <w:right w:w="108" w:type="dxa"/>
            </w:tcMar>
            <w:vAlign w:val="center"/>
          </w:tcPr>
          <w:p w14:paraId="15774890"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98.24</w:t>
            </w:r>
          </w:p>
        </w:tc>
        <w:tc>
          <w:tcPr>
            <w:tcW w:w="638" w:type="pct"/>
            <w:tcMar>
              <w:top w:w="0" w:type="dxa"/>
              <w:left w:w="108" w:type="dxa"/>
              <w:bottom w:w="0" w:type="dxa"/>
              <w:right w:w="108" w:type="dxa"/>
            </w:tcMar>
            <w:vAlign w:val="center"/>
          </w:tcPr>
          <w:p w14:paraId="1C278BAA"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1.24%</w:t>
            </w:r>
          </w:p>
        </w:tc>
      </w:tr>
      <w:tr w:rsidR="00CD798F" w:rsidRPr="00D95B42" w14:paraId="1252FB2A" w14:textId="77777777" w:rsidTr="00214723">
        <w:trPr>
          <w:trHeight w:val="397"/>
          <w:jc w:val="center"/>
        </w:trPr>
        <w:tc>
          <w:tcPr>
            <w:tcW w:w="1168" w:type="pct"/>
            <w:tcMar>
              <w:top w:w="0" w:type="dxa"/>
              <w:left w:w="108" w:type="dxa"/>
              <w:bottom w:w="0" w:type="dxa"/>
              <w:right w:w="108" w:type="dxa"/>
            </w:tcMar>
            <w:vAlign w:val="center"/>
          </w:tcPr>
          <w:p w14:paraId="265B53CE" w14:textId="77777777" w:rsidR="00CD798F" w:rsidRPr="00D95B42" w:rsidRDefault="00CD798F" w:rsidP="00214723">
            <w:pPr>
              <w:textAlignment w:val="center"/>
              <w:rPr>
                <w:rFonts w:ascii="Times New Roman" w:hAnsi="Times New Roman"/>
                <w:szCs w:val="21"/>
              </w:rPr>
            </w:pPr>
            <w:r w:rsidRPr="00D95B42">
              <w:rPr>
                <w:rFonts w:ascii="Times New Roman" w:hAnsi="Times New Roman"/>
                <w:szCs w:val="21"/>
              </w:rPr>
              <w:t>其他</w:t>
            </w:r>
          </w:p>
        </w:tc>
        <w:tc>
          <w:tcPr>
            <w:tcW w:w="638" w:type="pct"/>
            <w:tcMar>
              <w:top w:w="0" w:type="dxa"/>
              <w:left w:w="108" w:type="dxa"/>
              <w:bottom w:w="0" w:type="dxa"/>
              <w:right w:w="108" w:type="dxa"/>
            </w:tcMar>
            <w:vAlign w:val="center"/>
          </w:tcPr>
          <w:p w14:paraId="18AAC5FA"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7.29</w:t>
            </w:r>
          </w:p>
        </w:tc>
        <w:tc>
          <w:tcPr>
            <w:tcW w:w="639" w:type="pct"/>
            <w:tcMar>
              <w:top w:w="0" w:type="dxa"/>
              <w:left w:w="108" w:type="dxa"/>
              <w:bottom w:w="0" w:type="dxa"/>
              <w:right w:w="108" w:type="dxa"/>
            </w:tcMar>
            <w:vAlign w:val="center"/>
          </w:tcPr>
          <w:p w14:paraId="6A79CDE0"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0.19%</w:t>
            </w:r>
          </w:p>
        </w:tc>
        <w:tc>
          <w:tcPr>
            <w:tcW w:w="639" w:type="pct"/>
            <w:tcMar>
              <w:top w:w="0" w:type="dxa"/>
              <w:left w:w="108" w:type="dxa"/>
              <w:bottom w:w="0" w:type="dxa"/>
              <w:right w:w="108" w:type="dxa"/>
            </w:tcMar>
            <w:vAlign w:val="center"/>
          </w:tcPr>
          <w:p w14:paraId="5DDC0435"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7.93</w:t>
            </w:r>
          </w:p>
        </w:tc>
        <w:tc>
          <w:tcPr>
            <w:tcW w:w="639" w:type="pct"/>
            <w:tcMar>
              <w:top w:w="0" w:type="dxa"/>
              <w:left w:w="108" w:type="dxa"/>
              <w:bottom w:w="0" w:type="dxa"/>
              <w:right w:w="108" w:type="dxa"/>
            </w:tcMar>
            <w:vAlign w:val="center"/>
          </w:tcPr>
          <w:p w14:paraId="5C9A4C6E"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0.11%</w:t>
            </w:r>
          </w:p>
        </w:tc>
        <w:tc>
          <w:tcPr>
            <w:tcW w:w="639" w:type="pct"/>
            <w:tcMar>
              <w:top w:w="0" w:type="dxa"/>
              <w:left w:w="108" w:type="dxa"/>
              <w:bottom w:w="0" w:type="dxa"/>
              <w:right w:w="108" w:type="dxa"/>
            </w:tcMar>
            <w:vAlign w:val="center"/>
          </w:tcPr>
          <w:p w14:paraId="2672F65F"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26.53</w:t>
            </w:r>
          </w:p>
        </w:tc>
        <w:tc>
          <w:tcPr>
            <w:tcW w:w="638" w:type="pct"/>
            <w:tcMar>
              <w:top w:w="0" w:type="dxa"/>
              <w:left w:w="108" w:type="dxa"/>
              <w:bottom w:w="0" w:type="dxa"/>
              <w:right w:w="108" w:type="dxa"/>
            </w:tcMar>
            <w:vAlign w:val="center"/>
          </w:tcPr>
          <w:p w14:paraId="23626F42" w14:textId="77777777" w:rsidR="00CD798F" w:rsidRPr="00D95B42" w:rsidRDefault="00CD798F" w:rsidP="00214723">
            <w:pPr>
              <w:jc w:val="right"/>
              <w:textAlignment w:val="center"/>
              <w:rPr>
                <w:rFonts w:ascii="Times New Roman" w:hAnsi="Times New Roman"/>
                <w:color w:val="000000"/>
                <w:szCs w:val="21"/>
              </w:rPr>
            </w:pPr>
            <w:r w:rsidRPr="00D95B42">
              <w:rPr>
                <w:rFonts w:ascii="Times New Roman" w:hAnsi="Times New Roman"/>
                <w:color w:val="000000"/>
                <w:szCs w:val="21"/>
              </w:rPr>
              <w:t>0.33%</w:t>
            </w:r>
          </w:p>
        </w:tc>
      </w:tr>
      <w:tr w:rsidR="00CD798F" w:rsidRPr="00D95B42" w14:paraId="3142444B" w14:textId="77777777" w:rsidTr="00214723">
        <w:trPr>
          <w:trHeight w:val="397"/>
          <w:jc w:val="center"/>
        </w:trPr>
        <w:tc>
          <w:tcPr>
            <w:tcW w:w="1168" w:type="pct"/>
            <w:tcMar>
              <w:top w:w="0" w:type="dxa"/>
              <w:left w:w="108" w:type="dxa"/>
              <w:bottom w:w="0" w:type="dxa"/>
              <w:right w:w="108" w:type="dxa"/>
            </w:tcMar>
            <w:vAlign w:val="center"/>
          </w:tcPr>
          <w:p w14:paraId="147A38FA" w14:textId="77777777" w:rsidR="00CD798F" w:rsidRPr="00D95B42" w:rsidRDefault="00CD798F" w:rsidP="00214723">
            <w:pPr>
              <w:jc w:val="center"/>
              <w:textAlignment w:val="center"/>
              <w:rPr>
                <w:rFonts w:ascii="Times New Roman" w:hAnsi="Times New Roman"/>
                <w:b/>
                <w:bCs/>
                <w:szCs w:val="21"/>
              </w:rPr>
            </w:pPr>
            <w:r w:rsidRPr="00D95B42">
              <w:rPr>
                <w:rFonts w:ascii="Times New Roman" w:hAnsi="Times New Roman"/>
                <w:b/>
                <w:bCs/>
                <w:szCs w:val="21"/>
              </w:rPr>
              <w:t>合计</w:t>
            </w:r>
          </w:p>
        </w:tc>
        <w:tc>
          <w:tcPr>
            <w:tcW w:w="638" w:type="pct"/>
            <w:tcMar>
              <w:top w:w="0" w:type="dxa"/>
              <w:left w:w="108" w:type="dxa"/>
              <w:bottom w:w="0" w:type="dxa"/>
              <w:right w:w="108" w:type="dxa"/>
            </w:tcMar>
            <w:vAlign w:val="center"/>
          </w:tcPr>
          <w:p w14:paraId="2FE88392" w14:textId="77777777" w:rsidR="00CD798F" w:rsidRPr="00D95B42" w:rsidRDefault="00CD798F" w:rsidP="00214723">
            <w:pPr>
              <w:jc w:val="right"/>
              <w:textAlignment w:val="center"/>
              <w:rPr>
                <w:rFonts w:ascii="Times New Roman" w:hAnsi="Times New Roman"/>
                <w:b/>
                <w:bCs/>
                <w:color w:val="000000"/>
                <w:szCs w:val="21"/>
              </w:rPr>
            </w:pPr>
            <w:r w:rsidRPr="00D95B42">
              <w:rPr>
                <w:rFonts w:ascii="Times New Roman" w:hAnsi="Times New Roman"/>
                <w:b/>
                <w:bCs/>
                <w:color w:val="000000"/>
                <w:szCs w:val="21"/>
              </w:rPr>
              <w:t>3,749.82</w:t>
            </w:r>
          </w:p>
        </w:tc>
        <w:tc>
          <w:tcPr>
            <w:tcW w:w="639" w:type="pct"/>
            <w:tcMar>
              <w:top w:w="0" w:type="dxa"/>
              <w:left w:w="108" w:type="dxa"/>
              <w:bottom w:w="0" w:type="dxa"/>
              <w:right w:w="108" w:type="dxa"/>
            </w:tcMar>
            <w:vAlign w:val="center"/>
          </w:tcPr>
          <w:p w14:paraId="060C4D16" w14:textId="77777777" w:rsidR="00CD798F" w:rsidRPr="00D95B42" w:rsidRDefault="00CD798F" w:rsidP="00214723">
            <w:pPr>
              <w:jc w:val="right"/>
              <w:textAlignment w:val="center"/>
              <w:rPr>
                <w:rFonts w:ascii="Times New Roman" w:hAnsi="Times New Roman"/>
                <w:b/>
                <w:bCs/>
                <w:color w:val="000000"/>
                <w:szCs w:val="21"/>
              </w:rPr>
            </w:pPr>
            <w:r w:rsidRPr="00D95B42">
              <w:rPr>
                <w:rFonts w:ascii="Times New Roman" w:hAnsi="Times New Roman"/>
                <w:b/>
                <w:bCs/>
                <w:color w:val="000000"/>
                <w:szCs w:val="21"/>
              </w:rPr>
              <w:t>100.00%</w:t>
            </w:r>
          </w:p>
        </w:tc>
        <w:tc>
          <w:tcPr>
            <w:tcW w:w="639" w:type="pct"/>
            <w:tcMar>
              <w:top w:w="0" w:type="dxa"/>
              <w:left w:w="108" w:type="dxa"/>
              <w:bottom w:w="0" w:type="dxa"/>
              <w:right w:w="108" w:type="dxa"/>
            </w:tcMar>
            <w:vAlign w:val="center"/>
          </w:tcPr>
          <w:p w14:paraId="20F5FEB0" w14:textId="77777777" w:rsidR="00CD798F" w:rsidRPr="00D95B42" w:rsidRDefault="00CD798F" w:rsidP="00214723">
            <w:pPr>
              <w:jc w:val="right"/>
              <w:textAlignment w:val="center"/>
              <w:rPr>
                <w:rFonts w:ascii="Times New Roman" w:hAnsi="Times New Roman"/>
                <w:b/>
                <w:bCs/>
                <w:color w:val="000000"/>
                <w:szCs w:val="21"/>
              </w:rPr>
            </w:pPr>
            <w:r w:rsidRPr="00D95B42">
              <w:rPr>
                <w:rFonts w:ascii="Times New Roman" w:hAnsi="Times New Roman"/>
                <w:b/>
                <w:bCs/>
                <w:color w:val="000000"/>
                <w:szCs w:val="21"/>
              </w:rPr>
              <w:t>7,083.27</w:t>
            </w:r>
          </w:p>
        </w:tc>
        <w:tc>
          <w:tcPr>
            <w:tcW w:w="639" w:type="pct"/>
            <w:tcMar>
              <w:top w:w="0" w:type="dxa"/>
              <w:left w:w="108" w:type="dxa"/>
              <w:bottom w:w="0" w:type="dxa"/>
              <w:right w:w="108" w:type="dxa"/>
            </w:tcMar>
            <w:vAlign w:val="center"/>
          </w:tcPr>
          <w:p w14:paraId="18387A89" w14:textId="77777777" w:rsidR="00CD798F" w:rsidRPr="00D95B42" w:rsidRDefault="00CD798F" w:rsidP="00214723">
            <w:pPr>
              <w:jc w:val="right"/>
              <w:textAlignment w:val="center"/>
              <w:rPr>
                <w:rFonts w:ascii="Times New Roman" w:hAnsi="Times New Roman"/>
                <w:b/>
                <w:bCs/>
                <w:color w:val="000000"/>
                <w:szCs w:val="21"/>
              </w:rPr>
            </w:pPr>
            <w:r w:rsidRPr="00D95B42">
              <w:rPr>
                <w:rFonts w:ascii="Times New Roman" w:hAnsi="Times New Roman"/>
                <w:b/>
                <w:bCs/>
                <w:color w:val="000000"/>
                <w:szCs w:val="21"/>
              </w:rPr>
              <w:t>100.00%</w:t>
            </w:r>
          </w:p>
        </w:tc>
        <w:tc>
          <w:tcPr>
            <w:tcW w:w="639" w:type="pct"/>
            <w:tcMar>
              <w:top w:w="0" w:type="dxa"/>
              <w:left w:w="108" w:type="dxa"/>
              <w:bottom w:w="0" w:type="dxa"/>
              <w:right w:w="108" w:type="dxa"/>
            </w:tcMar>
            <w:vAlign w:val="center"/>
          </w:tcPr>
          <w:p w14:paraId="49C19004" w14:textId="77777777" w:rsidR="00CD798F" w:rsidRPr="00D95B42" w:rsidRDefault="00CD798F" w:rsidP="00214723">
            <w:pPr>
              <w:jc w:val="right"/>
              <w:textAlignment w:val="center"/>
              <w:rPr>
                <w:rFonts w:ascii="Times New Roman" w:hAnsi="Times New Roman"/>
                <w:b/>
                <w:bCs/>
                <w:color w:val="000000"/>
                <w:szCs w:val="21"/>
              </w:rPr>
            </w:pPr>
            <w:r w:rsidRPr="00D95B42">
              <w:rPr>
                <w:rFonts w:ascii="Times New Roman" w:hAnsi="Times New Roman"/>
                <w:b/>
                <w:bCs/>
                <w:color w:val="000000"/>
                <w:szCs w:val="21"/>
              </w:rPr>
              <w:t>7,949.08</w:t>
            </w:r>
          </w:p>
        </w:tc>
        <w:tc>
          <w:tcPr>
            <w:tcW w:w="638" w:type="pct"/>
            <w:tcMar>
              <w:top w:w="0" w:type="dxa"/>
              <w:left w:w="108" w:type="dxa"/>
              <w:bottom w:w="0" w:type="dxa"/>
              <w:right w:w="108" w:type="dxa"/>
            </w:tcMar>
            <w:vAlign w:val="center"/>
          </w:tcPr>
          <w:p w14:paraId="21BED6C7" w14:textId="77777777" w:rsidR="00CD798F" w:rsidRPr="00D95B42" w:rsidRDefault="00CD798F" w:rsidP="00214723">
            <w:pPr>
              <w:jc w:val="right"/>
              <w:textAlignment w:val="center"/>
              <w:rPr>
                <w:rFonts w:ascii="Times New Roman" w:hAnsi="Times New Roman"/>
                <w:b/>
                <w:bCs/>
                <w:color w:val="000000"/>
                <w:szCs w:val="21"/>
              </w:rPr>
            </w:pPr>
            <w:r w:rsidRPr="00D95B42">
              <w:rPr>
                <w:rFonts w:ascii="Times New Roman" w:hAnsi="Times New Roman"/>
                <w:b/>
                <w:bCs/>
                <w:color w:val="000000"/>
                <w:szCs w:val="21"/>
              </w:rPr>
              <w:t>100.00%</w:t>
            </w:r>
          </w:p>
        </w:tc>
      </w:tr>
    </w:tbl>
    <w:p w14:paraId="5642CD55" w14:textId="77777777" w:rsidR="00CD798F" w:rsidRDefault="00CD798F" w:rsidP="00CD798F">
      <w:pPr>
        <w:pStyle w:val="004"/>
        <w:spacing w:before="120" w:after="120"/>
        <w:ind w:firstLine="482"/>
      </w:pPr>
      <w:r>
        <w:rPr>
          <w:rFonts w:hint="eastAsia"/>
        </w:rPr>
        <w:t>2</w:t>
      </w:r>
      <w:r>
        <w:t>、</w:t>
      </w:r>
      <w:r w:rsidRPr="009C5A79">
        <w:rPr>
          <w:rFonts w:hint="eastAsia"/>
        </w:rPr>
        <w:t>销售费用主要明细项目的具体预测情况、过程及依据</w:t>
      </w:r>
    </w:p>
    <w:p w14:paraId="5BCC18C8" w14:textId="77777777" w:rsidR="00CD798F" w:rsidRDefault="00CD798F" w:rsidP="00CD798F">
      <w:pPr>
        <w:pStyle w:val="004"/>
        <w:spacing w:before="120" w:after="120"/>
        <w:ind w:firstLine="482"/>
        <w:outlineLvl w:val="4"/>
      </w:pPr>
      <w:r>
        <w:rPr>
          <w:rFonts w:hint="eastAsia"/>
        </w:rPr>
        <w:t>（</w:t>
      </w:r>
      <w:r>
        <w:rPr>
          <w:rFonts w:hint="eastAsia"/>
        </w:rPr>
        <w:t>1</w:t>
      </w:r>
      <w:r>
        <w:rPr>
          <w:rFonts w:hint="eastAsia"/>
        </w:rPr>
        <w:t>）</w:t>
      </w:r>
      <w:r w:rsidRPr="002A35F3">
        <w:rPr>
          <w:rFonts w:hint="eastAsia"/>
        </w:rPr>
        <w:t>职工薪酬及福利</w:t>
      </w:r>
      <w:r w:rsidRPr="003347DA">
        <w:rPr>
          <w:rFonts w:hint="eastAsia"/>
        </w:rPr>
        <w:t>费</w:t>
      </w:r>
    </w:p>
    <w:p w14:paraId="3FDFA7DE" w14:textId="77777777" w:rsidR="00CD798F" w:rsidRDefault="00CD798F" w:rsidP="00CD798F">
      <w:pPr>
        <w:pStyle w:val="005"/>
        <w:spacing w:before="120" w:after="120"/>
        <w:ind w:firstLine="480"/>
      </w:pPr>
      <w:r w:rsidRPr="009A6D74">
        <w:rPr>
          <w:rFonts w:hint="eastAsia"/>
        </w:rPr>
        <w:t>职工薪酬及福利主要包括销售人员的工资、社保、公积金和福利费等</w:t>
      </w:r>
      <w:r>
        <w:rPr>
          <w:rFonts w:hint="eastAsia"/>
        </w:rPr>
        <w:t>，</w:t>
      </w:r>
      <w:r w:rsidRPr="002A35F3">
        <w:rPr>
          <w:rFonts w:hint="eastAsia"/>
        </w:rPr>
        <w:t>报告期各期，标的公司职工薪酬及福利费分别为</w:t>
      </w:r>
      <w:r w:rsidRPr="002A35F3">
        <w:rPr>
          <w:rFonts w:hint="eastAsia"/>
        </w:rPr>
        <w:t>4,061.69</w:t>
      </w:r>
      <w:r w:rsidRPr="002A35F3">
        <w:rPr>
          <w:rFonts w:hint="eastAsia"/>
        </w:rPr>
        <w:t>万元、</w:t>
      </w:r>
      <w:r w:rsidRPr="002A35F3">
        <w:rPr>
          <w:rFonts w:hint="eastAsia"/>
        </w:rPr>
        <w:t>4,092.87</w:t>
      </w:r>
      <w:r w:rsidRPr="002A35F3">
        <w:rPr>
          <w:rFonts w:hint="eastAsia"/>
        </w:rPr>
        <w:t>万元和</w:t>
      </w:r>
      <w:r w:rsidRPr="002A35F3">
        <w:rPr>
          <w:rFonts w:hint="eastAsia"/>
        </w:rPr>
        <w:t>2,371.18</w:t>
      </w:r>
      <w:r w:rsidRPr="002A35F3">
        <w:rPr>
          <w:rFonts w:hint="eastAsia"/>
        </w:rPr>
        <w:t>万元，总体相对稳定；</w:t>
      </w:r>
      <w:r w:rsidRPr="009A6D74">
        <w:rPr>
          <w:rFonts w:hint="eastAsia"/>
        </w:rPr>
        <w:t>未来按人均薪酬和人数预测。预测期内对销售人员的规模结合业务发展的计划考虑一定的人员增加，同时人均薪酬水平亦考虑一定的增长</w:t>
      </w:r>
      <w:r>
        <w:rPr>
          <w:rFonts w:hint="eastAsia"/>
        </w:rPr>
        <w:t>，具体情况如下：</w:t>
      </w:r>
    </w:p>
    <w:p w14:paraId="0237C91E" w14:textId="77777777" w:rsidR="00CD798F" w:rsidRPr="00292343"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902"/>
        <w:gridCol w:w="1392"/>
        <w:gridCol w:w="1192"/>
        <w:gridCol w:w="1192"/>
        <w:gridCol w:w="1192"/>
        <w:gridCol w:w="1191"/>
      </w:tblGrid>
      <w:tr w:rsidR="00CD798F" w:rsidRPr="00D95B42" w14:paraId="54375908" w14:textId="77777777" w:rsidTr="00214723">
        <w:trPr>
          <w:cantSplit/>
          <w:trHeight w:val="454"/>
          <w:tblHeader/>
          <w:jc w:val="center"/>
        </w:trPr>
        <w:tc>
          <w:tcPr>
            <w:tcW w:w="1601" w:type="pct"/>
            <w:vMerge w:val="restart"/>
            <w:vAlign w:val="center"/>
          </w:tcPr>
          <w:p w14:paraId="312B32B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399" w:type="pct"/>
            <w:gridSpan w:val="5"/>
            <w:vAlign w:val="center"/>
          </w:tcPr>
          <w:p w14:paraId="6145F79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76CD1869" w14:textId="77777777" w:rsidTr="00214723">
        <w:trPr>
          <w:cantSplit/>
          <w:trHeight w:val="454"/>
          <w:tblHeader/>
          <w:jc w:val="center"/>
        </w:trPr>
        <w:tc>
          <w:tcPr>
            <w:tcW w:w="1601" w:type="pct"/>
            <w:vMerge/>
            <w:vAlign w:val="center"/>
          </w:tcPr>
          <w:p w14:paraId="6A5F5C33" w14:textId="77777777" w:rsidR="00CD798F" w:rsidRPr="00D95B42" w:rsidRDefault="00CD798F" w:rsidP="00214723">
            <w:pPr>
              <w:keepNext/>
              <w:jc w:val="center"/>
              <w:rPr>
                <w:rFonts w:ascii="Times New Roman" w:hAnsi="Times New Roman"/>
                <w:b/>
                <w:color w:val="000000"/>
              </w:rPr>
            </w:pPr>
          </w:p>
        </w:tc>
        <w:tc>
          <w:tcPr>
            <w:tcW w:w="768" w:type="pct"/>
            <w:vAlign w:val="center"/>
          </w:tcPr>
          <w:p w14:paraId="6760F7A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658" w:type="pct"/>
            <w:vAlign w:val="center"/>
          </w:tcPr>
          <w:p w14:paraId="0E08B2E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658" w:type="pct"/>
            <w:vAlign w:val="center"/>
          </w:tcPr>
          <w:p w14:paraId="7EC52D5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658" w:type="pct"/>
            <w:vAlign w:val="center"/>
          </w:tcPr>
          <w:p w14:paraId="6D68B35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658" w:type="pct"/>
            <w:vAlign w:val="center"/>
          </w:tcPr>
          <w:p w14:paraId="64B45FD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6345D6F3" w14:textId="77777777" w:rsidTr="00214723">
        <w:trPr>
          <w:cantSplit/>
          <w:trHeight w:val="454"/>
          <w:jc w:val="center"/>
        </w:trPr>
        <w:tc>
          <w:tcPr>
            <w:tcW w:w="1601" w:type="pct"/>
            <w:vAlign w:val="center"/>
          </w:tcPr>
          <w:p w14:paraId="352E708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职工薪酬及福利费金额</w:t>
            </w:r>
          </w:p>
        </w:tc>
        <w:tc>
          <w:tcPr>
            <w:tcW w:w="768" w:type="pct"/>
            <w:vAlign w:val="center"/>
          </w:tcPr>
          <w:p w14:paraId="519FB29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4,992.75</w:t>
            </w:r>
          </w:p>
        </w:tc>
        <w:tc>
          <w:tcPr>
            <w:tcW w:w="658" w:type="pct"/>
            <w:vAlign w:val="center"/>
          </w:tcPr>
          <w:p w14:paraId="7693835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5,257.80</w:t>
            </w:r>
          </w:p>
        </w:tc>
        <w:tc>
          <w:tcPr>
            <w:tcW w:w="658" w:type="pct"/>
            <w:vAlign w:val="center"/>
          </w:tcPr>
          <w:p w14:paraId="14220F0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5,534.25</w:t>
            </w:r>
          </w:p>
        </w:tc>
        <w:tc>
          <w:tcPr>
            <w:tcW w:w="658" w:type="pct"/>
            <w:vAlign w:val="center"/>
          </w:tcPr>
          <w:p w14:paraId="79A6329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5,822.40</w:t>
            </w:r>
          </w:p>
        </w:tc>
        <w:tc>
          <w:tcPr>
            <w:tcW w:w="658" w:type="pct"/>
            <w:vAlign w:val="center"/>
          </w:tcPr>
          <w:p w14:paraId="77F0930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5,997.60</w:t>
            </w:r>
          </w:p>
        </w:tc>
      </w:tr>
      <w:tr w:rsidR="00CD798F" w:rsidRPr="00D95B42" w14:paraId="174E039F" w14:textId="77777777" w:rsidTr="00214723">
        <w:trPr>
          <w:cantSplit/>
          <w:trHeight w:val="454"/>
          <w:jc w:val="center"/>
        </w:trPr>
        <w:tc>
          <w:tcPr>
            <w:tcW w:w="1601" w:type="pct"/>
            <w:vAlign w:val="center"/>
          </w:tcPr>
          <w:p w14:paraId="09540CE9"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销售人员人数</w:t>
            </w:r>
          </w:p>
        </w:tc>
        <w:tc>
          <w:tcPr>
            <w:tcW w:w="768" w:type="pct"/>
            <w:vAlign w:val="center"/>
          </w:tcPr>
          <w:p w14:paraId="787FF7F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225.00</w:t>
            </w:r>
          </w:p>
        </w:tc>
        <w:tc>
          <w:tcPr>
            <w:tcW w:w="658" w:type="pct"/>
            <w:vAlign w:val="center"/>
          </w:tcPr>
          <w:p w14:paraId="6057ECA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230.00</w:t>
            </w:r>
          </w:p>
        </w:tc>
        <w:tc>
          <w:tcPr>
            <w:tcW w:w="658" w:type="pct"/>
            <w:vAlign w:val="center"/>
          </w:tcPr>
          <w:p w14:paraId="281FD37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235.00</w:t>
            </w:r>
          </w:p>
        </w:tc>
        <w:tc>
          <w:tcPr>
            <w:tcW w:w="658" w:type="pct"/>
            <w:vAlign w:val="center"/>
          </w:tcPr>
          <w:p w14:paraId="6800203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240.00</w:t>
            </w:r>
          </w:p>
        </w:tc>
        <w:tc>
          <w:tcPr>
            <w:tcW w:w="658" w:type="pct"/>
            <w:vAlign w:val="center"/>
          </w:tcPr>
          <w:p w14:paraId="67DFFF3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240.00</w:t>
            </w:r>
          </w:p>
        </w:tc>
      </w:tr>
      <w:tr w:rsidR="00CD798F" w:rsidRPr="00D95B42" w14:paraId="3558A184" w14:textId="77777777" w:rsidTr="00214723">
        <w:trPr>
          <w:cantSplit/>
          <w:trHeight w:val="454"/>
          <w:jc w:val="center"/>
        </w:trPr>
        <w:tc>
          <w:tcPr>
            <w:tcW w:w="1601" w:type="pct"/>
            <w:vAlign w:val="center"/>
          </w:tcPr>
          <w:p w14:paraId="26EDB82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人均年薪酬</w:t>
            </w:r>
          </w:p>
        </w:tc>
        <w:tc>
          <w:tcPr>
            <w:tcW w:w="768" w:type="pct"/>
            <w:vAlign w:val="center"/>
          </w:tcPr>
          <w:p w14:paraId="08BEEF1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22.19</w:t>
            </w:r>
          </w:p>
        </w:tc>
        <w:tc>
          <w:tcPr>
            <w:tcW w:w="658" w:type="pct"/>
            <w:vAlign w:val="center"/>
          </w:tcPr>
          <w:p w14:paraId="1FE6F1F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22.86</w:t>
            </w:r>
          </w:p>
        </w:tc>
        <w:tc>
          <w:tcPr>
            <w:tcW w:w="658" w:type="pct"/>
            <w:vAlign w:val="center"/>
          </w:tcPr>
          <w:p w14:paraId="79DC60F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23.55</w:t>
            </w:r>
          </w:p>
        </w:tc>
        <w:tc>
          <w:tcPr>
            <w:tcW w:w="658" w:type="pct"/>
            <w:vAlign w:val="center"/>
          </w:tcPr>
          <w:p w14:paraId="16801F2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24.26</w:t>
            </w:r>
          </w:p>
        </w:tc>
        <w:tc>
          <w:tcPr>
            <w:tcW w:w="658" w:type="pct"/>
            <w:vAlign w:val="center"/>
          </w:tcPr>
          <w:p w14:paraId="4C38AD2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24.99</w:t>
            </w:r>
          </w:p>
        </w:tc>
      </w:tr>
      <w:tr w:rsidR="00CD798F" w:rsidRPr="00D95B42" w14:paraId="6B9DF5BE" w14:textId="77777777" w:rsidTr="00214723">
        <w:trPr>
          <w:cantSplit/>
          <w:trHeight w:val="454"/>
          <w:jc w:val="center"/>
        </w:trPr>
        <w:tc>
          <w:tcPr>
            <w:tcW w:w="1601" w:type="pct"/>
            <w:vAlign w:val="center"/>
          </w:tcPr>
          <w:p w14:paraId="24391CB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人均薪酬年增长率</w:t>
            </w:r>
          </w:p>
        </w:tc>
        <w:tc>
          <w:tcPr>
            <w:tcW w:w="768" w:type="pct"/>
            <w:vAlign w:val="center"/>
          </w:tcPr>
          <w:p w14:paraId="3E0EA70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532B045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3451A7E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3BA2911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66A5398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bl>
    <w:p w14:paraId="25E96F37" w14:textId="77777777" w:rsidR="00CD798F" w:rsidRDefault="00CD798F" w:rsidP="00CD798F">
      <w:pPr>
        <w:pStyle w:val="005"/>
        <w:spacing w:before="120" w:after="120"/>
        <w:ind w:firstLine="480"/>
      </w:pPr>
      <w:r w:rsidRPr="00867551">
        <w:rPr>
          <w:rFonts w:hint="eastAsia"/>
        </w:rPr>
        <w:lastRenderedPageBreak/>
        <w:t>从上表可见，</w:t>
      </w:r>
      <w:r w:rsidRPr="00BD302D">
        <w:rPr>
          <w:rFonts w:hint="eastAsia"/>
        </w:rPr>
        <w:t>报告期间内随着公司业务规模增长，销售人员数量</w:t>
      </w:r>
      <w:r>
        <w:rPr>
          <w:rFonts w:hint="eastAsia"/>
        </w:rPr>
        <w:t>有所增加，</w:t>
      </w:r>
      <w:r w:rsidRPr="00BD302D">
        <w:rPr>
          <w:rFonts w:hint="eastAsia"/>
        </w:rPr>
        <w:t>职工薪酬相应提升，人均薪酬年增长率稳定。</w:t>
      </w:r>
    </w:p>
    <w:p w14:paraId="075C47C2" w14:textId="77777777" w:rsidR="00CD798F" w:rsidRDefault="00CD798F" w:rsidP="00CD798F">
      <w:pPr>
        <w:pStyle w:val="004"/>
        <w:spacing w:before="120" w:after="120"/>
        <w:ind w:firstLine="482"/>
        <w:outlineLvl w:val="4"/>
      </w:pPr>
      <w:r>
        <w:rPr>
          <w:rFonts w:hint="eastAsia"/>
        </w:rPr>
        <w:t>（</w:t>
      </w:r>
      <w:r>
        <w:rPr>
          <w:rFonts w:hint="eastAsia"/>
        </w:rPr>
        <w:t>2</w:t>
      </w:r>
      <w:r>
        <w:rPr>
          <w:rFonts w:hint="eastAsia"/>
        </w:rPr>
        <w:t>）</w:t>
      </w:r>
      <w:r w:rsidRPr="00463242">
        <w:rPr>
          <w:rFonts w:hint="eastAsia"/>
        </w:rPr>
        <w:t>市场推广费、服务费</w:t>
      </w:r>
      <w:r>
        <w:rPr>
          <w:rFonts w:hint="eastAsia"/>
        </w:rPr>
        <w:t>和</w:t>
      </w:r>
      <w:r w:rsidRPr="00463242">
        <w:rPr>
          <w:rFonts w:hint="eastAsia"/>
        </w:rPr>
        <w:t>业务招待费</w:t>
      </w:r>
    </w:p>
    <w:p w14:paraId="7A39887B" w14:textId="77777777" w:rsidR="00CD798F" w:rsidRDefault="00CD798F" w:rsidP="00CD798F">
      <w:pPr>
        <w:pStyle w:val="005"/>
        <w:spacing w:before="120" w:after="120"/>
        <w:ind w:firstLine="480"/>
      </w:pPr>
      <w:r w:rsidRPr="00EA4F4C">
        <w:rPr>
          <w:rFonts w:hint="eastAsia"/>
        </w:rPr>
        <w:t>报告期各期，标的公司</w:t>
      </w:r>
      <w:r w:rsidRPr="00A67C04">
        <w:rPr>
          <w:rFonts w:hint="eastAsia"/>
        </w:rPr>
        <w:t>市场推广费、服务费</w:t>
      </w:r>
      <w:r>
        <w:rPr>
          <w:rFonts w:hint="eastAsia"/>
        </w:rPr>
        <w:t>和</w:t>
      </w:r>
      <w:r w:rsidRPr="00A67C04">
        <w:rPr>
          <w:rFonts w:hint="eastAsia"/>
        </w:rPr>
        <w:t>业务招待费</w:t>
      </w:r>
      <w:r>
        <w:rPr>
          <w:rFonts w:hint="eastAsia"/>
        </w:rPr>
        <w:t>合计金额分别为</w:t>
      </w:r>
      <w:r w:rsidRPr="007D5E36">
        <w:t>3,510.52</w:t>
      </w:r>
      <w:r>
        <w:rPr>
          <w:rFonts w:hint="eastAsia"/>
        </w:rPr>
        <w:t>万元、</w:t>
      </w:r>
      <w:r w:rsidRPr="007D5E36">
        <w:t>2,503.13</w:t>
      </w:r>
      <w:r>
        <w:rPr>
          <w:rFonts w:hint="eastAsia"/>
        </w:rPr>
        <w:t>万元和</w:t>
      </w:r>
      <w:r w:rsidRPr="007D5E36">
        <w:t>1,100.60</w:t>
      </w:r>
      <w:r>
        <w:rPr>
          <w:rFonts w:hint="eastAsia"/>
        </w:rPr>
        <w:t>万元。</w:t>
      </w:r>
      <w:r w:rsidRPr="004655FC">
        <w:rPr>
          <w:rFonts w:hint="eastAsia"/>
        </w:rPr>
        <w:t>2023</w:t>
      </w:r>
      <w:r w:rsidRPr="004655FC">
        <w:rPr>
          <w:rFonts w:hint="eastAsia"/>
        </w:rPr>
        <w:t>年</w:t>
      </w:r>
      <w:r>
        <w:rPr>
          <w:rFonts w:hint="eastAsia"/>
        </w:rPr>
        <w:t>度</w:t>
      </w:r>
      <w:r w:rsidRPr="00EA4F4C">
        <w:rPr>
          <w:rFonts w:hint="eastAsia"/>
        </w:rPr>
        <w:t>市场推广费</w:t>
      </w:r>
      <w:r>
        <w:rPr>
          <w:rFonts w:hint="eastAsia"/>
        </w:rPr>
        <w:t>金额</w:t>
      </w:r>
      <w:r w:rsidRPr="00EA4F4C">
        <w:rPr>
          <w:rFonts w:hint="eastAsia"/>
        </w:rPr>
        <w:t>相对较高主要系标的公司加大对智慧生活等应用领域的市场推广力度所致；</w:t>
      </w:r>
      <w:r w:rsidRPr="004503D9">
        <w:rPr>
          <w:rFonts w:hint="eastAsia"/>
        </w:rPr>
        <w:t>该类费用与企业的营业收入有较强的相关性，未来按一定的占收入比例预测</w:t>
      </w:r>
      <w:r>
        <w:rPr>
          <w:rFonts w:hint="eastAsia"/>
        </w:rPr>
        <w:t>，具体情况如下：</w:t>
      </w:r>
    </w:p>
    <w:p w14:paraId="0C35E0EE" w14:textId="77777777" w:rsidR="00CD798F" w:rsidRPr="00292343"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20"/>
        <w:gridCol w:w="1501"/>
        <w:gridCol w:w="1285"/>
        <w:gridCol w:w="1285"/>
        <w:gridCol w:w="1285"/>
        <w:gridCol w:w="1285"/>
      </w:tblGrid>
      <w:tr w:rsidR="00CD798F" w:rsidRPr="00D95B42" w14:paraId="0C6D2B19" w14:textId="77777777" w:rsidTr="00214723">
        <w:trPr>
          <w:cantSplit/>
          <w:trHeight w:val="454"/>
          <w:tblHeader/>
          <w:jc w:val="center"/>
        </w:trPr>
        <w:tc>
          <w:tcPr>
            <w:tcW w:w="1336" w:type="pct"/>
            <w:vMerge w:val="restart"/>
            <w:vAlign w:val="center"/>
          </w:tcPr>
          <w:p w14:paraId="0A02C2E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664" w:type="pct"/>
            <w:gridSpan w:val="5"/>
            <w:vAlign w:val="center"/>
          </w:tcPr>
          <w:p w14:paraId="26FB295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7E364A3D" w14:textId="77777777" w:rsidTr="00214723">
        <w:trPr>
          <w:cantSplit/>
          <w:trHeight w:val="454"/>
          <w:tblHeader/>
          <w:jc w:val="center"/>
        </w:trPr>
        <w:tc>
          <w:tcPr>
            <w:tcW w:w="1336" w:type="pct"/>
            <w:vMerge/>
            <w:vAlign w:val="center"/>
          </w:tcPr>
          <w:p w14:paraId="531B1EAB" w14:textId="77777777" w:rsidR="00CD798F" w:rsidRPr="00D95B42" w:rsidRDefault="00CD798F" w:rsidP="00214723">
            <w:pPr>
              <w:keepNext/>
              <w:jc w:val="center"/>
              <w:rPr>
                <w:rFonts w:ascii="Times New Roman" w:hAnsi="Times New Roman"/>
                <w:b/>
                <w:color w:val="000000"/>
              </w:rPr>
            </w:pPr>
          </w:p>
        </w:tc>
        <w:tc>
          <w:tcPr>
            <w:tcW w:w="828" w:type="pct"/>
            <w:vAlign w:val="center"/>
          </w:tcPr>
          <w:p w14:paraId="527475F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709" w:type="pct"/>
            <w:vAlign w:val="center"/>
          </w:tcPr>
          <w:p w14:paraId="58DF4C0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709" w:type="pct"/>
            <w:vAlign w:val="center"/>
          </w:tcPr>
          <w:p w14:paraId="09741EE2"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709" w:type="pct"/>
            <w:vAlign w:val="center"/>
          </w:tcPr>
          <w:p w14:paraId="46D1670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710" w:type="pct"/>
            <w:vAlign w:val="center"/>
          </w:tcPr>
          <w:p w14:paraId="6A69F70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3B6855C9" w14:textId="77777777" w:rsidTr="00214723">
        <w:trPr>
          <w:cantSplit/>
          <w:trHeight w:val="454"/>
          <w:jc w:val="center"/>
        </w:trPr>
        <w:tc>
          <w:tcPr>
            <w:tcW w:w="1336" w:type="pct"/>
            <w:vAlign w:val="center"/>
          </w:tcPr>
          <w:p w14:paraId="03CAF4AF"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1</w:t>
            </w:r>
            <w:r w:rsidRPr="00D95B42">
              <w:rPr>
                <w:rFonts w:ascii="Times New Roman" w:hAnsi="Times New Roman"/>
                <w:b/>
                <w:color w:val="000000"/>
              </w:rPr>
              <w:t>、市场推广费</w:t>
            </w:r>
          </w:p>
        </w:tc>
        <w:tc>
          <w:tcPr>
            <w:tcW w:w="828" w:type="pct"/>
            <w:vAlign w:val="center"/>
          </w:tcPr>
          <w:p w14:paraId="1C198E0E"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2,099.50</w:t>
            </w:r>
          </w:p>
        </w:tc>
        <w:tc>
          <w:tcPr>
            <w:tcW w:w="709" w:type="pct"/>
            <w:vAlign w:val="center"/>
          </w:tcPr>
          <w:p w14:paraId="1B6B7692"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2,242.98</w:t>
            </w:r>
          </w:p>
        </w:tc>
        <w:tc>
          <w:tcPr>
            <w:tcW w:w="709" w:type="pct"/>
            <w:vAlign w:val="center"/>
          </w:tcPr>
          <w:p w14:paraId="04B07D75"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2,371.26</w:t>
            </w:r>
          </w:p>
        </w:tc>
        <w:tc>
          <w:tcPr>
            <w:tcW w:w="709" w:type="pct"/>
            <w:vAlign w:val="center"/>
          </w:tcPr>
          <w:p w14:paraId="01C9B0BF"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2,479.04</w:t>
            </w:r>
          </w:p>
        </w:tc>
        <w:tc>
          <w:tcPr>
            <w:tcW w:w="710" w:type="pct"/>
            <w:vAlign w:val="center"/>
          </w:tcPr>
          <w:p w14:paraId="318E4E8D"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2,569.99</w:t>
            </w:r>
          </w:p>
        </w:tc>
      </w:tr>
      <w:tr w:rsidR="00CD798F" w:rsidRPr="00D95B42" w14:paraId="1BD961B3" w14:textId="77777777" w:rsidTr="00214723">
        <w:trPr>
          <w:cantSplit/>
          <w:trHeight w:val="454"/>
          <w:jc w:val="center"/>
        </w:trPr>
        <w:tc>
          <w:tcPr>
            <w:tcW w:w="1336" w:type="pct"/>
            <w:vAlign w:val="center"/>
          </w:tcPr>
          <w:p w14:paraId="2CAFD35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828" w:type="pct"/>
            <w:vAlign w:val="center"/>
          </w:tcPr>
          <w:p w14:paraId="704B89D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4.00%</w:t>
            </w:r>
          </w:p>
        </w:tc>
        <w:tc>
          <w:tcPr>
            <w:tcW w:w="709" w:type="pct"/>
            <w:vAlign w:val="center"/>
          </w:tcPr>
          <w:p w14:paraId="1CF40A1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4.00%</w:t>
            </w:r>
          </w:p>
        </w:tc>
        <w:tc>
          <w:tcPr>
            <w:tcW w:w="709" w:type="pct"/>
            <w:vAlign w:val="center"/>
          </w:tcPr>
          <w:p w14:paraId="59351B6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4.00%</w:t>
            </w:r>
          </w:p>
        </w:tc>
        <w:tc>
          <w:tcPr>
            <w:tcW w:w="709" w:type="pct"/>
            <w:vAlign w:val="center"/>
          </w:tcPr>
          <w:p w14:paraId="65693DF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4.00%</w:t>
            </w:r>
          </w:p>
        </w:tc>
        <w:tc>
          <w:tcPr>
            <w:tcW w:w="710" w:type="pct"/>
            <w:vAlign w:val="center"/>
          </w:tcPr>
          <w:p w14:paraId="117A4C9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4.00%</w:t>
            </w:r>
          </w:p>
        </w:tc>
      </w:tr>
      <w:tr w:rsidR="00CD798F" w:rsidRPr="00D95B42" w14:paraId="65DC826C" w14:textId="77777777" w:rsidTr="00214723">
        <w:trPr>
          <w:cantSplit/>
          <w:trHeight w:val="454"/>
          <w:jc w:val="center"/>
        </w:trPr>
        <w:tc>
          <w:tcPr>
            <w:tcW w:w="1336" w:type="pct"/>
            <w:vAlign w:val="center"/>
          </w:tcPr>
          <w:p w14:paraId="7D85DAE1"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2</w:t>
            </w:r>
            <w:r w:rsidRPr="00D95B42">
              <w:rPr>
                <w:rFonts w:ascii="Times New Roman" w:hAnsi="Times New Roman"/>
                <w:b/>
                <w:color w:val="000000"/>
              </w:rPr>
              <w:t>、办公及差旅费</w:t>
            </w:r>
          </w:p>
        </w:tc>
        <w:tc>
          <w:tcPr>
            <w:tcW w:w="828" w:type="pct"/>
            <w:vAlign w:val="center"/>
          </w:tcPr>
          <w:p w14:paraId="132AD530"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472.39</w:t>
            </w:r>
          </w:p>
        </w:tc>
        <w:tc>
          <w:tcPr>
            <w:tcW w:w="709" w:type="pct"/>
            <w:vAlign w:val="center"/>
          </w:tcPr>
          <w:p w14:paraId="6D415831"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504.67</w:t>
            </w:r>
          </w:p>
        </w:tc>
        <w:tc>
          <w:tcPr>
            <w:tcW w:w="709" w:type="pct"/>
            <w:vAlign w:val="center"/>
          </w:tcPr>
          <w:p w14:paraId="7EE1541F"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533.53</w:t>
            </w:r>
          </w:p>
        </w:tc>
        <w:tc>
          <w:tcPr>
            <w:tcW w:w="709" w:type="pct"/>
            <w:vAlign w:val="center"/>
          </w:tcPr>
          <w:p w14:paraId="2565211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557.78</w:t>
            </w:r>
          </w:p>
        </w:tc>
        <w:tc>
          <w:tcPr>
            <w:tcW w:w="710" w:type="pct"/>
            <w:vAlign w:val="center"/>
          </w:tcPr>
          <w:p w14:paraId="33B29A76"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578.25</w:t>
            </w:r>
          </w:p>
        </w:tc>
      </w:tr>
      <w:tr w:rsidR="00CD798F" w:rsidRPr="00D95B42" w14:paraId="49B2AC55" w14:textId="77777777" w:rsidTr="00214723">
        <w:trPr>
          <w:cantSplit/>
          <w:trHeight w:val="454"/>
          <w:jc w:val="center"/>
        </w:trPr>
        <w:tc>
          <w:tcPr>
            <w:tcW w:w="1336" w:type="pct"/>
            <w:vAlign w:val="center"/>
          </w:tcPr>
          <w:p w14:paraId="5784561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828" w:type="pct"/>
            <w:vAlign w:val="center"/>
          </w:tcPr>
          <w:p w14:paraId="0AE820B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0.90%</w:t>
            </w:r>
          </w:p>
        </w:tc>
        <w:tc>
          <w:tcPr>
            <w:tcW w:w="709" w:type="pct"/>
            <w:vAlign w:val="center"/>
          </w:tcPr>
          <w:p w14:paraId="063C4E0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0.90%</w:t>
            </w:r>
          </w:p>
        </w:tc>
        <w:tc>
          <w:tcPr>
            <w:tcW w:w="709" w:type="pct"/>
            <w:vAlign w:val="center"/>
          </w:tcPr>
          <w:p w14:paraId="5289F67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0.90%</w:t>
            </w:r>
          </w:p>
        </w:tc>
        <w:tc>
          <w:tcPr>
            <w:tcW w:w="709" w:type="pct"/>
            <w:vAlign w:val="center"/>
          </w:tcPr>
          <w:p w14:paraId="11C165F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0.90%</w:t>
            </w:r>
          </w:p>
        </w:tc>
        <w:tc>
          <w:tcPr>
            <w:tcW w:w="710" w:type="pct"/>
            <w:vAlign w:val="center"/>
          </w:tcPr>
          <w:p w14:paraId="437063D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0.90%</w:t>
            </w:r>
          </w:p>
        </w:tc>
      </w:tr>
      <w:tr w:rsidR="00CD798F" w:rsidRPr="00D95B42" w14:paraId="66FA1C31" w14:textId="77777777" w:rsidTr="00214723">
        <w:trPr>
          <w:cantSplit/>
          <w:trHeight w:val="454"/>
          <w:jc w:val="center"/>
        </w:trPr>
        <w:tc>
          <w:tcPr>
            <w:tcW w:w="1336" w:type="pct"/>
            <w:vAlign w:val="center"/>
          </w:tcPr>
          <w:p w14:paraId="668A1D6E"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3</w:t>
            </w:r>
            <w:r w:rsidRPr="00D95B42">
              <w:rPr>
                <w:rFonts w:ascii="Times New Roman" w:hAnsi="Times New Roman"/>
                <w:b/>
                <w:color w:val="000000"/>
              </w:rPr>
              <w:t>、服务费</w:t>
            </w:r>
          </w:p>
        </w:tc>
        <w:tc>
          <w:tcPr>
            <w:tcW w:w="828" w:type="pct"/>
            <w:vAlign w:val="center"/>
          </w:tcPr>
          <w:p w14:paraId="5B97FC05"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157.46</w:t>
            </w:r>
          </w:p>
        </w:tc>
        <w:tc>
          <w:tcPr>
            <w:tcW w:w="709" w:type="pct"/>
            <w:vAlign w:val="center"/>
          </w:tcPr>
          <w:p w14:paraId="70AC3DB4"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168.22</w:t>
            </w:r>
          </w:p>
        </w:tc>
        <w:tc>
          <w:tcPr>
            <w:tcW w:w="709" w:type="pct"/>
            <w:vAlign w:val="center"/>
          </w:tcPr>
          <w:p w14:paraId="1AC82631"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177.84</w:t>
            </w:r>
          </w:p>
        </w:tc>
        <w:tc>
          <w:tcPr>
            <w:tcW w:w="709" w:type="pct"/>
            <w:vAlign w:val="center"/>
          </w:tcPr>
          <w:p w14:paraId="0B6DECC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185.93</w:t>
            </w:r>
          </w:p>
        </w:tc>
        <w:tc>
          <w:tcPr>
            <w:tcW w:w="710" w:type="pct"/>
            <w:vAlign w:val="center"/>
          </w:tcPr>
          <w:p w14:paraId="1320A8D8"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192.75</w:t>
            </w:r>
          </w:p>
        </w:tc>
      </w:tr>
      <w:tr w:rsidR="00CD798F" w:rsidRPr="00D95B42" w14:paraId="014C4B92" w14:textId="77777777" w:rsidTr="00214723">
        <w:trPr>
          <w:cantSplit/>
          <w:trHeight w:val="454"/>
          <w:jc w:val="center"/>
        </w:trPr>
        <w:tc>
          <w:tcPr>
            <w:tcW w:w="1336" w:type="pct"/>
            <w:vAlign w:val="center"/>
          </w:tcPr>
          <w:p w14:paraId="241866B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828" w:type="pct"/>
            <w:vAlign w:val="center"/>
          </w:tcPr>
          <w:p w14:paraId="5728FE9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0.30%</w:t>
            </w:r>
          </w:p>
        </w:tc>
        <w:tc>
          <w:tcPr>
            <w:tcW w:w="709" w:type="pct"/>
            <w:vAlign w:val="center"/>
          </w:tcPr>
          <w:p w14:paraId="5ABC336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0.30%</w:t>
            </w:r>
          </w:p>
        </w:tc>
        <w:tc>
          <w:tcPr>
            <w:tcW w:w="709" w:type="pct"/>
            <w:vAlign w:val="center"/>
          </w:tcPr>
          <w:p w14:paraId="010D185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0.30%</w:t>
            </w:r>
          </w:p>
        </w:tc>
        <w:tc>
          <w:tcPr>
            <w:tcW w:w="709" w:type="pct"/>
            <w:vAlign w:val="center"/>
          </w:tcPr>
          <w:p w14:paraId="6E6B893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0.30%</w:t>
            </w:r>
          </w:p>
        </w:tc>
        <w:tc>
          <w:tcPr>
            <w:tcW w:w="710" w:type="pct"/>
            <w:vAlign w:val="center"/>
          </w:tcPr>
          <w:p w14:paraId="2E7CB58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0.30%</w:t>
            </w:r>
          </w:p>
        </w:tc>
      </w:tr>
      <w:tr w:rsidR="00CD798F" w:rsidRPr="00D95B42" w14:paraId="5DE31222" w14:textId="77777777" w:rsidTr="00214723">
        <w:trPr>
          <w:cantSplit/>
          <w:trHeight w:val="454"/>
          <w:jc w:val="center"/>
        </w:trPr>
        <w:tc>
          <w:tcPr>
            <w:tcW w:w="1336" w:type="pct"/>
            <w:vAlign w:val="center"/>
          </w:tcPr>
          <w:p w14:paraId="66FBBF82"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4</w:t>
            </w:r>
            <w:r w:rsidRPr="00D95B42">
              <w:rPr>
                <w:rFonts w:ascii="Times New Roman" w:hAnsi="Times New Roman"/>
                <w:b/>
                <w:color w:val="000000"/>
              </w:rPr>
              <w:t>、业务招待费</w:t>
            </w:r>
          </w:p>
        </w:tc>
        <w:tc>
          <w:tcPr>
            <w:tcW w:w="828" w:type="pct"/>
            <w:vAlign w:val="center"/>
          </w:tcPr>
          <w:p w14:paraId="62EEC328"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183.71</w:t>
            </w:r>
          </w:p>
        </w:tc>
        <w:tc>
          <w:tcPr>
            <w:tcW w:w="709" w:type="pct"/>
            <w:vAlign w:val="center"/>
          </w:tcPr>
          <w:p w14:paraId="7CC1AE2B"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196.26</w:t>
            </w:r>
          </w:p>
        </w:tc>
        <w:tc>
          <w:tcPr>
            <w:tcW w:w="709" w:type="pct"/>
            <w:vAlign w:val="center"/>
          </w:tcPr>
          <w:p w14:paraId="2D43A341"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207.49</w:t>
            </w:r>
          </w:p>
        </w:tc>
        <w:tc>
          <w:tcPr>
            <w:tcW w:w="709" w:type="pct"/>
            <w:vAlign w:val="center"/>
          </w:tcPr>
          <w:p w14:paraId="16DAC35E"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216.92</w:t>
            </w:r>
          </w:p>
        </w:tc>
        <w:tc>
          <w:tcPr>
            <w:tcW w:w="710" w:type="pct"/>
            <w:vAlign w:val="center"/>
          </w:tcPr>
          <w:p w14:paraId="61859CF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224.87</w:t>
            </w:r>
          </w:p>
        </w:tc>
      </w:tr>
      <w:tr w:rsidR="00CD798F" w:rsidRPr="00D95B42" w14:paraId="1714A454" w14:textId="77777777" w:rsidTr="00214723">
        <w:trPr>
          <w:cantSplit/>
          <w:trHeight w:val="454"/>
          <w:jc w:val="center"/>
        </w:trPr>
        <w:tc>
          <w:tcPr>
            <w:tcW w:w="1336" w:type="pct"/>
            <w:vAlign w:val="center"/>
          </w:tcPr>
          <w:p w14:paraId="6B3B85D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828" w:type="pct"/>
            <w:vAlign w:val="center"/>
          </w:tcPr>
          <w:p w14:paraId="658B04C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0.35%</w:t>
            </w:r>
          </w:p>
        </w:tc>
        <w:tc>
          <w:tcPr>
            <w:tcW w:w="709" w:type="pct"/>
            <w:vAlign w:val="center"/>
          </w:tcPr>
          <w:p w14:paraId="2143985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0.35%</w:t>
            </w:r>
          </w:p>
        </w:tc>
        <w:tc>
          <w:tcPr>
            <w:tcW w:w="709" w:type="pct"/>
            <w:vAlign w:val="center"/>
          </w:tcPr>
          <w:p w14:paraId="39373A9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0.35%</w:t>
            </w:r>
          </w:p>
        </w:tc>
        <w:tc>
          <w:tcPr>
            <w:tcW w:w="709" w:type="pct"/>
            <w:vAlign w:val="center"/>
          </w:tcPr>
          <w:p w14:paraId="16CF5A3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0.35%</w:t>
            </w:r>
          </w:p>
        </w:tc>
        <w:tc>
          <w:tcPr>
            <w:tcW w:w="710" w:type="pct"/>
            <w:vAlign w:val="center"/>
          </w:tcPr>
          <w:p w14:paraId="2BC3F18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0.35%</w:t>
            </w:r>
          </w:p>
        </w:tc>
      </w:tr>
      <w:tr w:rsidR="00CD798F" w:rsidRPr="00D95B42" w14:paraId="577B1EE8" w14:textId="77777777" w:rsidTr="00214723">
        <w:trPr>
          <w:cantSplit/>
          <w:trHeight w:val="454"/>
          <w:jc w:val="center"/>
        </w:trPr>
        <w:tc>
          <w:tcPr>
            <w:tcW w:w="1336" w:type="pct"/>
            <w:vAlign w:val="center"/>
          </w:tcPr>
          <w:p w14:paraId="0DF0E26A"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上述费用合计</w:t>
            </w:r>
          </w:p>
        </w:tc>
        <w:tc>
          <w:tcPr>
            <w:tcW w:w="828" w:type="pct"/>
            <w:vAlign w:val="center"/>
          </w:tcPr>
          <w:p w14:paraId="6D2AC350"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2,913.06 </w:t>
            </w:r>
          </w:p>
        </w:tc>
        <w:tc>
          <w:tcPr>
            <w:tcW w:w="709" w:type="pct"/>
            <w:vAlign w:val="center"/>
          </w:tcPr>
          <w:p w14:paraId="1C93C6DB"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3,112.13 </w:t>
            </w:r>
          </w:p>
        </w:tc>
        <w:tc>
          <w:tcPr>
            <w:tcW w:w="709" w:type="pct"/>
            <w:vAlign w:val="center"/>
          </w:tcPr>
          <w:p w14:paraId="6C407D86"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3,290.12 </w:t>
            </w:r>
          </w:p>
        </w:tc>
        <w:tc>
          <w:tcPr>
            <w:tcW w:w="709" w:type="pct"/>
            <w:vAlign w:val="center"/>
          </w:tcPr>
          <w:p w14:paraId="011C5FD7"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3,439.67 </w:t>
            </w:r>
          </w:p>
        </w:tc>
        <w:tc>
          <w:tcPr>
            <w:tcW w:w="710" w:type="pct"/>
            <w:vAlign w:val="center"/>
          </w:tcPr>
          <w:p w14:paraId="38956CC9"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3,565.86 </w:t>
            </w:r>
          </w:p>
        </w:tc>
      </w:tr>
      <w:tr w:rsidR="00CD798F" w:rsidRPr="00D95B42" w14:paraId="1B42510D" w14:textId="77777777" w:rsidTr="00214723">
        <w:trPr>
          <w:cantSplit/>
          <w:trHeight w:val="454"/>
          <w:jc w:val="center"/>
        </w:trPr>
        <w:tc>
          <w:tcPr>
            <w:tcW w:w="1336" w:type="pct"/>
            <w:vAlign w:val="center"/>
          </w:tcPr>
          <w:p w14:paraId="295D7EF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828" w:type="pct"/>
            <w:vAlign w:val="center"/>
          </w:tcPr>
          <w:p w14:paraId="02DC13D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5.55%</w:t>
            </w:r>
          </w:p>
        </w:tc>
        <w:tc>
          <w:tcPr>
            <w:tcW w:w="709" w:type="pct"/>
            <w:vAlign w:val="center"/>
          </w:tcPr>
          <w:p w14:paraId="4FF2A1C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5.55%</w:t>
            </w:r>
          </w:p>
        </w:tc>
        <w:tc>
          <w:tcPr>
            <w:tcW w:w="709" w:type="pct"/>
            <w:vAlign w:val="center"/>
          </w:tcPr>
          <w:p w14:paraId="2A346A3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5.55%</w:t>
            </w:r>
          </w:p>
        </w:tc>
        <w:tc>
          <w:tcPr>
            <w:tcW w:w="709" w:type="pct"/>
            <w:vAlign w:val="center"/>
          </w:tcPr>
          <w:p w14:paraId="37DBAF8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5.55%</w:t>
            </w:r>
          </w:p>
        </w:tc>
        <w:tc>
          <w:tcPr>
            <w:tcW w:w="710" w:type="pct"/>
            <w:vAlign w:val="center"/>
          </w:tcPr>
          <w:p w14:paraId="01EA797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5.55%</w:t>
            </w:r>
          </w:p>
        </w:tc>
      </w:tr>
    </w:tbl>
    <w:p w14:paraId="5A2C2781" w14:textId="77777777" w:rsidR="00CD798F" w:rsidRDefault="00CD798F" w:rsidP="00CD798F">
      <w:pPr>
        <w:pStyle w:val="004"/>
        <w:spacing w:before="120" w:after="120"/>
        <w:ind w:firstLine="482"/>
        <w:outlineLvl w:val="4"/>
      </w:pPr>
      <w:r>
        <w:rPr>
          <w:rFonts w:hint="eastAsia"/>
        </w:rPr>
        <w:t>（</w:t>
      </w:r>
      <w:r>
        <w:rPr>
          <w:rFonts w:hint="eastAsia"/>
        </w:rPr>
        <w:t>3</w:t>
      </w:r>
      <w:r>
        <w:rPr>
          <w:rFonts w:hint="eastAsia"/>
        </w:rPr>
        <w:t>）折旧摊销</w:t>
      </w:r>
    </w:p>
    <w:p w14:paraId="6AF47127" w14:textId="77777777" w:rsidR="00CD798F" w:rsidRDefault="00CD798F" w:rsidP="00CD798F">
      <w:pPr>
        <w:pStyle w:val="005"/>
        <w:spacing w:before="120" w:after="120"/>
        <w:ind w:firstLine="480"/>
      </w:pPr>
      <w:r w:rsidRPr="00463242">
        <w:rPr>
          <w:rFonts w:hint="eastAsia"/>
        </w:rPr>
        <w:t>标的公司</w:t>
      </w:r>
      <w:r>
        <w:rPr>
          <w:rFonts w:hint="eastAsia"/>
        </w:rPr>
        <w:t>销售费用中</w:t>
      </w:r>
      <w:r w:rsidRPr="00463242">
        <w:rPr>
          <w:rFonts w:hint="eastAsia"/>
        </w:rPr>
        <w:t>摊销及折旧主要包括销售人员使用的固定资产的折旧</w:t>
      </w:r>
      <w:r>
        <w:rPr>
          <w:rFonts w:hint="eastAsia"/>
        </w:rPr>
        <w:t>、</w:t>
      </w:r>
      <w:r w:rsidRPr="00463242">
        <w:rPr>
          <w:rFonts w:hint="eastAsia"/>
        </w:rPr>
        <w:t>使用权资产折旧以及无形资产摊销。报告期各期，标的公司摊销及折旧分别为</w:t>
      </w:r>
      <w:r w:rsidRPr="00463242">
        <w:rPr>
          <w:rFonts w:hint="eastAsia"/>
        </w:rPr>
        <w:t>815.05</w:t>
      </w:r>
      <w:r w:rsidRPr="00463242">
        <w:rPr>
          <w:rFonts w:hint="eastAsia"/>
        </w:rPr>
        <w:t>万元、</w:t>
      </w:r>
      <w:r w:rsidRPr="00463242">
        <w:rPr>
          <w:rFonts w:hint="eastAsia"/>
        </w:rPr>
        <w:t>547.40</w:t>
      </w:r>
      <w:r w:rsidRPr="00463242">
        <w:rPr>
          <w:rFonts w:hint="eastAsia"/>
        </w:rPr>
        <w:t>万元和</w:t>
      </w:r>
      <w:r w:rsidRPr="00463242">
        <w:rPr>
          <w:rFonts w:hint="eastAsia"/>
        </w:rPr>
        <w:t>259.73</w:t>
      </w:r>
      <w:r w:rsidRPr="00463242">
        <w:rPr>
          <w:rFonts w:hint="eastAsia"/>
        </w:rPr>
        <w:t>万元。本次评估对未来计入销售费用折旧</w:t>
      </w:r>
      <w:r>
        <w:rPr>
          <w:rFonts w:hint="eastAsia"/>
        </w:rPr>
        <w:t>摊销</w:t>
      </w:r>
      <w:r w:rsidRPr="00463242">
        <w:rPr>
          <w:rFonts w:hint="eastAsia"/>
        </w:rPr>
        <w:t>的</w:t>
      </w:r>
      <w:r>
        <w:rPr>
          <w:rFonts w:hint="eastAsia"/>
        </w:rPr>
        <w:t>长期资产</w:t>
      </w:r>
      <w:r w:rsidRPr="00463242">
        <w:rPr>
          <w:rFonts w:hint="eastAsia"/>
        </w:rPr>
        <w:t>按照未来各年的预计</w:t>
      </w:r>
      <w:r>
        <w:rPr>
          <w:rFonts w:hint="eastAsia"/>
        </w:rPr>
        <w:t>规模</w:t>
      </w:r>
      <w:r w:rsidRPr="00463242">
        <w:rPr>
          <w:rFonts w:hint="eastAsia"/>
        </w:rPr>
        <w:t>以及折旧和摊销年限进行预测。对于使用权资产折旧于本次预测期</w:t>
      </w:r>
      <w:r w:rsidRPr="00463242">
        <w:rPr>
          <w:rFonts w:hint="eastAsia"/>
        </w:rPr>
        <w:lastRenderedPageBreak/>
        <w:t>内全部调整为租金，合并进房租物业费进行测算，故预测期内（</w:t>
      </w:r>
      <w:r w:rsidRPr="00463242">
        <w:rPr>
          <w:rFonts w:hint="eastAsia"/>
        </w:rPr>
        <w:t>2025</w:t>
      </w:r>
      <w:r w:rsidRPr="00463242">
        <w:rPr>
          <w:rFonts w:hint="eastAsia"/>
        </w:rPr>
        <w:t>年</w:t>
      </w:r>
      <w:r w:rsidRPr="00463242">
        <w:rPr>
          <w:rFonts w:hint="eastAsia"/>
        </w:rPr>
        <w:t>7-12</w:t>
      </w:r>
      <w:r w:rsidRPr="00463242">
        <w:rPr>
          <w:rFonts w:hint="eastAsia"/>
        </w:rPr>
        <w:t>月及以后完整年度）均不再考虑使用权资产折旧的测算。</w:t>
      </w:r>
      <w:r>
        <w:rPr>
          <w:rFonts w:hint="eastAsia"/>
        </w:rPr>
        <w:t>具体情况如下：</w:t>
      </w:r>
    </w:p>
    <w:p w14:paraId="3EA5D795" w14:textId="77777777" w:rsidR="00CD798F" w:rsidRPr="00807CA9"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18"/>
        <w:gridCol w:w="1683"/>
        <w:gridCol w:w="1365"/>
        <w:gridCol w:w="1365"/>
        <w:gridCol w:w="1365"/>
        <w:gridCol w:w="1365"/>
      </w:tblGrid>
      <w:tr w:rsidR="00CD798F" w:rsidRPr="00D95B42" w14:paraId="3B56B330" w14:textId="77777777" w:rsidTr="00214723">
        <w:trPr>
          <w:cantSplit/>
          <w:trHeight w:val="454"/>
          <w:tblHeader/>
          <w:jc w:val="center"/>
        </w:trPr>
        <w:tc>
          <w:tcPr>
            <w:tcW w:w="1059" w:type="pct"/>
            <w:vMerge w:val="restart"/>
            <w:vAlign w:val="center"/>
          </w:tcPr>
          <w:p w14:paraId="7B4C570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941" w:type="pct"/>
            <w:gridSpan w:val="5"/>
            <w:vAlign w:val="center"/>
          </w:tcPr>
          <w:p w14:paraId="3AB48B7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2DE2B8FF" w14:textId="77777777" w:rsidTr="00214723">
        <w:trPr>
          <w:cantSplit/>
          <w:trHeight w:val="454"/>
          <w:tblHeader/>
          <w:jc w:val="center"/>
        </w:trPr>
        <w:tc>
          <w:tcPr>
            <w:tcW w:w="1059" w:type="pct"/>
            <w:vMerge/>
            <w:vAlign w:val="center"/>
          </w:tcPr>
          <w:p w14:paraId="08250E4F" w14:textId="77777777" w:rsidR="00CD798F" w:rsidRPr="00D95B42" w:rsidRDefault="00CD798F" w:rsidP="00214723">
            <w:pPr>
              <w:keepNext/>
              <w:jc w:val="center"/>
              <w:rPr>
                <w:rFonts w:ascii="Times New Roman" w:hAnsi="Times New Roman"/>
                <w:b/>
                <w:color w:val="000000"/>
              </w:rPr>
            </w:pPr>
          </w:p>
        </w:tc>
        <w:tc>
          <w:tcPr>
            <w:tcW w:w="929" w:type="pct"/>
            <w:vAlign w:val="center"/>
          </w:tcPr>
          <w:p w14:paraId="10A2A65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753" w:type="pct"/>
            <w:vAlign w:val="center"/>
          </w:tcPr>
          <w:p w14:paraId="4AD3656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753" w:type="pct"/>
            <w:vAlign w:val="center"/>
          </w:tcPr>
          <w:p w14:paraId="2AE6743E"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753" w:type="pct"/>
            <w:vAlign w:val="center"/>
          </w:tcPr>
          <w:p w14:paraId="6606351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753" w:type="pct"/>
            <w:vAlign w:val="center"/>
          </w:tcPr>
          <w:p w14:paraId="17302AB2"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5E7F4AA4" w14:textId="77777777" w:rsidTr="00214723">
        <w:trPr>
          <w:cantSplit/>
          <w:trHeight w:val="454"/>
          <w:jc w:val="center"/>
        </w:trPr>
        <w:tc>
          <w:tcPr>
            <w:tcW w:w="1059" w:type="pct"/>
            <w:vAlign w:val="center"/>
          </w:tcPr>
          <w:p w14:paraId="6DDFC94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折旧和摊销</w:t>
            </w:r>
          </w:p>
        </w:tc>
        <w:tc>
          <w:tcPr>
            <w:tcW w:w="929" w:type="pct"/>
            <w:vAlign w:val="center"/>
          </w:tcPr>
          <w:p w14:paraId="3D3A97C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401.76</w:t>
            </w:r>
          </w:p>
        </w:tc>
        <w:tc>
          <w:tcPr>
            <w:tcW w:w="753" w:type="pct"/>
            <w:vAlign w:val="center"/>
          </w:tcPr>
          <w:p w14:paraId="0BDE144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293.55</w:t>
            </w:r>
          </w:p>
        </w:tc>
        <w:tc>
          <w:tcPr>
            <w:tcW w:w="753" w:type="pct"/>
            <w:vAlign w:val="center"/>
          </w:tcPr>
          <w:p w14:paraId="61BD815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303.05</w:t>
            </w:r>
          </w:p>
        </w:tc>
        <w:tc>
          <w:tcPr>
            <w:tcW w:w="753" w:type="pct"/>
            <w:vAlign w:val="center"/>
          </w:tcPr>
          <w:p w14:paraId="3E190A9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303.05</w:t>
            </w:r>
          </w:p>
        </w:tc>
        <w:tc>
          <w:tcPr>
            <w:tcW w:w="753" w:type="pct"/>
            <w:vAlign w:val="center"/>
          </w:tcPr>
          <w:p w14:paraId="61B7AD4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303.05</w:t>
            </w:r>
          </w:p>
        </w:tc>
      </w:tr>
    </w:tbl>
    <w:p w14:paraId="545F6B37" w14:textId="77777777" w:rsidR="00CD798F" w:rsidRDefault="00CD798F" w:rsidP="00CD798F">
      <w:pPr>
        <w:pStyle w:val="004"/>
        <w:spacing w:before="120" w:after="120"/>
        <w:ind w:firstLine="482"/>
        <w:outlineLvl w:val="4"/>
      </w:pPr>
      <w:r>
        <w:rPr>
          <w:rFonts w:hint="eastAsia"/>
        </w:rPr>
        <w:t>（</w:t>
      </w:r>
      <w:r>
        <w:rPr>
          <w:rFonts w:hint="eastAsia"/>
        </w:rPr>
        <w:t>4</w:t>
      </w:r>
      <w:r>
        <w:rPr>
          <w:rFonts w:hint="eastAsia"/>
        </w:rPr>
        <w:t>）</w:t>
      </w:r>
      <w:r w:rsidRPr="00315721">
        <w:rPr>
          <w:rFonts w:hint="eastAsia"/>
        </w:rPr>
        <w:t>租金及物业费</w:t>
      </w:r>
    </w:p>
    <w:p w14:paraId="6BA0FD90" w14:textId="77777777" w:rsidR="00CD798F" w:rsidRDefault="00CD798F" w:rsidP="00CD798F">
      <w:pPr>
        <w:pStyle w:val="005"/>
        <w:spacing w:before="120" w:after="120"/>
        <w:ind w:firstLine="480"/>
      </w:pPr>
      <w:r w:rsidRPr="00315721">
        <w:rPr>
          <w:rFonts w:hint="eastAsia"/>
        </w:rPr>
        <w:t>租金及物业费系租赁办公经营场所的租金和物业费，根据现有租赁合同及未来新增租赁计划进行预测。租期内租金按合同约定租金测算，租期到期后续约租金按照一定增长率进行预测。经了解，目前公司租赁的办公经营场所已基本能满足未来发展需要，故未来不考虑新增租赁，维持现有租赁规模。</w:t>
      </w:r>
    </w:p>
    <w:p w14:paraId="1A2C5C53" w14:textId="77777777" w:rsidR="00CD798F" w:rsidRPr="00807CA9"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63"/>
        <w:gridCol w:w="1628"/>
        <w:gridCol w:w="1317"/>
        <w:gridCol w:w="1317"/>
        <w:gridCol w:w="1317"/>
        <w:gridCol w:w="1319"/>
      </w:tblGrid>
      <w:tr w:rsidR="00CD798F" w:rsidRPr="00D95B42" w14:paraId="09D8055B" w14:textId="77777777" w:rsidTr="00214723">
        <w:trPr>
          <w:cantSplit/>
          <w:trHeight w:val="454"/>
          <w:tblHeader/>
          <w:jc w:val="center"/>
        </w:trPr>
        <w:tc>
          <w:tcPr>
            <w:tcW w:w="1193" w:type="pct"/>
            <w:vMerge w:val="restart"/>
            <w:vAlign w:val="center"/>
          </w:tcPr>
          <w:p w14:paraId="32DE9BE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807" w:type="pct"/>
            <w:gridSpan w:val="5"/>
            <w:vAlign w:val="center"/>
          </w:tcPr>
          <w:p w14:paraId="21104FF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608C0C41" w14:textId="77777777" w:rsidTr="00214723">
        <w:trPr>
          <w:cantSplit/>
          <w:trHeight w:val="454"/>
          <w:tblHeader/>
          <w:jc w:val="center"/>
        </w:trPr>
        <w:tc>
          <w:tcPr>
            <w:tcW w:w="1193" w:type="pct"/>
            <w:vMerge/>
            <w:vAlign w:val="center"/>
          </w:tcPr>
          <w:p w14:paraId="3F523300" w14:textId="77777777" w:rsidR="00CD798F" w:rsidRPr="00D95B42" w:rsidRDefault="00CD798F" w:rsidP="00214723">
            <w:pPr>
              <w:keepNext/>
              <w:jc w:val="center"/>
              <w:rPr>
                <w:rFonts w:ascii="Times New Roman" w:hAnsi="Times New Roman"/>
                <w:b/>
                <w:color w:val="000000"/>
              </w:rPr>
            </w:pPr>
          </w:p>
        </w:tc>
        <w:tc>
          <w:tcPr>
            <w:tcW w:w="898" w:type="pct"/>
            <w:vAlign w:val="center"/>
          </w:tcPr>
          <w:p w14:paraId="4F7B50A7"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727" w:type="pct"/>
            <w:vAlign w:val="center"/>
          </w:tcPr>
          <w:p w14:paraId="48D205B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727" w:type="pct"/>
            <w:vAlign w:val="center"/>
          </w:tcPr>
          <w:p w14:paraId="3C31F84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727" w:type="pct"/>
            <w:vAlign w:val="center"/>
          </w:tcPr>
          <w:p w14:paraId="640F6C0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727" w:type="pct"/>
            <w:vAlign w:val="center"/>
          </w:tcPr>
          <w:p w14:paraId="3EAF278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2E441122" w14:textId="77777777" w:rsidTr="00214723">
        <w:trPr>
          <w:cantSplit/>
          <w:trHeight w:val="454"/>
          <w:jc w:val="center"/>
        </w:trPr>
        <w:tc>
          <w:tcPr>
            <w:tcW w:w="1193" w:type="pct"/>
            <w:vAlign w:val="center"/>
          </w:tcPr>
          <w:p w14:paraId="77BF0BE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租金及物业费</w:t>
            </w:r>
          </w:p>
        </w:tc>
        <w:tc>
          <w:tcPr>
            <w:tcW w:w="898" w:type="pct"/>
            <w:vAlign w:val="center"/>
          </w:tcPr>
          <w:p w14:paraId="773790A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172.32</w:t>
            </w:r>
          </w:p>
        </w:tc>
        <w:tc>
          <w:tcPr>
            <w:tcW w:w="727" w:type="pct"/>
            <w:vAlign w:val="center"/>
          </w:tcPr>
          <w:p w14:paraId="29B52F4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243.98</w:t>
            </w:r>
          </w:p>
        </w:tc>
        <w:tc>
          <w:tcPr>
            <w:tcW w:w="727" w:type="pct"/>
            <w:vAlign w:val="center"/>
          </w:tcPr>
          <w:p w14:paraId="26E4BF0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254.99</w:t>
            </w:r>
          </w:p>
        </w:tc>
        <w:tc>
          <w:tcPr>
            <w:tcW w:w="727" w:type="pct"/>
            <w:vAlign w:val="center"/>
          </w:tcPr>
          <w:p w14:paraId="3081DE9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261.59</w:t>
            </w:r>
          </w:p>
        </w:tc>
        <w:tc>
          <w:tcPr>
            <w:tcW w:w="727" w:type="pct"/>
            <w:vAlign w:val="center"/>
          </w:tcPr>
          <w:p w14:paraId="014424C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268.39</w:t>
            </w:r>
          </w:p>
        </w:tc>
      </w:tr>
      <w:tr w:rsidR="00CD798F" w:rsidRPr="00D95B42" w14:paraId="30F1E650" w14:textId="77777777" w:rsidTr="00214723">
        <w:trPr>
          <w:cantSplit/>
          <w:trHeight w:val="454"/>
          <w:jc w:val="center"/>
        </w:trPr>
        <w:tc>
          <w:tcPr>
            <w:tcW w:w="1193" w:type="pct"/>
            <w:vAlign w:val="center"/>
          </w:tcPr>
          <w:p w14:paraId="0451FE3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年增长率</w:t>
            </w:r>
          </w:p>
        </w:tc>
        <w:tc>
          <w:tcPr>
            <w:tcW w:w="898" w:type="pct"/>
            <w:vAlign w:val="center"/>
          </w:tcPr>
          <w:p w14:paraId="5892B0E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0E98739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0997C49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1E5DD96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116A2AA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bl>
    <w:p w14:paraId="4B1D48A7" w14:textId="77777777" w:rsidR="00CD798F" w:rsidRDefault="00CD798F" w:rsidP="00CD798F">
      <w:pPr>
        <w:pStyle w:val="003"/>
        <w:spacing w:before="120" w:after="120"/>
        <w:ind w:firstLine="482"/>
      </w:pPr>
      <w:r>
        <w:t>（</w:t>
      </w:r>
      <w:r>
        <w:rPr>
          <w:rFonts w:hint="eastAsia"/>
        </w:rPr>
        <w:t>二</w:t>
      </w:r>
      <w:r>
        <w:t>）</w:t>
      </w:r>
      <w:r>
        <w:rPr>
          <w:rFonts w:hint="eastAsia"/>
        </w:rPr>
        <w:t>管理费用</w:t>
      </w:r>
      <w:r w:rsidRPr="00D12BC3">
        <w:rPr>
          <w:rFonts w:hint="eastAsia"/>
        </w:rPr>
        <w:t>主要明细项目的具体预测情况、过程及依据</w:t>
      </w:r>
    </w:p>
    <w:p w14:paraId="3D791459" w14:textId="77777777" w:rsidR="00CD798F" w:rsidRDefault="00CD798F" w:rsidP="00CD798F">
      <w:pPr>
        <w:pStyle w:val="004"/>
        <w:spacing w:before="120" w:after="120"/>
        <w:ind w:firstLine="482"/>
      </w:pPr>
      <w:r>
        <w:t>1</w:t>
      </w:r>
      <w:r>
        <w:t>、</w:t>
      </w:r>
      <w:r>
        <w:rPr>
          <w:rFonts w:hint="eastAsia"/>
        </w:rPr>
        <w:t>管理</w:t>
      </w:r>
      <w:r w:rsidRPr="00842842">
        <w:rPr>
          <w:rFonts w:hint="eastAsia"/>
        </w:rPr>
        <w:t>费用主要明细项目</w:t>
      </w:r>
    </w:p>
    <w:p w14:paraId="690E6076" w14:textId="77777777" w:rsidR="00CD798F" w:rsidRDefault="00CD798F" w:rsidP="00CD798F">
      <w:pPr>
        <w:pStyle w:val="005"/>
        <w:spacing w:before="120" w:after="120"/>
        <w:ind w:firstLine="480"/>
      </w:pPr>
      <w:r>
        <w:rPr>
          <w:rFonts w:hint="eastAsia"/>
        </w:rPr>
        <w:t>管理费用</w:t>
      </w:r>
      <w:r w:rsidRPr="009C5A79">
        <w:rPr>
          <w:rFonts w:hint="eastAsia"/>
        </w:rPr>
        <w:t>主要由职工薪酬及福利</w:t>
      </w:r>
      <w:r w:rsidRPr="003347DA">
        <w:rPr>
          <w:rFonts w:hint="eastAsia"/>
        </w:rPr>
        <w:t>费</w:t>
      </w:r>
      <w:r w:rsidRPr="009C5A79">
        <w:rPr>
          <w:rFonts w:hint="eastAsia"/>
        </w:rPr>
        <w:t>、折旧摊销费用等构成。报告期各期，标的公司管理费用分别为</w:t>
      </w:r>
      <w:r w:rsidRPr="009C5A79">
        <w:rPr>
          <w:rFonts w:hint="eastAsia"/>
        </w:rPr>
        <w:t>5,480.91</w:t>
      </w:r>
      <w:r w:rsidRPr="009C5A79">
        <w:rPr>
          <w:rFonts w:hint="eastAsia"/>
        </w:rPr>
        <w:t>万元、</w:t>
      </w:r>
      <w:r w:rsidRPr="009C5A79">
        <w:rPr>
          <w:rFonts w:hint="eastAsia"/>
        </w:rPr>
        <w:t>5,380.82</w:t>
      </w:r>
      <w:r w:rsidRPr="009C5A79">
        <w:rPr>
          <w:rFonts w:hint="eastAsia"/>
        </w:rPr>
        <w:t>万元和</w:t>
      </w:r>
      <w:r w:rsidRPr="009C5A79">
        <w:rPr>
          <w:rFonts w:hint="eastAsia"/>
        </w:rPr>
        <w:t>2,698.73</w:t>
      </w:r>
      <w:r w:rsidRPr="009C5A79">
        <w:rPr>
          <w:rFonts w:hint="eastAsia"/>
        </w:rPr>
        <w:t>万元。</w:t>
      </w:r>
      <w:r>
        <w:rPr>
          <w:rFonts w:hint="eastAsia"/>
        </w:rPr>
        <w:t>具体情况如下：</w:t>
      </w:r>
    </w:p>
    <w:p w14:paraId="67978FAB" w14:textId="77777777" w:rsidR="00CD798F" w:rsidRPr="00292343"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73"/>
        <w:gridCol w:w="1115"/>
        <w:gridCol w:w="1113"/>
        <w:gridCol w:w="1115"/>
        <w:gridCol w:w="1115"/>
        <w:gridCol w:w="1115"/>
        <w:gridCol w:w="1115"/>
      </w:tblGrid>
      <w:tr w:rsidR="00CD798F" w:rsidRPr="00D95B42" w14:paraId="252AB7EC" w14:textId="77777777" w:rsidTr="00214723">
        <w:trPr>
          <w:trHeight w:val="397"/>
          <w:tblHeader/>
          <w:jc w:val="center"/>
        </w:trPr>
        <w:tc>
          <w:tcPr>
            <w:tcW w:w="1310" w:type="pct"/>
            <w:vMerge w:val="restart"/>
            <w:tcMar>
              <w:top w:w="0" w:type="dxa"/>
              <w:left w:w="108" w:type="dxa"/>
              <w:bottom w:w="0" w:type="dxa"/>
              <w:right w:w="108" w:type="dxa"/>
            </w:tcMar>
            <w:vAlign w:val="center"/>
          </w:tcPr>
          <w:p w14:paraId="3C6F762D" w14:textId="77777777" w:rsidR="00CD798F" w:rsidRPr="00D95B42" w:rsidRDefault="00CD798F" w:rsidP="00214723">
            <w:pPr>
              <w:keepNext/>
              <w:keepLines/>
              <w:jc w:val="center"/>
              <w:rPr>
                <w:rFonts w:ascii="Times New Roman" w:hAnsi="Times New Roman"/>
                <w:b/>
                <w:bCs/>
                <w:szCs w:val="21"/>
              </w:rPr>
            </w:pPr>
            <w:r w:rsidRPr="00D95B42">
              <w:rPr>
                <w:rFonts w:ascii="Times New Roman" w:hAnsi="Times New Roman"/>
                <w:b/>
                <w:bCs/>
                <w:szCs w:val="21"/>
              </w:rPr>
              <w:t>项目</w:t>
            </w:r>
          </w:p>
        </w:tc>
        <w:tc>
          <w:tcPr>
            <w:tcW w:w="1230" w:type="pct"/>
            <w:gridSpan w:val="2"/>
            <w:tcMar>
              <w:top w:w="0" w:type="dxa"/>
              <w:left w:w="108" w:type="dxa"/>
              <w:bottom w:w="0" w:type="dxa"/>
              <w:right w:w="108" w:type="dxa"/>
            </w:tcMar>
            <w:vAlign w:val="center"/>
          </w:tcPr>
          <w:p w14:paraId="1B157B22" w14:textId="77777777" w:rsidR="00CD798F" w:rsidRPr="00D95B42" w:rsidRDefault="00CD798F" w:rsidP="00214723">
            <w:pPr>
              <w:keepNext/>
              <w:keepLines/>
              <w:jc w:val="center"/>
              <w:rPr>
                <w:rFonts w:ascii="Times New Roman" w:hAnsi="Times New Roman"/>
                <w:b/>
                <w:bCs/>
                <w:szCs w:val="21"/>
              </w:rPr>
            </w:pPr>
            <w:r w:rsidRPr="00D95B42">
              <w:rPr>
                <w:rFonts w:ascii="Times New Roman" w:hAnsi="Times New Roman"/>
                <w:b/>
                <w:bCs/>
                <w:szCs w:val="21"/>
              </w:rPr>
              <w:t>2025</w:t>
            </w:r>
            <w:r w:rsidRPr="00D95B42">
              <w:rPr>
                <w:rFonts w:ascii="Times New Roman" w:hAnsi="Times New Roman"/>
                <w:b/>
                <w:bCs/>
                <w:szCs w:val="21"/>
              </w:rPr>
              <w:t>年</w:t>
            </w:r>
            <w:r w:rsidRPr="00D95B42">
              <w:rPr>
                <w:rFonts w:ascii="Times New Roman" w:hAnsi="Times New Roman"/>
                <w:b/>
                <w:bCs/>
                <w:szCs w:val="21"/>
              </w:rPr>
              <w:t>1-6</w:t>
            </w:r>
            <w:r w:rsidRPr="00D95B42">
              <w:rPr>
                <w:rFonts w:ascii="Times New Roman" w:hAnsi="Times New Roman"/>
                <w:b/>
                <w:bCs/>
                <w:szCs w:val="21"/>
              </w:rPr>
              <w:t>月</w:t>
            </w:r>
          </w:p>
        </w:tc>
        <w:tc>
          <w:tcPr>
            <w:tcW w:w="1230" w:type="pct"/>
            <w:gridSpan w:val="2"/>
            <w:tcMar>
              <w:top w:w="0" w:type="dxa"/>
              <w:left w:w="108" w:type="dxa"/>
              <w:bottom w:w="0" w:type="dxa"/>
              <w:right w:w="108" w:type="dxa"/>
            </w:tcMar>
            <w:vAlign w:val="center"/>
          </w:tcPr>
          <w:p w14:paraId="22219893" w14:textId="77777777" w:rsidR="00CD798F" w:rsidRPr="00D95B42" w:rsidRDefault="00CD798F" w:rsidP="00214723">
            <w:pPr>
              <w:keepNext/>
              <w:keepLines/>
              <w:jc w:val="center"/>
              <w:rPr>
                <w:rFonts w:ascii="Times New Roman" w:hAnsi="Times New Roman"/>
                <w:b/>
                <w:bCs/>
                <w:szCs w:val="21"/>
              </w:rPr>
            </w:pPr>
            <w:r w:rsidRPr="00D95B42">
              <w:rPr>
                <w:rFonts w:ascii="Times New Roman" w:hAnsi="Times New Roman"/>
                <w:b/>
                <w:bCs/>
                <w:szCs w:val="21"/>
              </w:rPr>
              <w:t>2024</w:t>
            </w:r>
            <w:r w:rsidRPr="00D95B42">
              <w:rPr>
                <w:rFonts w:ascii="Times New Roman" w:hAnsi="Times New Roman"/>
                <w:b/>
                <w:bCs/>
                <w:szCs w:val="21"/>
              </w:rPr>
              <w:t>年度</w:t>
            </w:r>
          </w:p>
        </w:tc>
        <w:tc>
          <w:tcPr>
            <w:tcW w:w="1230" w:type="pct"/>
            <w:gridSpan w:val="2"/>
            <w:tcMar>
              <w:top w:w="0" w:type="dxa"/>
              <w:left w:w="108" w:type="dxa"/>
              <w:bottom w:w="0" w:type="dxa"/>
              <w:right w:w="108" w:type="dxa"/>
            </w:tcMar>
            <w:vAlign w:val="center"/>
          </w:tcPr>
          <w:p w14:paraId="7DE71557" w14:textId="77777777" w:rsidR="00CD798F" w:rsidRPr="00D95B42" w:rsidRDefault="00CD798F" w:rsidP="00214723">
            <w:pPr>
              <w:keepNext/>
              <w:keepLines/>
              <w:jc w:val="center"/>
              <w:rPr>
                <w:rFonts w:ascii="Times New Roman" w:hAnsi="Times New Roman"/>
                <w:b/>
                <w:bCs/>
                <w:szCs w:val="21"/>
              </w:rPr>
            </w:pPr>
            <w:r w:rsidRPr="00D95B42">
              <w:rPr>
                <w:rFonts w:ascii="Times New Roman" w:hAnsi="Times New Roman"/>
                <w:b/>
                <w:bCs/>
                <w:szCs w:val="21"/>
              </w:rPr>
              <w:t>2023</w:t>
            </w:r>
            <w:r w:rsidRPr="00D95B42">
              <w:rPr>
                <w:rFonts w:ascii="Times New Roman" w:hAnsi="Times New Roman"/>
                <w:b/>
                <w:bCs/>
                <w:szCs w:val="21"/>
              </w:rPr>
              <w:t>年度</w:t>
            </w:r>
          </w:p>
        </w:tc>
      </w:tr>
      <w:tr w:rsidR="00CD798F" w:rsidRPr="00D95B42" w14:paraId="15FB6F4C" w14:textId="77777777" w:rsidTr="00214723">
        <w:trPr>
          <w:trHeight w:val="397"/>
          <w:tblHeader/>
          <w:jc w:val="center"/>
        </w:trPr>
        <w:tc>
          <w:tcPr>
            <w:tcW w:w="0" w:type="auto"/>
            <w:vMerge/>
            <w:tcMar>
              <w:top w:w="0" w:type="dxa"/>
              <w:left w:w="108" w:type="dxa"/>
              <w:bottom w:w="0" w:type="dxa"/>
              <w:right w:w="108" w:type="dxa"/>
            </w:tcMar>
            <w:vAlign w:val="center"/>
          </w:tcPr>
          <w:p w14:paraId="72DEA263" w14:textId="77777777" w:rsidR="00CD798F" w:rsidRPr="00D95B42" w:rsidRDefault="00CD798F" w:rsidP="00214723">
            <w:pPr>
              <w:rPr>
                <w:rFonts w:ascii="Times New Roman" w:hAnsi="Times New Roman"/>
                <w:b/>
                <w:bCs/>
                <w:szCs w:val="21"/>
              </w:rPr>
            </w:pPr>
          </w:p>
        </w:tc>
        <w:tc>
          <w:tcPr>
            <w:tcW w:w="616" w:type="pct"/>
            <w:tcMar>
              <w:top w:w="0" w:type="dxa"/>
              <w:left w:w="108" w:type="dxa"/>
              <w:bottom w:w="0" w:type="dxa"/>
              <w:right w:w="108" w:type="dxa"/>
            </w:tcMar>
            <w:vAlign w:val="center"/>
          </w:tcPr>
          <w:p w14:paraId="62089F02"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614" w:type="pct"/>
            <w:tcMar>
              <w:top w:w="0" w:type="dxa"/>
              <w:left w:w="108" w:type="dxa"/>
              <w:bottom w:w="0" w:type="dxa"/>
              <w:right w:w="108" w:type="dxa"/>
            </w:tcMar>
            <w:vAlign w:val="center"/>
          </w:tcPr>
          <w:p w14:paraId="7FC8F10E"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比例</w:t>
            </w:r>
          </w:p>
        </w:tc>
        <w:tc>
          <w:tcPr>
            <w:tcW w:w="615" w:type="pct"/>
            <w:tcMar>
              <w:top w:w="0" w:type="dxa"/>
              <w:left w:w="108" w:type="dxa"/>
              <w:bottom w:w="0" w:type="dxa"/>
              <w:right w:w="108" w:type="dxa"/>
            </w:tcMar>
            <w:vAlign w:val="center"/>
          </w:tcPr>
          <w:p w14:paraId="5AD4A46A"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615" w:type="pct"/>
            <w:tcMar>
              <w:top w:w="0" w:type="dxa"/>
              <w:left w:w="108" w:type="dxa"/>
              <w:bottom w:w="0" w:type="dxa"/>
              <w:right w:w="108" w:type="dxa"/>
            </w:tcMar>
            <w:vAlign w:val="center"/>
          </w:tcPr>
          <w:p w14:paraId="2AB459F0"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比例</w:t>
            </w:r>
          </w:p>
        </w:tc>
        <w:tc>
          <w:tcPr>
            <w:tcW w:w="615" w:type="pct"/>
            <w:tcMar>
              <w:top w:w="0" w:type="dxa"/>
              <w:left w:w="108" w:type="dxa"/>
              <w:bottom w:w="0" w:type="dxa"/>
              <w:right w:w="108" w:type="dxa"/>
            </w:tcMar>
            <w:vAlign w:val="center"/>
          </w:tcPr>
          <w:p w14:paraId="63EB2773"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615" w:type="pct"/>
            <w:tcMar>
              <w:top w:w="0" w:type="dxa"/>
              <w:left w:w="108" w:type="dxa"/>
              <w:bottom w:w="0" w:type="dxa"/>
              <w:right w:w="108" w:type="dxa"/>
            </w:tcMar>
            <w:vAlign w:val="center"/>
          </w:tcPr>
          <w:p w14:paraId="4F5549C2" w14:textId="77777777" w:rsidR="00CD798F" w:rsidRPr="00D95B42" w:rsidRDefault="00CD798F" w:rsidP="00214723">
            <w:pPr>
              <w:jc w:val="center"/>
              <w:rPr>
                <w:rFonts w:ascii="Times New Roman" w:hAnsi="Times New Roman"/>
                <w:szCs w:val="21"/>
              </w:rPr>
            </w:pPr>
            <w:r w:rsidRPr="00D95B42">
              <w:rPr>
                <w:rFonts w:ascii="Times New Roman" w:hAnsi="Times New Roman"/>
                <w:b/>
                <w:bCs/>
                <w:szCs w:val="21"/>
              </w:rPr>
              <w:t>比例</w:t>
            </w:r>
          </w:p>
        </w:tc>
      </w:tr>
      <w:tr w:rsidR="00CD798F" w:rsidRPr="00D95B42" w14:paraId="796C8DB6" w14:textId="77777777" w:rsidTr="00214723">
        <w:trPr>
          <w:trHeight w:val="397"/>
          <w:jc w:val="center"/>
        </w:trPr>
        <w:tc>
          <w:tcPr>
            <w:tcW w:w="1310" w:type="pct"/>
            <w:tcMar>
              <w:top w:w="0" w:type="dxa"/>
              <w:left w:w="108" w:type="dxa"/>
              <w:bottom w:w="0" w:type="dxa"/>
              <w:right w:w="108" w:type="dxa"/>
            </w:tcMar>
            <w:vAlign w:val="center"/>
          </w:tcPr>
          <w:p w14:paraId="69E96596" w14:textId="77777777" w:rsidR="00CD798F" w:rsidRPr="00D95B42" w:rsidRDefault="00CD798F" w:rsidP="00214723">
            <w:pPr>
              <w:rPr>
                <w:rFonts w:ascii="Times New Roman" w:hAnsi="Times New Roman"/>
                <w:szCs w:val="21"/>
              </w:rPr>
            </w:pPr>
            <w:r w:rsidRPr="00D95B42">
              <w:rPr>
                <w:rFonts w:ascii="Times New Roman" w:hAnsi="Times New Roman"/>
                <w:szCs w:val="21"/>
              </w:rPr>
              <w:t>职工薪酬及福利费</w:t>
            </w:r>
          </w:p>
        </w:tc>
        <w:tc>
          <w:tcPr>
            <w:tcW w:w="616" w:type="pct"/>
            <w:tcMar>
              <w:top w:w="0" w:type="dxa"/>
              <w:left w:w="108" w:type="dxa"/>
              <w:bottom w:w="0" w:type="dxa"/>
              <w:right w:w="108" w:type="dxa"/>
            </w:tcMar>
            <w:vAlign w:val="center"/>
          </w:tcPr>
          <w:p w14:paraId="39EB276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1,917.35</w:t>
            </w:r>
          </w:p>
        </w:tc>
        <w:tc>
          <w:tcPr>
            <w:tcW w:w="614" w:type="pct"/>
            <w:tcMar>
              <w:top w:w="0" w:type="dxa"/>
              <w:left w:w="108" w:type="dxa"/>
              <w:bottom w:w="0" w:type="dxa"/>
              <w:right w:w="108" w:type="dxa"/>
            </w:tcMar>
            <w:vAlign w:val="center"/>
          </w:tcPr>
          <w:p w14:paraId="0D5444B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71.05%</w:t>
            </w:r>
          </w:p>
        </w:tc>
        <w:tc>
          <w:tcPr>
            <w:tcW w:w="615" w:type="pct"/>
            <w:tcMar>
              <w:top w:w="0" w:type="dxa"/>
              <w:left w:w="108" w:type="dxa"/>
              <w:bottom w:w="0" w:type="dxa"/>
              <w:right w:w="108" w:type="dxa"/>
            </w:tcMar>
            <w:vAlign w:val="center"/>
          </w:tcPr>
          <w:p w14:paraId="74DCB1D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3,686.04</w:t>
            </w:r>
          </w:p>
        </w:tc>
        <w:tc>
          <w:tcPr>
            <w:tcW w:w="615" w:type="pct"/>
            <w:tcMar>
              <w:top w:w="0" w:type="dxa"/>
              <w:left w:w="108" w:type="dxa"/>
              <w:bottom w:w="0" w:type="dxa"/>
              <w:right w:w="108" w:type="dxa"/>
            </w:tcMar>
            <w:vAlign w:val="center"/>
          </w:tcPr>
          <w:p w14:paraId="51A04A8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68.50%</w:t>
            </w:r>
          </w:p>
        </w:tc>
        <w:tc>
          <w:tcPr>
            <w:tcW w:w="615" w:type="pct"/>
            <w:tcMar>
              <w:top w:w="0" w:type="dxa"/>
              <w:left w:w="108" w:type="dxa"/>
              <w:bottom w:w="0" w:type="dxa"/>
              <w:right w:w="108" w:type="dxa"/>
            </w:tcMar>
            <w:vAlign w:val="center"/>
          </w:tcPr>
          <w:p w14:paraId="0D57A51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3,600.91</w:t>
            </w:r>
          </w:p>
        </w:tc>
        <w:tc>
          <w:tcPr>
            <w:tcW w:w="615" w:type="pct"/>
            <w:tcMar>
              <w:top w:w="0" w:type="dxa"/>
              <w:left w:w="108" w:type="dxa"/>
              <w:bottom w:w="0" w:type="dxa"/>
              <w:right w:w="108" w:type="dxa"/>
            </w:tcMar>
            <w:vAlign w:val="center"/>
          </w:tcPr>
          <w:p w14:paraId="76641AF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65.70%</w:t>
            </w:r>
          </w:p>
        </w:tc>
      </w:tr>
      <w:tr w:rsidR="00CD798F" w:rsidRPr="00D95B42" w14:paraId="085CD5E8" w14:textId="77777777" w:rsidTr="00214723">
        <w:trPr>
          <w:trHeight w:val="397"/>
          <w:jc w:val="center"/>
        </w:trPr>
        <w:tc>
          <w:tcPr>
            <w:tcW w:w="1310" w:type="pct"/>
            <w:tcMar>
              <w:top w:w="0" w:type="dxa"/>
              <w:left w:w="108" w:type="dxa"/>
              <w:bottom w:w="0" w:type="dxa"/>
              <w:right w:w="108" w:type="dxa"/>
            </w:tcMar>
            <w:vAlign w:val="center"/>
          </w:tcPr>
          <w:p w14:paraId="548580AB" w14:textId="77777777" w:rsidR="00CD798F" w:rsidRPr="00D95B42" w:rsidRDefault="00CD798F" w:rsidP="00214723">
            <w:pPr>
              <w:rPr>
                <w:rFonts w:ascii="Times New Roman" w:hAnsi="Times New Roman"/>
                <w:szCs w:val="21"/>
              </w:rPr>
            </w:pPr>
            <w:r w:rsidRPr="00D95B42">
              <w:rPr>
                <w:rFonts w:ascii="Times New Roman" w:hAnsi="Times New Roman"/>
                <w:szCs w:val="21"/>
              </w:rPr>
              <w:t>折旧摊销费用</w:t>
            </w:r>
          </w:p>
        </w:tc>
        <w:tc>
          <w:tcPr>
            <w:tcW w:w="616" w:type="pct"/>
            <w:tcMar>
              <w:top w:w="0" w:type="dxa"/>
              <w:left w:w="108" w:type="dxa"/>
              <w:bottom w:w="0" w:type="dxa"/>
              <w:right w:w="108" w:type="dxa"/>
            </w:tcMar>
            <w:vAlign w:val="center"/>
          </w:tcPr>
          <w:p w14:paraId="20A5FC3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223.96</w:t>
            </w:r>
          </w:p>
        </w:tc>
        <w:tc>
          <w:tcPr>
            <w:tcW w:w="614" w:type="pct"/>
            <w:tcMar>
              <w:top w:w="0" w:type="dxa"/>
              <w:left w:w="108" w:type="dxa"/>
              <w:bottom w:w="0" w:type="dxa"/>
              <w:right w:w="108" w:type="dxa"/>
            </w:tcMar>
            <w:vAlign w:val="center"/>
          </w:tcPr>
          <w:p w14:paraId="1AC9602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8.30%</w:t>
            </w:r>
          </w:p>
        </w:tc>
        <w:tc>
          <w:tcPr>
            <w:tcW w:w="615" w:type="pct"/>
            <w:tcMar>
              <w:top w:w="0" w:type="dxa"/>
              <w:left w:w="108" w:type="dxa"/>
              <w:bottom w:w="0" w:type="dxa"/>
              <w:right w:w="108" w:type="dxa"/>
            </w:tcMar>
            <w:vAlign w:val="center"/>
          </w:tcPr>
          <w:p w14:paraId="3A7AD5B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544.64</w:t>
            </w:r>
          </w:p>
        </w:tc>
        <w:tc>
          <w:tcPr>
            <w:tcW w:w="615" w:type="pct"/>
            <w:tcMar>
              <w:top w:w="0" w:type="dxa"/>
              <w:left w:w="108" w:type="dxa"/>
              <w:bottom w:w="0" w:type="dxa"/>
              <w:right w:w="108" w:type="dxa"/>
            </w:tcMar>
            <w:vAlign w:val="center"/>
          </w:tcPr>
          <w:p w14:paraId="1566B37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10.12%</w:t>
            </w:r>
          </w:p>
        </w:tc>
        <w:tc>
          <w:tcPr>
            <w:tcW w:w="615" w:type="pct"/>
            <w:tcMar>
              <w:top w:w="0" w:type="dxa"/>
              <w:left w:w="108" w:type="dxa"/>
              <w:bottom w:w="0" w:type="dxa"/>
              <w:right w:w="108" w:type="dxa"/>
            </w:tcMar>
            <w:vAlign w:val="center"/>
          </w:tcPr>
          <w:p w14:paraId="2000979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802.64</w:t>
            </w:r>
          </w:p>
        </w:tc>
        <w:tc>
          <w:tcPr>
            <w:tcW w:w="615" w:type="pct"/>
            <w:tcMar>
              <w:top w:w="0" w:type="dxa"/>
              <w:left w:w="108" w:type="dxa"/>
              <w:bottom w:w="0" w:type="dxa"/>
              <w:right w:w="108" w:type="dxa"/>
            </w:tcMar>
            <w:vAlign w:val="center"/>
          </w:tcPr>
          <w:p w14:paraId="51C4DCF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14.64%</w:t>
            </w:r>
          </w:p>
        </w:tc>
      </w:tr>
      <w:tr w:rsidR="00CD798F" w:rsidRPr="00D95B42" w14:paraId="612AD59C" w14:textId="77777777" w:rsidTr="00214723">
        <w:trPr>
          <w:trHeight w:val="397"/>
          <w:jc w:val="center"/>
        </w:trPr>
        <w:tc>
          <w:tcPr>
            <w:tcW w:w="1310" w:type="pct"/>
            <w:tcMar>
              <w:top w:w="0" w:type="dxa"/>
              <w:left w:w="108" w:type="dxa"/>
              <w:bottom w:w="0" w:type="dxa"/>
              <w:right w:w="108" w:type="dxa"/>
            </w:tcMar>
            <w:vAlign w:val="center"/>
          </w:tcPr>
          <w:p w14:paraId="6C86DC47" w14:textId="77777777" w:rsidR="00CD798F" w:rsidRPr="00D95B42" w:rsidRDefault="00CD798F" w:rsidP="00214723">
            <w:pPr>
              <w:rPr>
                <w:rFonts w:ascii="Times New Roman" w:hAnsi="Times New Roman"/>
                <w:szCs w:val="21"/>
              </w:rPr>
            </w:pPr>
            <w:r w:rsidRPr="00D95B42">
              <w:rPr>
                <w:rFonts w:ascii="Times New Roman" w:hAnsi="Times New Roman"/>
                <w:szCs w:val="21"/>
              </w:rPr>
              <w:lastRenderedPageBreak/>
              <w:t>办公场所及设施费用</w:t>
            </w:r>
          </w:p>
        </w:tc>
        <w:tc>
          <w:tcPr>
            <w:tcW w:w="616" w:type="pct"/>
            <w:tcMar>
              <w:top w:w="0" w:type="dxa"/>
              <w:left w:w="108" w:type="dxa"/>
              <w:bottom w:w="0" w:type="dxa"/>
              <w:right w:w="108" w:type="dxa"/>
            </w:tcMar>
            <w:vAlign w:val="center"/>
          </w:tcPr>
          <w:p w14:paraId="0CBD761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164.91</w:t>
            </w:r>
          </w:p>
        </w:tc>
        <w:tc>
          <w:tcPr>
            <w:tcW w:w="614" w:type="pct"/>
            <w:tcMar>
              <w:top w:w="0" w:type="dxa"/>
              <w:left w:w="108" w:type="dxa"/>
              <w:bottom w:w="0" w:type="dxa"/>
              <w:right w:w="108" w:type="dxa"/>
            </w:tcMar>
            <w:vAlign w:val="center"/>
          </w:tcPr>
          <w:p w14:paraId="5B67682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6.11%</w:t>
            </w:r>
          </w:p>
        </w:tc>
        <w:tc>
          <w:tcPr>
            <w:tcW w:w="615" w:type="pct"/>
            <w:tcMar>
              <w:top w:w="0" w:type="dxa"/>
              <w:left w:w="108" w:type="dxa"/>
              <w:bottom w:w="0" w:type="dxa"/>
              <w:right w:w="108" w:type="dxa"/>
            </w:tcMar>
            <w:vAlign w:val="center"/>
          </w:tcPr>
          <w:p w14:paraId="2912A0C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312.29</w:t>
            </w:r>
          </w:p>
        </w:tc>
        <w:tc>
          <w:tcPr>
            <w:tcW w:w="615" w:type="pct"/>
            <w:tcMar>
              <w:top w:w="0" w:type="dxa"/>
              <w:left w:w="108" w:type="dxa"/>
              <w:bottom w:w="0" w:type="dxa"/>
              <w:right w:w="108" w:type="dxa"/>
            </w:tcMar>
            <w:vAlign w:val="center"/>
          </w:tcPr>
          <w:p w14:paraId="4AAF475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5.80%</w:t>
            </w:r>
          </w:p>
        </w:tc>
        <w:tc>
          <w:tcPr>
            <w:tcW w:w="615" w:type="pct"/>
            <w:tcMar>
              <w:top w:w="0" w:type="dxa"/>
              <w:left w:w="108" w:type="dxa"/>
              <w:bottom w:w="0" w:type="dxa"/>
              <w:right w:w="108" w:type="dxa"/>
            </w:tcMar>
            <w:vAlign w:val="center"/>
          </w:tcPr>
          <w:p w14:paraId="414FB16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304.60</w:t>
            </w:r>
          </w:p>
        </w:tc>
        <w:tc>
          <w:tcPr>
            <w:tcW w:w="615" w:type="pct"/>
            <w:tcMar>
              <w:top w:w="0" w:type="dxa"/>
              <w:left w:w="108" w:type="dxa"/>
              <w:bottom w:w="0" w:type="dxa"/>
              <w:right w:w="108" w:type="dxa"/>
            </w:tcMar>
            <w:vAlign w:val="center"/>
          </w:tcPr>
          <w:p w14:paraId="2955F1D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5.56%</w:t>
            </w:r>
          </w:p>
        </w:tc>
      </w:tr>
      <w:tr w:rsidR="00CD798F" w:rsidRPr="00D95B42" w14:paraId="1FF1399E" w14:textId="77777777" w:rsidTr="00214723">
        <w:trPr>
          <w:trHeight w:val="397"/>
          <w:jc w:val="center"/>
        </w:trPr>
        <w:tc>
          <w:tcPr>
            <w:tcW w:w="1310" w:type="pct"/>
            <w:tcMar>
              <w:top w:w="0" w:type="dxa"/>
              <w:left w:w="108" w:type="dxa"/>
              <w:bottom w:w="0" w:type="dxa"/>
              <w:right w:w="108" w:type="dxa"/>
            </w:tcMar>
            <w:vAlign w:val="center"/>
          </w:tcPr>
          <w:p w14:paraId="4351B716" w14:textId="77777777" w:rsidR="00CD798F" w:rsidRPr="00D95B42" w:rsidRDefault="00CD798F" w:rsidP="00214723">
            <w:pPr>
              <w:rPr>
                <w:rFonts w:ascii="Times New Roman" w:hAnsi="Times New Roman"/>
                <w:szCs w:val="21"/>
              </w:rPr>
            </w:pPr>
            <w:r w:rsidRPr="00D95B42">
              <w:rPr>
                <w:rFonts w:ascii="Times New Roman" w:hAnsi="Times New Roman"/>
                <w:szCs w:val="21"/>
              </w:rPr>
              <w:t>专业服务与咨询费用</w:t>
            </w:r>
          </w:p>
        </w:tc>
        <w:tc>
          <w:tcPr>
            <w:tcW w:w="616" w:type="pct"/>
            <w:tcMar>
              <w:top w:w="0" w:type="dxa"/>
              <w:left w:w="108" w:type="dxa"/>
              <w:bottom w:w="0" w:type="dxa"/>
              <w:right w:w="108" w:type="dxa"/>
            </w:tcMar>
            <w:vAlign w:val="center"/>
          </w:tcPr>
          <w:p w14:paraId="30E992A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152.98</w:t>
            </w:r>
          </w:p>
        </w:tc>
        <w:tc>
          <w:tcPr>
            <w:tcW w:w="614" w:type="pct"/>
            <w:tcMar>
              <w:top w:w="0" w:type="dxa"/>
              <w:left w:w="108" w:type="dxa"/>
              <w:bottom w:w="0" w:type="dxa"/>
              <w:right w:w="108" w:type="dxa"/>
            </w:tcMar>
            <w:vAlign w:val="center"/>
          </w:tcPr>
          <w:p w14:paraId="0BAC957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5.67%</w:t>
            </w:r>
          </w:p>
        </w:tc>
        <w:tc>
          <w:tcPr>
            <w:tcW w:w="615" w:type="pct"/>
            <w:tcMar>
              <w:top w:w="0" w:type="dxa"/>
              <w:left w:w="108" w:type="dxa"/>
              <w:bottom w:w="0" w:type="dxa"/>
              <w:right w:w="108" w:type="dxa"/>
            </w:tcMar>
            <w:vAlign w:val="center"/>
          </w:tcPr>
          <w:p w14:paraId="76EFE7C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301.29</w:t>
            </w:r>
          </w:p>
        </w:tc>
        <w:tc>
          <w:tcPr>
            <w:tcW w:w="615" w:type="pct"/>
            <w:tcMar>
              <w:top w:w="0" w:type="dxa"/>
              <w:left w:w="108" w:type="dxa"/>
              <w:bottom w:w="0" w:type="dxa"/>
              <w:right w:w="108" w:type="dxa"/>
            </w:tcMar>
            <w:vAlign w:val="center"/>
          </w:tcPr>
          <w:p w14:paraId="6C9B916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5.60%</w:t>
            </w:r>
          </w:p>
        </w:tc>
        <w:tc>
          <w:tcPr>
            <w:tcW w:w="615" w:type="pct"/>
            <w:tcMar>
              <w:top w:w="0" w:type="dxa"/>
              <w:left w:w="108" w:type="dxa"/>
              <w:bottom w:w="0" w:type="dxa"/>
              <w:right w:w="108" w:type="dxa"/>
            </w:tcMar>
            <w:vAlign w:val="center"/>
          </w:tcPr>
          <w:p w14:paraId="27274EE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220.14</w:t>
            </w:r>
          </w:p>
        </w:tc>
        <w:tc>
          <w:tcPr>
            <w:tcW w:w="615" w:type="pct"/>
            <w:tcMar>
              <w:top w:w="0" w:type="dxa"/>
              <w:left w:w="108" w:type="dxa"/>
              <w:bottom w:w="0" w:type="dxa"/>
              <w:right w:w="108" w:type="dxa"/>
            </w:tcMar>
            <w:vAlign w:val="center"/>
          </w:tcPr>
          <w:p w14:paraId="2A0BC0D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4.02%</w:t>
            </w:r>
          </w:p>
        </w:tc>
      </w:tr>
      <w:tr w:rsidR="00CD798F" w:rsidRPr="00D95B42" w14:paraId="5FA912A2" w14:textId="77777777" w:rsidTr="00214723">
        <w:trPr>
          <w:trHeight w:val="397"/>
          <w:jc w:val="center"/>
        </w:trPr>
        <w:tc>
          <w:tcPr>
            <w:tcW w:w="1310" w:type="pct"/>
            <w:tcMar>
              <w:top w:w="0" w:type="dxa"/>
              <w:left w:w="108" w:type="dxa"/>
              <w:bottom w:w="0" w:type="dxa"/>
              <w:right w:w="108" w:type="dxa"/>
            </w:tcMar>
            <w:vAlign w:val="center"/>
          </w:tcPr>
          <w:p w14:paraId="043C2982" w14:textId="77777777" w:rsidR="00CD798F" w:rsidRPr="00D95B42" w:rsidRDefault="00CD798F" w:rsidP="00214723">
            <w:pPr>
              <w:rPr>
                <w:rFonts w:ascii="Times New Roman" w:hAnsi="Times New Roman"/>
                <w:szCs w:val="21"/>
              </w:rPr>
            </w:pPr>
            <w:r w:rsidRPr="00D95B42">
              <w:rPr>
                <w:rFonts w:ascii="Times New Roman" w:hAnsi="Times New Roman"/>
                <w:szCs w:val="21"/>
              </w:rPr>
              <w:t>办公及差旅费</w:t>
            </w:r>
          </w:p>
        </w:tc>
        <w:tc>
          <w:tcPr>
            <w:tcW w:w="616" w:type="pct"/>
            <w:tcMar>
              <w:top w:w="0" w:type="dxa"/>
              <w:left w:w="108" w:type="dxa"/>
              <w:bottom w:w="0" w:type="dxa"/>
              <w:right w:w="108" w:type="dxa"/>
            </w:tcMar>
            <w:vAlign w:val="center"/>
          </w:tcPr>
          <w:p w14:paraId="1311222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139.53</w:t>
            </w:r>
          </w:p>
        </w:tc>
        <w:tc>
          <w:tcPr>
            <w:tcW w:w="614" w:type="pct"/>
            <w:tcMar>
              <w:top w:w="0" w:type="dxa"/>
              <w:left w:w="108" w:type="dxa"/>
              <w:bottom w:w="0" w:type="dxa"/>
              <w:right w:w="108" w:type="dxa"/>
            </w:tcMar>
            <w:vAlign w:val="center"/>
          </w:tcPr>
          <w:p w14:paraId="1358791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5.17%</w:t>
            </w:r>
          </w:p>
        </w:tc>
        <w:tc>
          <w:tcPr>
            <w:tcW w:w="615" w:type="pct"/>
            <w:tcMar>
              <w:top w:w="0" w:type="dxa"/>
              <w:left w:w="108" w:type="dxa"/>
              <w:bottom w:w="0" w:type="dxa"/>
              <w:right w:w="108" w:type="dxa"/>
            </w:tcMar>
            <w:vAlign w:val="center"/>
          </w:tcPr>
          <w:p w14:paraId="442ABE1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346.51</w:t>
            </w:r>
          </w:p>
        </w:tc>
        <w:tc>
          <w:tcPr>
            <w:tcW w:w="615" w:type="pct"/>
            <w:tcMar>
              <w:top w:w="0" w:type="dxa"/>
              <w:left w:w="108" w:type="dxa"/>
              <w:bottom w:w="0" w:type="dxa"/>
              <w:right w:w="108" w:type="dxa"/>
            </w:tcMar>
            <w:vAlign w:val="center"/>
          </w:tcPr>
          <w:p w14:paraId="36CBB54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6.44%</w:t>
            </w:r>
          </w:p>
        </w:tc>
        <w:tc>
          <w:tcPr>
            <w:tcW w:w="615" w:type="pct"/>
            <w:tcMar>
              <w:top w:w="0" w:type="dxa"/>
              <w:left w:w="108" w:type="dxa"/>
              <w:bottom w:w="0" w:type="dxa"/>
              <w:right w:w="108" w:type="dxa"/>
            </w:tcMar>
            <w:vAlign w:val="center"/>
          </w:tcPr>
          <w:p w14:paraId="3FF52ED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388.79</w:t>
            </w:r>
          </w:p>
        </w:tc>
        <w:tc>
          <w:tcPr>
            <w:tcW w:w="615" w:type="pct"/>
            <w:tcMar>
              <w:top w:w="0" w:type="dxa"/>
              <w:left w:w="108" w:type="dxa"/>
              <w:bottom w:w="0" w:type="dxa"/>
              <w:right w:w="108" w:type="dxa"/>
            </w:tcMar>
            <w:vAlign w:val="center"/>
          </w:tcPr>
          <w:p w14:paraId="3C13D39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7.09%</w:t>
            </w:r>
          </w:p>
        </w:tc>
      </w:tr>
      <w:tr w:rsidR="00CD798F" w:rsidRPr="00D95B42" w14:paraId="6FC8B801" w14:textId="77777777" w:rsidTr="00214723">
        <w:trPr>
          <w:trHeight w:val="397"/>
          <w:jc w:val="center"/>
        </w:trPr>
        <w:tc>
          <w:tcPr>
            <w:tcW w:w="1310" w:type="pct"/>
            <w:tcMar>
              <w:top w:w="0" w:type="dxa"/>
              <w:left w:w="108" w:type="dxa"/>
              <w:bottom w:w="0" w:type="dxa"/>
              <w:right w:w="108" w:type="dxa"/>
            </w:tcMar>
            <w:vAlign w:val="center"/>
          </w:tcPr>
          <w:p w14:paraId="743CB554" w14:textId="77777777" w:rsidR="00CD798F" w:rsidRPr="00D95B42" w:rsidRDefault="00CD798F" w:rsidP="00214723">
            <w:pPr>
              <w:rPr>
                <w:rFonts w:ascii="Times New Roman" w:hAnsi="Times New Roman"/>
                <w:szCs w:val="21"/>
              </w:rPr>
            </w:pPr>
            <w:r w:rsidRPr="00D95B42">
              <w:rPr>
                <w:rFonts w:ascii="Times New Roman" w:hAnsi="Times New Roman"/>
                <w:szCs w:val="21"/>
              </w:rPr>
              <w:t>业务招待费</w:t>
            </w:r>
          </w:p>
        </w:tc>
        <w:tc>
          <w:tcPr>
            <w:tcW w:w="616" w:type="pct"/>
            <w:tcMar>
              <w:top w:w="0" w:type="dxa"/>
              <w:left w:w="108" w:type="dxa"/>
              <w:bottom w:w="0" w:type="dxa"/>
              <w:right w:w="108" w:type="dxa"/>
            </w:tcMar>
            <w:vAlign w:val="center"/>
          </w:tcPr>
          <w:p w14:paraId="5805479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74.95</w:t>
            </w:r>
          </w:p>
        </w:tc>
        <w:tc>
          <w:tcPr>
            <w:tcW w:w="614" w:type="pct"/>
            <w:tcMar>
              <w:top w:w="0" w:type="dxa"/>
              <w:left w:w="108" w:type="dxa"/>
              <w:bottom w:w="0" w:type="dxa"/>
              <w:right w:w="108" w:type="dxa"/>
            </w:tcMar>
            <w:vAlign w:val="center"/>
          </w:tcPr>
          <w:p w14:paraId="5D98FB5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2.78%</w:t>
            </w:r>
          </w:p>
        </w:tc>
        <w:tc>
          <w:tcPr>
            <w:tcW w:w="615" w:type="pct"/>
            <w:tcMar>
              <w:top w:w="0" w:type="dxa"/>
              <w:left w:w="108" w:type="dxa"/>
              <w:bottom w:w="0" w:type="dxa"/>
              <w:right w:w="108" w:type="dxa"/>
            </w:tcMar>
            <w:vAlign w:val="center"/>
          </w:tcPr>
          <w:p w14:paraId="50EE55D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144.50</w:t>
            </w:r>
          </w:p>
        </w:tc>
        <w:tc>
          <w:tcPr>
            <w:tcW w:w="615" w:type="pct"/>
            <w:tcMar>
              <w:top w:w="0" w:type="dxa"/>
              <w:left w:w="108" w:type="dxa"/>
              <w:bottom w:w="0" w:type="dxa"/>
              <w:right w:w="108" w:type="dxa"/>
            </w:tcMar>
            <w:vAlign w:val="center"/>
          </w:tcPr>
          <w:p w14:paraId="6260569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2.69%</w:t>
            </w:r>
          </w:p>
        </w:tc>
        <w:tc>
          <w:tcPr>
            <w:tcW w:w="615" w:type="pct"/>
            <w:tcMar>
              <w:top w:w="0" w:type="dxa"/>
              <w:left w:w="108" w:type="dxa"/>
              <w:bottom w:w="0" w:type="dxa"/>
              <w:right w:w="108" w:type="dxa"/>
            </w:tcMar>
            <w:vAlign w:val="center"/>
          </w:tcPr>
          <w:p w14:paraId="24E7139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115.87</w:t>
            </w:r>
          </w:p>
        </w:tc>
        <w:tc>
          <w:tcPr>
            <w:tcW w:w="615" w:type="pct"/>
            <w:tcMar>
              <w:top w:w="0" w:type="dxa"/>
              <w:left w:w="108" w:type="dxa"/>
              <w:bottom w:w="0" w:type="dxa"/>
              <w:right w:w="108" w:type="dxa"/>
            </w:tcMar>
            <w:vAlign w:val="center"/>
          </w:tcPr>
          <w:p w14:paraId="4FE7197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2.11%</w:t>
            </w:r>
          </w:p>
        </w:tc>
      </w:tr>
      <w:tr w:rsidR="00CD798F" w:rsidRPr="00D95B42" w14:paraId="1489C4BC" w14:textId="77777777" w:rsidTr="00214723">
        <w:trPr>
          <w:trHeight w:val="397"/>
          <w:jc w:val="center"/>
        </w:trPr>
        <w:tc>
          <w:tcPr>
            <w:tcW w:w="1310" w:type="pct"/>
            <w:tcMar>
              <w:top w:w="0" w:type="dxa"/>
              <w:left w:w="108" w:type="dxa"/>
              <w:bottom w:w="0" w:type="dxa"/>
              <w:right w:w="108" w:type="dxa"/>
            </w:tcMar>
            <w:vAlign w:val="center"/>
          </w:tcPr>
          <w:p w14:paraId="0247ED09" w14:textId="77777777" w:rsidR="00CD798F" w:rsidRPr="00D95B42" w:rsidRDefault="00CD798F" w:rsidP="00214723">
            <w:pPr>
              <w:rPr>
                <w:rFonts w:ascii="Times New Roman" w:hAnsi="Times New Roman"/>
                <w:szCs w:val="21"/>
              </w:rPr>
            </w:pPr>
            <w:r w:rsidRPr="00D95B42">
              <w:rPr>
                <w:rFonts w:ascii="Times New Roman" w:hAnsi="Times New Roman"/>
                <w:szCs w:val="21"/>
              </w:rPr>
              <w:t>其他费用</w:t>
            </w:r>
          </w:p>
        </w:tc>
        <w:tc>
          <w:tcPr>
            <w:tcW w:w="616" w:type="pct"/>
            <w:tcMar>
              <w:top w:w="0" w:type="dxa"/>
              <w:left w:w="108" w:type="dxa"/>
              <w:bottom w:w="0" w:type="dxa"/>
              <w:right w:w="108" w:type="dxa"/>
            </w:tcMar>
            <w:vAlign w:val="center"/>
          </w:tcPr>
          <w:p w14:paraId="1C5D30B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25.05</w:t>
            </w:r>
          </w:p>
        </w:tc>
        <w:tc>
          <w:tcPr>
            <w:tcW w:w="614" w:type="pct"/>
            <w:tcMar>
              <w:top w:w="0" w:type="dxa"/>
              <w:left w:w="108" w:type="dxa"/>
              <w:bottom w:w="0" w:type="dxa"/>
              <w:right w:w="108" w:type="dxa"/>
            </w:tcMar>
            <w:vAlign w:val="center"/>
          </w:tcPr>
          <w:p w14:paraId="3E218F2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0.93%</w:t>
            </w:r>
          </w:p>
        </w:tc>
        <w:tc>
          <w:tcPr>
            <w:tcW w:w="615" w:type="pct"/>
            <w:tcMar>
              <w:top w:w="0" w:type="dxa"/>
              <w:left w:w="108" w:type="dxa"/>
              <w:bottom w:w="0" w:type="dxa"/>
              <w:right w:w="108" w:type="dxa"/>
            </w:tcMar>
            <w:vAlign w:val="center"/>
          </w:tcPr>
          <w:p w14:paraId="287EADE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45.55</w:t>
            </w:r>
          </w:p>
        </w:tc>
        <w:tc>
          <w:tcPr>
            <w:tcW w:w="615" w:type="pct"/>
            <w:tcMar>
              <w:top w:w="0" w:type="dxa"/>
              <w:left w:w="108" w:type="dxa"/>
              <w:bottom w:w="0" w:type="dxa"/>
              <w:right w:w="108" w:type="dxa"/>
            </w:tcMar>
            <w:vAlign w:val="center"/>
          </w:tcPr>
          <w:p w14:paraId="1EE1663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0.85%</w:t>
            </w:r>
          </w:p>
        </w:tc>
        <w:tc>
          <w:tcPr>
            <w:tcW w:w="615" w:type="pct"/>
            <w:tcMar>
              <w:top w:w="0" w:type="dxa"/>
              <w:left w:w="108" w:type="dxa"/>
              <w:bottom w:w="0" w:type="dxa"/>
              <w:right w:w="108" w:type="dxa"/>
            </w:tcMar>
            <w:vAlign w:val="center"/>
          </w:tcPr>
          <w:p w14:paraId="481BC8F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47.96</w:t>
            </w:r>
          </w:p>
        </w:tc>
        <w:tc>
          <w:tcPr>
            <w:tcW w:w="615" w:type="pct"/>
            <w:tcMar>
              <w:top w:w="0" w:type="dxa"/>
              <w:left w:w="108" w:type="dxa"/>
              <w:bottom w:w="0" w:type="dxa"/>
              <w:right w:w="108" w:type="dxa"/>
            </w:tcMar>
            <w:vAlign w:val="center"/>
          </w:tcPr>
          <w:p w14:paraId="6CF8816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0.88%</w:t>
            </w:r>
          </w:p>
        </w:tc>
      </w:tr>
      <w:tr w:rsidR="00CD798F" w:rsidRPr="00D95B42" w14:paraId="2769CE15" w14:textId="77777777" w:rsidTr="00214723">
        <w:trPr>
          <w:trHeight w:val="397"/>
          <w:jc w:val="center"/>
        </w:trPr>
        <w:tc>
          <w:tcPr>
            <w:tcW w:w="1310" w:type="pct"/>
            <w:tcMar>
              <w:top w:w="0" w:type="dxa"/>
              <w:left w:w="108" w:type="dxa"/>
              <w:bottom w:w="0" w:type="dxa"/>
              <w:right w:w="108" w:type="dxa"/>
            </w:tcMar>
            <w:vAlign w:val="center"/>
          </w:tcPr>
          <w:p w14:paraId="044D1247"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color w:val="000000"/>
                <w:szCs w:val="21"/>
              </w:rPr>
              <w:t>合计</w:t>
            </w:r>
          </w:p>
        </w:tc>
        <w:tc>
          <w:tcPr>
            <w:tcW w:w="616" w:type="pct"/>
            <w:tcMar>
              <w:top w:w="0" w:type="dxa"/>
              <w:left w:w="108" w:type="dxa"/>
              <w:bottom w:w="0" w:type="dxa"/>
              <w:right w:w="108" w:type="dxa"/>
            </w:tcMar>
            <w:vAlign w:val="center"/>
          </w:tcPr>
          <w:p w14:paraId="1BC2E731"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2,698.73</w:t>
            </w:r>
          </w:p>
        </w:tc>
        <w:tc>
          <w:tcPr>
            <w:tcW w:w="614" w:type="pct"/>
            <w:tcMar>
              <w:top w:w="0" w:type="dxa"/>
              <w:left w:w="108" w:type="dxa"/>
              <w:bottom w:w="0" w:type="dxa"/>
              <w:right w:w="108" w:type="dxa"/>
            </w:tcMar>
            <w:vAlign w:val="center"/>
          </w:tcPr>
          <w:p w14:paraId="1F2BFB86"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100.00%</w:t>
            </w:r>
          </w:p>
        </w:tc>
        <w:tc>
          <w:tcPr>
            <w:tcW w:w="615" w:type="pct"/>
            <w:tcMar>
              <w:top w:w="0" w:type="dxa"/>
              <w:left w:w="108" w:type="dxa"/>
              <w:bottom w:w="0" w:type="dxa"/>
              <w:right w:w="108" w:type="dxa"/>
            </w:tcMar>
            <w:vAlign w:val="center"/>
          </w:tcPr>
          <w:p w14:paraId="755D0A69"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5,380.82</w:t>
            </w:r>
          </w:p>
        </w:tc>
        <w:tc>
          <w:tcPr>
            <w:tcW w:w="615" w:type="pct"/>
            <w:tcMar>
              <w:top w:w="0" w:type="dxa"/>
              <w:left w:w="108" w:type="dxa"/>
              <w:bottom w:w="0" w:type="dxa"/>
              <w:right w:w="108" w:type="dxa"/>
            </w:tcMar>
            <w:vAlign w:val="center"/>
          </w:tcPr>
          <w:p w14:paraId="0D6549F8"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100.00%</w:t>
            </w:r>
          </w:p>
        </w:tc>
        <w:tc>
          <w:tcPr>
            <w:tcW w:w="615" w:type="pct"/>
            <w:tcMar>
              <w:top w:w="0" w:type="dxa"/>
              <w:left w:w="108" w:type="dxa"/>
              <w:bottom w:w="0" w:type="dxa"/>
              <w:right w:w="108" w:type="dxa"/>
            </w:tcMar>
            <w:vAlign w:val="center"/>
          </w:tcPr>
          <w:p w14:paraId="01D37142"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5,480.91</w:t>
            </w:r>
          </w:p>
        </w:tc>
        <w:tc>
          <w:tcPr>
            <w:tcW w:w="615" w:type="pct"/>
            <w:tcMar>
              <w:top w:w="0" w:type="dxa"/>
              <w:left w:w="108" w:type="dxa"/>
              <w:bottom w:w="0" w:type="dxa"/>
              <w:right w:w="108" w:type="dxa"/>
            </w:tcMar>
            <w:vAlign w:val="center"/>
          </w:tcPr>
          <w:p w14:paraId="27ACB35D"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100.00%</w:t>
            </w:r>
          </w:p>
        </w:tc>
      </w:tr>
    </w:tbl>
    <w:p w14:paraId="2113B733" w14:textId="77777777" w:rsidR="00CD798F" w:rsidRDefault="00CD798F" w:rsidP="00CD798F">
      <w:pPr>
        <w:pStyle w:val="004"/>
        <w:spacing w:before="120" w:after="120"/>
        <w:ind w:firstLine="482"/>
      </w:pPr>
      <w:r>
        <w:rPr>
          <w:rFonts w:hint="eastAsia"/>
        </w:rPr>
        <w:t>2</w:t>
      </w:r>
      <w:r>
        <w:t>、</w:t>
      </w:r>
      <w:r>
        <w:rPr>
          <w:rFonts w:hint="eastAsia"/>
        </w:rPr>
        <w:t>管理</w:t>
      </w:r>
      <w:r w:rsidRPr="009C5A79">
        <w:rPr>
          <w:rFonts w:hint="eastAsia"/>
        </w:rPr>
        <w:t>费用主要明细项目的具体预测情况、过程及依据</w:t>
      </w:r>
    </w:p>
    <w:p w14:paraId="0C67E284" w14:textId="77777777" w:rsidR="00CD798F" w:rsidRDefault="00CD798F" w:rsidP="00CD798F">
      <w:pPr>
        <w:pStyle w:val="004"/>
        <w:spacing w:before="120" w:after="120"/>
        <w:ind w:firstLine="482"/>
        <w:outlineLvl w:val="4"/>
      </w:pPr>
      <w:r>
        <w:rPr>
          <w:rFonts w:hint="eastAsia"/>
        </w:rPr>
        <w:t>（</w:t>
      </w:r>
      <w:r>
        <w:rPr>
          <w:rFonts w:hint="eastAsia"/>
        </w:rPr>
        <w:t>1</w:t>
      </w:r>
      <w:r>
        <w:rPr>
          <w:rFonts w:hint="eastAsia"/>
        </w:rPr>
        <w:t>）</w:t>
      </w:r>
      <w:r w:rsidRPr="002A35F3">
        <w:rPr>
          <w:rFonts w:hint="eastAsia"/>
        </w:rPr>
        <w:t>职工薪酬及福利</w:t>
      </w:r>
      <w:r w:rsidRPr="003347DA">
        <w:rPr>
          <w:rFonts w:hint="eastAsia"/>
        </w:rPr>
        <w:t>费</w:t>
      </w:r>
    </w:p>
    <w:p w14:paraId="0869A445" w14:textId="77777777" w:rsidR="00CD798F" w:rsidRPr="003347DA" w:rsidRDefault="00CD798F" w:rsidP="00CD798F">
      <w:pPr>
        <w:pStyle w:val="005"/>
        <w:spacing w:before="120" w:after="120"/>
        <w:ind w:firstLine="480"/>
      </w:pPr>
      <w:r w:rsidRPr="003347DA">
        <w:rPr>
          <w:rFonts w:hint="eastAsia"/>
        </w:rPr>
        <w:t>职工薪酬及福利主要包括</w:t>
      </w:r>
      <w:r>
        <w:rPr>
          <w:rFonts w:hint="eastAsia"/>
        </w:rPr>
        <w:t>管理</w:t>
      </w:r>
      <w:r w:rsidRPr="003347DA">
        <w:rPr>
          <w:rFonts w:hint="eastAsia"/>
        </w:rPr>
        <w:t>人员的工资、社保、公积金和福利费等</w:t>
      </w:r>
      <w:r>
        <w:rPr>
          <w:rFonts w:hint="eastAsia"/>
        </w:rPr>
        <w:t>。</w:t>
      </w:r>
      <w:r w:rsidRPr="003347DA">
        <w:rPr>
          <w:rFonts w:hint="eastAsia"/>
        </w:rPr>
        <w:t>报告期各期，标的公司职工薪酬及福利费分别为</w:t>
      </w:r>
      <w:r w:rsidRPr="003347DA">
        <w:rPr>
          <w:rFonts w:hint="eastAsia"/>
        </w:rPr>
        <w:t>3,600.91</w:t>
      </w:r>
      <w:r w:rsidRPr="003347DA">
        <w:rPr>
          <w:rFonts w:hint="eastAsia"/>
        </w:rPr>
        <w:t>万元、</w:t>
      </w:r>
      <w:r w:rsidRPr="003347DA">
        <w:rPr>
          <w:rFonts w:hint="eastAsia"/>
        </w:rPr>
        <w:t>3,686.04</w:t>
      </w:r>
      <w:r w:rsidRPr="003347DA">
        <w:rPr>
          <w:rFonts w:hint="eastAsia"/>
        </w:rPr>
        <w:t>万元和</w:t>
      </w:r>
      <w:r w:rsidRPr="003347DA">
        <w:rPr>
          <w:rFonts w:hint="eastAsia"/>
        </w:rPr>
        <w:t>1,917.35</w:t>
      </w:r>
      <w:r w:rsidRPr="003347DA">
        <w:rPr>
          <w:rFonts w:hint="eastAsia"/>
        </w:rPr>
        <w:t>万元，总体相对稳定；未来按人均薪酬和人数预测。预测期内对管理人员的规模结合业务发展的计划考虑一定的人员增加，同时人均薪酬水平亦考虑一定的增长，具体情况如下：</w:t>
      </w:r>
    </w:p>
    <w:p w14:paraId="57CF9506" w14:textId="77777777" w:rsidR="00CD798F" w:rsidRPr="003347DA" w:rsidRDefault="00CD798F" w:rsidP="00CD798F">
      <w:pPr>
        <w:keepNext/>
        <w:jc w:val="right"/>
      </w:pPr>
      <w:r w:rsidRPr="003347DA">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902"/>
        <w:gridCol w:w="1392"/>
        <w:gridCol w:w="1192"/>
        <w:gridCol w:w="1192"/>
        <w:gridCol w:w="1192"/>
        <w:gridCol w:w="1191"/>
      </w:tblGrid>
      <w:tr w:rsidR="00CD798F" w:rsidRPr="00D95B42" w14:paraId="4ECD2290" w14:textId="77777777" w:rsidTr="00214723">
        <w:trPr>
          <w:cantSplit/>
          <w:trHeight w:val="454"/>
          <w:tblHeader/>
          <w:jc w:val="center"/>
        </w:trPr>
        <w:tc>
          <w:tcPr>
            <w:tcW w:w="1601" w:type="pct"/>
            <w:vMerge w:val="restart"/>
            <w:vAlign w:val="center"/>
          </w:tcPr>
          <w:p w14:paraId="5194FC97"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399" w:type="pct"/>
            <w:gridSpan w:val="5"/>
            <w:vAlign w:val="center"/>
          </w:tcPr>
          <w:p w14:paraId="5BAB1EE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04CD733D" w14:textId="77777777" w:rsidTr="00214723">
        <w:trPr>
          <w:cantSplit/>
          <w:trHeight w:val="454"/>
          <w:tblHeader/>
          <w:jc w:val="center"/>
        </w:trPr>
        <w:tc>
          <w:tcPr>
            <w:tcW w:w="1601" w:type="pct"/>
            <w:vMerge/>
            <w:vAlign w:val="center"/>
          </w:tcPr>
          <w:p w14:paraId="2EB3D351" w14:textId="77777777" w:rsidR="00CD798F" w:rsidRPr="00D95B42" w:rsidRDefault="00CD798F" w:rsidP="00214723">
            <w:pPr>
              <w:keepNext/>
              <w:jc w:val="center"/>
              <w:rPr>
                <w:rFonts w:ascii="Times New Roman" w:hAnsi="Times New Roman"/>
                <w:b/>
                <w:color w:val="000000"/>
              </w:rPr>
            </w:pPr>
          </w:p>
        </w:tc>
        <w:tc>
          <w:tcPr>
            <w:tcW w:w="768" w:type="pct"/>
            <w:vAlign w:val="center"/>
          </w:tcPr>
          <w:p w14:paraId="43BE9E92"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658" w:type="pct"/>
            <w:vAlign w:val="center"/>
          </w:tcPr>
          <w:p w14:paraId="02D6203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658" w:type="pct"/>
            <w:vAlign w:val="center"/>
          </w:tcPr>
          <w:p w14:paraId="6B9E4A92"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658" w:type="pct"/>
            <w:vAlign w:val="center"/>
          </w:tcPr>
          <w:p w14:paraId="329FC18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658" w:type="pct"/>
            <w:vAlign w:val="center"/>
          </w:tcPr>
          <w:p w14:paraId="35CFED4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6ACF4ED6" w14:textId="77777777" w:rsidTr="00214723">
        <w:trPr>
          <w:cantSplit/>
          <w:trHeight w:val="454"/>
          <w:jc w:val="center"/>
        </w:trPr>
        <w:tc>
          <w:tcPr>
            <w:tcW w:w="1601" w:type="pct"/>
            <w:vAlign w:val="center"/>
          </w:tcPr>
          <w:p w14:paraId="58CAAD78"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职工薪酬及福利费金额</w:t>
            </w:r>
          </w:p>
        </w:tc>
        <w:tc>
          <w:tcPr>
            <w:tcW w:w="768" w:type="pct"/>
            <w:vAlign w:val="center"/>
          </w:tcPr>
          <w:p w14:paraId="726DCB4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3,874.50</w:t>
            </w:r>
          </w:p>
        </w:tc>
        <w:tc>
          <w:tcPr>
            <w:tcW w:w="658" w:type="pct"/>
            <w:vAlign w:val="center"/>
          </w:tcPr>
          <w:p w14:paraId="791C583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4,123.00</w:t>
            </w:r>
          </w:p>
        </w:tc>
        <w:tc>
          <w:tcPr>
            <w:tcW w:w="658" w:type="pct"/>
            <w:vAlign w:val="center"/>
          </w:tcPr>
          <w:p w14:paraId="4F70B50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4,384.00</w:t>
            </w:r>
          </w:p>
        </w:tc>
        <w:tc>
          <w:tcPr>
            <w:tcW w:w="658" w:type="pct"/>
            <w:vAlign w:val="center"/>
          </w:tcPr>
          <w:p w14:paraId="31DCD9C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4,515.20</w:t>
            </w:r>
          </w:p>
        </w:tc>
        <w:tc>
          <w:tcPr>
            <w:tcW w:w="658" w:type="pct"/>
            <w:vAlign w:val="center"/>
          </w:tcPr>
          <w:p w14:paraId="009B8F2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4,651.20</w:t>
            </w:r>
          </w:p>
        </w:tc>
      </w:tr>
      <w:tr w:rsidR="00CD798F" w:rsidRPr="00D95B42" w14:paraId="4F44307C" w14:textId="77777777" w:rsidTr="00214723">
        <w:trPr>
          <w:cantSplit/>
          <w:trHeight w:val="454"/>
          <w:jc w:val="center"/>
        </w:trPr>
        <w:tc>
          <w:tcPr>
            <w:tcW w:w="1601" w:type="pct"/>
            <w:vAlign w:val="center"/>
          </w:tcPr>
          <w:p w14:paraId="2E10642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管理人员人数</w:t>
            </w:r>
          </w:p>
        </w:tc>
        <w:tc>
          <w:tcPr>
            <w:tcW w:w="768" w:type="pct"/>
            <w:vAlign w:val="center"/>
          </w:tcPr>
          <w:p w14:paraId="45DDF2B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150.00</w:t>
            </w:r>
          </w:p>
        </w:tc>
        <w:tc>
          <w:tcPr>
            <w:tcW w:w="658" w:type="pct"/>
            <w:vAlign w:val="center"/>
          </w:tcPr>
          <w:p w14:paraId="6EB5678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155.00</w:t>
            </w:r>
          </w:p>
        </w:tc>
        <w:tc>
          <w:tcPr>
            <w:tcW w:w="658" w:type="pct"/>
            <w:vAlign w:val="center"/>
          </w:tcPr>
          <w:p w14:paraId="40520C2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160.00</w:t>
            </w:r>
          </w:p>
        </w:tc>
        <w:tc>
          <w:tcPr>
            <w:tcW w:w="658" w:type="pct"/>
            <w:vAlign w:val="center"/>
          </w:tcPr>
          <w:p w14:paraId="26A8E0C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160.00</w:t>
            </w:r>
          </w:p>
        </w:tc>
        <w:tc>
          <w:tcPr>
            <w:tcW w:w="658" w:type="pct"/>
            <w:vAlign w:val="center"/>
          </w:tcPr>
          <w:p w14:paraId="37C3028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160.00</w:t>
            </w:r>
          </w:p>
        </w:tc>
      </w:tr>
      <w:tr w:rsidR="00CD798F" w:rsidRPr="00D95B42" w14:paraId="12A207E7" w14:textId="77777777" w:rsidTr="00214723">
        <w:trPr>
          <w:cantSplit/>
          <w:trHeight w:val="454"/>
          <w:jc w:val="center"/>
        </w:trPr>
        <w:tc>
          <w:tcPr>
            <w:tcW w:w="1601" w:type="pct"/>
            <w:vAlign w:val="center"/>
          </w:tcPr>
          <w:p w14:paraId="0604D72C"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人均年薪酬</w:t>
            </w:r>
          </w:p>
        </w:tc>
        <w:tc>
          <w:tcPr>
            <w:tcW w:w="768" w:type="pct"/>
            <w:vAlign w:val="center"/>
          </w:tcPr>
          <w:p w14:paraId="02BF697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25.83</w:t>
            </w:r>
          </w:p>
        </w:tc>
        <w:tc>
          <w:tcPr>
            <w:tcW w:w="658" w:type="pct"/>
            <w:vAlign w:val="center"/>
          </w:tcPr>
          <w:p w14:paraId="043D895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26.60</w:t>
            </w:r>
          </w:p>
        </w:tc>
        <w:tc>
          <w:tcPr>
            <w:tcW w:w="658" w:type="pct"/>
            <w:vAlign w:val="center"/>
          </w:tcPr>
          <w:p w14:paraId="47CBA92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27.40</w:t>
            </w:r>
          </w:p>
        </w:tc>
        <w:tc>
          <w:tcPr>
            <w:tcW w:w="658" w:type="pct"/>
            <w:vAlign w:val="center"/>
          </w:tcPr>
          <w:p w14:paraId="6B250B0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28.22</w:t>
            </w:r>
          </w:p>
        </w:tc>
        <w:tc>
          <w:tcPr>
            <w:tcW w:w="658" w:type="pct"/>
            <w:vAlign w:val="center"/>
          </w:tcPr>
          <w:p w14:paraId="0724321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29.07</w:t>
            </w:r>
          </w:p>
        </w:tc>
      </w:tr>
      <w:tr w:rsidR="00CD798F" w:rsidRPr="00D95B42" w14:paraId="7CCE9029" w14:textId="77777777" w:rsidTr="00214723">
        <w:trPr>
          <w:cantSplit/>
          <w:trHeight w:val="454"/>
          <w:jc w:val="center"/>
        </w:trPr>
        <w:tc>
          <w:tcPr>
            <w:tcW w:w="1601" w:type="pct"/>
            <w:vAlign w:val="center"/>
          </w:tcPr>
          <w:p w14:paraId="6D15EC3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人均薪酬年增长率</w:t>
            </w:r>
          </w:p>
        </w:tc>
        <w:tc>
          <w:tcPr>
            <w:tcW w:w="768" w:type="pct"/>
            <w:vAlign w:val="center"/>
          </w:tcPr>
          <w:p w14:paraId="7D13651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6C19702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26F16C4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16D4ACD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77F7E9B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bl>
    <w:p w14:paraId="1B7D5E06" w14:textId="77777777" w:rsidR="00CD798F" w:rsidRDefault="00CD798F" w:rsidP="00CD798F">
      <w:pPr>
        <w:pStyle w:val="005"/>
        <w:spacing w:before="120" w:after="120"/>
        <w:ind w:firstLine="480"/>
      </w:pPr>
      <w:r w:rsidRPr="000B0E8A">
        <w:rPr>
          <w:rFonts w:hint="eastAsia"/>
        </w:rPr>
        <w:t>从上表可见，报告期间内随着公司业务规模增长，</w:t>
      </w:r>
      <w:r>
        <w:rPr>
          <w:rFonts w:hint="eastAsia"/>
        </w:rPr>
        <w:t>管理</w:t>
      </w:r>
      <w:r w:rsidRPr="000B0E8A">
        <w:rPr>
          <w:rFonts w:hint="eastAsia"/>
        </w:rPr>
        <w:t>人员数量有所增加，职工薪酬相应提升，人均薪酬年增长率稳定。</w:t>
      </w:r>
    </w:p>
    <w:p w14:paraId="338CB9AA" w14:textId="77777777" w:rsidR="00CD798F" w:rsidRDefault="00CD798F" w:rsidP="00CD798F">
      <w:pPr>
        <w:pStyle w:val="004"/>
        <w:spacing w:before="120" w:after="120"/>
        <w:ind w:firstLine="482"/>
        <w:outlineLvl w:val="4"/>
      </w:pPr>
      <w:r>
        <w:rPr>
          <w:rFonts w:hint="eastAsia"/>
        </w:rPr>
        <w:t>（</w:t>
      </w:r>
      <w:r>
        <w:rPr>
          <w:rFonts w:hint="eastAsia"/>
        </w:rPr>
        <w:t>2</w:t>
      </w:r>
      <w:r>
        <w:rPr>
          <w:rFonts w:hint="eastAsia"/>
        </w:rPr>
        <w:t>）折旧摊销</w:t>
      </w:r>
    </w:p>
    <w:p w14:paraId="38BB6C0D" w14:textId="77777777" w:rsidR="00CD798F" w:rsidRDefault="00CD798F" w:rsidP="00CD798F">
      <w:pPr>
        <w:pStyle w:val="005"/>
        <w:spacing w:before="120" w:after="120"/>
        <w:ind w:firstLine="480"/>
      </w:pPr>
      <w:r w:rsidRPr="00463242">
        <w:rPr>
          <w:rFonts w:hint="eastAsia"/>
        </w:rPr>
        <w:t>标的公司</w:t>
      </w:r>
      <w:r>
        <w:rPr>
          <w:rFonts w:hint="eastAsia"/>
        </w:rPr>
        <w:t>管理费用中</w:t>
      </w:r>
      <w:r w:rsidRPr="00463242">
        <w:rPr>
          <w:rFonts w:hint="eastAsia"/>
        </w:rPr>
        <w:t>摊销及折旧主要包括</w:t>
      </w:r>
      <w:r>
        <w:rPr>
          <w:rFonts w:hint="eastAsia"/>
        </w:rPr>
        <w:t>管理</w:t>
      </w:r>
      <w:r w:rsidRPr="00463242">
        <w:rPr>
          <w:rFonts w:hint="eastAsia"/>
        </w:rPr>
        <w:t>人员使用的固定资产的折旧</w:t>
      </w:r>
      <w:r>
        <w:rPr>
          <w:rFonts w:hint="eastAsia"/>
        </w:rPr>
        <w:t>、</w:t>
      </w:r>
      <w:r w:rsidRPr="00463242">
        <w:rPr>
          <w:rFonts w:hint="eastAsia"/>
        </w:rPr>
        <w:t>使用</w:t>
      </w:r>
      <w:r w:rsidRPr="00463242">
        <w:rPr>
          <w:rFonts w:hint="eastAsia"/>
        </w:rPr>
        <w:lastRenderedPageBreak/>
        <w:t>权资产折旧以及无形资产摊销。报告期各期，标的公司摊销及折旧</w:t>
      </w:r>
      <w:r>
        <w:rPr>
          <w:rFonts w:hint="eastAsia"/>
        </w:rPr>
        <w:t>费用</w:t>
      </w:r>
      <w:r w:rsidRPr="00463242">
        <w:rPr>
          <w:rFonts w:hint="eastAsia"/>
        </w:rPr>
        <w:t>分别为</w:t>
      </w:r>
      <w:r w:rsidRPr="00AC4A0F">
        <w:t>802.64</w:t>
      </w:r>
      <w:r w:rsidRPr="00463242">
        <w:rPr>
          <w:rFonts w:hint="eastAsia"/>
        </w:rPr>
        <w:t>万元、</w:t>
      </w:r>
      <w:r w:rsidRPr="00AC4A0F">
        <w:t>544.64</w:t>
      </w:r>
      <w:r w:rsidRPr="00463242">
        <w:rPr>
          <w:rFonts w:hint="eastAsia"/>
        </w:rPr>
        <w:t>万元和</w:t>
      </w:r>
      <w:r w:rsidRPr="00AC4A0F">
        <w:t>223.96</w:t>
      </w:r>
      <w:r w:rsidRPr="00463242">
        <w:rPr>
          <w:rFonts w:hint="eastAsia"/>
        </w:rPr>
        <w:t>万元。本次评估对未来计入</w:t>
      </w:r>
      <w:r>
        <w:rPr>
          <w:rFonts w:hint="eastAsia"/>
        </w:rPr>
        <w:t>管理</w:t>
      </w:r>
      <w:r w:rsidRPr="00463242">
        <w:rPr>
          <w:rFonts w:hint="eastAsia"/>
        </w:rPr>
        <w:t>费用折旧</w:t>
      </w:r>
      <w:r>
        <w:rPr>
          <w:rFonts w:hint="eastAsia"/>
        </w:rPr>
        <w:t>摊销</w:t>
      </w:r>
      <w:r w:rsidRPr="00463242">
        <w:rPr>
          <w:rFonts w:hint="eastAsia"/>
        </w:rPr>
        <w:t>的</w:t>
      </w:r>
      <w:r>
        <w:rPr>
          <w:rFonts w:hint="eastAsia"/>
        </w:rPr>
        <w:t>长期资产</w:t>
      </w:r>
      <w:r w:rsidRPr="00463242">
        <w:rPr>
          <w:rFonts w:hint="eastAsia"/>
        </w:rPr>
        <w:t>按照未来各年的预计</w:t>
      </w:r>
      <w:r>
        <w:rPr>
          <w:rFonts w:hint="eastAsia"/>
        </w:rPr>
        <w:t>规模</w:t>
      </w:r>
      <w:r w:rsidRPr="00463242">
        <w:rPr>
          <w:rFonts w:hint="eastAsia"/>
        </w:rPr>
        <w:t>以及折旧和摊销年限进行预测。对于使用权资产折旧于本次预测期内全部调整为租金，合并进房租物业费进行测算，故预测期内（</w:t>
      </w:r>
      <w:r w:rsidRPr="00463242">
        <w:rPr>
          <w:rFonts w:hint="eastAsia"/>
        </w:rPr>
        <w:t>2025</w:t>
      </w:r>
      <w:r w:rsidRPr="00463242">
        <w:rPr>
          <w:rFonts w:hint="eastAsia"/>
        </w:rPr>
        <w:t>年</w:t>
      </w:r>
      <w:r w:rsidRPr="00463242">
        <w:rPr>
          <w:rFonts w:hint="eastAsia"/>
        </w:rPr>
        <w:t>7-12</w:t>
      </w:r>
      <w:r w:rsidRPr="00463242">
        <w:rPr>
          <w:rFonts w:hint="eastAsia"/>
        </w:rPr>
        <w:t>月及以后完整年度）均不再考虑使用权资产折旧的测算。</w:t>
      </w:r>
      <w:r>
        <w:rPr>
          <w:rFonts w:hint="eastAsia"/>
        </w:rPr>
        <w:t>具体情况如下：</w:t>
      </w:r>
    </w:p>
    <w:p w14:paraId="092CF888" w14:textId="77777777" w:rsidR="00CD798F" w:rsidRPr="00AC4A0F" w:rsidRDefault="00CD798F" w:rsidP="00CD798F">
      <w:pPr>
        <w:keepNext/>
        <w:jc w:val="right"/>
      </w:pPr>
      <w:r w:rsidRPr="003347DA">
        <w:t>单位：万元</w:t>
      </w:r>
    </w:p>
    <w:tbl>
      <w:tblPr>
        <w:tblW w:w="575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0"/>
        <w:gridCol w:w="1204"/>
        <w:gridCol w:w="1205"/>
        <w:gridCol w:w="1207"/>
        <w:gridCol w:w="1205"/>
        <w:gridCol w:w="1055"/>
        <w:gridCol w:w="1055"/>
        <w:gridCol w:w="1052"/>
        <w:gridCol w:w="1117"/>
      </w:tblGrid>
      <w:tr w:rsidR="00CD798F" w:rsidRPr="00D95B42" w14:paraId="0C16334C" w14:textId="77777777" w:rsidTr="00214723">
        <w:trPr>
          <w:cantSplit/>
          <w:trHeight w:val="454"/>
          <w:tblHeader/>
          <w:jc w:val="center"/>
        </w:trPr>
        <w:tc>
          <w:tcPr>
            <w:tcW w:w="634" w:type="pct"/>
            <w:vMerge w:val="restart"/>
            <w:vAlign w:val="center"/>
          </w:tcPr>
          <w:p w14:paraId="1D4729AA"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项目</w:t>
            </w:r>
          </w:p>
        </w:tc>
        <w:tc>
          <w:tcPr>
            <w:tcW w:w="1735" w:type="pct"/>
            <w:gridSpan w:val="3"/>
            <w:vAlign w:val="center"/>
          </w:tcPr>
          <w:p w14:paraId="4E161155"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报告期</w:t>
            </w:r>
          </w:p>
        </w:tc>
        <w:tc>
          <w:tcPr>
            <w:tcW w:w="2632" w:type="pct"/>
            <w:gridSpan w:val="5"/>
            <w:vAlign w:val="center"/>
          </w:tcPr>
          <w:p w14:paraId="3FA3DB05"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预测期</w:t>
            </w:r>
          </w:p>
        </w:tc>
      </w:tr>
      <w:tr w:rsidR="00CD798F" w:rsidRPr="00D95B42" w14:paraId="4AB64EEC" w14:textId="77777777" w:rsidTr="00214723">
        <w:trPr>
          <w:cantSplit/>
          <w:trHeight w:val="454"/>
          <w:tblHeader/>
          <w:jc w:val="center"/>
        </w:trPr>
        <w:tc>
          <w:tcPr>
            <w:tcW w:w="634" w:type="pct"/>
            <w:vMerge/>
            <w:vAlign w:val="center"/>
          </w:tcPr>
          <w:p w14:paraId="4ABAB457" w14:textId="77777777" w:rsidR="00CD798F" w:rsidRPr="00D95B42" w:rsidRDefault="00CD798F" w:rsidP="00214723">
            <w:pPr>
              <w:keepNext/>
              <w:jc w:val="center"/>
              <w:rPr>
                <w:rFonts w:ascii="Times New Roman" w:hAnsi="Times New Roman"/>
                <w:b/>
                <w:color w:val="000000"/>
                <w:sz w:val="20"/>
              </w:rPr>
            </w:pPr>
          </w:p>
        </w:tc>
        <w:tc>
          <w:tcPr>
            <w:tcW w:w="578" w:type="pct"/>
            <w:vAlign w:val="center"/>
          </w:tcPr>
          <w:p w14:paraId="77A53D40"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2023</w:t>
            </w:r>
            <w:r w:rsidRPr="00D95B42">
              <w:rPr>
                <w:rFonts w:ascii="Times New Roman" w:hAnsi="Times New Roman"/>
                <w:b/>
                <w:color w:val="000000"/>
                <w:sz w:val="20"/>
              </w:rPr>
              <w:t>年度</w:t>
            </w:r>
          </w:p>
        </w:tc>
        <w:tc>
          <w:tcPr>
            <w:tcW w:w="578" w:type="pct"/>
            <w:vAlign w:val="center"/>
          </w:tcPr>
          <w:p w14:paraId="192BC3AD"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2024</w:t>
            </w:r>
            <w:r w:rsidRPr="00D95B42">
              <w:rPr>
                <w:rFonts w:ascii="Times New Roman" w:hAnsi="Times New Roman"/>
                <w:b/>
                <w:color w:val="000000"/>
                <w:sz w:val="20"/>
              </w:rPr>
              <w:t>年度</w:t>
            </w:r>
          </w:p>
        </w:tc>
        <w:tc>
          <w:tcPr>
            <w:tcW w:w="578" w:type="pct"/>
            <w:vAlign w:val="center"/>
          </w:tcPr>
          <w:p w14:paraId="3EFE8E67"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2025</w:t>
            </w:r>
            <w:r w:rsidRPr="00D95B42">
              <w:rPr>
                <w:rFonts w:ascii="Times New Roman" w:hAnsi="Times New Roman"/>
                <w:b/>
                <w:color w:val="000000"/>
                <w:sz w:val="20"/>
              </w:rPr>
              <w:t>年</w:t>
            </w:r>
            <w:r w:rsidRPr="00D95B42">
              <w:rPr>
                <w:rFonts w:ascii="Times New Roman" w:hAnsi="Times New Roman"/>
                <w:b/>
                <w:color w:val="000000"/>
                <w:sz w:val="20"/>
              </w:rPr>
              <w:t>1-6</w:t>
            </w:r>
            <w:r w:rsidRPr="00D95B42">
              <w:rPr>
                <w:rFonts w:ascii="Times New Roman" w:hAnsi="Times New Roman"/>
                <w:b/>
                <w:color w:val="000000"/>
                <w:sz w:val="20"/>
              </w:rPr>
              <w:t>月</w:t>
            </w:r>
          </w:p>
        </w:tc>
        <w:tc>
          <w:tcPr>
            <w:tcW w:w="578" w:type="pct"/>
            <w:vAlign w:val="center"/>
          </w:tcPr>
          <w:p w14:paraId="46A9D4FE"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2025</w:t>
            </w:r>
            <w:r w:rsidRPr="00D95B42">
              <w:rPr>
                <w:rFonts w:ascii="Times New Roman" w:hAnsi="Times New Roman"/>
                <w:b/>
                <w:color w:val="000000"/>
                <w:sz w:val="20"/>
              </w:rPr>
              <w:t>全年</w:t>
            </w:r>
          </w:p>
        </w:tc>
        <w:tc>
          <w:tcPr>
            <w:tcW w:w="506" w:type="pct"/>
            <w:vAlign w:val="center"/>
          </w:tcPr>
          <w:p w14:paraId="7C5CEA5D"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2026</w:t>
            </w:r>
            <w:r w:rsidRPr="00D95B42">
              <w:rPr>
                <w:rFonts w:ascii="Times New Roman" w:hAnsi="Times New Roman"/>
                <w:b/>
                <w:color w:val="000000"/>
                <w:sz w:val="20"/>
              </w:rPr>
              <w:t>年</w:t>
            </w:r>
          </w:p>
        </w:tc>
        <w:tc>
          <w:tcPr>
            <w:tcW w:w="506" w:type="pct"/>
            <w:vAlign w:val="center"/>
          </w:tcPr>
          <w:p w14:paraId="1397E6AD"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2027</w:t>
            </w:r>
            <w:r w:rsidRPr="00D95B42">
              <w:rPr>
                <w:rFonts w:ascii="Times New Roman" w:hAnsi="Times New Roman"/>
                <w:b/>
                <w:color w:val="000000"/>
                <w:sz w:val="20"/>
              </w:rPr>
              <w:t>年</w:t>
            </w:r>
          </w:p>
        </w:tc>
        <w:tc>
          <w:tcPr>
            <w:tcW w:w="505" w:type="pct"/>
            <w:vAlign w:val="center"/>
          </w:tcPr>
          <w:p w14:paraId="45793C1C"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2028</w:t>
            </w:r>
            <w:r w:rsidRPr="00D95B42">
              <w:rPr>
                <w:rFonts w:ascii="Times New Roman" w:hAnsi="Times New Roman"/>
                <w:b/>
                <w:color w:val="000000"/>
                <w:sz w:val="20"/>
              </w:rPr>
              <w:t>年</w:t>
            </w:r>
          </w:p>
        </w:tc>
        <w:tc>
          <w:tcPr>
            <w:tcW w:w="536" w:type="pct"/>
            <w:vAlign w:val="center"/>
          </w:tcPr>
          <w:p w14:paraId="5703E007" w14:textId="77777777" w:rsidR="00CD798F" w:rsidRPr="00D95B42" w:rsidRDefault="00CD798F" w:rsidP="00214723">
            <w:pPr>
              <w:keepNext/>
              <w:jc w:val="center"/>
              <w:rPr>
                <w:rFonts w:ascii="Times New Roman" w:hAnsi="Times New Roman"/>
                <w:b/>
                <w:color w:val="000000"/>
                <w:sz w:val="20"/>
              </w:rPr>
            </w:pPr>
            <w:r w:rsidRPr="00D95B42">
              <w:rPr>
                <w:rFonts w:ascii="Times New Roman" w:hAnsi="Times New Roman"/>
                <w:b/>
                <w:color w:val="000000"/>
                <w:sz w:val="20"/>
              </w:rPr>
              <w:t>2029</w:t>
            </w:r>
            <w:r w:rsidRPr="00D95B42">
              <w:rPr>
                <w:rFonts w:ascii="Times New Roman" w:hAnsi="Times New Roman"/>
                <w:b/>
                <w:color w:val="000000"/>
                <w:sz w:val="20"/>
              </w:rPr>
              <w:t>年</w:t>
            </w:r>
          </w:p>
        </w:tc>
      </w:tr>
      <w:tr w:rsidR="00CD798F" w:rsidRPr="00D95B42" w14:paraId="5342D1BB" w14:textId="77777777" w:rsidTr="00214723">
        <w:trPr>
          <w:cantSplit/>
          <w:trHeight w:val="454"/>
          <w:jc w:val="center"/>
        </w:trPr>
        <w:tc>
          <w:tcPr>
            <w:tcW w:w="634" w:type="pct"/>
            <w:vAlign w:val="center"/>
          </w:tcPr>
          <w:p w14:paraId="4EFEA088" w14:textId="77777777" w:rsidR="00CD798F" w:rsidRPr="00D95B42" w:rsidRDefault="00CD798F" w:rsidP="00214723">
            <w:pPr>
              <w:rPr>
                <w:rFonts w:ascii="Times New Roman" w:hAnsi="Times New Roman"/>
                <w:color w:val="000000"/>
                <w:sz w:val="20"/>
              </w:rPr>
            </w:pPr>
            <w:r w:rsidRPr="00D95B42">
              <w:rPr>
                <w:rFonts w:ascii="Times New Roman" w:hAnsi="Times New Roman"/>
                <w:color w:val="000000"/>
                <w:sz w:val="20"/>
              </w:rPr>
              <w:t>折旧和摊销</w:t>
            </w:r>
          </w:p>
        </w:tc>
        <w:tc>
          <w:tcPr>
            <w:tcW w:w="578" w:type="pct"/>
            <w:vAlign w:val="center"/>
          </w:tcPr>
          <w:p w14:paraId="1961515B"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802.64</w:t>
            </w:r>
          </w:p>
        </w:tc>
        <w:tc>
          <w:tcPr>
            <w:tcW w:w="578" w:type="pct"/>
            <w:vAlign w:val="center"/>
          </w:tcPr>
          <w:p w14:paraId="457AE2A1"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544.64</w:t>
            </w:r>
          </w:p>
        </w:tc>
        <w:tc>
          <w:tcPr>
            <w:tcW w:w="578" w:type="pct"/>
            <w:vAlign w:val="center"/>
          </w:tcPr>
          <w:p w14:paraId="16551AC6"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223.96</w:t>
            </w:r>
          </w:p>
        </w:tc>
        <w:tc>
          <w:tcPr>
            <w:tcW w:w="578" w:type="pct"/>
            <w:vAlign w:val="center"/>
          </w:tcPr>
          <w:p w14:paraId="59F0E110"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 xml:space="preserve">416.57 </w:t>
            </w:r>
          </w:p>
        </w:tc>
        <w:tc>
          <w:tcPr>
            <w:tcW w:w="506" w:type="pct"/>
            <w:vAlign w:val="center"/>
          </w:tcPr>
          <w:p w14:paraId="08F7196D"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 xml:space="preserve">389.97 </w:t>
            </w:r>
          </w:p>
        </w:tc>
        <w:tc>
          <w:tcPr>
            <w:tcW w:w="506" w:type="pct"/>
            <w:vAlign w:val="center"/>
          </w:tcPr>
          <w:p w14:paraId="0A9732AF"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 xml:space="preserve">394.72 </w:t>
            </w:r>
          </w:p>
        </w:tc>
        <w:tc>
          <w:tcPr>
            <w:tcW w:w="505" w:type="pct"/>
            <w:vAlign w:val="center"/>
          </w:tcPr>
          <w:p w14:paraId="65800D02"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 xml:space="preserve">394.72 </w:t>
            </w:r>
          </w:p>
        </w:tc>
        <w:tc>
          <w:tcPr>
            <w:tcW w:w="536" w:type="pct"/>
            <w:vAlign w:val="center"/>
          </w:tcPr>
          <w:p w14:paraId="7C7FF0B9" w14:textId="77777777" w:rsidR="00CD798F" w:rsidRPr="00D95B42" w:rsidRDefault="00CD798F" w:rsidP="00214723">
            <w:pPr>
              <w:jc w:val="right"/>
              <w:rPr>
                <w:rFonts w:ascii="Times New Roman" w:hAnsi="Times New Roman"/>
                <w:color w:val="000000"/>
                <w:sz w:val="20"/>
              </w:rPr>
            </w:pPr>
            <w:r w:rsidRPr="00D95B42">
              <w:rPr>
                <w:rFonts w:ascii="Times New Roman" w:hAnsi="Times New Roman"/>
                <w:color w:val="000000"/>
                <w:sz w:val="20"/>
              </w:rPr>
              <w:t xml:space="preserve">394.72 </w:t>
            </w:r>
          </w:p>
        </w:tc>
      </w:tr>
    </w:tbl>
    <w:p w14:paraId="4574DBC2" w14:textId="77777777" w:rsidR="00CD798F" w:rsidRDefault="00CD798F" w:rsidP="00CD798F">
      <w:pPr>
        <w:pStyle w:val="004"/>
        <w:spacing w:before="120" w:after="120"/>
        <w:ind w:firstLine="482"/>
        <w:outlineLvl w:val="4"/>
      </w:pPr>
      <w:r w:rsidRPr="002B7838">
        <w:rPr>
          <w:rFonts w:hint="eastAsia"/>
        </w:rPr>
        <w:t>（</w:t>
      </w:r>
      <w:r w:rsidRPr="002B7838">
        <w:rPr>
          <w:rFonts w:hint="eastAsia"/>
        </w:rPr>
        <w:t>3</w:t>
      </w:r>
      <w:r w:rsidRPr="002B7838">
        <w:rPr>
          <w:rFonts w:hint="eastAsia"/>
        </w:rPr>
        <w:t>）办公及差旅费用、业务招待费</w:t>
      </w:r>
      <w:r>
        <w:rPr>
          <w:rFonts w:hint="eastAsia"/>
        </w:rPr>
        <w:t>、</w:t>
      </w:r>
      <w:r w:rsidRPr="002B7838">
        <w:rPr>
          <w:rFonts w:hint="eastAsia"/>
        </w:rPr>
        <w:t>专业服务与咨询费用</w:t>
      </w:r>
      <w:r>
        <w:rPr>
          <w:rFonts w:hint="eastAsia"/>
        </w:rPr>
        <w:t>和</w:t>
      </w:r>
      <w:r w:rsidRPr="002B7838">
        <w:rPr>
          <w:rFonts w:hint="eastAsia"/>
        </w:rPr>
        <w:t>其他费用</w:t>
      </w:r>
    </w:p>
    <w:p w14:paraId="2F1F7FBD" w14:textId="77777777" w:rsidR="00CD798F" w:rsidRDefault="00CD798F" w:rsidP="00CD798F">
      <w:pPr>
        <w:pStyle w:val="005"/>
        <w:spacing w:before="120" w:after="120"/>
        <w:ind w:firstLine="480"/>
      </w:pPr>
      <w:r w:rsidRPr="00AF3466">
        <w:rPr>
          <w:rFonts w:hint="eastAsia"/>
        </w:rPr>
        <w:t>办公及差旅费用、业务招待费</w:t>
      </w:r>
      <w:r>
        <w:rPr>
          <w:rFonts w:hint="eastAsia"/>
        </w:rPr>
        <w:t>、</w:t>
      </w:r>
      <w:r w:rsidRPr="00601BB0">
        <w:rPr>
          <w:rFonts w:hint="eastAsia"/>
        </w:rPr>
        <w:t>专业服务与咨询费用</w:t>
      </w:r>
      <w:r w:rsidRPr="00AF3466">
        <w:rPr>
          <w:rFonts w:hint="eastAsia"/>
        </w:rPr>
        <w:t>与企业的营业收入有较强的相关性，预测期内公司的业务增长</w:t>
      </w:r>
      <w:r>
        <w:rPr>
          <w:rFonts w:hint="eastAsia"/>
        </w:rPr>
        <w:t>稳定，</w:t>
      </w:r>
      <w:r w:rsidRPr="00AF3466">
        <w:rPr>
          <w:rFonts w:hint="eastAsia"/>
        </w:rPr>
        <w:t>未来按一定的占收入比例预测</w:t>
      </w:r>
      <w:r>
        <w:rPr>
          <w:rFonts w:hint="eastAsia"/>
        </w:rPr>
        <w:t>；</w:t>
      </w:r>
      <w:r w:rsidRPr="00601BB0">
        <w:rPr>
          <w:rFonts w:hint="eastAsia"/>
        </w:rPr>
        <w:t>其他费用</w:t>
      </w:r>
      <w:r>
        <w:rPr>
          <w:rFonts w:hint="eastAsia"/>
        </w:rPr>
        <w:t>主要</w:t>
      </w:r>
      <w:r w:rsidRPr="00601BB0">
        <w:rPr>
          <w:rFonts w:hint="eastAsia"/>
        </w:rPr>
        <w:t>系管理人员日常办公发生的其他零星费用，</w:t>
      </w:r>
      <w:r>
        <w:rPr>
          <w:rFonts w:hint="eastAsia"/>
        </w:rPr>
        <w:t>报告期内</w:t>
      </w:r>
      <w:r w:rsidRPr="00601BB0">
        <w:rPr>
          <w:rFonts w:hint="eastAsia"/>
        </w:rPr>
        <w:t>发生金额占营业收入的比例在</w:t>
      </w:r>
      <w:r w:rsidRPr="00601BB0">
        <w:rPr>
          <w:rFonts w:hint="eastAsia"/>
        </w:rPr>
        <w:t>0.10%-0.12%</w:t>
      </w:r>
      <w:r w:rsidRPr="00601BB0">
        <w:rPr>
          <w:rFonts w:hint="eastAsia"/>
        </w:rPr>
        <w:t>之间，本次预测期内对该项费用按占营业收入的</w:t>
      </w:r>
      <w:r w:rsidRPr="00601BB0">
        <w:rPr>
          <w:rFonts w:hint="eastAsia"/>
        </w:rPr>
        <w:t>0.10%</w:t>
      </w:r>
      <w:r w:rsidRPr="00601BB0">
        <w:rPr>
          <w:rFonts w:hint="eastAsia"/>
        </w:rPr>
        <w:t>测算</w:t>
      </w:r>
      <w:r>
        <w:rPr>
          <w:rFonts w:hint="eastAsia"/>
        </w:rPr>
        <w:t>。</w:t>
      </w:r>
      <w:r w:rsidRPr="00AF3466">
        <w:rPr>
          <w:rFonts w:hint="eastAsia"/>
        </w:rPr>
        <w:t>具体情况如下：</w:t>
      </w:r>
    </w:p>
    <w:p w14:paraId="66743C77" w14:textId="77777777" w:rsidR="00CD798F" w:rsidRPr="00807CA9" w:rsidRDefault="00CD798F" w:rsidP="00CD798F">
      <w:pPr>
        <w:keepNext/>
        <w:jc w:val="right"/>
      </w:pPr>
      <w:r w:rsidRPr="003347DA">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076"/>
        <w:gridCol w:w="1413"/>
        <w:gridCol w:w="1143"/>
        <w:gridCol w:w="1143"/>
        <w:gridCol w:w="1143"/>
        <w:gridCol w:w="1143"/>
      </w:tblGrid>
      <w:tr w:rsidR="00CD798F" w:rsidRPr="00D95B42" w14:paraId="75573598" w14:textId="77777777" w:rsidTr="00214723">
        <w:trPr>
          <w:cantSplit/>
          <w:trHeight w:val="454"/>
          <w:tblHeader/>
          <w:jc w:val="center"/>
        </w:trPr>
        <w:tc>
          <w:tcPr>
            <w:tcW w:w="1697" w:type="pct"/>
            <w:vMerge w:val="restart"/>
            <w:vAlign w:val="center"/>
          </w:tcPr>
          <w:p w14:paraId="1440940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303" w:type="pct"/>
            <w:gridSpan w:val="5"/>
            <w:vAlign w:val="center"/>
          </w:tcPr>
          <w:p w14:paraId="0C7B682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614259C2" w14:textId="77777777" w:rsidTr="00214723">
        <w:trPr>
          <w:cantSplit/>
          <w:trHeight w:val="454"/>
          <w:tblHeader/>
          <w:jc w:val="center"/>
        </w:trPr>
        <w:tc>
          <w:tcPr>
            <w:tcW w:w="1697" w:type="pct"/>
            <w:vMerge/>
            <w:vAlign w:val="center"/>
          </w:tcPr>
          <w:p w14:paraId="2DB00679" w14:textId="77777777" w:rsidR="00CD798F" w:rsidRPr="00D95B42" w:rsidRDefault="00CD798F" w:rsidP="00214723">
            <w:pPr>
              <w:keepNext/>
              <w:jc w:val="center"/>
              <w:rPr>
                <w:rFonts w:ascii="Times New Roman" w:hAnsi="Times New Roman"/>
                <w:b/>
                <w:color w:val="000000"/>
              </w:rPr>
            </w:pPr>
          </w:p>
        </w:tc>
        <w:tc>
          <w:tcPr>
            <w:tcW w:w="779" w:type="pct"/>
            <w:vAlign w:val="center"/>
          </w:tcPr>
          <w:p w14:paraId="54F52C58"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631" w:type="pct"/>
            <w:vAlign w:val="center"/>
          </w:tcPr>
          <w:p w14:paraId="5CB30462"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631" w:type="pct"/>
            <w:vAlign w:val="center"/>
          </w:tcPr>
          <w:p w14:paraId="5ABC0A5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631" w:type="pct"/>
            <w:vAlign w:val="center"/>
          </w:tcPr>
          <w:p w14:paraId="7AE5137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631" w:type="pct"/>
            <w:vAlign w:val="center"/>
          </w:tcPr>
          <w:p w14:paraId="41291CC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6F909B91" w14:textId="77777777" w:rsidTr="00214723">
        <w:trPr>
          <w:cantSplit/>
          <w:trHeight w:val="454"/>
          <w:jc w:val="center"/>
        </w:trPr>
        <w:tc>
          <w:tcPr>
            <w:tcW w:w="1697" w:type="pct"/>
            <w:vAlign w:val="center"/>
          </w:tcPr>
          <w:p w14:paraId="497A424A"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1</w:t>
            </w:r>
            <w:r w:rsidRPr="00D95B42">
              <w:rPr>
                <w:rFonts w:ascii="Times New Roman" w:hAnsi="Times New Roman"/>
                <w:b/>
                <w:color w:val="000000"/>
              </w:rPr>
              <w:t>、办公及差旅费用</w:t>
            </w:r>
          </w:p>
        </w:tc>
        <w:tc>
          <w:tcPr>
            <w:tcW w:w="779" w:type="pct"/>
            <w:vAlign w:val="center"/>
          </w:tcPr>
          <w:p w14:paraId="724DF06A"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356.90</w:t>
            </w:r>
          </w:p>
        </w:tc>
        <w:tc>
          <w:tcPr>
            <w:tcW w:w="631" w:type="pct"/>
            <w:vAlign w:val="center"/>
          </w:tcPr>
          <w:p w14:paraId="330D030D"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367.61</w:t>
            </w:r>
          </w:p>
        </w:tc>
        <w:tc>
          <w:tcPr>
            <w:tcW w:w="631" w:type="pct"/>
            <w:vAlign w:val="center"/>
          </w:tcPr>
          <w:p w14:paraId="153ADCF9"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378.64</w:t>
            </w:r>
          </w:p>
        </w:tc>
        <w:tc>
          <w:tcPr>
            <w:tcW w:w="631" w:type="pct"/>
            <w:vAlign w:val="center"/>
          </w:tcPr>
          <w:p w14:paraId="0E3BE85E"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390.00</w:t>
            </w:r>
          </w:p>
        </w:tc>
        <w:tc>
          <w:tcPr>
            <w:tcW w:w="631" w:type="pct"/>
            <w:vAlign w:val="center"/>
          </w:tcPr>
          <w:p w14:paraId="2B4E228F"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401.70</w:t>
            </w:r>
          </w:p>
        </w:tc>
      </w:tr>
      <w:tr w:rsidR="00CD798F" w:rsidRPr="00D95B42" w14:paraId="540BFB44" w14:textId="77777777" w:rsidTr="00214723">
        <w:trPr>
          <w:cantSplit/>
          <w:trHeight w:val="454"/>
          <w:jc w:val="center"/>
        </w:trPr>
        <w:tc>
          <w:tcPr>
            <w:tcW w:w="1697" w:type="pct"/>
            <w:vAlign w:val="center"/>
          </w:tcPr>
          <w:p w14:paraId="19ACFEC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779" w:type="pct"/>
            <w:vAlign w:val="center"/>
          </w:tcPr>
          <w:p w14:paraId="1CB761A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4229139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3CE140E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2882B3F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393F7F8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r w:rsidR="00CD798F" w:rsidRPr="00D95B42" w14:paraId="75F25A5B" w14:textId="77777777" w:rsidTr="00214723">
        <w:trPr>
          <w:cantSplit/>
          <w:trHeight w:val="454"/>
          <w:jc w:val="center"/>
        </w:trPr>
        <w:tc>
          <w:tcPr>
            <w:tcW w:w="1697" w:type="pct"/>
            <w:vAlign w:val="center"/>
          </w:tcPr>
          <w:p w14:paraId="6AB33365"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2</w:t>
            </w:r>
            <w:r w:rsidRPr="00D95B42">
              <w:rPr>
                <w:rFonts w:ascii="Times New Roman" w:hAnsi="Times New Roman"/>
                <w:b/>
                <w:color w:val="000000"/>
              </w:rPr>
              <w:t>、业务招待费</w:t>
            </w:r>
          </w:p>
        </w:tc>
        <w:tc>
          <w:tcPr>
            <w:tcW w:w="779" w:type="pct"/>
            <w:vAlign w:val="center"/>
          </w:tcPr>
          <w:p w14:paraId="77C7A5C5"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148.84</w:t>
            </w:r>
          </w:p>
        </w:tc>
        <w:tc>
          <w:tcPr>
            <w:tcW w:w="631" w:type="pct"/>
            <w:vAlign w:val="center"/>
          </w:tcPr>
          <w:p w14:paraId="412F6EFA"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153.31</w:t>
            </w:r>
          </w:p>
        </w:tc>
        <w:tc>
          <w:tcPr>
            <w:tcW w:w="631" w:type="pct"/>
            <w:vAlign w:val="center"/>
          </w:tcPr>
          <w:p w14:paraId="53C142C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157.91</w:t>
            </w:r>
          </w:p>
        </w:tc>
        <w:tc>
          <w:tcPr>
            <w:tcW w:w="631" w:type="pct"/>
            <w:vAlign w:val="center"/>
          </w:tcPr>
          <w:p w14:paraId="382B19CB"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162.65</w:t>
            </w:r>
          </w:p>
        </w:tc>
        <w:tc>
          <w:tcPr>
            <w:tcW w:w="631" w:type="pct"/>
            <w:vAlign w:val="center"/>
          </w:tcPr>
          <w:p w14:paraId="68894A40"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167.53</w:t>
            </w:r>
          </w:p>
        </w:tc>
      </w:tr>
      <w:tr w:rsidR="00CD798F" w:rsidRPr="00D95B42" w14:paraId="48EF96FB" w14:textId="77777777" w:rsidTr="00214723">
        <w:trPr>
          <w:cantSplit/>
          <w:trHeight w:val="454"/>
          <w:jc w:val="center"/>
        </w:trPr>
        <w:tc>
          <w:tcPr>
            <w:tcW w:w="1697" w:type="pct"/>
            <w:vAlign w:val="center"/>
          </w:tcPr>
          <w:p w14:paraId="6D813E7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779" w:type="pct"/>
            <w:vAlign w:val="center"/>
          </w:tcPr>
          <w:p w14:paraId="1246E46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44B516A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72334A0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34ABD95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31" w:type="pct"/>
            <w:vAlign w:val="center"/>
          </w:tcPr>
          <w:p w14:paraId="3FBCCC1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r w:rsidR="00CD798F" w:rsidRPr="00D95B42" w14:paraId="5D16C5C4" w14:textId="77777777" w:rsidTr="00214723">
        <w:trPr>
          <w:cantSplit/>
          <w:trHeight w:val="454"/>
          <w:jc w:val="center"/>
        </w:trPr>
        <w:tc>
          <w:tcPr>
            <w:tcW w:w="1697" w:type="pct"/>
            <w:vAlign w:val="center"/>
          </w:tcPr>
          <w:p w14:paraId="2A7FED3B"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3</w:t>
            </w:r>
            <w:r w:rsidRPr="00D95B42">
              <w:rPr>
                <w:rFonts w:ascii="Times New Roman" w:hAnsi="Times New Roman"/>
                <w:b/>
                <w:color w:val="000000"/>
              </w:rPr>
              <w:t>、专业服务与咨询费用</w:t>
            </w:r>
          </w:p>
        </w:tc>
        <w:tc>
          <w:tcPr>
            <w:tcW w:w="779" w:type="pct"/>
            <w:vAlign w:val="center"/>
          </w:tcPr>
          <w:p w14:paraId="08BCC64E"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367.41</w:t>
            </w:r>
          </w:p>
        </w:tc>
        <w:tc>
          <w:tcPr>
            <w:tcW w:w="631" w:type="pct"/>
            <w:vAlign w:val="center"/>
          </w:tcPr>
          <w:p w14:paraId="4D1057F5"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392.52</w:t>
            </w:r>
          </w:p>
        </w:tc>
        <w:tc>
          <w:tcPr>
            <w:tcW w:w="631" w:type="pct"/>
            <w:vAlign w:val="center"/>
          </w:tcPr>
          <w:p w14:paraId="070B1FA2"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414.97</w:t>
            </w:r>
          </w:p>
        </w:tc>
        <w:tc>
          <w:tcPr>
            <w:tcW w:w="631" w:type="pct"/>
            <w:vAlign w:val="center"/>
          </w:tcPr>
          <w:p w14:paraId="50C94438"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433.83</w:t>
            </w:r>
          </w:p>
        </w:tc>
        <w:tc>
          <w:tcPr>
            <w:tcW w:w="631" w:type="pct"/>
            <w:vAlign w:val="center"/>
          </w:tcPr>
          <w:p w14:paraId="544B054A"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449.75</w:t>
            </w:r>
          </w:p>
        </w:tc>
      </w:tr>
      <w:tr w:rsidR="00CD798F" w:rsidRPr="00D95B42" w14:paraId="43AB0C52" w14:textId="77777777" w:rsidTr="00214723">
        <w:trPr>
          <w:cantSplit/>
          <w:trHeight w:val="454"/>
          <w:jc w:val="center"/>
        </w:trPr>
        <w:tc>
          <w:tcPr>
            <w:tcW w:w="1697" w:type="pct"/>
            <w:vAlign w:val="center"/>
          </w:tcPr>
          <w:p w14:paraId="4DADE0E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779" w:type="pct"/>
            <w:vAlign w:val="center"/>
          </w:tcPr>
          <w:p w14:paraId="2299923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0.70%</w:t>
            </w:r>
          </w:p>
        </w:tc>
        <w:tc>
          <w:tcPr>
            <w:tcW w:w="631" w:type="pct"/>
            <w:vAlign w:val="center"/>
          </w:tcPr>
          <w:p w14:paraId="788B772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0.70%</w:t>
            </w:r>
          </w:p>
        </w:tc>
        <w:tc>
          <w:tcPr>
            <w:tcW w:w="631" w:type="pct"/>
            <w:vAlign w:val="center"/>
          </w:tcPr>
          <w:p w14:paraId="196753A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0.70%</w:t>
            </w:r>
          </w:p>
        </w:tc>
        <w:tc>
          <w:tcPr>
            <w:tcW w:w="631" w:type="pct"/>
            <w:vAlign w:val="center"/>
          </w:tcPr>
          <w:p w14:paraId="2C01464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0.70%</w:t>
            </w:r>
          </w:p>
        </w:tc>
        <w:tc>
          <w:tcPr>
            <w:tcW w:w="631" w:type="pct"/>
            <w:vAlign w:val="center"/>
          </w:tcPr>
          <w:p w14:paraId="47F2AB8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0.70%</w:t>
            </w:r>
          </w:p>
        </w:tc>
      </w:tr>
      <w:tr w:rsidR="00CD798F" w:rsidRPr="00D95B42" w14:paraId="7CEFEF6F" w14:textId="77777777" w:rsidTr="00214723">
        <w:trPr>
          <w:cantSplit/>
          <w:trHeight w:val="454"/>
          <w:jc w:val="center"/>
        </w:trPr>
        <w:tc>
          <w:tcPr>
            <w:tcW w:w="1697" w:type="pct"/>
            <w:vAlign w:val="center"/>
          </w:tcPr>
          <w:p w14:paraId="14047B0F"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4</w:t>
            </w:r>
            <w:r w:rsidRPr="00D95B42">
              <w:rPr>
                <w:rFonts w:ascii="Times New Roman" w:hAnsi="Times New Roman"/>
                <w:b/>
                <w:color w:val="000000"/>
              </w:rPr>
              <w:t>、其他费用</w:t>
            </w:r>
          </w:p>
        </w:tc>
        <w:tc>
          <w:tcPr>
            <w:tcW w:w="779" w:type="pct"/>
            <w:vAlign w:val="center"/>
          </w:tcPr>
          <w:p w14:paraId="0AF1BD0D"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52.49</w:t>
            </w:r>
          </w:p>
        </w:tc>
        <w:tc>
          <w:tcPr>
            <w:tcW w:w="631" w:type="pct"/>
            <w:vAlign w:val="center"/>
          </w:tcPr>
          <w:p w14:paraId="76EE63F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56.07</w:t>
            </w:r>
          </w:p>
        </w:tc>
        <w:tc>
          <w:tcPr>
            <w:tcW w:w="631" w:type="pct"/>
            <w:vAlign w:val="center"/>
          </w:tcPr>
          <w:p w14:paraId="327D6561"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59.28</w:t>
            </w:r>
          </w:p>
        </w:tc>
        <w:tc>
          <w:tcPr>
            <w:tcW w:w="631" w:type="pct"/>
            <w:vAlign w:val="center"/>
          </w:tcPr>
          <w:p w14:paraId="0FA6F6B5"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61.98</w:t>
            </w:r>
          </w:p>
        </w:tc>
        <w:tc>
          <w:tcPr>
            <w:tcW w:w="631" w:type="pct"/>
            <w:vAlign w:val="center"/>
          </w:tcPr>
          <w:p w14:paraId="135347A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64.25</w:t>
            </w:r>
          </w:p>
        </w:tc>
      </w:tr>
      <w:tr w:rsidR="00CD798F" w:rsidRPr="00D95B42" w14:paraId="6C3051F8" w14:textId="77777777" w:rsidTr="00214723">
        <w:trPr>
          <w:cantSplit/>
          <w:trHeight w:val="454"/>
          <w:jc w:val="center"/>
        </w:trPr>
        <w:tc>
          <w:tcPr>
            <w:tcW w:w="1697" w:type="pct"/>
            <w:vAlign w:val="center"/>
          </w:tcPr>
          <w:p w14:paraId="1BC1708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lastRenderedPageBreak/>
              <w:t>占营业收入比例</w:t>
            </w:r>
          </w:p>
        </w:tc>
        <w:tc>
          <w:tcPr>
            <w:tcW w:w="779" w:type="pct"/>
            <w:vAlign w:val="center"/>
          </w:tcPr>
          <w:p w14:paraId="6705F66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0.10%</w:t>
            </w:r>
          </w:p>
        </w:tc>
        <w:tc>
          <w:tcPr>
            <w:tcW w:w="631" w:type="pct"/>
            <w:vAlign w:val="center"/>
          </w:tcPr>
          <w:p w14:paraId="6AC9C83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0.10%</w:t>
            </w:r>
          </w:p>
        </w:tc>
        <w:tc>
          <w:tcPr>
            <w:tcW w:w="631" w:type="pct"/>
            <w:vAlign w:val="center"/>
          </w:tcPr>
          <w:p w14:paraId="5A1201A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0.10%</w:t>
            </w:r>
          </w:p>
        </w:tc>
        <w:tc>
          <w:tcPr>
            <w:tcW w:w="631" w:type="pct"/>
            <w:vAlign w:val="center"/>
          </w:tcPr>
          <w:p w14:paraId="7FD6354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0.10%</w:t>
            </w:r>
          </w:p>
        </w:tc>
        <w:tc>
          <w:tcPr>
            <w:tcW w:w="631" w:type="pct"/>
            <w:vAlign w:val="center"/>
          </w:tcPr>
          <w:p w14:paraId="57C6442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0.10%</w:t>
            </w:r>
          </w:p>
        </w:tc>
      </w:tr>
      <w:tr w:rsidR="00CD798F" w:rsidRPr="00D95B42" w14:paraId="3548D714" w14:textId="77777777" w:rsidTr="00214723">
        <w:trPr>
          <w:cantSplit/>
          <w:trHeight w:val="454"/>
          <w:jc w:val="center"/>
        </w:trPr>
        <w:tc>
          <w:tcPr>
            <w:tcW w:w="1697" w:type="pct"/>
            <w:vAlign w:val="center"/>
          </w:tcPr>
          <w:p w14:paraId="14C588D6"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上述费用合计</w:t>
            </w:r>
          </w:p>
        </w:tc>
        <w:tc>
          <w:tcPr>
            <w:tcW w:w="779" w:type="pct"/>
            <w:vAlign w:val="center"/>
          </w:tcPr>
          <w:p w14:paraId="791F496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925.64 </w:t>
            </w:r>
          </w:p>
        </w:tc>
        <w:tc>
          <w:tcPr>
            <w:tcW w:w="631" w:type="pct"/>
            <w:vAlign w:val="center"/>
          </w:tcPr>
          <w:p w14:paraId="404F5E64"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969.51 </w:t>
            </w:r>
          </w:p>
        </w:tc>
        <w:tc>
          <w:tcPr>
            <w:tcW w:w="631" w:type="pct"/>
            <w:vAlign w:val="center"/>
          </w:tcPr>
          <w:p w14:paraId="3FE4ECE2"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1,010.80 </w:t>
            </w:r>
          </w:p>
        </w:tc>
        <w:tc>
          <w:tcPr>
            <w:tcW w:w="631" w:type="pct"/>
            <w:vAlign w:val="center"/>
          </w:tcPr>
          <w:p w14:paraId="4C6069AD"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1,048.46 </w:t>
            </w:r>
          </w:p>
        </w:tc>
        <w:tc>
          <w:tcPr>
            <w:tcW w:w="631" w:type="pct"/>
            <w:vAlign w:val="center"/>
          </w:tcPr>
          <w:p w14:paraId="29C2E7F1"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szCs w:val="21"/>
              </w:rPr>
              <w:t xml:space="preserve">1,083.23 </w:t>
            </w:r>
          </w:p>
        </w:tc>
      </w:tr>
      <w:tr w:rsidR="00CD798F" w:rsidRPr="00D95B42" w14:paraId="26889C39" w14:textId="77777777" w:rsidTr="00214723">
        <w:trPr>
          <w:cantSplit/>
          <w:trHeight w:val="454"/>
          <w:jc w:val="center"/>
        </w:trPr>
        <w:tc>
          <w:tcPr>
            <w:tcW w:w="1697" w:type="pct"/>
            <w:vAlign w:val="center"/>
          </w:tcPr>
          <w:p w14:paraId="466FDB8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占营业收入比例</w:t>
            </w:r>
          </w:p>
        </w:tc>
        <w:tc>
          <w:tcPr>
            <w:tcW w:w="779" w:type="pct"/>
            <w:vAlign w:val="center"/>
          </w:tcPr>
          <w:p w14:paraId="4C45ABE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6.80%</w:t>
            </w:r>
          </w:p>
        </w:tc>
        <w:tc>
          <w:tcPr>
            <w:tcW w:w="631" w:type="pct"/>
            <w:vAlign w:val="center"/>
          </w:tcPr>
          <w:p w14:paraId="27E078F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6.80%</w:t>
            </w:r>
          </w:p>
        </w:tc>
        <w:tc>
          <w:tcPr>
            <w:tcW w:w="631" w:type="pct"/>
            <w:vAlign w:val="center"/>
          </w:tcPr>
          <w:p w14:paraId="698C559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6.80%</w:t>
            </w:r>
          </w:p>
        </w:tc>
        <w:tc>
          <w:tcPr>
            <w:tcW w:w="631" w:type="pct"/>
            <w:vAlign w:val="center"/>
          </w:tcPr>
          <w:p w14:paraId="47BD84B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6.80%</w:t>
            </w:r>
          </w:p>
        </w:tc>
        <w:tc>
          <w:tcPr>
            <w:tcW w:w="631" w:type="pct"/>
            <w:vAlign w:val="center"/>
          </w:tcPr>
          <w:p w14:paraId="4C990CB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szCs w:val="21"/>
              </w:rPr>
              <w:t>6.80%</w:t>
            </w:r>
          </w:p>
        </w:tc>
      </w:tr>
    </w:tbl>
    <w:p w14:paraId="61DDF9D7" w14:textId="77777777" w:rsidR="00CD798F" w:rsidRDefault="00CD798F" w:rsidP="00CD798F">
      <w:pPr>
        <w:pStyle w:val="004"/>
        <w:spacing w:before="120" w:after="120"/>
        <w:ind w:firstLine="482"/>
        <w:outlineLvl w:val="4"/>
      </w:pPr>
      <w:r w:rsidRPr="002B7838">
        <w:rPr>
          <w:rFonts w:hint="eastAsia"/>
        </w:rPr>
        <w:t>（</w:t>
      </w:r>
      <w:r>
        <w:rPr>
          <w:rFonts w:hint="eastAsia"/>
        </w:rPr>
        <w:t>4</w:t>
      </w:r>
      <w:r w:rsidRPr="002B7838">
        <w:rPr>
          <w:rFonts w:hint="eastAsia"/>
        </w:rPr>
        <w:t>）物业费及租金</w:t>
      </w:r>
    </w:p>
    <w:p w14:paraId="1BC6A3B8" w14:textId="77777777" w:rsidR="00CD798F" w:rsidRDefault="00CD798F" w:rsidP="00CD798F">
      <w:pPr>
        <w:pStyle w:val="005"/>
        <w:spacing w:before="120" w:after="120"/>
        <w:ind w:firstLine="480"/>
        <w:rPr>
          <w:szCs w:val="28"/>
        </w:rPr>
      </w:pPr>
      <w:r w:rsidRPr="002B7838">
        <w:rPr>
          <w:rFonts w:hint="eastAsia"/>
          <w:szCs w:val="28"/>
        </w:rPr>
        <w:t>租金及物业费系租赁办公经营场所的租金和物业费，根据现有租赁合同及未来新增租赁计划进行预测。租期内租金按合同约定租金测算，租期到期后续约租金考虑一定的年增长率。经了解，目前公司租赁的办公经营场所已基本能满足未来发展需要，故未来不考虑新增租赁，维持现有租赁规模。</w:t>
      </w:r>
    </w:p>
    <w:p w14:paraId="2E8391ED" w14:textId="77777777" w:rsidR="00CD798F" w:rsidRPr="00807CA9" w:rsidRDefault="00CD798F" w:rsidP="00CD798F">
      <w:pPr>
        <w:keepNext/>
        <w:jc w:val="right"/>
      </w:pPr>
      <w:r w:rsidRPr="003347DA">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63"/>
        <w:gridCol w:w="1628"/>
        <w:gridCol w:w="1317"/>
        <w:gridCol w:w="1317"/>
        <w:gridCol w:w="1317"/>
        <w:gridCol w:w="1319"/>
      </w:tblGrid>
      <w:tr w:rsidR="00CD798F" w:rsidRPr="00D95B42" w14:paraId="2636E5F7" w14:textId="77777777" w:rsidTr="00214723">
        <w:trPr>
          <w:cantSplit/>
          <w:trHeight w:val="454"/>
          <w:tblHeader/>
          <w:jc w:val="center"/>
        </w:trPr>
        <w:tc>
          <w:tcPr>
            <w:tcW w:w="1193" w:type="pct"/>
            <w:vMerge w:val="restart"/>
            <w:vAlign w:val="center"/>
          </w:tcPr>
          <w:p w14:paraId="088200E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807" w:type="pct"/>
            <w:gridSpan w:val="5"/>
            <w:vAlign w:val="center"/>
          </w:tcPr>
          <w:p w14:paraId="7E693C2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5E73E450" w14:textId="77777777" w:rsidTr="00214723">
        <w:trPr>
          <w:cantSplit/>
          <w:trHeight w:val="454"/>
          <w:tblHeader/>
          <w:jc w:val="center"/>
        </w:trPr>
        <w:tc>
          <w:tcPr>
            <w:tcW w:w="1193" w:type="pct"/>
            <w:vMerge/>
            <w:vAlign w:val="center"/>
          </w:tcPr>
          <w:p w14:paraId="2320F732" w14:textId="77777777" w:rsidR="00CD798F" w:rsidRPr="00D95B42" w:rsidRDefault="00CD798F" w:rsidP="00214723">
            <w:pPr>
              <w:keepNext/>
              <w:jc w:val="center"/>
              <w:rPr>
                <w:rFonts w:ascii="Times New Roman" w:hAnsi="Times New Roman"/>
                <w:b/>
                <w:color w:val="000000"/>
              </w:rPr>
            </w:pPr>
          </w:p>
        </w:tc>
        <w:tc>
          <w:tcPr>
            <w:tcW w:w="898" w:type="pct"/>
            <w:vAlign w:val="center"/>
          </w:tcPr>
          <w:p w14:paraId="42B7F11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727" w:type="pct"/>
            <w:vAlign w:val="center"/>
          </w:tcPr>
          <w:p w14:paraId="25A7B99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727" w:type="pct"/>
            <w:vAlign w:val="center"/>
          </w:tcPr>
          <w:p w14:paraId="2E88D53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727" w:type="pct"/>
            <w:vAlign w:val="center"/>
          </w:tcPr>
          <w:p w14:paraId="526776C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727" w:type="pct"/>
            <w:vAlign w:val="center"/>
          </w:tcPr>
          <w:p w14:paraId="66441F5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2101CE4F" w14:textId="77777777" w:rsidTr="00214723">
        <w:trPr>
          <w:cantSplit/>
          <w:trHeight w:val="454"/>
          <w:jc w:val="center"/>
        </w:trPr>
        <w:tc>
          <w:tcPr>
            <w:tcW w:w="1193" w:type="pct"/>
            <w:vAlign w:val="center"/>
          </w:tcPr>
          <w:p w14:paraId="1F0AAD6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租金及物业费</w:t>
            </w:r>
          </w:p>
        </w:tc>
        <w:tc>
          <w:tcPr>
            <w:tcW w:w="898" w:type="pct"/>
            <w:vAlign w:val="center"/>
          </w:tcPr>
          <w:p w14:paraId="77AA0D5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376.67</w:t>
            </w:r>
          </w:p>
        </w:tc>
        <w:tc>
          <w:tcPr>
            <w:tcW w:w="727" w:type="pct"/>
            <w:vAlign w:val="center"/>
          </w:tcPr>
          <w:p w14:paraId="51CDEDA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435.61</w:t>
            </w:r>
          </w:p>
        </w:tc>
        <w:tc>
          <w:tcPr>
            <w:tcW w:w="727" w:type="pct"/>
            <w:vAlign w:val="center"/>
          </w:tcPr>
          <w:p w14:paraId="642260F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449.38</w:t>
            </w:r>
          </w:p>
        </w:tc>
        <w:tc>
          <w:tcPr>
            <w:tcW w:w="727" w:type="pct"/>
            <w:vAlign w:val="center"/>
          </w:tcPr>
          <w:p w14:paraId="15EE493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463.76</w:t>
            </w:r>
          </w:p>
        </w:tc>
        <w:tc>
          <w:tcPr>
            <w:tcW w:w="727" w:type="pct"/>
            <w:vAlign w:val="center"/>
          </w:tcPr>
          <w:p w14:paraId="717B448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478.62</w:t>
            </w:r>
          </w:p>
        </w:tc>
      </w:tr>
      <w:tr w:rsidR="00CD798F" w:rsidRPr="00D95B42" w14:paraId="70A50685" w14:textId="77777777" w:rsidTr="00214723">
        <w:trPr>
          <w:cantSplit/>
          <w:trHeight w:val="454"/>
          <w:jc w:val="center"/>
        </w:trPr>
        <w:tc>
          <w:tcPr>
            <w:tcW w:w="1193" w:type="pct"/>
            <w:vAlign w:val="center"/>
          </w:tcPr>
          <w:p w14:paraId="5D54748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年增长率</w:t>
            </w:r>
          </w:p>
        </w:tc>
        <w:tc>
          <w:tcPr>
            <w:tcW w:w="898" w:type="pct"/>
            <w:vAlign w:val="center"/>
          </w:tcPr>
          <w:p w14:paraId="0C084CD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3578CB7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76227BA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23EDC2C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727" w:type="pct"/>
            <w:vAlign w:val="center"/>
          </w:tcPr>
          <w:p w14:paraId="7357214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bl>
    <w:p w14:paraId="05F8193A" w14:textId="77777777" w:rsidR="00CD798F" w:rsidRDefault="00CD798F" w:rsidP="00CD798F">
      <w:pPr>
        <w:pStyle w:val="003"/>
        <w:spacing w:before="120" w:after="120"/>
        <w:ind w:firstLine="482"/>
      </w:pPr>
      <w:r>
        <w:t>（</w:t>
      </w:r>
      <w:r>
        <w:rPr>
          <w:rFonts w:hint="eastAsia"/>
        </w:rPr>
        <w:t>三</w:t>
      </w:r>
      <w:r>
        <w:t>）</w:t>
      </w:r>
      <w:r>
        <w:rPr>
          <w:rFonts w:hint="eastAsia"/>
        </w:rPr>
        <w:t>研发费用</w:t>
      </w:r>
      <w:r w:rsidRPr="00D12BC3">
        <w:rPr>
          <w:rFonts w:hint="eastAsia"/>
        </w:rPr>
        <w:t>主要明细项目的具体预测情况、过程及依据</w:t>
      </w:r>
    </w:p>
    <w:p w14:paraId="19EC71C2" w14:textId="77777777" w:rsidR="00CD798F" w:rsidRDefault="00CD798F" w:rsidP="00CD798F">
      <w:pPr>
        <w:pStyle w:val="004"/>
        <w:spacing w:before="120" w:after="120"/>
        <w:ind w:firstLine="482"/>
      </w:pPr>
      <w:r>
        <w:t>1</w:t>
      </w:r>
      <w:r>
        <w:t>、</w:t>
      </w:r>
      <w:r>
        <w:rPr>
          <w:rFonts w:hint="eastAsia"/>
        </w:rPr>
        <w:t>研发</w:t>
      </w:r>
      <w:r w:rsidRPr="00842842">
        <w:rPr>
          <w:rFonts w:hint="eastAsia"/>
        </w:rPr>
        <w:t>费用主要明细项目</w:t>
      </w:r>
    </w:p>
    <w:p w14:paraId="1ED4CEFC" w14:textId="77777777" w:rsidR="00CD798F" w:rsidRDefault="00CD798F" w:rsidP="00CD798F">
      <w:pPr>
        <w:pStyle w:val="005"/>
        <w:spacing w:before="120" w:after="120"/>
        <w:ind w:firstLine="480"/>
      </w:pPr>
      <w:r>
        <w:rPr>
          <w:rFonts w:hint="eastAsia"/>
        </w:rPr>
        <w:t>研发费用</w:t>
      </w:r>
      <w:r w:rsidRPr="00053303">
        <w:rPr>
          <w:rFonts w:hint="eastAsia"/>
        </w:rPr>
        <w:t>主要由直接人工费用</w:t>
      </w:r>
      <w:r>
        <w:rPr>
          <w:rFonts w:hint="eastAsia"/>
        </w:rPr>
        <w:t>、折旧摊销费用</w:t>
      </w:r>
      <w:r w:rsidRPr="00053303">
        <w:rPr>
          <w:rFonts w:hint="eastAsia"/>
        </w:rPr>
        <w:t>等构成</w:t>
      </w:r>
      <w:r>
        <w:rPr>
          <w:rFonts w:hint="eastAsia"/>
        </w:rPr>
        <w:t>。</w:t>
      </w:r>
      <w:r w:rsidRPr="00053303">
        <w:rPr>
          <w:rFonts w:hint="eastAsia"/>
        </w:rPr>
        <w:t>报告期各期，标的公司研发费用分别为</w:t>
      </w:r>
      <w:r w:rsidRPr="00053303">
        <w:rPr>
          <w:rFonts w:hint="eastAsia"/>
        </w:rPr>
        <w:t>7,072.82</w:t>
      </w:r>
      <w:r w:rsidRPr="00053303">
        <w:rPr>
          <w:rFonts w:hint="eastAsia"/>
        </w:rPr>
        <w:t>万元、</w:t>
      </w:r>
      <w:r w:rsidRPr="00053303">
        <w:rPr>
          <w:rFonts w:hint="eastAsia"/>
        </w:rPr>
        <w:t>6,446.17</w:t>
      </w:r>
      <w:r w:rsidRPr="00053303">
        <w:rPr>
          <w:rFonts w:hint="eastAsia"/>
        </w:rPr>
        <w:t>万元和</w:t>
      </w:r>
      <w:r w:rsidRPr="00053303">
        <w:rPr>
          <w:rFonts w:hint="eastAsia"/>
        </w:rPr>
        <w:t>3,110.71</w:t>
      </w:r>
      <w:r w:rsidRPr="00053303">
        <w:rPr>
          <w:rFonts w:hint="eastAsia"/>
        </w:rPr>
        <w:t>万元。</w:t>
      </w:r>
      <w:r>
        <w:rPr>
          <w:rFonts w:hint="eastAsia"/>
        </w:rPr>
        <w:t>具体情况如下：</w:t>
      </w:r>
    </w:p>
    <w:p w14:paraId="6515532A" w14:textId="77777777" w:rsidR="00CD798F" w:rsidRPr="004B1244"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697"/>
        <w:gridCol w:w="1238"/>
        <w:gridCol w:w="1236"/>
        <w:gridCol w:w="1064"/>
        <w:gridCol w:w="1276"/>
        <w:gridCol w:w="1274"/>
        <w:gridCol w:w="1276"/>
      </w:tblGrid>
      <w:tr w:rsidR="00CD798F" w:rsidRPr="00D95B42" w14:paraId="15C083C8" w14:textId="77777777" w:rsidTr="00214723">
        <w:trPr>
          <w:trHeight w:val="397"/>
          <w:tblHeader/>
          <w:jc w:val="center"/>
        </w:trPr>
        <w:tc>
          <w:tcPr>
            <w:tcW w:w="937" w:type="pct"/>
            <w:vMerge w:val="restart"/>
            <w:tcMar>
              <w:top w:w="0" w:type="dxa"/>
              <w:left w:w="108" w:type="dxa"/>
              <w:bottom w:w="0" w:type="dxa"/>
              <w:right w:w="108" w:type="dxa"/>
            </w:tcMar>
            <w:vAlign w:val="center"/>
          </w:tcPr>
          <w:p w14:paraId="7E24663E"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项目</w:t>
            </w:r>
          </w:p>
        </w:tc>
        <w:tc>
          <w:tcPr>
            <w:tcW w:w="1365" w:type="pct"/>
            <w:gridSpan w:val="2"/>
            <w:tcMar>
              <w:top w:w="0" w:type="dxa"/>
              <w:left w:w="108" w:type="dxa"/>
              <w:bottom w:w="0" w:type="dxa"/>
              <w:right w:w="108" w:type="dxa"/>
            </w:tcMar>
            <w:vAlign w:val="center"/>
          </w:tcPr>
          <w:p w14:paraId="55735F9E"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2025</w:t>
            </w:r>
            <w:r w:rsidRPr="00D95B42">
              <w:rPr>
                <w:rFonts w:ascii="Times New Roman" w:hAnsi="Times New Roman"/>
                <w:b/>
                <w:bCs/>
                <w:szCs w:val="21"/>
              </w:rPr>
              <w:t>年</w:t>
            </w:r>
            <w:r w:rsidRPr="00D95B42">
              <w:rPr>
                <w:rFonts w:ascii="Times New Roman" w:hAnsi="Times New Roman"/>
                <w:b/>
                <w:bCs/>
                <w:szCs w:val="21"/>
              </w:rPr>
              <w:t>1-6</w:t>
            </w:r>
            <w:r w:rsidRPr="00D95B42">
              <w:rPr>
                <w:rFonts w:ascii="Times New Roman" w:hAnsi="Times New Roman"/>
                <w:b/>
                <w:bCs/>
                <w:szCs w:val="21"/>
              </w:rPr>
              <w:t>月</w:t>
            </w:r>
          </w:p>
        </w:tc>
        <w:tc>
          <w:tcPr>
            <w:tcW w:w="1291" w:type="pct"/>
            <w:gridSpan w:val="2"/>
            <w:tcMar>
              <w:top w:w="0" w:type="dxa"/>
              <w:left w:w="108" w:type="dxa"/>
              <w:bottom w:w="0" w:type="dxa"/>
              <w:right w:w="108" w:type="dxa"/>
            </w:tcMar>
            <w:vAlign w:val="center"/>
          </w:tcPr>
          <w:p w14:paraId="46281D6B"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2024</w:t>
            </w:r>
            <w:r w:rsidRPr="00D95B42">
              <w:rPr>
                <w:rFonts w:ascii="Times New Roman" w:hAnsi="Times New Roman"/>
                <w:b/>
                <w:bCs/>
                <w:szCs w:val="21"/>
              </w:rPr>
              <w:t>年度</w:t>
            </w:r>
          </w:p>
        </w:tc>
        <w:tc>
          <w:tcPr>
            <w:tcW w:w="1407" w:type="pct"/>
            <w:gridSpan w:val="2"/>
            <w:tcMar>
              <w:top w:w="0" w:type="dxa"/>
              <w:left w:w="108" w:type="dxa"/>
              <w:bottom w:w="0" w:type="dxa"/>
              <w:right w:w="108" w:type="dxa"/>
            </w:tcMar>
            <w:vAlign w:val="center"/>
          </w:tcPr>
          <w:p w14:paraId="0BFD76BA"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2023</w:t>
            </w:r>
            <w:r w:rsidRPr="00D95B42">
              <w:rPr>
                <w:rFonts w:ascii="Times New Roman" w:hAnsi="Times New Roman"/>
                <w:b/>
                <w:bCs/>
                <w:szCs w:val="21"/>
              </w:rPr>
              <w:t>年度</w:t>
            </w:r>
          </w:p>
        </w:tc>
      </w:tr>
      <w:tr w:rsidR="00CD798F" w:rsidRPr="00D95B42" w14:paraId="0758666F" w14:textId="77777777" w:rsidTr="00214723">
        <w:trPr>
          <w:trHeight w:val="397"/>
          <w:tblHeader/>
          <w:jc w:val="center"/>
        </w:trPr>
        <w:tc>
          <w:tcPr>
            <w:tcW w:w="0" w:type="auto"/>
            <w:vMerge/>
            <w:tcMar>
              <w:top w:w="0" w:type="dxa"/>
              <w:left w:w="108" w:type="dxa"/>
              <w:bottom w:w="0" w:type="dxa"/>
              <w:right w:w="108" w:type="dxa"/>
            </w:tcMar>
            <w:vAlign w:val="center"/>
          </w:tcPr>
          <w:p w14:paraId="158C4AB4" w14:textId="77777777" w:rsidR="00CD798F" w:rsidRPr="00D95B42" w:rsidRDefault="00CD798F" w:rsidP="00214723">
            <w:pPr>
              <w:rPr>
                <w:rFonts w:ascii="Times New Roman" w:hAnsi="Times New Roman"/>
                <w:b/>
                <w:bCs/>
                <w:szCs w:val="21"/>
              </w:rPr>
            </w:pPr>
          </w:p>
        </w:tc>
        <w:tc>
          <w:tcPr>
            <w:tcW w:w="683" w:type="pct"/>
            <w:tcMar>
              <w:top w:w="0" w:type="dxa"/>
              <w:left w:w="108" w:type="dxa"/>
              <w:bottom w:w="0" w:type="dxa"/>
              <w:right w:w="108" w:type="dxa"/>
            </w:tcMar>
            <w:vAlign w:val="center"/>
          </w:tcPr>
          <w:p w14:paraId="421A93F6"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682" w:type="pct"/>
            <w:tcMar>
              <w:top w:w="0" w:type="dxa"/>
              <w:left w:w="108" w:type="dxa"/>
              <w:bottom w:w="0" w:type="dxa"/>
              <w:right w:w="108" w:type="dxa"/>
            </w:tcMar>
            <w:vAlign w:val="center"/>
          </w:tcPr>
          <w:p w14:paraId="10AB2388"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比例</w:t>
            </w:r>
          </w:p>
        </w:tc>
        <w:tc>
          <w:tcPr>
            <w:tcW w:w="587" w:type="pct"/>
            <w:tcMar>
              <w:top w:w="0" w:type="dxa"/>
              <w:left w:w="108" w:type="dxa"/>
              <w:bottom w:w="0" w:type="dxa"/>
              <w:right w:w="108" w:type="dxa"/>
            </w:tcMar>
            <w:vAlign w:val="center"/>
          </w:tcPr>
          <w:p w14:paraId="107EBFBF"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704" w:type="pct"/>
            <w:tcMar>
              <w:top w:w="0" w:type="dxa"/>
              <w:left w:w="108" w:type="dxa"/>
              <w:bottom w:w="0" w:type="dxa"/>
              <w:right w:w="108" w:type="dxa"/>
            </w:tcMar>
            <w:vAlign w:val="center"/>
          </w:tcPr>
          <w:p w14:paraId="698EC3B9"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比例</w:t>
            </w:r>
          </w:p>
        </w:tc>
        <w:tc>
          <w:tcPr>
            <w:tcW w:w="703" w:type="pct"/>
            <w:tcMar>
              <w:top w:w="0" w:type="dxa"/>
              <w:left w:w="108" w:type="dxa"/>
              <w:bottom w:w="0" w:type="dxa"/>
              <w:right w:w="108" w:type="dxa"/>
            </w:tcMar>
            <w:vAlign w:val="center"/>
          </w:tcPr>
          <w:p w14:paraId="24F77909"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金额</w:t>
            </w:r>
          </w:p>
        </w:tc>
        <w:tc>
          <w:tcPr>
            <w:tcW w:w="704" w:type="pct"/>
            <w:tcMar>
              <w:top w:w="0" w:type="dxa"/>
              <w:left w:w="108" w:type="dxa"/>
              <w:bottom w:w="0" w:type="dxa"/>
              <w:right w:w="108" w:type="dxa"/>
            </w:tcMar>
            <w:vAlign w:val="center"/>
          </w:tcPr>
          <w:p w14:paraId="44EB062B" w14:textId="77777777" w:rsidR="00CD798F" w:rsidRPr="00D95B42" w:rsidRDefault="00CD798F" w:rsidP="00214723">
            <w:pPr>
              <w:jc w:val="center"/>
              <w:rPr>
                <w:rFonts w:ascii="Times New Roman" w:hAnsi="Times New Roman"/>
                <w:szCs w:val="21"/>
              </w:rPr>
            </w:pPr>
            <w:r w:rsidRPr="00D95B42">
              <w:rPr>
                <w:rFonts w:ascii="Times New Roman" w:hAnsi="Times New Roman"/>
                <w:b/>
                <w:bCs/>
                <w:szCs w:val="21"/>
              </w:rPr>
              <w:t>比例</w:t>
            </w:r>
          </w:p>
        </w:tc>
      </w:tr>
      <w:tr w:rsidR="00CD798F" w:rsidRPr="00D95B42" w14:paraId="1B92B5EE" w14:textId="77777777" w:rsidTr="00214723">
        <w:trPr>
          <w:trHeight w:val="397"/>
          <w:jc w:val="center"/>
        </w:trPr>
        <w:tc>
          <w:tcPr>
            <w:tcW w:w="937" w:type="pct"/>
            <w:tcMar>
              <w:top w:w="0" w:type="dxa"/>
              <w:left w:w="108" w:type="dxa"/>
              <w:bottom w:w="0" w:type="dxa"/>
              <w:right w:w="108" w:type="dxa"/>
            </w:tcMar>
            <w:vAlign w:val="center"/>
          </w:tcPr>
          <w:p w14:paraId="655E5663" w14:textId="77777777" w:rsidR="00CD798F" w:rsidRPr="00D95B42" w:rsidRDefault="00CD798F" w:rsidP="00214723">
            <w:pPr>
              <w:rPr>
                <w:rFonts w:ascii="Times New Roman" w:hAnsi="Times New Roman"/>
                <w:szCs w:val="21"/>
              </w:rPr>
            </w:pPr>
            <w:r w:rsidRPr="00D95B42">
              <w:rPr>
                <w:rFonts w:ascii="Times New Roman" w:hAnsi="Times New Roman"/>
                <w:szCs w:val="21"/>
              </w:rPr>
              <w:t>直接人工费用</w:t>
            </w:r>
          </w:p>
        </w:tc>
        <w:tc>
          <w:tcPr>
            <w:tcW w:w="683" w:type="pct"/>
            <w:tcMar>
              <w:top w:w="0" w:type="dxa"/>
              <w:left w:w="108" w:type="dxa"/>
              <w:bottom w:w="0" w:type="dxa"/>
              <w:right w:w="108" w:type="dxa"/>
            </w:tcMar>
            <w:vAlign w:val="center"/>
          </w:tcPr>
          <w:p w14:paraId="6F24F84B"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2,976.68</w:t>
            </w:r>
          </w:p>
        </w:tc>
        <w:tc>
          <w:tcPr>
            <w:tcW w:w="682" w:type="pct"/>
            <w:tcMar>
              <w:top w:w="0" w:type="dxa"/>
              <w:left w:w="108" w:type="dxa"/>
              <w:bottom w:w="0" w:type="dxa"/>
              <w:right w:w="108" w:type="dxa"/>
            </w:tcMar>
            <w:vAlign w:val="center"/>
          </w:tcPr>
          <w:p w14:paraId="78563766"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95.69%</w:t>
            </w:r>
          </w:p>
        </w:tc>
        <w:tc>
          <w:tcPr>
            <w:tcW w:w="587" w:type="pct"/>
            <w:tcMar>
              <w:top w:w="0" w:type="dxa"/>
              <w:left w:w="108" w:type="dxa"/>
              <w:bottom w:w="0" w:type="dxa"/>
              <w:right w:w="108" w:type="dxa"/>
            </w:tcMar>
            <w:vAlign w:val="center"/>
          </w:tcPr>
          <w:p w14:paraId="1E984276"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6,095.04</w:t>
            </w:r>
          </w:p>
        </w:tc>
        <w:tc>
          <w:tcPr>
            <w:tcW w:w="704" w:type="pct"/>
            <w:tcMar>
              <w:top w:w="0" w:type="dxa"/>
              <w:left w:w="108" w:type="dxa"/>
              <w:bottom w:w="0" w:type="dxa"/>
              <w:right w:w="108" w:type="dxa"/>
            </w:tcMar>
            <w:vAlign w:val="center"/>
          </w:tcPr>
          <w:p w14:paraId="523A6CD4"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94.55%</w:t>
            </w:r>
          </w:p>
        </w:tc>
        <w:tc>
          <w:tcPr>
            <w:tcW w:w="703" w:type="pct"/>
            <w:tcMar>
              <w:top w:w="0" w:type="dxa"/>
              <w:left w:w="108" w:type="dxa"/>
              <w:bottom w:w="0" w:type="dxa"/>
              <w:right w:w="108" w:type="dxa"/>
            </w:tcMar>
            <w:vAlign w:val="center"/>
          </w:tcPr>
          <w:p w14:paraId="266DD131"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6,790.11</w:t>
            </w:r>
          </w:p>
        </w:tc>
        <w:tc>
          <w:tcPr>
            <w:tcW w:w="704" w:type="pct"/>
            <w:tcMar>
              <w:top w:w="0" w:type="dxa"/>
              <w:left w:w="108" w:type="dxa"/>
              <w:bottom w:w="0" w:type="dxa"/>
              <w:right w:w="108" w:type="dxa"/>
            </w:tcMar>
            <w:vAlign w:val="center"/>
          </w:tcPr>
          <w:p w14:paraId="5DFF05E9"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96.00%</w:t>
            </w:r>
          </w:p>
        </w:tc>
      </w:tr>
      <w:tr w:rsidR="00CD798F" w:rsidRPr="00D95B42" w14:paraId="249815DF" w14:textId="77777777" w:rsidTr="00214723">
        <w:trPr>
          <w:trHeight w:val="397"/>
          <w:jc w:val="center"/>
        </w:trPr>
        <w:tc>
          <w:tcPr>
            <w:tcW w:w="937" w:type="pct"/>
            <w:tcMar>
              <w:top w:w="0" w:type="dxa"/>
              <w:left w:w="108" w:type="dxa"/>
              <w:bottom w:w="0" w:type="dxa"/>
              <w:right w:w="108" w:type="dxa"/>
            </w:tcMar>
            <w:vAlign w:val="center"/>
          </w:tcPr>
          <w:p w14:paraId="665A2FB8" w14:textId="77777777" w:rsidR="00CD798F" w:rsidRPr="00D95B42" w:rsidRDefault="00CD798F" w:rsidP="00214723">
            <w:pPr>
              <w:rPr>
                <w:rFonts w:ascii="Times New Roman" w:hAnsi="Times New Roman"/>
                <w:szCs w:val="21"/>
              </w:rPr>
            </w:pPr>
            <w:r w:rsidRPr="00D95B42">
              <w:rPr>
                <w:rFonts w:ascii="Times New Roman" w:hAnsi="Times New Roman"/>
                <w:szCs w:val="21"/>
              </w:rPr>
              <w:t>折旧摊销费用</w:t>
            </w:r>
          </w:p>
        </w:tc>
        <w:tc>
          <w:tcPr>
            <w:tcW w:w="683" w:type="pct"/>
            <w:tcMar>
              <w:top w:w="0" w:type="dxa"/>
              <w:left w:w="108" w:type="dxa"/>
              <w:bottom w:w="0" w:type="dxa"/>
              <w:right w:w="108" w:type="dxa"/>
            </w:tcMar>
            <w:vAlign w:val="center"/>
          </w:tcPr>
          <w:p w14:paraId="2CE591E4"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68.76</w:t>
            </w:r>
          </w:p>
        </w:tc>
        <w:tc>
          <w:tcPr>
            <w:tcW w:w="682" w:type="pct"/>
            <w:tcMar>
              <w:top w:w="0" w:type="dxa"/>
              <w:left w:w="108" w:type="dxa"/>
              <w:bottom w:w="0" w:type="dxa"/>
              <w:right w:w="108" w:type="dxa"/>
            </w:tcMar>
            <w:vAlign w:val="center"/>
          </w:tcPr>
          <w:p w14:paraId="7E1AAED1"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2.21%</w:t>
            </w:r>
          </w:p>
        </w:tc>
        <w:tc>
          <w:tcPr>
            <w:tcW w:w="587" w:type="pct"/>
            <w:tcMar>
              <w:top w:w="0" w:type="dxa"/>
              <w:left w:w="108" w:type="dxa"/>
              <w:bottom w:w="0" w:type="dxa"/>
              <w:right w:w="108" w:type="dxa"/>
            </w:tcMar>
            <w:vAlign w:val="center"/>
          </w:tcPr>
          <w:p w14:paraId="60B183B5"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155.25</w:t>
            </w:r>
          </w:p>
        </w:tc>
        <w:tc>
          <w:tcPr>
            <w:tcW w:w="704" w:type="pct"/>
            <w:tcMar>
              <w:top w:w="0" w:type="dxa"/>
              <w:left w:w="108" w:type="dxa"/>
              <w:bottom w:w="0" w:type="dxa"/>
              <w:right w:w="108" w:type="dxa"/>
            </w:tcMar>
            <w:vAlign w:val="center"/>
          </w:tcPr>
          <w:p w14:paraId="1516934B"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2.41%</w:t>
            </w:r>
          </w:p>
        </w:tc>
        <w:tc>
          <w:tcPr>
            <w:tcW w:w="703" w:type="pct"/>
            <w:tcMar>
              <w:top w:w="0" w:type="dxa"/>
              <w:left w:w="108" w:type="dxa"/>
              <w:bottom w:w="0" w:type="dxa"/>
              <w:right w:w="108" w:type="dxa"/>
            </w:tcMar>
            <w:vAlign w:val="center"/>
          </w:tcPr>
          <w:p w14:paraId="1E1D643D"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155.95</w:t>
            </w:r>
          </w:p>
        </w:tc>
        <w:tc>
          <w:tcPr>
            <w:tcW w:w="704" w:type="pct"/>
            <w:tcMar>
              <w:top w:w="0" w:type="dxa"/>
              <w:left w:w="108" w:type="dxa"/>
              <w:bottom w:w="0" w:type="dxa"/>
              <w:right w:w="108" w:type="dxa"/>
            </w:tcMar>
            <w:vAlign w:val="center"/>
          </w:tcPr>
          <w:p w14:paraId="689B3048"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2.20%</w:t>
            </w:r>
          </w:p>
        </w:tc>
      </w:tr>
      <w:tr w:rsidR="00CD798F" w:rsidRPr="00D95B42" w14:paraId="7D98A4F3" w14:textId="77777777" w:rsidTr="00214723">
        <w:trPr>
          <w:trHeight w:val="397"/>
          <w:jc w:val="center"/>
        </w:trPr>
        <w:tc>
          <w:tcPr>
            <w:tcW w:w="937" w:type="pct"/>
            <w:tcMar>
              <w:top w:w="0" w:type="dxa"/>
              <w:left w:w="108" w:type="dxa"/>
              <w:bottom w:w="0" w:type="dxa"/>
              <w:right w:w="108" w:type="dxa"/>
            </w:tcMar>
            <w:vAlign w:val="center"/>
          </w:tcPr>
          <w:p w14:paraId="798BCC12" w14:textId="77777777" w:rsidR="00CD798F" w:rsidRPr="00D95B42" w:rsidRDefault="00CD798F" w:rsidP="00214723">
            <w:pPr>
              <w:rPr>
                <w:rFonts w:ascii="Times New Roman" w:hAnsi="Times New Roman"/>
                <w:szCs w:val="21"/>
              </w:rPr>
            </w:pPr>
            <w:r w:rsidRPr="00D95B42">
              <w:rPr>
                <w:rFonts w:ascii="Times New Roman" w:hAnsi="Times New Roman"/>
                <w:szCs w:val="21"/>
              </w:rPr>
              <w:t>直接投入费用</w:t>
            </w:r>
          </w:p>
        </w:tc>
        <w:tc>
          <w:tcPr>
            <w:tcW w:w="683" w:type="pct"/>
            <w:tcMar>
              <w:top w:w="0" w:type="dxa"/>
              <w:left w:w="108" w:type="dxa"/>
              <w:bottom w:w="0" w:type="dxa"/>
              <w:right w:w="108" w:type="dxa"/>
            </w:tcMar>
            <w:vAlign w:val="center"/>
          </w:tcPr>
          <w:p w14:paraId="0320DA5C"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30.93</w:t>
            </w:r>
          </w:p>
        </w:tc>
        <w:tc>
          <w:tcPr>
            <w:tcW w:w="682" w:type="pct"/>
            <w:tcMar>
              <w:top w:w="0" w:type="dxa"/>
              <w:left w:w="108" w:type="dxa"/>
              <w:bottom w:w="0" w:type="dxa"/>
              <w:right w:w="108" w:type="dxa"/>
            </w:tcMar>
            <w:vAlign w:val="center"/>
          </w:tcPr>
          <w:p w14:paraId="1E65ACCD"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0.99%</w:t>
            </w:r>
          </w:p>
        </w:tc>
        <w:tc>
          <w:tcPr>
            <w:tcW w:w="587" w:type="pct"/>
            <w:tcMar>
              <w:top w:w="0" w:type="dxa"/>
              <w:left w:w="108" w:type="dxa"/>
              <w:bottom w:w="0" w:type="dxa"/>
              <w:right w:w="108" w:type="dxa"/>
            </w:tcMar>
            <w:vAlign w:val="center"/>
          </w:tcPr>
          <w:p w14:paraId="3DA302DA"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35.68</w:t>
            </w:r>
          </w:p>
        </w:tc>
        <w:tc>
          <w:tcPr>
            <w:tcW w:w="704" w:type="pct"/>
            <w:tcMar>
              <w:top w:w="0" w:type="dxa"/>
              <w:left w:w="108" w:type="dxa"/>
              <w:bottom w:w="0" w:type="dxa"/>
              <w:right w:w="108" w:type="dxa"/>
            </w:tcMar>
            <w:vAlign w:val="center"/>
          </w:tcPr>
          <w:p w14:paraId="31B12F86"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0.55%</w:t>
            </w:r>
          </w:p>
        </w:tc>
        <w:tc>
          <w:tcPr>
            <w:tcW w:w="703" w:type="pct"/>
            <w:tcMar>
              <w:top w:w="0" w:type="dxa"/>
              <w:left w:w="108" w:type="dxa"/>
              <w:bottom w:w="0" w:type="dxa"/>
              <w:right w:w="108" w:type="dxa"/>
            </w:tcMar>
            <w:vAlign w:val="center"/>
          </w:tcPr>
          <w:p w14:paraId="757908B5"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33.37</w:t>
            </w:r>
          </w:p>
        </w:tc>
        <w:tc>
          <w:tcPr>
            <w:tcW w:w="704" w:type="pct"/>
            <w:tcMar>
              <w:top w:w="0" w:type="dxa"/>
              <w:left w:w="108" w:type="dxa"/>
              <w:bottom w:w="0" w:type="dxa"/>
              <w:right w:w="108" w:type="dxa"/>
            </w:tcMar>
            <w:vAlign w:val="center"/>
          </w:tcPr>
          <w:p w14:paraId="3F501093"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0.47%</w:t>
            </w:r>
          </w:p>
        </w:tc>
      </w:tr>
      <w:tr w:rsidR="00CD798F" w:rsidRPr="00D95B42" w14:paraId="4C60D4D2" w14:textId="77777777" w:rsidTr="00214723">
        <w:trPr>
          <w:trHeight w:val="397"/>
          <w:jc w:val="center"/>
        </w:trPr>
        <w:tc>
          <w:tcPr>
            <w:tcW w:w="937" w:type="pct"/>
            <w:tcMar>
              <w:top w:w="0" w:type="dxa"/>
              <w:left w:w="108" w:type="dxa"/>
              <w:bottom w:w="0" w:type="dxa"/>
              <w:right w:w="108" w:type="dxa"/>
            </w:tcMar>
            <w:vAlign w:val="center"/>
          </w:tcPr>
          <w:p w14:paraId="63FCFE67" w14:textId="77777777" w:rsidR="00CD798F" w:rsidRPr="00D95B42" w:rsidRDefault="00CD798F" w:rsidP="00214723">
            <w:pPr>
              <w:rPr>
                <w:rFonts w:ascii="Times New Roman" w:hAnsi="Times New Roman"/>
                <w:szCs w:val="21"/>
              </w:rPr>
            </w:pPr>
            <w:r w:rsidRPr="00D95B42">
              <w:rPr>
                <w:rFonts w:ascii="Times New Roman" w:hAnsi="Times New Roman"/>
                <w:szCs w:val="21"/>
              </w:rPr>
              <w:lastRenderedPageBreak/>
              <w:t>技术服务费用</w:t>
            </w:r>
          </w:p>
        </w:tc>
        <w:tc>
          <w:tcPr>
            <w:tcW w:w="683" w:type="pct"/>
            <w:tcMar>
              <w:top w:w="0" w:type="dxa"/>
              <w:left w:w="108" w:type="dxa"/>
              <w:bottom w:w="0" w:type="dxa"/>
              <w:right w:w="108" w:type="dxa"/>
            </w:tcMar>
            <w:vAlign w:val="center"/>
          </w:tcPr>
          <w:p w14:paraId="7BB8A6A2"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4.91</w:t>
            </w:r>
          </w:p>
        </w:tc>
        <w:tc>
          <w:tcPr>
            <w:tcW w:w="682" w:type="pct"/>
            <w:tcMar>
              <w:top w:w="0" w:type="dxa"/>
              <w:left w:w="108" w:type="dxa"/>
              <w:bottom w:w="0" w:type="dxa"/>
              <w:right w:w="108" w:type="dxa"/>
            </w:tcMar>
            <w:vAlign w:val="center"/>
          </w:tcPr>
          <w:p w14:paraId="75DD804C"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0.16%</w:t>
            </w:r>
          </w:p>
        </w:tc>
        <w:tc>
          <w:tcPr>
            <w:tcW w:w="587" w:type="pct"/>
            <w:tcMar>
              <w:top w:w="0" w:type="dxa"/>
              <w:left w:w="108" w:type="dxa"/>
              <w:bottom w:w="0" w:type="dxa"/>
              <w:right w:w="108" w:type="dxa"/>
            </w:tcMar>
            <w:vAlign w:val="center"/>
          </w:tcPr>
          <w:p w14:paraId="4D8FCFBB"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42.76</w:t>
            </w:r>
          </w:p>
        </w:tc>
        <w:tc>
          <w:tcPr>
            <w:tcW w:w="704" w:type="pct"/>
            <w:tcMar>
              <w:top w:w="0" w:type="dxa"/>
              <w:left w:w="108" w:type="dxa"/>
              <w:bottom w:w="0" w:type="dxa"/>
              <w:right w:w="108" w:type="dxa"/>
            </w:tcMar>
            <w:vAlign w:val="center"/>
          </w:tcPr>
          <w:p w14:paraId="212116F9"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0.66%</w:t>
            </w:r>
          </w:p>
        </w:tc>
        <w:tc>
          <w:tcPr>
            <w:tcW w:w="703" w:type="pct"/>
            <w:tcMar>
              <w:top w:w="0" w:type="dxa"/>
              <w:left w:w="108" w:type="dxa"/>
              <w:bottom w:w="0" w:type="dxa"/>
              <w:right w:w="108" w:type="dxa"/>
            </w:tcMar>
            <w:vAlign w:val="center"/>
          </w:tcPr>
          <w:p w14:paraId="0D7B005D"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42.51</w:t>
            </w:r>
          </w:p>
        </w:tc>
        <w:tc>
          <w:tcPr>
            <w:tcW w:w="704" w:type="pct"/>
            <w:tcMar>
              <w:top w:w="0" w:type="dxa"/>
              <w:left w:w="108" w:type="dxa"/>
              <w:bottom w:w="0" w:type="dxa"/>
              <w:right w:w="108" w:type="dxa"/>
            </w:tcMar>
            <w:vAlign w:val="center"/>
          </w:tcPr>
          <w:p w14:paraId="42C9A236"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0.60%</w:t>
            </w:r>
          </w:p>
        </w:tc>
      </w:tr>
      <w:tr w:rsidR="00CD798F" w:rsidRPr="00D95B42" w14:paraId="6E9EB132" w14:textId="77777777" w:rsidTr="00214723">
        <w:trPr>
          <w:trHeight w:val="397"/>
          <w:jc w:val="center"/>
        </w:trPr>
        <w:tc>
          <w:tcPr>
            <w:tcW w:w="937" w:type="pct"/>
            <w:tcMar>
              <w:top w:w="0" w:type="dxa"/>
              <w:left w:w="108" w:type="dxa"/>
              <w:bottom w:w="0" w:type="dxa"/>
              <w:right w:w="108" w:type="dxa"/>
            </w:tcMar>
            <w:vAlign w:val="center"/>
          </w:tcPr>
          <w:p w14:paraId="39D16903" w14:textId="77777777" w:rsidR="00CD798F" w:rsidRPr="00D95B42" w:rsidRDefault="00CD798F" w:rsidP="00214723">
            <w:pPr>
              <w:rPr>
                <w:rFonts w:ascii="Times New Roman" w:hAnsi="Times New Roman"/>
                <w:szCs w:val="21"/>
              </w:rPr>
            </w:pPr>
            <w:r w:rsidRPr="00D95B42">
              <w:rPr>
                <w:rFonts w:ascii="Times New Roman" w:hAnsi="Times New Roman"/>
                <w:szCs w:val="21"/>
              </w:rPr>
              <w:t>其他相关费用</w:t>
            </w:r>
          </w:p>
        </w:tc>
        <w:tc>
          <w:tcPr>
            <w:tcW w:w="683" w:type="pct"/>
            <w:tcMar>
              <w:top w:w="0" w:type="dxa"/>
              <w:left w:w="108" w:type="dxa"/>
              <w:bottom w:w="0" w:type="dxa"/>
              <w:right w:w="108" w:type="dxa"/>
            </w:tcMar>
            <w:vAlign w:val="center"/>
          </w:tcPr>
          <w:p w14:paraId="31B66112"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29.44</w:t>
            </w:r>
          </w:p>
        </w:tc>
        <w:tc>
          <w:tcPr>
            <w:tcW w:w="682" w:type="pct"/>
            <w:tcMar>
              <w:top w:w="0" w:type="dxa"/>
              <w:left w:w="108" w:type="dxa"/>
              <w:bottom w:w="0" w:type="dxa"/>
              <w:right w:w="108" w:type="dxa"/>
            </w:tcMar>
            <w:vAlign w:val="center"/>
          </w:tcPr>
          <w:p w14:paraId="3CB6C63B"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0.95%</w:t>
            </w:r>
          </w:p>
        </w:tc>
        <w:tc>
          <w:tcPr>
            <w:tcW w:w="587" w:type="pct"/>
            <w:tcMar>
              <w:top w:w="0" w:type="dxa"/>
              <w:left w:w="108" w:type="dxa"/>
              <w:bottom w:w="0" w:type="dxa"/>
              <w:right w:w="108" w:type="dxa"/>
            </w:tcMar>
            <w:vAlign w:val="center"/>
          </w:tcPr>
          <w:p w14:paraId="4ADFA557"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117.45</w:t>
            </w:r>
          </w:p>
        </w:tc>
        <w:tc>
          <w:tcPr>
            <w:tcW w:w="704" w:type="pct"/>
            <w:tcMar>
              <w:top w:w="0" w:type="dxa"/>
              <w:left w:w="108" w:type="dxa"/>
              <w:bottom w:w="0" w:type="dxa"/>
              <w:right w:w="108" w:type="dxa"/>
            </w:tcMar>
            <w:vAlign w:val="center"/>
          </w:tcPr>
          <w:p w14:paraId="00D6E7A1"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1.82%</w:t>
            </w:r>
          </w:p>
        </w:tc>
        <w:tc>
          <w:tcPr>
            <w:tcW w:w="703" w:type="pct"/>
            <w:tcMar>
              <w:top w:w="0" w:type="dxa"/>
              <w:left w:w="108" w:type="dxa"/>
              <w:bottom w:w="0" w:type="dxa"/>
              <w:right w:w="108" w:type="dxa"/>
            </w:tcMar>
            <w:vAlign w:val="center"/>
          </w:tcPr>
          <w:p w14:paraId="4F80C9FA"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50.88</w:t>
            </w:r>
          </w:p>
        </w:tc>
        <w:tc>
          <w:tcPr>
            <w:tcW w:w="704" w:type="pct"/>
            <w:tcMar>
              <w:top w:w="0" w:type="dxa"/>
              <w:left w:w="108" w:type="dxa"/>
              <w:bottom w:w="0" w:type="dxa"/>
              <w:right w:w="108" w:type="dxa"/>
            </w:tcMar>
            <w:vAlign w:val="center"/>
          </w:tcPr>
          <w:p w14:paraId="1AD16865" w14:textId="77777777" w:rsidR="00CD798F" w:rsidRPr="00D95B42" w:rsidRDefault="00CD798F" w:rsidP="00214723">
            <w:pPr>
              <w:jc w:val="right"/>
              <w:rPr>
                <w:rFonts w:ascii="Times New Roman" w:hAnsi="Times New Roman"/>
                <w:color w:val="000000"/>
                <w:szCs w:val="21"/>
              </w:rPr>
            </w:pPr>
            <w:r w:rsidRPr="00D95B42">
              <w:rPr>
                <w:rFonts w:ascii="Times New Roman" w:hAnsi="Times New Roman"/>
                <w:color w:val="000000"/>
                <w:szCs w:val="21"/>
              </w:rPr>
              <w:t>0.72%</w:t>
            </w:r>
          </w:p>
        </w:tc>
      </w:tr>
      <w:tr w:rsidR="00CD798F" w:rsidRPr="00D95B42" w14:paraId="335F861E" w14:textId="77777777" w:rsidTr="00214723">
        <w:trPr>
          <w:trHeight w:val="397"/>
          <w:jc w:val="center"/>
        </w:trPr>
        <w:tc>
          <w:tcPr>
            <w:tcW w:w="937" w:type="pct"/>
            <w:tcMar>
              <w:top w:w="0" w:type="dxa"/>
              <w:left w:w="108" w:type="dxa"/>
              <w:bottom w:w="0" w:type="dxa"/>
              <w:right w:w="108" w:type="dxa"/>
            </w:tcMar>
            <w:vAlign w:val="center"/>
          </w:tcPr>
          <w:p w14:paraId="5900C871" w14:textId="77777777" w:rsidR="00CD798F" w:rsidRPr="00D95B42" w:rsidRDefault="00CD798F" w:rsidP="00214723">
            <w:pPr>
              <w:jc w:val="center"/>
              <w:textAlignment w:val="center"/>
              <w:rPr>
                <w:rFonts w:ascii="Times New Roman" w:hAnsi="Times New Roman"/>
                <w:b/>
                <w:bCs/>
                <w:szCs w:val="21"/>
              </w:rPr>
            </w:pPr>
            <w:r w:rsidRPr="00D95B42">
              <w:rPr>
                <w:rFonts w:ascii="Times New Roman" w:hAnsi="Times New Roman"/>
                <w:b/>
                <w:bCs/>
                <w:szCs w:val="21"/>
              </w:rPr>
              <w:t>合计</w:t>
            </w:r>
          </w:p>
        </w:tc>
        <w:tc>
          <w:tcPr>
            <w:tcW w:w="683" w:type="pct"/>
            <w:tcMar>
              <w:top w:w="0" w:type="dxa"/>
              <w:left w:w="108" w:type="dxa"/>
              <w:bottom w:w="0" w:type="dxa"/>
              <w:right w:w="108" w:type="dxa"/>
            </w:tcMar>
            <w:vAlign w:val="center"/>
          </w:tcPr>
          <w:p w14:paraId="0E168BDE" w14:textId="77777777" w:rsidR="00CD798F" w:rsidRPr="00D95B42" w:rsidRDefault="00CD798F" w:rsidP="00214723">
            <w:pPr>
              <w:jc w:val="right"/>
              <w:rPr>
                <w:rFonts w:ascii="Times New Roman" w:hAnsi="Times New Roman"/>
                <w:b/>
                <w:bCs/>
                <w:color w:val="000000"/>
                <w:szCs w:val="21"/>
              </w:rPr>
            </w:pPr>
            <w:r w:rsidRPr="00D95B42">
              <w:rPr>
                <w:rFonts w:ascii="Times New Roman" w:hAnsi="Times New Roman"/>
                <w:b/>
                <w:bCs/>
                <w:color w:val="000000"/>
                <w:szCs w:val="21"/>
              </w:rPr>
              <w:t>3,110.71</w:t>
            </w:r>
          </w:p>
        </w:tc>
        <w:tc>
          <w:tcPr>
            <w:tcW w:w="682" w:type="pct"/>
            <w:tcMar>
              <w:top w:w="0" w:type="dxa"/>
              <w:left w:w="108" w:type="dxa"/>
              <w:bottom w:w="0" w:type="dxa"/>
              <w:right w:w="108" w:type="dxa"/>
            </w:tcMar>
            <w:vAlign w:val="center"/>
          </w:tcPr>
          <w:p w14:paraId="12007DF2" w14:textId="77777777" w:rsidR="00CD798F" w:rsidRPr="00D95B42" w:rsidRDefault="00CD798F" w:rsidP="00214723">
            <w:pPr>
              <w:jc w:val="right"/>
              <w:rPr>
                <w:rFonts w:ascii="Times New Roman" w:hAnsi="Times New Roman"/>
                <w:b/>
                <w:bCs/>
                <w:color w:val="000000"/>
                <w:szCs w:val="21"/>
              </w:rPr>
            </w:pPr>
            <w:r w:rsidRPr="00D95B42">
              <w:rPr>
                <w:rFonts w:ascii="Times New Roman" w:hAnsi="Times New Roman"/>
                <w:b/>
                <w:bCs/>
                <w:color w:val="000000"/>
                <w:szCs w:val="21"/>
              </w:rPr>
              <w:t>100.00%</w:t>
            </w:r>
          </w:p>
        </w:tc>
        <w:tc>
          <w:tcPr>
            <w:tcW w:w="587" w:type="pct"/>
            <w:tcMar>
              <w:top w:w="0" w:type="dxa"/>
              <w:left w:w="108" w:type="dxa"/>
              <w:bottom w:w="0" w:type="dxa"/>
              <w:right w:w="108" w:type="dxa"/>
            </w:tcMar>
            <w:vAlign w:val="center"/>
          </w:tcPr>
          <w:p w14:paraId="37EC6C87" w14:textId="77777777" w:rsidR="00CD798F" w:rsidRPr="00D95B42" w:rsidRDefault="00CD798F" w:rsidP="00214723">
            <w:pPr>
              <w:jc w:val="right"/>
              <w:rPr>
                <w:rFonts w:ascii="Times New Roman" w:hAnsi="Times New Roman"/>
                <w:b/>
                <w:bCs/>
                <w:color w:val="000000"/>
                <w:szCs w:val="21"/>
              </w:rPr>
            </w:pPr>
            <w:r w:rsidRPr="00D95B42">
              <w:rPr>
                <w:rFonts w:ascii="Times New Roman" w:hAnsi="Times New Roman"/>
                <w:b/>
                <w:bCs/>
                <w:color w:val="000000"/>
                <w:szCs w:val="21"/>
              </w:rPr>
              <w:t>6,446.17</w:t>
            </w:r>
          </w:p>
        </w:tc>
        <w:tc>
          <w:tcPr>
            <w:tcW w:w="704" w:type="pct"/>
            <w:tcMar>
              <w:top w:w="0" w:type="dxa"/>
              <w:left w:w="108" w:type="dxa"/>
              <w:bottom w:w="0" w:type="dxa"/>
              <w:right w:w="108" w:type="dxa"/>
            </w:tcMar>
            <w:vAlign w:val="center"/>
          </w:tcPr>
          <w:p w14:paraId="040C590E" w14:textId="77777777" w:rsidR="00CD798F" w:rsidRPr="00D95B42" w:rsidRDefault="00CD798F" w:rsidP="00214723">
            <w:pPr>
              <w:jc w:val="right"/>
              <w:rPr>
                <w:rFonts w:ascii="Times New Roman" w:hAnsi="Times New Roman"/>
                <w:b/>
                <w:bCs/>
                <w:color w:val="000000"/>
                <w:szCs w:val="21"/>
              </w:rPr>
            </w:pPr>
            <w:r w:rsidRPr="00D95B42">
              <w:rPr>
                <w:rFonts w:ascii="Times New Roman" w:hAnsi="Times New Roman"/>
                <w:b/>
                <w:bCs/>
                <w:color w:val="000000"/>
                <w:szCs w:val="21"/>
              </w:rPr>
              <w:t>100.00%</w:t>
            </w:r>
          </w:p>
        </w:tc>
        <w:tc>
          <w:tcPr>
            <w:tcW w:w="703" w:type="pct"/>
            <w:tcMar>
              <w:top w:w="0" w:type="dxa"/>
              <w:left w:w="108" w:type="dxa"/>
              <w:bottom w:w="0" w:type="dxa"/>
              <w:right w:w="108" w:type="dxa"/>
            </w:tcMar>
            <w:vAlign w:val="center"/>
          </w:tcPr>
          <w:p w14:paraId="68C111AD" w14:textId="77777777" w:rsidR="00CD798F" w:rsidRPr="00D95B42" w:rsidRDefault="00CD798F" w:rsidP="00214723">
            <w:pPr>
              <w:jc w:val="right"/>
              <w:rPr>
                <w:rFonts w:ascii="Times New Roman" w:hAnsi="Times New Roman"/>
                <w:b/>
                <w:bCs/>
                <w:color w:val="000000"/>
                <w:szCs w:val="21"/>
              </w:rPr>
            </w:pPr>
            <w:r w:rsidRPr="00D95B42">
              <w:rPr>
                <w:rFonts w:ascii="Times New Roman" w:hAnsi="Times New Roman"/>
                <w:b/>
                <w:bCs/>
                <w:color w:val="000000"/>
                <w:szCs w:val="21"/>
              </w:rPr>
              <w:t>7,072.82</w:t>
            </w:r>
          </w:p>
        </w:tc>
        <w:tc>
          <w:tcPr>
            <w:tcW w:w="704" w:type="pct"/>
            <w:tcMar>
              <w:top w:w="0" w:type="dxa"/>
              <w:left w:w="108" w:type="dxa"/>
              <w:bottom w:w="0" w:type="dxa"/>
              <w:right w:w="108" w:type="dxa"/>
            </w:tcMar>
            <w:vAlign w:val="center"/>
          </w:tcPr>
          <w:p w14:paraId="51CFFE67" w14:textId="77777777" w:rsidR="00CD798F" w:rsidRPr="00D95B42" w:rsidRDefault="00CD798F" w:rsidP="00214723">
            <w:pPr>
              <w:jc w:val="right"/>
              <w:rPr>
                <w:rFonts w:ascii="Times New Roman" w:hAnsi="Times New Roman"/>
                <w:b/>
                <w:bCs/>
                <w:color w:val="000000"/>
                <w:szCs w:val="21"/>
              </w:rPr>
            </w:pPr>
            <w:r w:rsidRPr="00D95B42">
              <w:rPr>
                <w:rFonts w:ascii="Times New Roman" w:hAnsi="Times New Roman"/>
                <w:b/>
                <w:bCs/>
                <w:color w:val="000000"/>
                <w:szCs w:val="21"/>
              </w:rPr>
              <w:t>100.00%</w:t>
            </w:r>
          </w:p>
        </w:tc>
      </w:tr>
    </w:tbl>
    <w:p w14:paraId="72A8F86C" w14:textId="77777777" w:rsidR="00CD798F" w:rsidRDefault="00CD798F" w:rsidP="00CD798F">
      <w:pPr>
        <w:pStyle w:val="004"/>
        <w:spacing w:before="120" w:after="120"/>
        <w:ind w:firstLine="482"/>
      </w:pPr>
      <w:r>
        <w:rPr>
          <w:rFonts w:hint="eastAsia"/>
        </w:rPr>
        <w:t>2</w:t>
      </w:r>
      <w:r>
        <w:t>、</w:t>
      </w:r>
      <w:r>
        <w:rPr>
          <w:rFonts w:hint="eastAsia"/>
        </w:rPr>
        <w:t>研发</w:t>
      </w:r>
      <w:r w:rsidRPr="009C5A79">
        <w:rPr>
          <w:rFonts w:hint="eastAsia"/>
        </w:rPr>
        <w:t>费用主要明细项目的具体预测情况、过程及依据</w:t>
      </w:r>
    </w:p>
    <w:p w14:paraId="574F4B08" w14:textId="77777777" w:rsidR="00CD798F" w:rsidRDefault="00CD798F" w:rsidP="00CD798F">
      <w:pPr>
        <w:pStyle w:val="004"/>
        <w:spacing w:before="120" w:after="120"/>
        <w:ind w:firstLine="482"/>
        <w:outlineLvl w:val="4"/>
      </w:pPr>
      <w:r>
        <w:rPr>
          <w:rFonts w:hint="eastAsia"/>
        </w:rPr>
        <w:t>（</w:t>
      </w:r>
      <w:r>
        <w:rPr>
          <w:rFonts w:hint="eastAsia"/>
        </w:rPr>
        <w:t>1</w:t>
      </w:r>
      <w:r>
        <w:rPr>
          <w:rFonts w:hint="eastAsia"/>
        </w:rPr>
        <w:t>）</w:t>
      </w:r>
      <w:r w:rsidRPr="002A35F3">
        <w:rPr>
          <w:rFonts w:hint="eastAsia"/>
        </w:rPr>
        <w:t>职工薪酬及福利</w:t>
      </w:r>
      <w:r w:rsidRPr="003347DA">
        <w:rPr>
          <w:rFonts w:hint="eastAsia"/>
        </w:rPr>
        <w:t>费</w:t>
      </w:r>
    </w:p>
    <w:p w14:paraId="17FE5F3B" w14:textId="77777777" w:rsidR="00CD798F" w:rsidRDefault="00CD798F" w:rsidP="00CD798F">
      <w:pPr>
        <w:pStyle w:val="005"/>
        <w:spacing w:before="120" w:after="120"/>
        <w:ind w:firstLine="480"/>
      </w:pPr>
      <w:r w:rsidRPr="009A6D74">
        <w:rPr>
          <w:rFonts w:hint="eastAsia"/>
        </w:rPr>
        <w:t>职工薪酬及福利主要包括</w:t>
      </w:r>
      <w:r>
        <w:rPr>
          <w:rFonts w:hint="eastAsia"/>
        </w:rPr>
        <w:t>研发</w:t>
      </w:r>
      <w:r w:rsidRPr="009A6D74">
        <w:rPr>
          <w:rFonts w:hint="eastAsia"/>
        </w:rPr>
        <w:t>人员的工资、社保、公积金和福利费等</w:t>
      </w:r>
      <w:r>
        <w:rPr>
          <w:rFonts w:hint="eastAsia"/>
        </w:rPr>
        <w:t>，</w:t>
      </w:r>
      <w:r w:rsidRPr="002A35F3">
        <w:rPr>
          <w:rFonts w:hint="eastAsia"/>
        </w:rPr>
        <w:t>报告期各期，标的公司</w:t>
      </w:r>
      <w:r w:rsidRPr="00624A23">
        <w:rPr>
          <w:rFonts w:hint="eastAsia"/>
        </w:rPr>
        <w:t>研发团队人员规模相对稳定</w:t>
      </w:r>
      <w:r>
        <w:rPr>
          <w:rFonts w:hint="eastAsia"/>
        </w:rPr>
        <w:t>，</w:t>
      </w:r>
      <w:r w:rsidRPr="002A35F3">
        <w:rPr>
          <w:rFonts w:hint="eastAsia"/>
        </w:rPr>
        <w:t>职工薪酬及福利费分别为</w:t>
      </w:r>
      <w:r w:rsidRPr="00624A23">
        <w:rPr>
          <w:rFonts w:hint="eastAsia"/>
        </w:rPr>
        <w:t>6,790.11</w:t>
      </w:r>
      <w:r w:rsidRPr="00624A23">
        <w:rPr>
          <w:rFonts w:hint="eastAsia"/>
        </w:rPr>
        <w:t>万元、</w:t>
      </w:r>
      <w:r w:rsidRPr="00624A23">
        <w:rPr>
          <w:rFonts w:hint="eastAsia"/>
        </w:rPr>
        <w:t>6,095.04</w:t>
      </w:r>
      <w:r w:rsidRPr="00624A23">
        <w:rPr>
          <w:rFonts w:hint="eastAsia"/>
        </w:rPr>
        <w:t>万元和</w:t>
      </w:r>
      <w:r w:rsidRPr="00624A23">
        <w:rPr>
          <w:rFonts w:hint="eastAsia"/>
        </w:rPr>
        <w:t>2,976.68</w:t>
      </w:r>
      <w:r w:rsidRPr="00624A23">
        <w:rPr>
          <w:rFonts w:hint="eastAsia"/>
        </w:rPr>
        <w:t>万元</w:t>
      </w:r>
      <w:r w:rsidRPr="002A35F3">
        <w:rPr>
          <w:rFonts w:hint="eastAsia"/>
        </w:rPr>
        <w:t>，总体相对稳定；</w:t>
      </w:r>
      <w:r w:rsidRPr="009A6D74">
        <w:rPr>
          <w:rFonts w:hint="eastAsia"/>
        </w:rPr>
        <w:t>未来按人均薪酬和人数预测。预测期内对</w:t>
      </w:r>
      <w:r>
        <w:rPr>
          <w:rFonts w:hint="eastAsia"/>
        </w:rPr>
        <w:t>研发</w:t>
      </w:r>
      <w:r w:rsidRPr="009A6D74">
        <w:rPr>
          <w:rFonts w:hint="eastAsia"/>
        </w:rPr>
        <w:t>人员的规模结合业务发展的计划考虑一定的人员增加，同时人均薪酬水平亦考虑一定的增长</w:t>
      </w:r>
      <w:r>
        <w:rPr>
          <w:rFonts w:hint="eastAsia"/>
        </w:rPr>
        <w:t>，具体情况如下：</w:t>
      </w:r>
    </w:p>
    <w:p w14:paraId="14980E70" w14:textId="77777777" w:rsidR="00CD798F" w:rsidRPr="00292343"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902"/>
        <w:gridCol w:w="1392"/>
        <w:gridCol w:w="1192"/>
        <w:gridCol w:w="1192"/>
        <w:gridCol w:w="1192"/>
        <w:gridCol w:w="1191"/>
      </w:tblGrid>
      <w:tr w:rsidR="00CD798F" w:rsidRPr="00D95B42" w14:paraId="0224BA93" w14:textId="77777777" w:rsidTr="00214723">
        <w:trPr>
          <w:cantSplit/>
          <w:trHeight w:val="454"/>
          <w:tblHeader/>
          <w:jc w:val="center"/>
        </w:trPr>
        <w:tc>
          <w:tcPr>
            <w:tcW w:w="1601" w:type="pct"/>
            <w:vMerge w:val="restart"/>
            <w:vAlign w:val="center"/>
          </w:tcPr>
          <w:p w14:paraId="286E946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399" w:type="pct"/>
            <w:gridSpan w:val="5"/>
            <w:vAlign w:val="center"/>
          </w:tcPr>
          <w:p w14:paraId="3540630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5763B382" w14:textId="77777777" w:rsidTr="00214723">
        <w:trPr>
          <w:cantSplit/>
          <w:trHeight w:val="454"/>
          <w:tblHeader/>
          <w:jc w:val="center"/>
        </w:trPr>
        <w:tc>
          <w:tcPr>
            <w:tcW w:w="1601" w:type="pct"/>
            <w:vMerge/>
            <w:vAlign w:val="center"/>
          </w:tcPr>
          <w:p w14:paraId="56164C81" w14:textId="77777777" w:rsidR="00CD798F" w:rsidRPr="00D95B42" w:rsidRDefault="00CD798F" w:rsidP="00214723">
            <w:pPr>
              <w:keepNext/>
              <w:jc w:val="center"/>
              <w:rPr>
                <w:rFonts w:ascii="Times New Roman" w:hAnsi="Times New Roman"/>
                <w:b/>
                <w:color w:val="000000"/>
              </w:rPr>
            </w:pPr>
          </w:p>
        </w:tc>
        <w:tc>
          <w:tcPr>
            <w:tcW w:w="768" w:type="pct"/>
            <w:vAlign w:val="center"/>
          </w:tcPr>
          <w:p w14:paraId="3081C60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658" w:type="pct"/>
            <w:vAlign w:val="center"/>
          </w:tcPr>
          <w:p w14:paraId="7D980C1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658" w:type="pct"/>
            <w:vAlign w:val="center"/>
          </w:tcPr>
          <w:p w14:paraId="4D146B47"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658" w:type="pct"/>
            <w:vAlign w:val="center"/>
          </w:tcPr>
          <w:p w14:paraId="2364612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657" w:type="pct"/>
            <w:vAlign w:val="center"/>
          </w:tcPr>
          <w:p w14:paraId="5CEEFCC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7B19AC4C" w14:textId="77777777" w:rsidTr="00214723">
        <w:trPr>
          <w:cantSplit/>
          <w:trHeight w:val="454"/>
          <w:jc w:val="center"/>
        </w:trPr>
        <w:tc>
          <w:tcPr>
            <w:tcW w:w="1601" w:type="pct"/>
            <w:vAlign w:val="center"/>
          </w:tcPr>
          <w:p w14:paraId="26EA66EF"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职工薪酬及福利费金额</w:t>
            </w:r>
          </w:p>
        </w:tc>
        <w:tc>
          <w:tcPr>
            <w:tcW w:w="768" w:type="pct"/>
            <w:vAlign w:val="center"/>
          </w:tcPr>
          <w:p w14:paraId="097B971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6,694.85</w:t>
            </w:r>
          </w:p>
        </w:tc>
        <w:tc>
          <w:tcPr>
            <w:tcW w:w="658" w:type="pct"/>
            <w:vAlign w:val="center"/>
          </w:tcPr>
          <w:p w14:paraId="65605D5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6,975.80</w:t>
            </w:r>
          </w:p>
        </w:tc>
        <w:tc>
          <w:tcPr>
            <w:tcW w:w="658" w:type="pct"/>
            <w:vAlign w:val="center"/>
          </w:tcPr>
          <w:p w14:paraId="3CEABD5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7,266.69</w:t>
            </w:r>
          </w:p>
        </w:tc>
        <w:tc>
          <w:tcPr>
            <w:tcW w:w="658" w:type="pct"/>
            <w:vAlign w:val="center"/>
          </w:tcPr>
          <w:p w14:paraId="146E4C1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7,570.36</w:t>
            </w:r>
          </w:p>
        </w:tc>
        <w:tc>
          <w:tcPr>
            <w:tcW w:w="657" w:type="pct"/>
            <w:vAlign w:val="center"/>
          </w:tcPr>
          <w:p w14:paraId="6669922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7,796.46</w:t>
            </w:r>
          </w:p>
        </w:tc>
      </w:tr>
      <w:tr w:rsidR="00CD798F" w:rsidRPr="00D95B42" w14:paraId="4032BB4D" w14:textId="77777777" w:rsidTr="00214723">
        <w:trPr>
          <w:cantSplit/>
          <w:trHeight w:val="454"/>
          <w:jc w:val="center"/>
        </w:trPr>
        <w:tc>
          <w:tcPr>
            <w:tcW w:w="1601" w:type="pct"/>
            <w:vAlign w:val="center"/>
          </w:tcPr>
          <w:p w14:paraId="22F3EBA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研发人员人数</w:t>
            </w:r>
          </w:p>
        </w:tc>
        <w:tc>
          <w:tcPr>
            <w:tcW w:w="768" w:type="pct"/>
            <w:vAlign w:val="center"/>
          </w:tcPr>
          <w:p w14:paraId="02A42BE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257.00</w:t>
            </w:r>
          </w:p>
        </w:tc>
        <w:tc>
          <w:tcPr>
            <w:tcW w:w="658" w:type="pct"/>
            <w:vAlign w:val="center"/>
          </w:tcPr>
          <w:p w14:paraId="6F3411C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260.00</w:t>
            </w:r>
          </w:p>
        </w:tc>
        <w:tc>
          <w:tcPr>
            <w:tcW w:w="658" w:type="pct"/>
            <w:vAlign w:val="center"/>
          </w:tcPr>
          <w:p w14:paraId="3B9B049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263.00</w:t>
            </w:r>
          </w:p>
        </w:tc>
        <w:tc>
          <w:tcPr>
            <w:tcW w:w="658" w:type="pct"/>
            <w:vAlign w:val="center"/>
          </w:tcPr>
          <w:p w14:paraId="450C0B0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266.00</w:t>
            </w:r>
          </w:p>
        </w:tc>
        <w:tc>
          <w:tcPr>
            <w:tcW w:w="657" w:type="pct"/>
            <w:vAlign w:val="center"/>
          </w:tcPr>
          <w:p w14:paraId="7A0F837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266.00</w:t>
            </w:r>
          </w:p>
        </w:tc>
      </w:tr>
      <w:tr w:rsidR="00CD798F" w:rsidRPr="00D95B42" w14:paraId="62003C63" w14:textId="77777777" w:rsidTr="00214723">
        <w:trPr>
          <w:cantSplit/>
          <w:trHeight w:val="454"/>
          <w:jc w:val="center"/>
        </w:trPr>
        <w:tc>
          <w:tcPr>
            <w:tcW w:w="1601" w:type="pct"/>
            <w:vAlign w:val="center"/>
          </w:tcPr>
          <w:p w14:paraId="754861C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人均年薪酬</w:t>
            </w:r>
          </w:p>
        </w:tc>
        <w:tc>
          <w:tcPr>
            <w:tcW w:w="768" w:type="pct"/>
            <w:vAlign w:val="center"/>
          </w:tcPr>
          <w:p w14:paraId="74DCAD5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26.05</w:t>
            </w:r>
          </w:p>
        </w:tc>
        <w:tc>
          <w:tcPr>
            <w:tcW w:w="658" w:type="pct"/>
            <w:vAlign w:val="center"/>
          </w:tcPr>
          <w:p w14:paraId="50F3DC7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26.83</w:t>
            </w:r>
          </w:p>
        </w:tc>
        <w:tc>
          <w:tcPr>
            <w:tcW w:w="658" w:type="pct"/>
            <w:vAlign w:val="center"/>
          </w:tcPr>
          <w:p w14:paraId="365DC20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27.63</w:t>
            </w:r>
          </w:p>
        </w:tc>
        <w:tc>
          <w:tcPr>
            <w:tcW w:w="658" w:type="pct"/>
            <w:vAlign w:val="center"/>
          </w:tcPr>
          <w:p w14:paraId="45E98FF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28.46</w:t>
            </w:r>
          </w:p>
        </w:tc>
        <w:tc>
          <w:tcPr>
            <w:tcW w:w="657" w:type="pct"/>
            <w:vAlign w:val="center"/>
          </w:tcPr>
          <w:p w14:paraId="2C44AF2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29.31</w:t>
            </w:r>
          </w:p>
        </w:tc>
      </w:tr>
      <w:tr w:rsidR="00CD798F" w:rsidRPr="00D95B42" w14:paraId="05C98083" w14:textId="77777777" w:rsidTr="00214723">
        <w:trPr>
          <w:cantSplit/>
          <w:trHeight w:val="454"/>
          <w:jc w:val="center"/>
        </w:trPr>
        <w:tc>
          <w:tcPr>
            <w:tcW w:w="1601" w:type="pct"/>
            <w:vAlign w:val="center"/>
          </w:tcPr>
          <w:p w14:paraId="3E199E4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人均薪酬年增长率</w:t>
            </w:r>
          </w:p>
        </w:tc>
        <w:tc>
          <w:tcPr>
            <w:tcW w:w="768" w:type="pct"/>
            <w:vAlign w:val="center"/>
          </w:tcPr>
          <w:p w14:paraId="77D9A40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73761D5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154FB3F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8" w:type="pct"/>
            <w:vAlign w:val="center"/>
          </w:tcPr>
          <w:p w14:paraId="2DB8219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57" w:type="pct"/>
            <w:vAlign w:val="center"/>
          </w:tcPr>
          <w:p w14:paraId="0BEC5D7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bl>
    <w:p w14:paraId="1E53C782" w14:textId="77777777" w:rsidR="00CD798F" w:rsidRDefault="00CD798F" w:rsidP="00CD798F">
      <w:pPr>
        <w:pStyle w:val="005"/>
        <w:spacing w:before="120" w:after="120"/>
        <w:ind w:firstLine="480"/>
      </w:pPr>
      <w:r w:rsidRPr="0084305E">
        <w:rPr>
          <w:rFonts w:hint="eastAsia"/>
        </w:rPr>
        <w:t>从上表可见，报告期间内随着</w:t>
      </w:r>
      <w:r>
        <w:rPr>
          <w:rFonts w:hint="eastAsia"/>
        </w:rPr>
        <w:t>标的</w:t>
      </w:r>
      <w:r w:rsidRPr="0084305E">
        <w:rPr>
          <w:rFonts w:hint="eastAsia"/>
        </w:rPr>
        <w:t>公司业务规模增长，</w:t>
      </w:r>
      <w:r>
        <w:rPr>
          <w:rFonts w:hint="eastAsia"/>
        </w:rPr>
        <w:t>研发</w:t>
      </w:r>
      <w:r w:rsidRPr="0084305E">
        <w:rPr>
          <w:rFonts w:hint="eastAsia"/>
        </w:rPr>
        <w:t>人员数量有所增加，职工薪酬相应提升，人均薪酬年增长率稳定。</w:t>
      </w:r>
    </w:p>
    <w:p w14:paraId="0F197642" w14:textId="77777777" w:rsidR="00CD798F" w:rsidRDefault="00CD798F" w:rsidP="00CD798F">
      <w:pPr>
        <w:pStyle w:val="004"/>
        <w:spacing w:before="120" w:after="120"/>
        <w:ind w:firstLine="482"/>
        <w:outlineLvl w:val="4"/>
      </w:pPr>
      <w:r>
        <w:rPr>
          <w:rFonts w:hint="eastAsia"/>
        </w:rPr>
        <w:t>（</w:t>
      </w:r>
      <w:r>
        <w:rPr>
          <w:rFonts w:hint="eastAsia"/>
        </w:rPr>
        <w:t>2</w:t>
      </w:r>
      <w:r>
        <w:rPr>
          <w:rFonts w:hint="eastAsia"/>
        </w:rPr>
        <w:t>）</w:t>
      </w:r>
      <w:r w:rsidRPr="00624A23">
        <w:rPr>
          <w:rFonts w:hint="eastAsia"/>
        </w:rPr>
        <w:t>直接投入费用、技术服务费</w:t>
      </w:r>
      <w:r>
        <w:rPr>
          <w:rFonts w:hint="eastAsia"/>
        </w:rPr>
        <w:t>和</w:t>
      </w:r>
      <w:r w:rsidRPr="00624A23">
        <w:rPr>
          <w:rFonts w:hint="eastAsia"/>
        </w:rPr>
        <w:t>其他费用</w:t>
      </w:r>
    </w:p>
    <w:p w14:paraId="5EDA8603" w14:textId="77777777" w:rsidR="00CD798F" w:rsidRDefault="00CD798F" w:rsidP="00CD798F">
      <w:pPr>
        <w:pStyle w:val="005"/>
        <w:spacing w:before="120" w:after="120"/>
        <w:ind w:firstLine="480"/>
      </w:pPr>
      <w:r w:rsidRPr="00624A23">
        <w:rPr>
          <w:rFonts w:hint="eastAsia"/>
        </w:rPr>
        <w:t>报告期各期，标的公司直接投入费用、技术服务费和其他费用合计金额分别为</w:t>
      </w:r>
      <w:r w:rsidRPr="0084305E">
        <w:t>126.76</w:t>
      </w:r>
      <w:r>
        <w:rPr>
          <w:rFonts w:hint="eastAsia"/>
        </w:rPr>
        <w:t>万元</w:t>
      </w:r>
      <w:r w:rsidRPr="00624A23">
        <w:rPr>
          <w:rFonts w:hint="eastAsia"/>
        </w:rPr>
        <w:t>、</w:t>
      </w:r>
      <w:r w:rsidRPr="0084305E">
        <w:t>195.89</w:t>
      </w:r>
      <w:r>
        <w:rPr>
          <w:rFonts w:hint="eastAsia"/>
        </w:rPr>
        <w:t>万元</w:t>
      </w:r>
      <w:r w:rsidRPr="00624A23">
        <w:rPr>
          <w:rFonts w:hint="eastAsia"/>
        </w:rPr>
        <w:t>和</w:t>
      </w:r>
      <w:r w:rsidRPr="0084305E">
        <w:t>65.28</w:t>
      </w:r>
      <w:r>
        <w:rPr>
          <w:rFonts w:hint="eastAsia"/>
        </w:rPr>
        <w:t>万元。未来</w:t>
      </w:r>
      <w:r w:rsidRPr="00624A23">
        <w:rPr>
          <w:rFonts w:hint="eastAsia"/>
        </w:rPr>
        <w:t>根据标的公司整体经营规划情况，预计</w:t>
      </w:r>
      <w:r>
        <w:rPr>
          <w:rFonts w:hint="eastAsia"/>
        </w:rPr>
        <w:t>SaaS</w:t>
      </w:r>
      <w:r w:rsidRPr="00624A23">
        <w:rPr>
          <w:rFonts w:hint="eastAsia"/>
        </w:rPr>
        <w:t>软件平台将持续迭代开发，直接投入费用、技术服务费和其他相关研发投入在维</w:t>
      </w:r>
      <w:r w:rsidRPr="00624A23">
        <w:rPr>
          <w:rFonts w:hint="eastAsia"/>
        </w:rPr>
        <w:lastRenderedPageBreak/>
        <w:t>持基本稳定的同时按一定比例增长进行测算</w:t>
      </w:r>
      <w:r>
        <w:rPr>
          <w:rFonts w:hint="eastAsia"/>
        </w:rPr>
        <w:t>，具体情况如下：</w:t>
      </w:r>
    </w:p>
    <w:p w14:paraId="0053F83C" w14:textId="77777777" w:rsidR="00CD798F" w:rsidRPr="00CA051E"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95"/>
        <w:gridCol w:w="1548"/>
        <w:gridCol w:w="1254"/>
        <w:gridCol w:w="1254"/>
        <w:gridCol w:w="1254"/>
        <w:gridCol w:w="1256"/>
      </w:tblGrid>
      <w:tr w:rsidR="00CD798F" w:rsidRPr="00D95B42" w14:paraId="7749D955" w14:textId="77777777" w:rsidTr="00214723">
        <w:trPr>
          <w:cantSplit/>
          <w:trHeight w:val="454"/>
          <w:tblHeader/>
          <w:jc w:val="center"/>
        </w:trPr>
        <w:tc>
          <w:tcPr>
            <w:tcW w:w="1377" w:type="pct"/>
            <w:vMerge w:val="restart"/>
            <w:vAlign w:val="center"/>
          </w:tcPr>
          <w:p w14:paraId="3066D2C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623" w:type="pct"/>
            <w:gridSpan w:val="5"/>
            <w:vAlign w:val="center"/>
          </w:tcPr>
          <w:p w14:paraId="73B163A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66849073" w14:textId="77777777" w:rsidTr="00214723">
        <w:trPr>
          <w:cantSplit/>
          <w:trHeight w:val="454"/>
          <w:tblHeader/>
          <w:jc w:val="center"/>
        </w:trPr>
        <w:tc>
          <w:tcPr>
            <w:tcW w:w="1377" w:type="pct"/>
            <w:vMerge/>
            <w:vAlign w:val="center"/>
          </w:tcPr>
          <w:p w14:paraId="67238AE3" w14:textId="77777777" w:rsidR="00CD798F" w:rsidRPr="00D95B42" w:rsidRDefault="00CD798F" w:rsidP="00214723">
            <w:pPr>
              <w:keepNext/>
              <w:jc w:val="center"/>
              <w:rPr>
                <w:rFonts w:ascii="Times New Roman" w:hAnsi="Times New Roman"/>
                <w:b/>
                <w:color w:val="000000"/>
              </w:rPr>
            </w:pPr>
          </w:p>
        </w:tc>
        <w:tc>
          <w:tcPr>
            <w:tcW w:w="854" w:type="pct"/>
            <w:vAlign w:val="center"/>
          </w:tcPr>
          <w:p w14:paraId="59940DC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692" w:type="pct"/>
            <w:vAlign w:val="center"/>
          </w:tcPr>
          <w:p w14:paraId="1FE1EAB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692" w:type="pct"/>
            <w:vAlign w:val="center"/>
          </w:tcPr>
          <w:p w14:paraId="38F6D47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692" w:type="pct"/>
            <w:vAlign w:val="center"/>
          </w:tcPr>
          <w:p w14:paraId="7040919E"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693" w:type="pct"/>
            <w:vAlign w:val="center"/>
          </w:tcPr>
          <w:p w14:paraId="781F5EC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2E356109" w14:textId="77777777" w:rsidTr="00214723">
        <w:trPr>
          <w:cantSplit/>
          <w:trHeight w:val="454"/>
          <w:jc w:val="center"/>
        </w:trPr>
        <w:tc>
          <w:tcPr>
            <w:tcW w:w="1377" w:type="pct"/>
            <w:vAlign w:val="center"/>
          </w:tcPr>
          <w:p w14:paraId="06A66B9D"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1</w:t>
            </w:r>
            <w:r w:rsidRPr="00D95B42">
              <w:rPr>
                <w:rFonts w:ascii="Times New Roman" w:hAnsi="Times New Roman"/>
                <w:b/>
                <w:color w:val="000000"/>
              </w:rPr>
              <w:t>、直接投入费用</w:t>
            </w:r>
          </w:p>
        </w:tc>
        <w:tc>
          <w:tcPr>
            <w:tcW w:w="854" w:type="pct"/>
            <w:vAlign w:val="center"/>
          </w:tcPr>
          <w:p w14:paraId="397B25BA"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41.61</w:t>
            </w:r>
          </w:p>
        </w:tc>
        <w:tc>
          <w:tcPr>
            <w:tcW w:w="692" w:type="pct"/>
            <w:vAlign w:val="center"/>
          </w:tcPr>
          <w:p w14:paraId="4463132E"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42.86</w:t>
            </w:r>
          </w:p>
        </w:tc>
        <w:tc>
          <w:tcPr>
            <w:tcW w:w="692" w:type="pct"/>
            <w:vAlign w:val="center"/>
          </w:tcPr>
          <w:p w14:paraId="27E3B7E9"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44.15</w:t>
            </w:r>
          </w:p>
        </w:tc>
        <w:tc>
          <w:tcPr>
            <w:tcW w:w="692" w:type="pct"/>
            <w:vAlign w:val="center"/>
          </w:tcPr>
          <w:p w14:paraId="66132435"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45.47</w:t>
            </w:r>
          </w:p>
        </w:tc>
        <w:tc>
          <w:tcPr>
            <w:tcW w:w="693" w:type="pct"/>
            <w:vAlign w:val="center"/>
          </w:tcPr>
          <w:p w14:paraId="0760F8CC"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46.83</w:t>
            </w:r>
          </w:p>
        </w:tc>
      </w:tr>
      <w:tr w:rsidR="00CD798F" w:rsidRPr="00D95B42" w14:paraId="6A03372C" w14:textId="77777777" w:rsidTr="00214723">
        <w:trPr>
          <w:cantSplit/>
          <w:trHeight w:val="454"/>
          <w:jc w:val="center"/>
        </w:trPr>
        <w:tc>
          <w:tcPr>
            <w:tcW w:w="1377" w:type="pct"/>
            <w:vAlign w:val="center"/>
          </w:tcPr>
          <w:p w14:paraId="50D84F3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年增长率</w:t>
            </w:r>
          </w:p>
        </w:tc>
        <w:tc>
          <w:tcPr>
            <w:tcW w:w="854" w:type="pct"/>
            <w:vAlign w:val="center"/>
          </w:tcPr>
          <w:p w14:paraId="1563CC9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30ADA8D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1133C32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09D1C69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3" w:type="pct"/>
            <w:vAlign w:val="center"/>
          </w:tcPr>
          <w:p w14:paraId="4FBB930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r w:rsidR="00CD798F" w:rsidRPr="00D95B42" w14:paraId="181D052B" w14:textId="77777777" w:rsidTr="00214723">
        <w:trPr>
          <w:cantSplit/>
          <w:trHeight w:val="454"/>
          <w:jc w:val="center"/>
        </w:trPr>
        <w:tc>
          <w:tcPr>
            <w:tcW w:w="1377" w:type="pct"/>
            <w:vAlign w:val="center"/>
          </w:tcPr>
          <w:p w14:paraId="18687A77"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2</w:t>
            </w:r>
            <w:r w:rsidRPr="00D95B42">
              <w:rPr>
                <w:rFonts w:ascii="Times New Roman" w:hAnsi="Times New Roman"/>
                <w:b/>
                <w:color w:val="000000"/>
              </w:rPr>
              <w:t>、技术服务费</w:t>
            </w:r>
          </w:p>
        </w:tc>
        <w:tc>
          <w:tcPr>
            <w:tcW w:w="854" w:type="pct"/>
            <w:vAlign w:val="center"/>
          </w:tcPr>
          <w:p w14:paraId="7B2ED4C9"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120.97</w:t>
            </w:r>
          </w:p>
        </w:tc>
        <w:tc>
          <w:tcPr>
            <w:tcW w:w="692" w:type="pct"/>
            <w:vAlign w:val="center"/>
          </w:tcPr>
          <w:p w14:paraId="4EA60DA4"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124.60</w:t>
            </w:r>
          </w:p>
        </w:tc>
        <w:tc>
          <w:tcPr>
            <w:tcW w:w="692" w:type="pct"/>
            <w:vAlign w:val="center"/>
          </w:tcPr>
          <w:p w14:paraId="536638B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128.34</w:t>
            </w:r>
          </w:p>
        </w:tc>
        <w:tc>
          <w:tcPr>
            <w:tcW w:w="692" w:type="pct"/>
            <w:vAlign w:val="center"/>
          </w:tcPr>
          <w:p w14:paraId="139A08FE"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132.19</w:t>
            </w:r>
          </w:p>
        </w:tc>
        <w:tc>
          <w:tcPr>
            <w:tcW w:w="693" w:type="pct"/>
            <w:vAlign w:val="center"/>
          </w:tcPr>
          <w:p w14:paraId="1757A336"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136.16</w:t>
            </w:r>
          </w:p>
        </w:tc>
      </w:tr>
      <w:tr w:rsidR="00CD798F" w:rsidRPr="00D95B42" w14:paraId="31797339" w14:textId="77777777" w:rsidTr="00214723">
        <w:trPr>
          <w:cantSplit/>
          <w:trHeight w:val="454"/>
          <w:jc w:val="center"/>
        </w:trPr>
        <w:tc>
          <w:tcPr>
            <w:tcW w:w="1377" w:type="pct"/>
            <w:vAlign w:val="center"/>
          </w:tcPr>
          <w:p w14:paraId="2C5BFF1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年增长率</w:t>
            </w:r>
          </w:p>
        </w:tc>
        <w:tc>
          <w:tcPr>
            <w:tcW w:w="854" w:type="pct"/>
            <w:vAlign w:val="center"/>
          </w:tcPr>
          <w:p w14:paraId="6055DF3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5961DE6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1A9D2A6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1A713C6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3" w:type="pct"/>
            <w:vAlign w:val="center"/>
          </w:tcPr>
          <w:p w14:paraId="052682E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r w:rsidR="00CD798F" w:rsidRPr="00D95B42" w14:paraId="1FAAC212" w14:textId="77777777" w:rsidTr="00214723">
        <w:trPr>
          <w:cantSplit/>
          <w:trHeight w:val="454"/>
          <w:jc w:val="center"/>
        </w:trPr>
        <w:tc>
          <w:tcPr>
            <w:tcW w:w="1377" w:type="pct"/>
            <w:vAlign w:val="center"/>
          </w:tcPr>
          <w:p w14:paraId="1B46233B"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3</w:t>
            </w:r>
            <w:r w:rsidRPr="00D95B42">
              <w:rPr>
                <w:rFonts w:ascii="Times New Roman" w:hAnsi="Times New Roman"/>
                <w:b/>
                <w:color w:val="000000"/>
              </w:rPr>
              <w:t>、其他费用</w:t>
            </w:r>
          </w:p>
        </w:tc>
        <w:tc>
          <w:tcPr>
            <w:tcW w:w="854" w:type="pct"/>
            <w:vAlign w:val="center"/>
          </w:tcPr>
          <w:p w14:paraId="6CC259E2"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39.18</w:t>
            </w:r>
          </w:p>
        </w:tc>
        <w:tc>
          <w:tcPr>
            <w:tcW w:w="692" w:type="pct"/>
            <w:vAlign w:val="center"/>
          </w:tcPr>
          <w:p w14:paraId="76FF2FEE"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40.36</w:t>
            </w:r>
          </w:p>
        </w:tc>
        <w:tc>
          <w:tcPr>
            <w:tcW w:w="692" w:type="pct"/>
            <w:vAlign w:val="center"/>
          </w:tcPr>
          <w:p w14:paraId="36DEAEFA"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41.57</w:t>
            </w:r>
          </w:p>
        </w:tc>
        <w:tc>
          <w:tcPr>
            <w:tcW w:w="692" w:type="pct"/>
            <w:vAlign w:val="center"/>
          </w:tcPr>
          <w:p w14:paraId="17EB8DDB"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42.82</w:t>
            </w:r>
          </w:p>
        </w:tc>
        <w:tc>
          <w:tcPr>
            <w:tcW w:w="693" w:type="pct"/>
            <w:vAlign w:val="center"/>
          </w:tcPr>
          <w:p w14:paraId="42ADC6A7"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44.10</w:t>
            </w:r>
          </w:p>
        </w:tc>
      </w:tr>
      <w:tr w:rsidR="00CD798F" w:rsidRPr="00D95B42" w14:paraId="1623F235" w14:textId="77777777" w:rsidTr="00214723">
        <w:trPr>
          <w:cantSplit/>
          <w:trHeight w:val="454"/>
          <w:jc w:val="center"/>
        </w:trPr>
        <w:tc>
          <w:tcPr>
            <w:tcW w:w="1377" w:type="pct"/>
            <w:vAlign w:val="center"/>
          </w:tcPr>
          <w:p w14:paraId="74E3F85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年增长率</w:t>
            </w:r>
          </w:p>
        </w:tc>
        <w:tc>
          <w:tcPr>
            <w:tcW w:w="854" w:type="pct"/>
            <w:vAlign w:val="center"/>
          </w:tcPr>
          <w:p w14:paraId="68BC011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0F82D28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28D46D7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2" w:type="pct"/>
            <w:vAlign w:val="center"/>
          </w:tcPr>
          <w:p w14:paraId="7877A2C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c>
          <w:tcPr>
            <w:tcW w:w="693" w:type="pct"/>
            <w:vAlign w:val="center"/>
          </w:tcPr>
          <w:p w14:paraId="20AC898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w:t>
            </w:r>
          </w:p>
        </w:tc>
      </w:tr>
      <w:tr w:rsidR="00CD798F" w:rsidRPr="00D95B42" w14:paraId="1DCB5C49" w14:textId="77777777" w:rsidTr="00214723">
        <w:trPr>
          <w:cantSplit/>
          <w:trHeight w:val="454"/>
          <w:jc w:val="center"/>
        </w:trPr>
        <w:tc>
          <w:tcPr>
            <w:tcW w:w="1377" w:type="pct"/>
            <w:vAlign w:val="center"/>
          </w:tcPr>
          <w:p w14:paraId="7C0F94A5" w14:textId="77777777" w:rsidR="00CD798F" w:rsidRPr="00D95B42" w:rsidRDefault="00CD798F" w:rsidP="00214723">
            <w:pPr>
              <w:rPr>
                <w:rFonts w:ascii="Times New Roman" w:hAnsi="Times New Roman"/>
                <w:b/>
                <w:color w:val="000000"/>
              </w:rPr>
            </w:pPr>
            <w:r w:rsidRPr="00D95B42">
              <w:rPr>
                <w:rFonts w:ascii="Times New Roman" w:hAnsi="Times New Roman"/>
                <w:b/>
                <w:color w:val="000000"/>
              </w:rPr>
              <w:t>上述费用合计</w:t>
            </w:r>
          </w:p>
        </w:tc>
        <w:tc>
          <w:tcPr>
            <w:tcW w:w="854" w:type="pct"/>
            <w:vAlign w:val="center"/>
          </w:tcPr>
          <w:p w14:paraId="7CC6836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201.76</w:t>
            </w:r>
          </w:p>
        </w:tc>
        <w:tc>
          <w:tcPr>
            <w:tcW w:w="692" w:type="pct"/>
            <w:vAlign w:val="center"/>
          </w:tcPr>
          <w:p w14:paraId="66AB5A22"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207.82</w:t>
            </w:r>
          </w:p>
        </w:tc>
        <w:tc>
          <w:tcPr>
            <w:tcW w:w="692" w:type="pct"/>
            <w:vAlign w:val="center"/>
          </w:tcPr>
          <w:p w14:paraId="56ADBD37"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214.06</w:t>
            </w:r>
          </w:p>
        </w:tc>
        <w:tc>
          <w:tcPr>
            <w:tcW w:w="692" w:type="pct"/>
            <w:vAlign w:val="center"/>
          </w:tcPr>
          <w:p w14:paraId="6240D247"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220.48</w:t>
            </w:r>
          </w:p>
        </w:tc>
        <w:tc>
          <w:tcPr>
            <w:tcW w:w="693" w:type="pct"/>
            <w:vAlign w:val="center"/>
          </w:tcPr>
          <w:p w14:paraId="6BCFCBD3" w14:textId="77777777" w:rsidR="00CD798F" w:rsidRPr="00D95B42" w:rsidRDefault="00CD798F" w:rsidP="00214723">
            <w:pPr>
              <w:jc w:val="right"/>
              <w:rPr>
                <w:rFonts w:ascii="Times New Roman" w:hAnsi="Times New Roman"/>
                <w:b/>
                <w:color w:val="000000"/>
              </w:rPr>
            </w:pPr>
            <w:r w:rsidRPr="00D95B42">
              <w:rPr>
                <w:rFonts w:ascii="Times New Roman" w:hAnsi="Times New Roman"/>
                <w:b/>
                <w:color w:val="000000"/>
              </w:rPr>
              <w:t>227.09</w:t>
            </w:r>
          </w:p>
        </w:tc>
      </w:tr>
      <w:tr w:rsidR="00CD798F" w:rsidRPr="00D95B42" w14:paraId="5F683E97" w14:textId="77777777" w:rsidTr="00214723">
        <w:trPr>
          <w:cantSplit/>
          <w:trHeight w:val="454"/>
          <w:jc w:val="center"/>
        </w:trPr>
        <w:tc>
          <w:tcPr>
            <w:tcW w:w="1377" w:type="pct"/>
            <w:vAlign w:val="center"/>
          </w:tcPr>
          <w:p w14:paraId="1DA00F19"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年增长率</w:t>
            </w:r>
          </w:p>
        </w:tc>
        <w:tc>
          <w:tcPr>
            <w:tcW w:w="854" w:type="pct"/>
            <w:vAlign w:val="center"/>
          </w:tcPr>
          <w:p w14:paraId="206FFCD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9.00%</w:t>
            </w:r>
          </w:p>
        </w:tc>
        <w:tc>
          <w:tcPr>
            <w:tcW w:w="692" w:type="pct"/>
            <w:vAlign w:val="center"/>
          </w:tcPr>
          <w:p w14:paraId="0344686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9.00%</w:t>
            </w:r>
          </w:p>
        </w:tc>
        <w:tc>
          <w:tcPr>
            <w:tcW w:w="692" w:type="pct"/>
            <w:vAlign w:val="center"/>
          </w:tcPr>
          <w:p w14:paraId="7266012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9.00%</w:t>
            </w:r>
          </w:p>
        </w:tc>
        <w:tc>
          <w:tcPr>
            <w:tcW w:w="692" w:type="pct"/>
            <w:vAlign w:val="center"/>
          </w:tcPr>
          <w:p w14:paraId="4E46DE7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9.00%</w:t>
            </w:r>
          </w:p>
        </w:tc>
        <w:tc>
          <w:tcPr>
            <w:tcW w:w="693" w:type="pct"/>
            <w:vAlign w:val="center"/>
          </w:tcPr>
          <w:p w14:paraId="0FD0FC3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9.00%</w:t>
            </w:r>
          </w:p>
        </w:tc>
      </w:tr>
    </w:tbl>
    <w:p w14:paraId="3D360FAE" w14:textId="77777777" w:rsidR="00CD798F" w:rsidRDefault="00CD798F" w:rsidP="00CD798F">
      <w:pPr>
        <w:pStyle w:val="004"/>
        <w:spacing w:before="120" w:after="120"/>
        <w:ind w:firstLine="482"/>
        <w:outlineLvl w:val="4"/>
      </w:pPr>
      <w:r>
        <w:rPr>
          <w:rFonts w:hint="eastAsia"/>
        </w:rPr>
        <w:t>（</w:t>
      </w:r>
      <w:r>
        <w:rPr>
          <w:rFonts w:hint="eastAsia"/>
        </w:rPr>
        <w:t>3</w:t>
      </w:r>
      <w:r>
        <w:rPr>
          <w:rFonts w:hint="eastAsia"/>
        </w:rPr>
        <w:t>）折旧摊销</w:t>
      </w:r>
    </w:p>
    <w:p w14:paraId="5E046478" w14:textId="77777777" w:rsidR="00CD798F" w:rsidRDefault="00CD798F" w:rsidP="00CD798F">
      <w:pPr>
        <w:pStyle w:val="005"/>
        <w:spacing w:before="120" w:after="120"/>
        <w:ind w:firstLine="480"/>
      </w:pPr>
      <w:r w:rsidRPr="00463242">
        <w:rPr>
          <w:rFonts w:hint="eastAsia"/>
        </w:rPr>
        <w:t>标的公司</w:t>
      </w:r>
      <w:r>
        <w:rPr>
          <w:rFonts w:hint="eastAsia"/>
        </w:rPr>
        <w:t>研发费用中</w:t>
      </w:r>
      <w:r w:rsidRPr="00463242">
        <w:rPr>
          <w:rFonts w:hint="eastAsia"/>
        </w:rPr>
        <w:t>摊销及折旧主要包括</w:t>
      </w:r>
      <w:r>
        <w:rPr>
          <w:rFonts w:hint="eastAsia"/>
        </w:rPr>
        <w:t>研发</w:t>
      </w:r>
      <w:r w:rsidRPr="00463242">
        <w:rPr>
          <w:rFonts w:hint="eastAsia"/>
        </w:rPr>
        <w:t>人员使用的</w:t>
      </w:r>
      <w:r w:rsidRPr="00624A23">
        <w:rPr>
          <w:rFonts w:hint="eastAsia"/>
        </w:rPr>
        <w:t>固定资产的折旧，以及长期待摊费用的摊销</w:t>
      </w:r>
      <w:r w:rsidRPr="00463242">
        <w:rPr>
          <w:rFonts w:hint="eastAsia"/>
        </w:rPr>
        <w:t>。报告期各期，标的公司摊销及折旧</w:t>
      </w:r>
      <w:r>
        <w:rPr>
          <w:rFonts w:hint="eastAsia"/>
        </w:rPr>
        <w:t>费用</w:t>
      </w:r>
      <w:r w:rsidRPr="00463242">
        <w:rPr>
          <w:rFonts w:hint="eastAsia"/>
        </w:rPr>
        <w:t>分别为</w:t>
      </w:r>
      <w:r w:rsidRPr="00AC4A0F">
        <w:t>802.64</w:t>
      </w:r>
      <w:r w:rsidRPr="00463242">
        <w:rPr>
          <w:rFonts w:hint="eastAsia"/>
        </w:rPr>
        <w:t>万元、</w:t>
      </w:r>
      <w:r w:rsidRPr="00AC4A0F">
        <w:t>544.64</w:t>
      </w:r>
      <w:r w:rsidRPr="00463242">
        <w:rPr>
          <w:rFonts w:hint="eastAsia"/>
        </w:rPr>
        <w:t>万元和</w:t>
      </w:r>
      <w:r w:rsidRPr="00AC4A0F">
        <w:t>223.96</w:t>
      </w:r>
      <w:r w:rsidRPr="00463242">
        <w:rPr>
          <w:rFonts w:hint="eastAsia"/>
        </w:rPr>
        <w:t>万元。</w:t>
      </w:r>
      <w:r w:rsidRPr="000B76DA">
        <w:rPr>
          <w:rFonts w:hint="eastAsia"/>
        </w:rPr>
        <w:t>本次评估对未来计入</w:t>
      </w:r>
      <w:r>
        <w:rPr>
          <w:rFonts w:hint="eastAsia"/>
        </w:rPr>
        <w:t>研发</w:t>
      </w:r>
      <w:r w:rsidRPr="000B76DA">
        <w:rPr>
          <w:rFonts w:hint="eastAsia"/>
        </w:rPr>
        <w:t>费用折旧摊销的长期资产按照未来各年的预计规模以及折旧和摊销年限进行预测</w:t>
      </w:r>
      <w:r w:rsidRPr="00463242">
        <w:rPr>
          <w:rFonts w:hint="eastAsia"/>
        </w:rPr>
        <w:t>。</w:t>
      </w:r>
      <w:r>
        <w:rPr>
          <w:rFonts w:hint="eastAsia"/>
        </w:rPr>
        <w:t>具体情况如下：</w:t>
      </w:r>
    </w:p>
    <w:p w14:paraId="698F3CC3" w14:textId="77777777" w:rsidR="00CD798F" w:rsidRPr="00AC4A0F" w:rsidRDefault="00CD798F" w:rsidP="00CD798F">
      <w:pPr>
        <w:keepNext/>
        <w:jc w:val="right"/>
      </w:pPr>
      <w:r w:rsidRPr="003347DA">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18"/>
        <w:gridCol w:w="1683"/>
        <w:gridCol w:w="1365"/>
        <w:gridCol w:w="1365"/>
        <w:gridCol w:w="1365"/>
        <w:gridCol w:w="1365"/>
      </w:tblGrid>
      <w:tr w:rsidR="00CD798F" w:rsidRPr="00D95B42" w14:paraId="6BBD9714" w14:textId="77777777" w:rsidTr="00214723">
        <w:trPr>
          <w:cantSplit/>
          <w:trHeight w:val="454"/>
          <w:tblHeader/>
          <w:jc w:val="center"/>
        </w:trPr>
        <w:tc>
          <w:tcPr>
            <w:tcW w:w="1059" w:type="pct"/>
            <w:vMerge w:val="restart"/>
            <w:vAlign w:val="center"/>
          </w:tcPr>
          <w:p w14:paraId="371AF7A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3941" w:type="pct"/>
            <w:gridSpan w:val="5"/>
            <w:vAlign w:val="center"/>
          </w:tcPr>
          <w:p w14:paraId="209ABFD2"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预测期</w:t>
            </w:r>
          </w:p>
        </w:tc>
      </w:tr>
      <w:tr w:rsidR="00CD798F" w:rsidRPr="00D95B42" w14:paraId="49BD9CDB" w14:textId="77777777" w:rsidTr="00214723">
        <w:trPr>
          <w:cantSplit/>
          <w:trHeight w:val="454"/>
          <w:tblHeader/>
          <w:jc w:val="center"/>
        </w:trPr>
        <w:tc>
          <w:tcPr>
            <w:tcW w:w="1059" w:type="pct"/>
            <w:vMerge/>
            <w:vAlign w:val="center"/>
          </w:tcPr>
          <w:p w14:paraId="6359D885" w14:textId="77777777" w:rsidR="00CD798F" w:rsidRPr="00D95B42" w:rsidRDefault="00CD798F" w:rsidP="00214723">
            <w:pPr>
              <w:keepNext/>
              <w:jc w:val="center"/>
              <w:rPr>
                <w:rFonts w:ascii="Times New Roman" w:hAnsi="Times New Roman"/>
                <w:b/>
                <w:color w:val="000000"/>
              </w:rPr>
            </w:pPr>
          </w:p>
        </w:tc>
        <w:tc>
          <w:tcPr>
            <w:tcW w:w="929" w:type="pct"/>
            <w:vAlign w:val="center"/>
          </w:tcPr>
          <w:p w14:paraId="08D442B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全年</w:t>
            </w:r>
          </w:p>
        </w:tc>
        <w:tc>
          <w:tcPr>
            <w:tcW w:w="753" w:type="pct"/>
            <w:vAlign w:val="center"/>
          </w:tcPr>
          <w:p w14:paraId="520FCBCE"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2026</w:t>
            </w:r>
            <w:r w:rsidRPr="00D95B42">
              <w:rPr>
                <w:rFonts w:ascii="Times New Roman" w:hAnsi="Times New Roman"/>
                <w:b/>
                <w:color w:val="000000"/>
              </w:rPr>
              <w:t>年</w:t>
            </w:r>
          </w:p>
        </w:tc>
        <w:tc>
          <w:tcPr>
            <w:tcW w:w="753" w:type="pct"/>
            <w:vAlign w:val="center"/>
          </w:tcPr>
          <w:p w14:paraId="430A849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2027</w:t>
            </w:r>
            <w:r w:rsidRPr="00D95B42">
              <w:rPr>
                <w:rFonts w:ascii="Times New Roman" w:hAnsi="Times New Roman"/>
                <w:b/>
                <w:color w:val="000000"/>
              </w:rPr>
              <w:t>年</w:t>
            </w:r>
          </w:p>
        </w:tc>
        <w:tc>
          <w:tcPr>
            <w:tcW w:w="753" w:type="pct"/>
            <w:vAlign w:val="center"/>
          </w:tcPr>
          <w:p w14:paraId="058C6348"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2028</w:t>
            </w:r>
            <w:r w:rsidRPr="00D95B42">
              <w:rPr>
                <w:rFonts w:ascii="Times New Roman" w:hAnsi="Times New Roman"/>
                <w:b/>
                <w:color w:val="000000"/>
              </w:rPr>
              <w:t>年</w:t>
            </w:r>
          </w:p>
        </w:tc>
        <w:tc>
          <w:tcPr>
            <w:tcW w:w="753" w:type="pct"/>
            <w:vAlign w:val="center"/>
          </w:tcPr>
          <w:p w14:paraId="75C961E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2029</w:t>
            </w:r>
            <w:r w:rsidRPr="00D95B42">
              <w:rPr>
                <w:rFonts w:ascii="Times New Roman" w:hAnsi="Times New Roman"/>
                <w:b/>
                <w:color w:val="000000"/>
              </w:rPr>
              <w:t>年</w:t>
            </w:r>
          </w:p>
        </w:tc>
      </w:tr>
      <w:tr w:rsidR="00CD798F" w:rsidRPr="00D95B42" w14:paraId="5BBF64D9" w14:textId="77777777" w:rsidTr="00214723">
        <w:trPr>
          <w:cantSplit/>
          <w:trHeight w:val="454"/>
          <w:jc w:val="center"/>
        </w:trPr>
        <w:tc>
          <w:tcPr>
            <w:tcW w:w="1059" w:type="pct"/>
            <w:vAlign w:val="center"/>
          </w:tcPr>
          <w:p w14:paraId="0A375168"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折旧和摊销</w:t>
            </w:r>
          </w:p>
        </w:tc>
        <w:tc>
          <w:tcPr>
            <w:tcW w:w="929" w:type="pct"/>
            <w:vAlign w:val="center"/>
          </w:tcPr>
          <w:p w14:paraId="073AC01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141.75</w:t>
            </w:r>
          </w:p>
        </w:tc>
        <w:tc>
          <w:tcPr>
            <w:tcW w:w="753" w:type="pct"/>
            <w:vAlign w:val="center"/>
          </w:tcPr>
          <w:p w14:paraId="73E762B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150.70</w:t>
            </w:r>
          </w:p>
        </w:tc>
        <w:tc>
          <w:tcPr>
            <w:tcW w:w="753" w:type="pct"/>
            <w:vAlign w:val="center"/>
          </w:tcPr>
          <w:p w14:paraId="0EC2906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155.45</w:t>
            </w:r>
          </w:p>
        </w:tc>
        <w:tc>
          <w:tcPr>
            <w:tcW w:w="753" w:type="pct"/>
            <w:vAlign w:val="center"/>
          </w:tcPr>
          <w:p w14:paraId="5929657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155.45</w:t>
            </w:r>
          </w:p>
        </w:tc>
        <w:tc>
          <w:tcPr>
            <w:tcW w:w="753" w:type="pct"/>
            <w:vAlign w:val="center"/>
          </w:tcPr>
          <w:p w14:paraId="2425DDE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155.45</w:t>
            </w:r>
          </w:p>
        </w:tc>
      </w:tr>
    </w:tbl>
    <w:p w14:paraId="588CC8EC" w14:textId="77777777" w:rsidR="00CD798F" w:rsidRDefault="00CD798F" w:rsidP="00CD798F">
      <w:pPr>
        <w:pStyle w:val="003"/>
        <w:spacing w:before="120" w:after="120"/>
        <w:ind w:firstLine="482"/>
      </w:pPr>
      <w:r>
        <w:t>（</w:t>
      </w:r>
      <w:r>
        <w:rPr>
          <w:rFonts w:hint="eastAsia"/>
        </w:rPr>
        <w:t>四</w:t>
      </w:r>
      <w:r>
        <w:t>）</w:t>
      </w:r>
      <w:r w:rsidRPr="00FF3D28">
        <w:rPr>
          <w:rFonts w:hint="eastAsia"/>
        </w:rPr>
        <w:t>补充披露预测期内期间费用率低于报告期平均水平且呈现逐年下降趋势的合理性，是否足以支撑标的资产的持续发展。</w:t>
      </w:r>
    </w:p>
    <w:p w14:paraId="2C04FBBF" w14:textId="77777777" w:rsidR="00CD798F" w:rsidRDefault="00CD798F" w:rsidP="00CD798F">
      <w:pPr>
        <w:pStyle w:val="004"/>
        <w:spacing w:before="120" w:after="120"/>
        <w:ind w:firstLine="482"/>
      </w:pPr>
      <w:r>
        <w:rPr>
          <w:rFonts w:hint="eastAsia"/>
        </w:rPr>
        <w:t>1</w:t>
      </w:r>
      <w:r>
        <w:t>、</w:t>
      </w:r>
      <w:r w:rsidRPr="00842842">
        <w:rPr>
          <w:rFonts w:hint="eastAsia"/>
        </w:rPr>
        <w:t>销售费用</w:t>
      </w:r>
      <w:r>
        <w:rPr>
          <w:rFonts w:hint="eastAsia"/>
        </w:rPr>
        <w:t>率变动具备合理性</w:t>
      </w:r>
    </w:p>
    <w:p w14:paraId="563AAB72" w14:textId="77777777" w:rsidR="00CD798F" w:rsidRDefault="00CD798F" w:rsidP="00CD798F">
      <w:pPr>
        <w:pStyle w:val="005"/>
        <w:spacing w:before="120" w:after="120"/>
        <w:ind w:firstLine="480"/>
      </w:pPr>
      <w:r w:rsidRPr="00292343">
        <w:rPr>
          <w:rFonts w:hint="eastAsia"/>
        </w:rPr>
        <w:t>报告期及预测期，销售费用率情况如下：</w:t>
      </w:r>
    </w:p>
    <w:p w14:paraId="23D0252F" w14:textId="77777777" w:rsidR="00CD798F" w:rsidRPr="006E6EF4" w:rsidRDefault="00CD798F" w:rsidP="00CD798F">
      <w:pPr>
        <w:keepNext/>
        <w:jc w:val="right"/>
      </w:pPr>
      <w:r w:rsidRPr="003347DA">
        <w:lastRenderedPageBreak/>
        <w:t>单位：万元</w:t>
      </w:r>
    </w:p>
    <w:tbl>
      <w:tblPr>
        <w:tblW w:w="6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1207"/>
        <w:gridCol w:w="1207"/>
        <w:gridCol w:w="1207"/>
        <w:gridCol w:w="1207"/>
        <w:gridCol w:w="1205"/>
        <w:gridCol w:w="1205"/>
        <w:gridCol w:w="1205"/>
        <w:gridCol w:w="1109"/>
      </w:tblGrid>
      <w:tr w:rsidR="00CD798F" w:rsidRPr="00DB118A" w14:paraId="7FCD9EAD" w14:textId="77777777" w:rsidTr="00214723">
        <w:trPr>
          <w:cantSplit/>
          <w:trHeight w:val="454"/>
          <w:tblHeader/>
          <w:jc w:val="center"/>
        </w:trPr>
        <w:tc>
          <w:tcPr>
            <w:tcW w:w="608" w:type="pct"/>
            <w:vMerge w:val="restart"/>
            <w:vAlign w:val="center"/>
          </w:tcPr>
          <w:p w14:paraId="032F3DB7"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项目</w:t>
            </w:r>
          </w:p>
        </w:tc>
        <w:tc>
          <w:tcPr>
            <w:tcW w:w="1665" w:type="pct"/>
            <w:gridSpan w:val="3"/>
            <w:vAlign w:val="center"/>
          </w:tcPr>
          <w:p w14:paraId="465F4D7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报告期</w:t>
            </w:r>
          </w:p>
        </w:tc>
        <w:tc>
          <w:tcPr>
            <w:tcW w:w="2727" w:type="pct"/>
            <w:gridSpan w:val="5"/>
            <w:vAlign w:val="center"/>
          </w:tcPr>
          <w:p w14:paraId="512B28EB"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预测期</w:t>
            </w:r>
          </w:p>
        </w:tc>
      </w:tr>
      <w:tr w:rsidR="00CD798F" w:rsidRPr="00DB118A" w14:paraId="25037F04" w14:textId="77777777" w:rsidTr="00214723">
        <w:trPr>
          <w:cantSplit/>
          <w:trHeight w:val="454"/>
          <w:tblHeader/>
          <w:jc w:val="center"/>
        </w:trPr>
        <w:tc>
          <w:tcPr>
            <w:tcW w:w="608" w:type="pct"/>
            <w:vMerge/>
            <w:vAlign w:val="center"/>
          </w:tcPr>
          <w:p w14:paraId="0E4D54DA" w14:textId="77777777" w:rsidR="00CD798F" w:rsidRPr="00E72DA1" w:rsidRDefault="00CD798F" w:rsidP="00214723">
            <w:pPr>
              <w:keepNext/>
              <w:jc w:val="center"/>
              <w:rPr>
                <w:rFonts w:ascii="Times New Roman" w:hAnsi="Times New Roman"/>
                <w:b/>
                <w:color w:val="000000"/>
                <w:szCs w:val="21"/>
              </w:rPr>
            </w:pPr>
          </w:p>
        </w:tc>
        <w:tc>
          <w:tcPr>
            <w:tcW w:w="555" w:type="pct"/>
            <w:vAlign w:val="center"/>
          </w:tcPr>
          <w:p w14:paraId="47BCE85E"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2023</w:t>
            </w:r>
            <w:r w:rsidRPr="00E72DA1">
              <w:rPr>
                <w:rFonts w:ascii="Times New Roman" w:hAnsi="Times New Roman" w:hint="eastAsia"/>
                <w:b/>
                <w:color w:val="000000"/>
                <w:szCs w:val="21"/>
              </w:rPr>
              <w:t>年度</w:t>
            </w:r>
          </w:p>
        </w:tc>
        <w:tc>
          <w:tcPr>
            <w:tcW w:w="555" w:type="pct"/>
            <w:vAlign w:val="center"/>
          </w:tcPr>
          <w:p w14:paraId="352B285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2024</w:t>
            </w:r>
            <w:r w:rsidRPr="00E72DA1">
              <w:rPr>
                <w:rFonts w:ascii="Times New Roman" w:hAnsi="Times New Roman" w:hint="eastAsia"/>
                <w:b/>
                <w:color w:val="000000"/>
                <w:szCs w:val="21"/>
              </w:rPr>
              <w:t>年度</w:t>
            </w:r>
          </w:p>
        </w:tc>
        <w:tc>
          <w:tcPr>
            <w:tcW w:w="555" w:type="pct"/>
            <w:vAlign w:val="center"/>
          </w:tcPr>
          <w:p w14:paraId="53B6F19C"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1-6</w:t>
            </w:r>
            <w:r w:rsidRPr="00E72DA1">
              <w:rPr>
                <w:rFonts w:ascii="Times New Roman" w:hAnsi="Times New Roman" w:hint="eastAsia"/>
                <w:b/>
                <w:color w:val="000000"/>
                <w:szCs w:val="21"/>
              </w:rPr>
              <w:t>月</w:t>
            </w:r>
          </w:p>
        </w:tc>
        <w:tc>
          <w:tcPr>
            <w:tcW w:w="555" w:type="pct"/>
            <w:vAlign w:val="center"/>
          </w:tcPr>
          <w:p w14:paraId="2C5FD85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全年</w:t>
            </w:r>
          </w:p>
        </w:tc>
        <w:tc>
          <w:tcPr>
            <w:tcW w:w="554" w:type="pct"/>
            <w:vAlign w:val="center"/>
          </w:tcPr>
          <w:p w14:paraId="73FC8129"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554" w:type="pct"/>
            <w:vAlign w:val="center"/>
          </w:tcPr>
          <w:p w14:paraId="38F3FB21"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554" w:type="pct"/>
            <w:vAlign w:val="center"/>
          </w:tcPr>
          <w:p w14:paraId="02F5F6E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510" w:type="pct"/>
            <w:vAlign w:val="center"/>
          </w:tcPr>
          <w:p w14:paraId="310EEF6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r>
      <w:tr w:rsidR="00CD798F" w:rsidRPr="00DB118A" w14:paraId="46DEFBF4" w14:textId="77777777" w:rsidTr="00214723">
        <w:trPr>
          <w:cantSplit/>
          <w:trHeight w:val="454"/>
          <w:jc w:val="center"/>
        </w:trPr>
        <w:tc>
          <w:tcPr>
            <w:tcW w:w="608" w:type="pct"/>
            <w:vAlign w:val="center"/>
          </w:tcPr>
          <w:p w14:paraId="122C8E34"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销售费用</w:t>
            </w:r>
          </w:p>
        </w:tc>
        <w:tc>
          <w:tcPr>
            <w:tcW w:w="555" w:type="pct"/>
            <w:vAlign w:val="center"/>
          </w:tcPr>
          <w:p w14:paraId="52581AE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7,949.08</w:t>
            </w:r>
          </w:p>
        </w:tc>
        <w:tc>
          <w:tcPr>
            <w:tcW w:w="555" w:type="pct"/>
            <w:vAlign w:val="center"/>
          </w:tcPr>
          <w:p w14:paraId="190C409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7,083.27</w:t>
            </w:r>
          </w:p>
        </w:tc>
        <w:tc>
          <w:tcPr>
            <w:tcW w:w="555" w:type="pct"/>
            <w:vAlign w:val="center"/>
          </w:tcPr>
          <w:p w14:paraId="0615ED2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3,749.82</w:t>
            </w:r>
          </w:p>
        </w:tc>
        <w:tc>
          <w:tcPr>
            <w:tcW w:w="555" w:type="pct"/>
            <w:vAlign w:val="center"/>
          </w:tcPr>
          <w:p w14:paraId="1238531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8,479.89</w:t>
            </w:r>
          </w:p>
        </w:tc>
        <w:tc>
          <w:tcPr>
            <w:tcW w:w="554" w:type="pct"/>
            <w:vAlign w:val="center"/>
          </w:tcPr>
          <w:p w14:paraId="15D7F28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8,907.46</w:t>
            </w:r>
          </w:p>
        </w:tc>
        <w:tc>
          <w:tcPr>
            <w:tcW w:w="554" w:type="pct"/>
            <w:vAlign w:val="center"/>
          </w:tcPr>
          <w:p w14:paraId="188094E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9,382.41</w:t>
            </w:r>
          </w:p>
        </w:tc>
        <w:tc>
          <w:tcPr>
            <w:tcW w:w="554" w:type="pct"/>
            <w:vAlign w:val="center"/>
          </w:tcPr>
          <w:p w14:paraId="17DCB2D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9,826.71</w:t>
            </w:r>
          </w:p>
        </w:tc>
        <w:tc>
          <w:tcPr>
            <w:tcW w:w="510" w:type="pct"/>
            <w:vAlign w:val="center"/>
          </w:tcPr>
          <w:p w14:paraId="08C69F6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10,134.90</w:t>
            </w:r>
          </w:p>
        </w:tc>
      </w:tr>
      <w:tr w:rsidR="00CD798F" w:rsidRPr="00DB118A" w14:paraId="0BDA3264" w14:textId="77777777" w:rsidTr="00214723">
        <w:trPr>
          <w:cantSplit/>
          <w:trHeight w:val="454"/>
          <w:jc w:val="center"/>
        </w:trPr>
        <w:tc>
          <w:tcPr>
            <w:tcW w:w="608" w:type="pct"/>
            <w:vAlign w:val="center"/>
          </w:tcPr>
          <w:p w14:paraId="737493EF"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占营业收入比例</w:t>
            </w:r>
          </w:p>
        </w:tc>
        <w:tc>
          <w:tcPr>
            <w:tcW w:w="555" w:type="pct"/>
            <w:vAlign w:val="center"/>
          </w:tcPr>
          <w:p w14:paraId="5A5C1EE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21%</w:t>
            </w:r>
          </w:p>
        </w:tc>
        <w:tc>
          <w:tcPr>
            <w:tcW w:w="555" w:type="pct"/>
            <w:vAlign w:val="center"/>
          </w:tcPr>
          <w:p w14:paraId="1B1B418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w:t>
            </w:r>
          </w:p>
        </w:tc>
        <w:tc>
          <w:tcPr>
            <w:tcW w:w="555" w:type="pct"/>
            <w:vAlign w:val="center"/>
          </w:tcPr>
          <w:p w14:paraId="7FAE23F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15%</w:t>
            </w:r>
          </w:p>
        </w:tc>
        <w:tc>
          <w:tcPr>
            <w:tcW w:w="555" w:type="pct"/>
            <w:vAlign w:val="center"/>
          </w:tcPr>
          <w:p w14:paraId="56A7D7C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w:t>
            </w:r>
          </w:p>
        </w:tc>
        <w:tc>
          <w:tcPr>
            <w:tcW w:w="554" w:type="pct"/>
            <w:vAlign w:val="center"/>
          </w:tcPr>
          <w:p w14:paraId="000F08E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w:t>
            </w:r>
          </w:p>
        </w:tc>
        <w:tc>
          <w:tcPr>
            <w:tcW w:w="554" w:type="pct"/>
            <w:vAlign w:val="center"/>
          </w:tcPr>
          <w:p w14:paraId="5BD449B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w:t>
            </w:r>
          </w:p>
        </w:tc>
        <w:tc>
          <w:tcPr>
            <w:tcW w:w="554" w:type="pct"/>
            <w:vAlign w:val="center"/>
          </w:tcPr>
          <w:p w14:paraId="7A1C271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w:t>
            </w:r>
          </w:p>
        </w:tc>
        <w:tc>
          <w:tcPr>
            <w:tcW w:w="510" w:type="pct"/>
            <w:vAlign w:val="center"/>
          </w:tcPr>
          <w:p w14:paraId="25140395"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w:t>
            </w:r>
          </w:p>
        </w:tc>
      </w:tr>
      <w:tr w:rsidR="00CD798F" w:rsidRPr="00DB118A" w14:paraId="2A22C32F" w14:textId="77777777" w:rsidTr="00214723">
        <w:trPr>
          <w:cantSplit/>
          <w:trHeight w:val="454"/>
          <w:jc w:val="center"/>
        </w:trPr>
        <w:tc>
          <w:tcPr>
            <w:tcW w:w="608" w:type="pct"/>
            <w:vAlign w:val="center"/>
          </w:tcPr>
          <w:p w14:paraId="4CCBCFD7"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营业收入</w:t>
            </w:r>
          </w:p>
        </w:tc>
        <w:tc>
          <w:tcPr>
            <w:tcW w:w="555" w:type="pct"/>
            <w:vAlign w:val="center"/>
          </w:tcPr>
          <w:p w14:paraId="41F136B5"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38,501.66</w:t>
            </w:r>
          </w:p>
        </w:tc>
        <w:tc>
          <w:tcPr>
            <w:tcW w:w="555" w:type="pct"/>
            <w:vAlign w:val="center"/>
          </w:tcPr>
          <w:p w14:paraId="5DCCA22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44,716.44</w:t>
            </w:r>
          </w:p>
        </w:tc>
        <w:tc>
          <w:tcPr>
            <w:tcW w:w="555" w:type="pct"/>
            <w:vAlign w:val="center"/>
          </w:tcPr>
          <w:p w14:paraId="0E75C1A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24,799.86</w:t>
            </w:r>
          </w:p>
        </w:tc>
        <w:tc>
          <w:tcPr>
            <w:tcW w:w="555" w:type="pct"/>
            <w:vAlign w:val="center"/>
          </w:tcPr>
          <w:p w14:paraId="56931DC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52,487.45</w:t>
            </w:r>
          </w:p>
        </w:tc>
        <w:tc>
          <w:tcPr>
            <w:tcW w:w="554" w:type="pct"/>
            <w:vAlign w:val="center"/>
          </w:tcPr>
          <w:p w14:paraId="64EB1E2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56,074.53</w:t>
            </w:r>
          </w:p>
        </w:tc>
        <w:tc>
          <w:tcPr>
            <w:tcW w:w="554" w:type="pct"/>
            <w:vAlign w:val="center"/>
          </w:tcPr>
          <w:p w14:paraId="2AF0D8D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59,281.59</w:t>
            </w:r>
          </w:p>
        </w:tc>
        <w:tc>
          <w:tcPr>
            <w:tcW w:w="554" w:type="pct"/>
            <w:vAlign w:val="center"/>
          </w:tcPr>
          <w:p w14:paraId="74BAC68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61,975.97</w:t>
            </w:r>
          </w:p>
        </w:tc>
        <w:tc>
          <w:tcPr>
            <w:tcW w:w="510" w:type="pct"/>
            <w:vAlign w:val="center"/>
          </w:tcPr>
          <w:p w14:paraId="3C5F2BD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64,249.70</w:t>
            </w:r>
          </w:p>
        </w:tc>
      </w:tr>
      <w:tr w:rsidR="00CD798F" w:rsidRPr="00DB118A" w14:paraId="1F3716BA" w14:textId="77777777" w:rsidTr="00214723">
        <w:trPr>
          <w:cantSplit/>
          <w:trHeight w:val="454"/>
          <w:jc w:val="center"/>
        </w:trPr>
        <w:tc>
          <w:tcPr>
            <w:tcW w:w="608" w:type="pct"/>
            <w:vAlign w:val="center"/>
          </w:tcPr>
          <w:p w14:paraId="12A6AC42"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增长率</w:t>
            </w:r>
          </w:p>
        </w:tc>
        <w:tc>
          <w:tcPr>
            <w:tcW w:w="555" w:type="pct"/>
            <w:vAlign w:val="center"/>
          </w:tcPr>
          <w:p w14:paraId="1F2B0CB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555" w:type="pct"/>
            <w:vAlign w:val="center"/>
          </w:tcPr>
          <w:p w14:paraId="5193667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16.14%</w:t>
            </w:r>
          </w:p>
        </w:tc>
        <w:tc>
          <w:tcPr>
            <w:tcW w:w="555" w:type="pct"/>
            <w:vAlign w:val="center"/>
          </w:tcPr>
          <w:p w14:paraId="1ECE3CC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555" w:type="pct"/>
            <w:vAlign w:val="center"/>
          </w:tcPr>
          <w:p w14:paraId="68FF0A9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17.38%</w:t>
            </w:r>
          </w:p>
        </w:tc>
        <w:tc>
          <w:tcPr>
            <w:tcW w:w="554" w:type="pct"/>
            <w:vAlign w:val="center"/>
          </w:tcPr>
          <w:p w14:paraId="1B47253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6.83%</w:t>
            </w:r>
          </w:p>
        </w:tc>
        <w:tc>
          <w:tcPr>
            <w:tcW w:w="554" w:type="pct"/>
            <w:vAlign w:val="center"/>
          </w:tcPr>
          <w:p w14:paraId="136AA1D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5.72%</w:t>
            </w:r>
          </w:p>
        </w:tc>
        <w:tc>
          <w:tcPr>
            <w:tcW w:w="554" w:type="pct"/>
            <w:vAlign w:val="center"/>
          </w:tcPr>
          <w:p w14:paraId="7CCEA0A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4.55%</w:t>
            </w:r>
          </w:p>
        </w:tc>
        <w:tc>
          <w:tcPr>
            <w:tcW w:w="510" w:type="pct"/>
            <w:vAlign w:val="center"/>
          </w:tcPr>
          <w:p w14:paraId="1DF6C6D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3.67%</w:t>
            </w:r>
          </w:p>
        </w:tc>
      </w:tr>
    </w:tbl>
    <w:p w14:paraId="1F6F9146" w14:textId="77777777" w:rsidR="00CD798F" w:rsidRDefault="00CD798F" w:rsidP="00CD798F">
      <w:pPr>
        <w:pStyle w:val="005"/>
        <w:spacing w:before="120" w:after="120"/>
        <w:ind w:firstLine="480"/>
      </w:pPr>
      <w:r w:rsidRPr="00DF1DAF">
        <w:rPr>
          <w:rFonts w:hint="eastAsia"/>
        </w:rPr>
        <w:t>从上表可见，报告期内，标的公司</w:t>
      </w:r>
      <w:r>
        <w:rPr>
          <w:rFonts w:hint="eastAsia"/>
        </w:rPr>
        <w:t>销售费用率</w:t>
      </w:r>
      <w:r w:rsidRPr="00DF1DAF">
        <w:rPr>
          <w:rFonts w:hint="eastAsia"/>
        </w:rPr>
        <w:t>分别为</w:t>
      </w:r>
      <w:r w:rsidRPr="00DF1DAF">
        <w:rPr>
          <w:rFonts w:hint="eastAsia"/>
        </w:rPr>
        <w:t>21%</w:t>
      </w:r>
      <w:r>
        <w:rPr>
          <w:rFonts w:hint="eastAsia"/>
        </w:rPr>
        <w:t>、</w:t>
      </w:r>
      <w:r w:rsidRPr="00DF1DAF">
        <w:rPr>
          <w:rFonts w:hint="eastAsia"/>
        </w:rPr>
        <w:t>16%</w:t>
      </w:r>
      <w:r>
        <w:rPr>
          <w:rFonts w:hint="eastAsia"/>
        </w:rPr>
        <w:t>和</w:t>
      </w:r>
      <w:r w:rsidRPr="00DF1DAF">
        <w:rPr>
          <w:rFonts w:hint="eastAsia"/>
        </w:rPr>
        <w:t>15%</w:t>
      </w:r>
      <w:r>
        <w:rPr>
          <w:rFonts w:hint="eastAsia"/>
        </w:rPr>
        <w:t>，</w:t>
      </w:r>
      <w:r w:rsidRPr="00DF1DAF">
        <w:rPr>
          <w:rFonts w:hint="eastAsia"/>
        </w:rPr>
        <w:t>2023</w:t>
      </w:r>
      <w:r w:rsidRPr="00DF1DAF">
        <w:rPr>
          <w:rFonts w:hint="eastAsia"/>
        </w:rPr>
        <w:t>年销售费用率较高</w:t>
      </w:r>
      <w:r>
        <w:rPr>
          <w:rFonts w:hint="eastAsia"/>
        </w:rPr>
        <w:t>系</w:t>
      </w:r>
      <w:r w:rsidRPr="00DF1DAF">
        <w:rPr>
          <w:rFonts w:hint="eastAsia"/>
        </w:rPr>
        <w:t>当年为拓展数字增值服务业务，</w:t>
      </w:r>
      <w:r>
        <w:rPr>
          <w:rFonts w:hint="eastAsia"/>
        </w:rPr>
        <w:t>产生</w:t>
      </w:r>
      <w:r w:rsidRPr="00DF1DAF">
        <w:rPr>
          <w:rFonts w:hint="eastAsia"/>
        </w:rPr>
        <w:t>了较高市场推广费用所致，后续</w:t>
      </w:r>
      <w:r w:rsidRPr="00DF1DAF">
        <w:rPr>
          <w:rFonts w:hint="eastAsia"/>
        </w:rPr>
        <w:t>2024</w:t>
      </w:r>
      <w:r w:rsidRPr="00DF1DAF">
        <w:rPr>
          <w:rFonts w:hint="eastAsia"/>
        </w:rPr>
        <w:t>年度起针对此类业务对推广策略和推广方式进行优化，有效提升了推广效率，销售费用规模及占比有显著下降</w:t>
      </w:r>
      <w:r>
        <w:rPr>
          <w:rFonts w:hint="eastAsia"/>
        </w:rPr>
        <w:t>。</w:t>
      </w:r>
    </w:p>
    <w:p w14:paraId="1624EAA5" w14:textId="77777777" w:rsidR="00CD798F" w:rsidRPr="00FF3D28" w:rsidRDefault="00CD798F" w:rsidP="00CD798F">
      <w:pPr>
        <w:pStyle w:val="005"/>
        <w:spacing w:before="120" w:after="120"/>
        <w:ind w:firstLine="480"/>
      </w:pPr>
      <w:r w:rsidRPr="00DF1DAF">
        <w:rPr>
          <w:rFonts w:hint="eastAsia"/>
        </w:rPr>
        <w:t>预测期</w:t>
      </w:r>
      <w:r>
        <w:rPr>
          <w:rFonts w:hint="eastAsia"/>
        </w:rPr>
        <w:t>内标的公司</w:t>
      </w:r>
      <w:r w:rsidRPr="00DF1DAF">
        <w:rPr>
          <w:rFonts w:hint="eastAsia"/>
        </w:rPr>
        <w:t>销售费用率均为</w:t>
      </w:r>
      <w:r w:rsidRPr="00DF1DAF">
        <w:rPr>
          <w:rFonts w:hint="eastAsia"/>
        </w:rPr>
        <w:t>16%</w:t>
      </w:r>
      <w:r>
        <w:rPr>
          <w:rFonts w:hint="eastAsia"/>
        </w:rPr>
        <w:t>，</w:t>
      </w:r>
      <w:r w:rsidRPr="00DF1DAF">
        <w:rPr>
          <w:rFonts w:hint="eastAsia"/>
        </w:rPr>
        <w:t>低于报告期平均值</w:t>
      </w:r>
      <w:r>
        <w:rPr>
          <w:rFonts w:hint="eastAsia"/>
        </w:rPr>
        <w:t>，但与</w:t>
      </w:r>
      <w:r w:rsidRPr="00DF1DAF">
        <w:rPr>
          <w:rFonts w:hint="eastAsia"/>
        </w:rPr>
        <w:t>2024</w:t>
      </w:r>
      <w:r w:rsidRPr="00DF1DAF">
        <w:rPr>
          <w:rFonts w:hint="eastAsia"/>
        </w:rPr>
        <w:t>年及</w:t>
      </w:r>
      <w:r w:rsidRPr="00DF1DAF">
        <w:rPr>
          <w:rFonts w:hint="eastAsia"/>
        </w:rPr>
        <w:t>2025</w:t>
      </w:r>
      <w:r w:rsidRPr="00DF1DAF">
        <w:rPr>
          <w:rFonts w:hint="eastAsia"/>
        </w:rPr>
        <w:t>年</w:t>
      </w:r>
      <w:r w:rsidRPr="00DF1DAF">
        <w:rPr>
          <w:rFonts w:hint="eastAsia"/>
        </w:rPr>
        <w:t>1-6</w:t>
      </w:r>
      <w:r w:rsidRPr="00DF1DAF">
        <w:rPr>
          <w:rFonts w:hint="eastAsia"/>
        </w:rPr>
        <w:t>月的销售费用率</w:t>
      </w:r>
      <w:r w:rsidRPr="00DF1DAF">
        <w:rPr>
          <w:rFonts w:hint="eastAsia"/>
        </w:rPr>
        <w:t>15%-16%</w:t>
      </w:r>
      <w:r w:rsidRPr="00DF1DAF">
        <w:rPr>
          <w:rFonts w:hint="eastAsia"/>
        </w:rPr>
        <w:t>的水平</w:t>
      </w:r>
      <w:r>
        <w:rPr>
          <w:rFonts w:hint="eastAsia"/>
        </w:rPr>
        <w:t>相比，</w:t>
      </w:r>
      <w:r w:rsidRPr="00DF1DAF">
        <w:rPr>
          <w:rFonts w:hint="eastAsia"/>
        </w:rPr>
        <w:t>未发生逐年下降，具备合理性</w:t>
      </w:r>
      <w:r>
        <w:rPr>
          <w:rFonts w:hint="eastAsia"/>
        </w:rPr>
        <w:t>。此外，相比</w:t>
      </w:r>
      <w:r>
        <w:rPr>
          <w:rFonts w:hint="eastAsia"/>
        </w:rPr>
        <w:t>2023</w:t>
      </w:r>
      <w:r>
        <w:rPr>
          <w:rFonts w:hint="eastAsia"/>
        </w:rPr>
        <w:t>年度销售费用率</w:t>
      </w:r>
      <w:r>
        <w:rPr>
          <w:rFonts w:hint="eastAsia"/>
        </w:rPr>
        <w:t>21%</w:t>
      </w:r>
      <w:r>
        <w:rPr>
          <w:rFonts w:hint="eastAsia"/>
        </w:rPr>
        <w:t>，</w:t>
      </w:r>
      <w:r>
        <w:rPr>
          <w:rFonts w:hint="eastAsia"/>
        </w:rPr>
        <w:t>2024</w:t>
      </w:r>
      <w:r>
        <w:rPr>
          <w:rFonts w:hint="eastAsia"/>
        </w:rPr>
        <w:t>年度销售费用率显著下降至</w:t>
      </w:r>
      <w:r>
        <w:rPr>
          <w:rFonts w:hint="eastAsia"/>
        </w:rPr>
        <w:t>16%</w:t>
      </w:r>
      <w:r>
        <w:rPr>
          <w:rFonts w:hint="eastAsia"/>
        </w:rPr>
        <w:t>，但营业收入仍可保持</w:t>
      </w:r>
      <w:r>
        <w:rPr>
          <w:rFonts w:hint="eastAsia"/>
        </w:rPr>
        <w:t>16.14%</w:t>
      </w:r>
      <w:r>
        <w:rPr>
          <w:rFonts w:hint="eastAsia"/>
        </w:rPr>
        <w:t>的增长率。因此本次预测在</w:t>
      </w:r>
      <w:r w:rsidRPr="00D44E4A">
        <w:rPr>
          <w:rFonts w:hint="eastAsia"/>
        </w:rPr>
        <w:t>预测期内营业收入的平均增长率为</w:t>
      </w:r>
      <w:r w:rsidRPr="00D44E4A">
        <w:rPr>
          <w:rFonts w:hint="eastAsia"/>
        </w:rPr>
        <w:t>7.63%</w:t>
      </w:r>
      <w:r>
        <w:rPr>
          <w:rFonts w:hint="eastAsia"/>
        </w:rPr>
        <w:t>的水平下，</w:t>
      </w:r>
      <w:r w:rsidRPr="00D44E4A">
        <w:rPr>
          <w:rFonts w:hint="eastAsia"/>
        </w:rPr>
        <w:t>销售费用率</w:t>
      </w:r>
      <w:r>
        <w:rPr>
          <w:rFonts w:hint="eastAsia"/>
        </w:rPr>
        <w:t>亦</w:t>
      </w:r>
      <w:r w:rsidRPr="00D44E4A">
        <w:rPr>
          <w:rFonts w:hint="eastAsia"/>
        </w:rPr>
        <w:t>保持</w:t>
      </w:r>
      <w:r>
        <w:rPr>
          <w:rFonts w:hint="eastAsia"/>
        </w:rPr>
        <w:t>在</w:t>
      </w:r>
      <w:r w:rsidRPr="00D44E4A">
        <w:rPr>
          <w:rFonts w:hint="eastAsia"/>
        </w:rPr>
        <w:t>16%</w:t>
      </w:r>
      <w:r>
        <w:rPr>
          <w:rFonts w:hint="eastAsia"/>
        </w:rPr>
        <w:t>具备合理性。</w:t>
      </w:r>
    </w:p>
    <w:p w14:paraId="214A88F8" w14:textId="77777777" w:rsidR="00CD798F" w:rsidRDefault="00CD798F" w:rsidP="00CD798F">
      <w:pPr>
        <w:pStyle w:val="004"/>
        <w:spacing w:before="120" w:after="120"/>
        <w:ind w:firstLine="482"/>
      </w:pPr>
      <w:r>
        <w:rPr>
          <w:rFonts w:hint="eastAsia"/>
        </w:rPr>
        <w:t>2</w:t>
      </w:r>
      <w:r>
        <w:t>、</w:t>
      </w:r>
      <w:r>
        <w:rPr>
          <w:rFonts w:hint="eastAsia"/>
        </w:rPr>
        <w:t>管理</w:t>
      </w:r>
      <w:r w:rsidRPr="00842842">
        <w:rPr>
          <w:rFonts w:hint="eastAsia"/>
        </w:rPr>
        <w:t>费用</w:t>
      </w:r>
      <w:r>
        <w:rPr>
          <w:rFonts w:hint="eastAsia"/>
        </w:rPr>
        <w:t>率变动具备合理性</w:t>
      </w:r>
    </w:p>
    <w:p w14:paraId="43756171" w14:textId="77777777" w:rsidR="00CD798F" w:rsidRDefault="00CD798F" w:rsidP="00CD798F">
      <w:pPr>
        <w:pStyle w:val="005"/>
        <w:spacing w:before="120" w:after="120"/>
        <w:ind w:firstLine="480"/>
      </w:pPr>
      <w:r w:rsidRPr="00292343">
        <w:rPr>
          <w:rFonts w:hint="eastAsia"/>
        </w:rPr>
        <w:t>报告期及预测期，</w:t>
      </w:r>
      <w:r>
        <w:rPr>
          <w:rFonts w:hint="eastAsia"/>
        </w:rPr>
        <w:t>管理</w:t>
      </w:r>
      <w:r w:rsidRPr="00292343">
        <w:rPr>
          <w:rFonts w:hint="eastAsia"/>
        </w:rPr>
        <w:t>费用率情况如下：</w:t>
      </w:r>
    </w:p>
    <w:p w14:paraId="0928139B" w14:textId="77777777" w:rsidR="00CD798F" w:rsidRPr="006E6EF4" w:rsidRDefault="00CD798F" w:rsidP="00CD798F">
      <w:pPr>
        <w:keepNext/>
        <w:jc w:val="right"/>
      </w:pPr>
      <w:r w:rsidRPr="003347DA">
        <w:t>单位：万元</w:t>
      </w:r>
    </w:p>
    <w:tbl>
      <w:tblPr>
        <w:tblW w:w="6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1207"/>
        <w:gridCol w:w="1207"/>
        <w:gridCol w:w="1207"/>
        <w:gridCol w:w="1207"/>
        <w:gridCol w:w="1205"/>
        <w:gridCol w:w="1205"/>
        <w:gridCol w:w="1205"/>
        <w:gridCol w:w="1109"/>
      </w:tblGrid>
      <w:tr w:rsidR="00CD798F" w:rsidRPr="00DB118A" w14:paraId="7FD9CE5C" w14:textId="77777777" w:rsidTr="00214723">
        <w:trPr>
          <w:cantSplit/>
          <w:trHeight w:val="454"/>
          <w:tblHeader/>
          <w:jc w:val="center"/>
        </w:trPr>
        <w:tc>
          <w:tcPr>
            <w:tcW w:w="608" w:type="pct"/>
            <w:vMerge w:val="restart"/>
            <w:vAlign w:val="center"/>
          </w:tcPr>
          <w:p w14:paraId="6184D5D5"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项目</w:t>
            </w:r>
          </w:p>
        </w:tc>
        <w:tc>
          <w:tcPr>
            <w:tcW w:w="1665" w:type="pct"/>
            <w:gridSpan w:val="3"/>
            <w:vAlign w:val="center"/>
          </w:tcPr>
          <w:p w14:paraId="400C32E2"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报告期</w:t>
            </w:r>
          </w:p>
        </w:tc>
        <w:tc>
          <w:tcPr>
            <w:tcW w:w="2727" w:type="pct"/>
            <w:gridSpan w:val="5"/>
            <w:vAlign w:val="center"/>
          </w:tcPr>
          <w:p w14:paraId="2F08CE29"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预测期</w:t>
            </w:r>
          </w:p>
        </w:tc>
      </w:tr>
      <w:tr w:rsidR="00CD798F" w:rsidRPr="00DB118A" w14:paraId="6A685729" w14:textId="77777777" w:rsidTr="00214723">
        <w:trPr>
          <w:cantSplit/>
          <w:trHeight w:val="454"/>
          <w:tblHeader/>
          <w:jc w:val="center"/>
        </w:trPr>
        <w:tc>
          <w:tcPr>
            <w:tcW w:w="608" w:type="pct"/>
            <w:vMerge/>
            <w:vAlign w:val="center"/>
          </w:tcPr>
          <w:p w14:paraId="61CEACF6" w14:textId="77777777" w:rsidR="00CD798F" w:rsidRPr="00E72DA1" w:rsidRDefault="00CD798F" w:rsidP="00214723">
            <w:pPr>
              <w:keepNext/>
              <w:jc w:val="center"/>
              <w:rPr>
                <w:rFonts w:ascii="Times New Roman" w:hAnsi="Times New Roman"/>
                <w:b/>
                <w:color w:val="000000"/>
                <w:szCs w:val="21"/>
              </w:rPr>
            </w:pPr>
          </w:p>
        </w:tc>
        <w:tc>
          <w:tcPr>
            <w:tcW w:w="555" w:type="pct"/>
            <w:vAlign w:val="center"/>
          </w:tcPr>
          <w:p w14:paraId="50CE37D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2023</w:t>
            </w:r>
            <w:r w:rsidRPr="00E72DA1">
              <w:rPr>
                <w:rFonts w:ascii="Times New Roman" w:hAnsi="Times New Roman" w:hint="eastAsia"/>
                <w:b/>
                <w:color w:val="000000"/>
                <w:szCs w:val="21"/>
              </w:rPr>
              <w:t>年度</w:t>
            </w:r>
          </w:p>
        </w:tc>
        <w:tc>
          <w:tcPr>
            <w:tcW w:w="555" w:type="pct"/>
            <w:vAlign w:val="center"/>
          </w:tcPr>
          <w:p w14:paraId="124181E9"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2024</w:t>
            </w:r>
            <w:r w:rsidRPr="00E72DA1">
              <w:rPr>
                <w:rFonts w:ascii="Times New Roman" w:hAnsi="Times New Roman" w:hint="eastAsia"/>
                <w:b/>
                <w:color w:val="000000"/>
                <w:szCs w:val="21"/>
              </w:rPr>
              <w:t>年度</w:t>
            </w:r>
          </w:p>
        </w:tc>
        <w:tc>
          <w:tcPr>
            <w:tcW w:w="555" w:type="pct"/>
            <w:vAlign w:val="center"/>
          </w:tcPr>
          <w:p w14:paraId="762187B5"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1-6</w:t>
            </w:r>
            <w:r w:rsidRPr="00E72DA1">
              <w:rPr>
                <w:rFonts w:ascii="Times New Roman" w:hAnsi="Times New Roman" w:hint="eastAsia"/>
                <w:b/>
                <w:color w:val="000000"/>
                <w:szCs w:val="21"/>
              </w:rPr>
              <w:t>月</w:t>
            </w:r>
          </w:p>
        </w:tc>
        <w:tc>
          <w:tcPr>
            <w:tcW w:w="555" w:type="pct"/>
            <w:vAlign w:val="center"/>
          </w:tcPr>
          <w:p w14:paraId="7F60103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全年</w:t>
            </w:r>
          </w:p>
        </w:tc>
        <w:tc>
          <w:tcPr>
            <w:tcW w:w="554" w:type="pct"/>
            <w:vAlign w:val="center"/>
          </w:tcPr>
          <w:p w14:paraId="235A98F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554" w:type="pct"/>
            <w:vAlign w:val="center"/>
          </w:tcPr>
          <w:p w14:paraId="65AC3D1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554" w:type="pct"/>
            <w:vAlign w:val="center"/>
          </w:tcPr>
          <w:p w14:paraId="1BB055A7"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510" w:type="pct"/>
            <w:vAlign w:val="center"/>
          </w:tcPr>
          <w:p w14:paraId="56D2A74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r>
      <w:tr w:rsidR="00CD798F" w:rsidRPr="00DB118A" w14:paraId="53F30DFC" w14:textId="77777777" w:rsidTr="00214723">
        <w:trPr>
          <w:cantSplit/>
          <w:trHeight w:val="454"/>
          <w:jc w:val="center"/>
        </w:trPr>
        <w:tc>
          <w:tcPr>
            <w:tcW w:w="608" w:type="pct"/>
            <w:vAlign w:val="center"/>
          </w:tcPr>
          <w:p w14:paraId="3FE4B036"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管理费用</w:t>
            </w:r>
          </w:p>
        </w:tc>
        <w:tc>
          <w:tcPr>
            <w:tcW w:w="555" w:type="pct"/>
            <w:vAlign w:val="center"/>
          </w:tcPr>
          <w:p w14:paraId="4348EC2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5,480.91</w:t>
            </w:r>
          </w:p>
        </w:tc>
        <w:tc>
          <w:tcPr>
            <w:tcW w:w="555" w:type="pct"/>
            <w:vAlign w:val="center"/>
          </w:tcPr>
          <w:p w14:paraId="5F9924A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5,380.82</w:t>
            </w:r>
          </w:p>
        </w:tc>
        <w:tc>
          <w:tcPr>
            <w:tcW w:w="555" w:type="pct"/>
            <w:vAlign w:val="center"/>
          </w:tcPr>
          <w:p w14:paraId="1121191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2,698.73</w:t>
            </w:r>
          </w:p>
        </w:tc>
        <w:tc>
          <w:tcPr>
            <w:tcW w:w="555" w:type="pct"/>
            <w:vAlign w:val="center"/>
          </w:tcPr>
          <w:p w14:paraId="3DCCD7E2" w14:textId="77777777" w:rsidR="00CD798F" w:rsidRPr="00E72DA1" w:rsidRDefault="00CD798F" w:rsidP="00214723">
            <w:pPr>
              <w:jc w:val="right"/>
              <w:rPr>
                <w:rFonts w:ascii="Times New Roman" w:hAnsi="Times New Roman"/>
                <w:color w:val="000000"/>
                <w:szCs w:val="21"/>
              </w:rPr>
            </w:pPr>
            <w:r w:rsidRPr="00DB118A">
              <w:rPr>
                <w:rFonts w:ascii="Times New Roman" w:hAnsi="Times New Roman"/>
                <w:color w:val="000000"/>
                <w:szCs w:val="21"/>
              </w:rPr>
              <w:t>5,593.38</w:t>
            </w:r>
          </w:p>
        </w:tc>
        <w:tc>
          <w:tcPr>
            <w:tcW w:w="554" w:type="pct"/>
            <w:vAlign w:val="center"/>
          </w:tcPr>
          <w:p w14:paraId="7682BFFB" w14:textId="77777777" w:rsidR="00CD798F" w:rsidRPr="00E72DA1" w:rsidRDefault="00CD798F" w:rsidP="00214723">
            <w:pPr>
              <w:jc w:val="right"/>
              <w:rPr>
                <w:rFonts w:ascii="Times New Roman" w:hAnsi="Times New Roman"/>
                <w:color w:val="000000"/>
                <w:szCs w:val="21"/>
              </w:rPr>
            </w:pPr>
            <w:r w:rsidRPr="00DB118A">
              <w:rPr>
                <w:rFonts w:ascii="Times New Roman" w:hAnsi="Times New Roman"/>
                <w:color w:val="000000"/>
                <w:szCs w:val="21"/>
              </w:rPr>
              <w:t>5,918.09</w:t>
            </w:r>
          </w:p>
        </w:tc>
        <w:tc>
          <w:tcPr>
            <w:tcW w:w="554" w:type="pct"/>
            <w:vAlign w:val="center"/>
          </w:tcPr>
          <w:p w14:paraId="110BF9F2" w14:textId="77777777" w:rsidR="00CD798F" w:rsidRPr="00E72DA1" w:rsidRDefault="00CD798F" w:rsidP="00214723">
            <w:pPr>
              <w:jc w:val="right"/>
              <w:rPr>
                <w:rFonts w:ascii="Times New Roman" w:hAnsi="Times New Roman"/>
                <w:color w:val="000000"/>
                <w:szCs w:val="21"/>
              </w:rPr>
            </w:pPr>
            <w:r w:rsidRPr="00DB118A">
              <w:rPr>
                <w:rFonts w:ascii="Times New Roman" w:hAnsi="Times New Roman"/>
                <w:color w:val="000000"/>
                <w:szCs w:val="21"/>
              </w:rPr>
              <w:t>6,238.90</w:t>
            </w:r>
          </w:p>
        </w:tc>
        <w:tc>
          <w:tcPr>
            <w:tcW w:w="554" w:type="pct"/>
            <w:vAlign w:val="center"/>
          </w:tcPr>
          <w:p w14:paraId="138072D6" w14:textId="77777777" w:rsidR="00CD798F" w:rsidRPr="00E72DA1" w:rsidRDefault="00CD798F" w:rsidP="00214723">
            <w:pPr>
              <w:jc w:val="right"/>
              <w:rPr>
                <w:rFonts w:ascii="Times New Roman" w:hAnsi="Times New Roman"/>
                <w:color w:val="000000"/>
                <w:szCs w:val="21"/>
              </w:rPr>
            </w:pPr>
            <w:r w:rsidRPr="00DB118A">
              <w:rPr>
                <w:rFonts w:ascii="Times New Roman" w:hAnsi="Times New Roman"/>
                <w:color w:val="000000"/>
                <w:szCs w:val="21"/>
              </w:rPr>
              <w:t>6,422.14</w:t>
            </w:r>
          </w:p>
        </w:tc>
        <w:tc>
          <w:tcPr>
            <w:tcW w:w="510" w:type="pct"/>
            <w:vAlign w:val="center"/>
          </w:tcPr>
          <w:p w14:paraId="41C23EE1" w14:textId="77777777" w:rsidR="00CD798F" w:rsidRPr="00E72DA1" w:rsidRDefault="00CD798F" w:rsidP="00214723">
            <w:pPr>
              <w:jc w:val="right"/>
              <w:rPr>
                <w:rFonts w:ascii="Times New Roman" w:hAnsi="Times New Roman"/>
                <w:color w:val="000000"/>
                <w:szCs w:val="21"/>
              </w:rPr>
            </w:pPr>
            <w:r w:rsidRPr="00DB118A">
              <w:rPr>
                <w:rFonts w:ascii="Times New Roman" w:hAnsi="Times New Roman"/>
                <w:color w:val="000000"/>
                <w:szCs w:val="21"/>
              </w:rPr>
              <w:t>6,607.77</w:t>
            </w:r>
          </w:p>
        </w:tc>
      </w:tr>
      <w:tr w:rsidR="00CD798F" w:rsidRPr="00DB118A" w14:paraId="6D940CFF" w14:textId="77777777" w:rsidTr="00214723">
        <w:trPr>
          <w:cantSplit/>
          <w:trHeight w:val="454"/>
          <w:jc w:val="center"/>
        </w:trPr>
        <w:tc>
          <w:tcPr>
            <w:tcW w:w="608" w:type="pct"/>
            <w:vAlign w:val="center"/>
          </w:tcPr>
          <w:p w14:paraId="2E6C6AFE"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占营业收入比例</w:t>
            </w:r>
          </w:p>
        </w:tc>
        <w:tc>
          <w:tcPr>
            <w:tcW w:w="555" w:type="pct"/>
            <w:vAlign w:val="center"/>
          </w:tcPr>
          <w:p w14:paraId="1051621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14%</w:t>
            </w:r>
          </w:p>
        </w:tc>
        <w:tc>
          <w:tcPr>
            <w:tcW w:w="555" w:type="pct"/>
            <w:vAlign w:val="center"/>
          </w:tcPr>
          <w:p w14:paraId="1D2C378A"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12%</w:t>
            </w:r>
          </w:p>
        </w:tc>
        <w:tc>
          <w:tcPr>
            <w:tcW w:w="555" w:type="pct"/>
            <w:vAlign w:val="center"/>
          </w:tcPr>
          <w:p w14:paraId="445B6B4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w:t>
            </w:r>
          </w:p>
        </w:tc>
        <w:tc>
          <w:tcPr>
            <w:tcW w:w="555" w:type="pct"/>
            <w:vAlign w:val="center"/>
          </w:tcPr>
          <w:p w14:paraId="02300500"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w:t>
            </w:r>
          </w:p>
        </w:tc>
        <w:tc>
          <w:tcPr>
            <w:tcW w:w="554" w:type="pct"/>
            <w:vAlign w:val="center"/>
          </w:tcPr>
          <w:p w14:paraId="073C81E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w:t>
            </w:r>
          </w:p>
        </w:tc>
        <w:tc>
          <w:tcPr>
            <w:tcW w:w="554" w:type="pct"/>
            <w:vAlign w:val="center"/>
          </w:tcPr>
          <w:p w14:paraId="3751526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w:t>
            </w:r>
          </w:p>
        </w:tc>
        <w:tc>
          <w:tcPr>
            <w:tcW w:w="554" w:type="pct"/>
            <w:vAlign w:val="center"/>
          </w:tcPr>
          <w:p w14:paraId="45D2A960"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w:t>
            </w:r>
          </w:p>
        </w:tc>
        <w:tc>
          <w:tcPr>
            <w:tcW w:w="510" w:type="pct"/>
            <w:vAlign w:val="center"/>
          </w:tcPr>
          <w:p w14:paraId="3DB89760"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w:t>
            </w:r>
          </w:p>
        </w:tc>
      </w:tr>
      <w:tr w:rsidR="00CD798F" w:rsidRPr="00DB118A" w14:paraId="41A5EA76" w14:textId="77777777" w:rsidTr="00214723">
        <w:trPr>
          <w:cantSplit/>
          <w:trHeight w:val="454"/>
          <w:jc w:val="center"/>
        </w:trPr>
        <w:tc>
          <w:tcPr>
            <w:tcW w:w="608" w:type="pct"/>
            <w:vAlign w:val="center"/>
          </w:tcPr>
          <w:p w14:paraId="63C38BA5"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营业收入</w:t>
            </w:r>
          </w:p>
        </w:tc>
        <w:tc>
          <w:tcPr>
            <w:tcW w:w="555" w:type="pct"/>
            <w:vAlign w:val="center"/>
          </w:tcPr>
          <w:p w14:paraId="5FD1204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38,501.66</w:t>
            </w:r>
          </w:p>
        </w:tc>
        <w:tc>
          <w:tcPr>
            <w:tcW w:w="555" w:type="pct"/>
            <w:vAlign w:val="center"/>
          </w:tcPr>
          <w:p w14:paraId="74CFBD0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44,716.44</w:t>
            </w:r>
          </w:p>
        </w:tc>
        <w:tc>
          <w:tcPr>
            <w:tcW w:w="555" w:type="pct"/>
            <w:vAlign w:val="center"/>
          </w:tcPr>
          <w:p w14:paraId="6094683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24,799.86</w:t>
            </w:r>
          </w:p>
        </w:tc>
        <w:tc>
          <w:tcPr>
            <w:tcW w:w="555" w:type="pct"/>
            <w:vAlign w:val="center"/>
          </w:tcPr>
          <w:p w14:paraId="386F3E1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52,487.45</w:t>
            </w:r>
          </w:p>
        </w:tc>
        <w:tc>
          <w:tcPr>
            <w:tcW w:w="554" w:type="pct"/>
            <w:vAlign w:val="center"/>
          </w:tcPr>
          <w:p w14:paraId="1EAD6A45"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56,074.53</w:t>
            </w:r>
          </w:p>
        </w:tc>
        <w:tc>
          <w:tcPr>
            <w:tcW w:w="554" w:type="pct"/>
            <w:vAlign w:val="center"/>
          </w:tcPr>
          <w:p w14:paraId="7DD2AD35"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59,281.59</w:t>
            </w:r>
          </w:p>
        </w:tc>
        <w:tc>
          <w:tcPr>
            <w:tcW w:w="554" w:type="pct"/>
            <w:vAlign w:val="center"/>
          </w:tcPr>
          <w:p w14:paraId="164BC9C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61,975.97</w:t>
            </w:r>
          </w:p>
        </w:tc>
        <w:tc>
          <w:tcPr>
            <w:tcW w:w="510" w:type="pct"/>
            <w:vAlign w:val="center"/>
          </w:tcPr>
          <w:p w14:paraId="7488DD7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64,249.70</w:t>
            </w:r>
          </w:p>
        </w:tc>
      </w:tr>
      <w:tr w:rsidR="00CD798F" w:rsidRPr="00DB118A" w14:paraId="2F0B780A" w14:textId="77777777" w:rsidTr="00214723">
        <w:trPr>
          <w:cantSplit/>
          <w:trHeight w:val="454"/>
          <w:jc w:val="center"/>
        </w:trPr>
        <w:tc>
          <w:tcPr>
            <w:tcW w:w="608" w:type="pct"/>
            <w:vAlign w:val="center"/>
          </w:tcPr>
          <w:p w14:paraId="152099FF"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lastRenderedPageBreak/>
              <w:t>增长率</w:t>
            </w:r>
          </w:p>
        </w:tc>
        <w:tc>
          <w:tcPr>
            <w:tcW w:w="555" w:type="pct"/>
            <w:vAlign w:val="center"/>
          </w:tcPr>
          <w:p w14:paraId="1EC0790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555" w:type="pct"/>
            <w:vAlign w:val="center"/>
          </w:tcPr>
          <w:p w14:paraId="58F077A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16.14%</w:t>
            </w:r>
          </w:p>
        </w:tc>
        <w:tc>
          <w:tcPr>
            <w:tcW w:w="555" w:type="pct"/>
            <w:vAlign w:val="center"/>
          </w:tcPr>
          <w:p w14:paraId="1C2C428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555" w:type="pct"/>
            <w:vAlign w:val="center"/>
          </w:tcPr>
          <w:p w14:paraId="68FFFEB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17.38%</w:t>
            </w:r>
          </w:p>
        </w:tc>
        <w:tc>
          <w:tcPr>
            <w:tcW w:w="554" w:type="pct"/>
            <w:vAlign w:val="center"/>
          </w:tcPr>
          <w:p w14:paraId="3FDC9B7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6.83%</w:t>
            </w:r>
          </w:p>
        </w:tc>
        <w:tc>
          <w:tcPr>
            <w:tcW w:w="554" w:type="pct"/>
            <w:vAlign w:val="center"/>
          </w:tcPr>
          <w:p w14:paraId="0D45C36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5.72%</w:t>
            </w:r>
          </w:p>
        </w:tc>
        <w:tc>
          <w:tcPr>
            <w:tcW w:w="554" w:type="pct"/>
            <w:vAlign w:val="center"/>
          </w:tcPr>
          <w:p w14:paraId="4867359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4.55%</w:t>
            </w:r>
          </w:p>
        </w:tc>
        <w:tc>
          <w:tcPr>
            <w:tcW w:w="510" w:type="pct"/>
            <w:vAlign w:val="center"/>
          </w:tcPr>
          <w:p w14:paraId="3A7ED70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3.67%</w:t>
            </w:r>
          </w:p>
        </w:tc>
      </w:tr>
    </w:tbl>
    <w:p w14:paraId="6608EB53" w14:textId="77777777" w:rsidR="00CD798F" w:rsidRPr="00FF3D28" w:rsidRDefault="00CD798F" w:rsidP="00CD798F">
      <w:pPr>
        <w:pStyle w:val="005"/>
        <w:spacing w:before="120" w:after="120"/>
        <w:ind w:firstLine="480"/>
      </w:pPr>
      <w:r w:rsidRPr="001B4E2B">
        <w:rPr>
          <w:rFonts w:hint="eastAsia"/>
        </w:rPr>
        <w:t>在本次评估中，</w:t>
      </w:r>
      <w:r>
        <w:rPr>
          <w:rFonts w:hint="eastAsia"/>
        </w:rPr>
        <w:t>标的公司</w:t>
      </w:r>
      <w:r w:rsidRPr="001B4E2B">
        <w:rPr>
          <w:rFonts w:hint="eastAsia"/>
        </w:rPr>
        <w:t>管理费用率在</w:t>
      </w:r>
      <w:r>
        <w:t>10</w:t>
      </w:r>
      <w:r>
        <w:rPr>
          <w:rFonts w:hint="eastAsia"/>
        </w:rPr>
        <w:t>%</w:t>
      </w:r>
      <w:r>
        <w:rPr>
          <w:rFonts w:hint="eastAsia"/>
        </w:rPr>
        <w:t>至</w:t>
      </w:r>
      <w:r>
        <w:t>11</w:t>
      </w:r>
      <w:r w:rsidRPr="001B4E2B">
        <w:rPr>
          <w:rFonts w:hint="eastAsia"/>
        </w:rPr>
        <w:t>%</w:t>
      </w:r>
      <w:r>
        <w:rPr>
          <w:rFonts w:hint="eastAsia"/>
        </w:rPr>
        <w:t>区间</w:t>
      </w:r>
      <w:r w:rsidRPr="001B4E2B">
        <w:rPr>
          <w:rFonts w:hint="eastAsia"/>
        </w:rPr>
        <w:t>。报告期内管理费用率分别为</w:t>
      </w:r>
      <w:r>
        <w:t>14</w:t>
      </w:r>
      <w:r w:rsidRPr="001B4E2B">
        <w:rPr>
          <w:rFonts w:hint="eastAsia"/>
        </w:rPr>
        <w:t>%</w:t>
      </w:r>
      <w:r w:rsidRPr="001B4E2B">
        <w:rPr>
          <w:rFonts w:hint="eastAsia"/>
        </w:rPr>
        <w:t>、</w:t>
      </w:r>
      <w:r>
        <w:t>12</w:t>
      </w:r>
      <w:r w:rsidRPr="001B4E2B">
        <w:rPr>
          <w:rFonts w:hint="eastAsia"/>
        </w:rPr>
        <w:t>%</w:t>
      </w:r>
      <w:r>
        <w:rPr>
          <w:rFonts w:hint="eastAsia"/>
        </w:rPr>
        <w:t>和</w:t>
      </w:r>
      <w:r>
        <w:t>11</w:t>
      </w:r>
      <w:r w:rsidRPr="001B4E2B">
        <w:rPr>
          <w:rFonts w:hint="eastAsia"/>
        </w:rPr>
        <w:t>%</w:t>
      </w:r>
      <w:r w:rsidRPr="001B4E2B">
        <w:rPr>
          <w:rFonts w:hint="eastAsia"/>
        </w:rPr>
        <w:t>。报告期内</w:t>
      </w:r>
      <w:r>
        <w:rPr>
          <w:rFonts w:hint="eastAsia"/>
        </w:rPr>
        <w:t>，标的公司</w:t>
      </w:r>
      <w:r w:rsidRPr="001B4E2B">
        <w:rPr>
          <w:rFonts w:hint="eastAsia"/>
        </w:rPr>
        <w:t>管理费用率出现下降的趋势，主要</w:t>
      </w:r>
      <w:r>
        <w:rPr>
          <w:rFonts w:hint="eastAsia"/>
        </w:rPr>
        <w:t>系</w:t>
      </w:r>
      <w:r w:rsidRPr="001B4E2B">
        <w:rPr>
          <w:rFonts w:hint="eastAsia"/>
        </w:rPr>
        <w:t>部分无形资产在报告期</w:t>
      </w:r>
      <w:r w:rsidRPr="001B4E2B">
        <w:rPr>
          <w:rFonts w:hint="eastAsia"/>
        </w:rPr>
        <w:t>2023</w:t>
      </w:r>
      <w:r w:rsidRPr="001B4E2B">
        <w:rPr>
          <w:rFonts w:hint="eastAsia"/>
        </w:rPr>
        <w:t>年末计提减值，</w:t>
      </w:r>
      <w:r>
        <w:rPr>
          <w:rFonts w:hint="eastAsia"/>
        </w:rPr>
        <w:t>使得</w:t>
      </w:r>
      <w:r w:rsidRPr="001B4E2B">
        <w:rPr>
          <w:rFonts w:hint="eastAsia"/>
        </w:rPr>
        <w:t>2024</w:t>
      </w:r>
      <w:r w:rsidRPr="001B4E2B">
        <w:rPr>
          <w:rFonts w:hint="eastAsia"/>
        </w:rPr>
        <w:t>年起折旧摊销金额</w:t>
      </w:r>
      <w:r>
        <w:rPr>
          <w:rFonts w:hint="eastAsia"/>
        </w:rPr>
        <w:t>有所</w:t>
      </w:r>
      <w:r w:rsidRPr="001B4E2B">
        <w:rPr>
          <w:rFonts w:hint="eastAsia"/>
        </w:rPr>
        <w:t>减少，整体来看</w:t>
      </w:r>
      <w:r>
        <w:rPr>
          <w:rFonts w:hint="eastAsia"/>
        </w:rPr>
        <w:t>，标的公司</w:t>
      </w:r>
      <w:r w:rsidRPr="001B4E2B">
        <w:rPr>
          <w:rFonts w:hint="eastAsia"/>
        </w:rPr>
        <w:t>管理费用率在</w:t>
      </w:r>
      <w:r w:rsidRPr="001B4E2B">
        <w:rPr>
          <w:rFonts w:hint="eastAsia"/>
        </w:rPr>
        <w:t>2024</w:t>
      </w:r>
      <w:r w:rsidRPr="001B4E2B">
        <w:rPr>
          <w:rFonts w:hint="eastAsia"/>
        </w:rPr>
        <w:t>年开始至本次预测期内在</w:t>
      </w:r>
      <w:r w:rsidRPr="001B4E2B">
        <w:rPr>
          <w:rFonts w:hint="eastAsia"/>
        </w:rPr>
        <w:t>10</w:t>
      </w:r>
      <w:r>
        <w:rPr>
          <w:rFonts w:hint="eastAsia"/>
        </w:rPr>
        <w:t>%</w:t>
      </w:r>
      <w:r w:rsidRPr="001B4E2B">
        <w:rPr>
          <w:rFonts w:hint="eastAsia"/>
        </w:rPr>
        <w:t>-12%</w:t>
      </w:r>
      <w:r w:rsidRPr="001B4E2B">
        <w:rPr>
          <w:rFonts w:hint="eastAsia"/>
        </w:rPr>
        <w:t>，显示较为稳定。另一方面，</w:t>
      </w:r>
      <w:r>
        <w:rPr>
          <w:rFonts w:hint="eastAsia"/>
        </w:rPr>
        <w:t>标的公司</w:t>
      </w:r>
      <w:r w:rsidRPr="001B4E2B">
        <w:rPr>
          <w:rFonts w:hint="eastAsia"/>
        </w:rPr>
        <w:t>目前的管理体系较为稳定，除前述偶发情况影响外，其他费用的规模增长基本稳定，显示公司在保持收入增长的同时，有效控制了运营成本。综上，预测期内的管理费用变动具备合理性。</w:t>
      </w:r>
    </w:p>
    <w:p w14:paraId="7F38CB3B" w14:textId="77777777" w:rsidR="00CD798F" w:rsidRDefault="00CD798F" w:rsidP="00CD798F">
      <w:pPr>
        <w:pStyle w:val="004"/>
        <w:spacing w:before="120" w:after="120"/>
        <w:ind w:firstLine="482"/>
      </w:pPr>
      <w:r>
        <w:rPr>
          <w:rFonts w:hint="eastAsia"/>
        </w:rPr>
        <w:t>3</w:t>
      </w:r>
      <w:r>
        <w:t>、</w:t>
      </w:r>
      <w:r>
        <w:rPr>
          <w:rFonts w:hint="eastAsia"/>
        </w:rPr>
        <w:t>研发费用率变动具备合理性</w:t>
      </w:r>
    </w:p>
    <w:p w14:paraId="40D98ED8" w14:textId="77777777" w:rsidR="00CD798F" w:rsidRDefault="00CD798F" w:rsidP="00CD798F">
      <w:pPr>
        <w:pStyle w:val="005"/>
        <w:spacing w:before="120" w:after="120"/>
        <w:ind w:firstLine="480"/>
      </w:pPr>
      <w:r w:rsidRPr="00292343">
        <w:rPr>
          <w:rFonts w:hint="eastAsia"/>
        </w:rPr>
        <w:t>报告期及预测期，</w:t>
      </w:r>
      <w:r>
        <w:rPr>
          <w:rFonts w:hint="eastAsia"/>
        </w:rPr>
        <w:t>研发</w:t>
      </w:r>
      <w:r w:rsidRPr="00292343">
        <w:rPr>
          <w:rFonts w:hint="eastAsia"/>
        </w:rPr>
        <w:t>费用率情况如下：</w:t>
      </w:r>
    </w:p>
    <w:p w14:paraId="7549CA69" w14:textId="77777777" w:rsidR="00CD798F" w:rsidRPr="006E6EF4" w:rsidRDefault="00CD798F" w:rsidP="00CD798F">
      <w:pPr>
        <w:keepNext/>
        <w:jc w:val="right"/>
      </w:pPr>
      <w:r w:rsidRPr="003347DA">
        <w:t>单位：万元</w:t>
      </w:r>
    </w:p>
    <w:tbl>
      <w:tblPr>
        <w:tblW w:w="6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21"/>
        <w:gridCol w:w="1207"/>
        <w:gridCol w:w="1207"/>
        <w:gridCol w:w="1207"/>
        <w:gridCol w:w="1207"/>
        <w:gridCol w:w="1205"/>
        <w:gridCol w:w="1205"/>
        <w:gridCol w:w="1205"/>
        <w:gridCol w:w="1109"/>
      </w:tblGrid>
      <w:tr w:rsidR="00CD798F" w:rsidRPr="00DB118A" w14:paraId="70D89AEF" w14:textId="77777777" w:rsidTr="00214723">
        <w:trPr>
          <w:cantSplit/>
          <w:trHeight w:val="454"/>
          <w:tblHeader/>
          <w:jc w:val="center"/>
        </w:trPr>
        <w:tc>
          <w:tcPr>
            <w:tcW w:w="608" w:type="pct"/>
            <w:vMerge w:val="restart"/>
            <w:vAlign w:val="center"/>
          </w:tcPr>
          <w:p w14:paraId="2AE70519"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项目</w:t>
            </w:r>
          </w:p>
        </w:tc>
        <w:tc>
          <w:tcPr>
            <w:tcW w:w="1665" w:type="pct"/>
            <w:gridSpan w:val="3"/>
            <w:vAlign w:val="center"/>
          </w:tcPr>
          <w:p w14:paraId="7BBB59BC"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报告期</w:t>
            </w:r>
          </w:p>
        </w:tc>
        <w:tc>
          <w:tcPr>
            <w:tcW w:w="2727" w:type="pct"/>
            <w:gridSpan w:val="5"/>
            <w:vAlign w:val="center"/>
          </w:tcPr>
          <w:p w14:paraId="5D6E7057"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预测期</w:t>
            </w:r>
          </w:p>
        </w:tc>
      </w:tr>
      <w:tr w:rsidR="00CD798F" w:rsidRPr="00DB118A" w14:paraId="43E58ACE" w14:textId="77777777" w:rsidTr="00214723">
        <w:trPr>
          <w:cantSplit/>
          <w:trHeight w:val="454"/>
          <w:tblHeader/>
          <w:jc w:val="center"/>
        </w:trPr>
        <w:tc>
          <w:tcPr>
            <w:tcW w:w="608" w:type="pct"/>
            <w:vMerge/>
            <w:vAlign w:val="center"/>
          </w:tcPr>
          <w:p w14:paraId="40BCC127" w14:textId="77777777" w:rsidR="00CD798F" w:rsidRPr="00E72DA1" w:rsidRDefault="00CD798F" w:rsidP="00214723">
            <w:pPr>
              <w:keepNext/>
              <w:jc w:val="center"/>
              <w:rPr>
                <w:rFonts w:ascii="Times New Roman" w:hAnsi="Times New Roman"/>
                <w:b/>
                <w:color w:val="000000"/>
                <w:szCs w:val="21"/>
              </w:rPr>
            </w:pPr>
          </w:p>
        </w:tc>
        <w:tc>
          <w:tcPr>
            <w:tcW w:w="555" w:type="pct"/>
            <w:vAlign w:val="center"/>
          </w:tcPr>
          <w:p w14:paraId="244AD89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2023</w:t>
            </w:r>
            <w:r w:rsidRPr="00E72DA1">
              <w:rPr>
                <w:rFonts w:ascii="Times New Roman" w:hAnsi="Times New Roman" w:hint="eastAsia"/>
                <w:b/>
                <w:color w:val="000000"/>
                <w:szCs w:val="21"/>
              </w:rPr>
              <w:t>年度</w:t>
            </w:r>
          </w:p>
        </w:tc>
        <w:tc>
          <w:tcPr>
            <w:tcW w:w="555" w:type="pct"/>
            <w:vAlign w:val="center"/>
          </w:tcPr>
          <w:p w14:paraId="666440D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2024</w:t>
            </w:r>
            <w:r w:rsidRPr="00E72DA1">
              <w:rPr>
                <w:rFonts w:ascii="Times New Roman" w:hAnsi="Times New Roman" w:hint="eastAsia"/>
                <w:b/>
                <w:color w:val="000000"/>
                <w:szCs w:val="21"/>
              </w:rPr>
              <w:t>年度</w:t>
            </w:r>
          </w:p>
        </w:tc>
        <w:tc>
          <w:tcPr>
            <w:tcW w:w="555" w:type="pct"/>
            <w:vAlign w:val="center"/>
          </w:tcPr>
          <w:p w14:paraId="2F188173"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1-6</w:t>
            </w:r>
            <w:r w:rsidRPr="00E72DA1">
              <w:rPr>
                <w:rFonts w:ascii="Times New Roman" w:hAnsi="Times New Roman" w:hint="eastAsia"/>
                <w:b/>
                <w:color w:val="000000"/>
                <w:szCs w:val="21"/>
              </w:rPr>
              <w:t>月</w:t>
            </w:r>
          </w:p>
        </w:tc>
        <w:tc>
          <w:tcPr>
            <w:tcW w:w="555" w:type="pct"/>
            <w:vAlign w:val="center"/>
          </w:tcPr>
          <w:p w14:paraId="5A2AF09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全年</w:t>
            </w:r>
          </w:p>
        </w:tc>
        <w:tc>
          <w:tcPr>
            <w:tcW w:w="554" w:type="pct"/>
            <w:vAlign w:val="center"/>
          </w:tcPr>
          <w:p w14:paraId="3C5CCC90"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554" w:type="pct"/>
            <w:vAlign w:val="center"/>
          </w:tcPr>
          <w:p w14:paraId="4F2085E1"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554" w:type="pct"/>
            <w:vAlign w:val="center"/>
          </w:tcPr>
          <w:p w14:paraId="2DBCF33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510" w:type="pct"/>
            <w:vAlign w:val="center"/>
          </w:tcPr>
          <w:p w14:paraId="44CB3CB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r>
      <w:tr w:rsidR="00CD798F" w:rsidRPr="00DB118A" w14:paraId="6FC0B549" w14:textId="77777777" w:rsidTr="00214723">
        <w:trPr>
          <w:cantSplit/>
          <w:trHeight w:val="454"/>
          <w:jc w:val="center"/>
        </w:trPr>
        <w:tc>
          <w:tcPr>
            <w:tcW w:w="608" w:type="pct"/>
            <w:vAlign w:val="center"/>
          </w:tcPr>
          <w:p w14:paraId="580AD581" w14:textId="77777777" w:rsidR="00CD798F" w:rsidRPr="00E72DA1" w:rsidRDefault="00CD798F" w:rsidP="00214723">
            <w:pPr>
              <w:rPr>
                <w:rFonts w:ascii="Times New Roman" w:hAnsi="Times New Roman"/>
                <w:b/>
                <w:bCs/>
                <w:color w:val="000000"/>
                <w:szCs w:val="21"/>
              </w:rPr>
            </w:pPr>
            <w:r w:rsidRPr="00E72DA1">
              <w:rPr>
                <w:rFonts w:ascii="Times New Roman" w:hAnsi="Times New Roman" w:hint="eastAsia"/>
                <w:b/>
                <w:bCs/>
                <w:color w:val="000000"/>
                <w:szCs w:val="21"/>
              </w:rPr>
              <w:t>研发费用</w:t>
            </w:r>
          </w:p>
        </w:tc>
        <w:tc>
          <w:tcPr>
            <w:tcW w:w="555" w:type="pct"/>
            <w:vAlign w:val="center"/>
          </w:tcPr>
          <w:p w14:paraId="32AD9972"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7,072.82 </w:t>
            </w:r>
          </w:p>
        </w:tc>
        <w:tc>
          <w:tcPr>
            <w:tcW w:w="555" w:type="pct"/>
            <w:vAlign w:val="center"/>
          </w:tcPr>
          <w:p w14:paraId="48E46D40"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6,446.17 </w:t>
            </w:r>
          </w:p>
        </w:tc>
        <w:tc>
          <w:tcPr>
            <w:tcW w:w="555" w:type="pct"/>
            <w:vAlign w:val="center"/>
          </w:tcPr>
          <w:p w14:paraId="7E400AFC"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3,110.71 </w:t>
            </w:r>
          </w:p>
        </w:tc>
        <w:tc>
          <w:tcPr>
            <w:tcW w:w="555" w:type="pct"/>
            <w:vAlign w:val="center"/>
          </w:tcPr>
          <w:p w14:paraId="79F26479"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7,038.36 </w:t>
            </w:r>
          </w:p>
        </w:tc>
        <w:tc>
          <w:tcPr>
            <w:tcW w:w="554" w:type="pct"/>
            <w:vAlign w:val="center"/>
          </w:tcPr>
          <w:p w14:paraId="63056AC5"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7,334.32 </w:t>
            </w:r>
          </w:p>
        </w:tc>
        <w:tc>
          <w:tcPr>
            <w:tcW w:w="554" w:type="pct"/>
            <w:vAlign w:val="center"/>
          </w:tcPr>
          <w:p w14:paraId="61DDE84C"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7,636.20 </w:t>
            </w:r>
          </w:p>
        </w:tc>
        <w:tc>
          <w:tcPr>
            <w:tcW w:w="554" w:type="pct"/>
            <w:vAlign w:val="center"/>
          </w:tcPr>
          <w:p w14:paraId="1925988F"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7,946.29 </w:t>
            </w:r>
          </w:p>
        </w:tc>
        <w:tc>
          <w:tcPr>
            <w:tcW w:w="510" w:type="pct"/>
            <w:vAlign w:val="center"/>
          </w:tcPr>
          <w:p w14:paraId="525A5D78"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8,179.00 </w:t>
            </w:r>
          </w:p>
        </w:tc>
      </w:tr>
      <w:tr w:rsidR="00CD798F" w:rsidRPr="00DB118A" w14:paraId="40799409" w14:textId="77777777" w:rsidTr="00214723">
        <w:trPr>
          <w:cantSplit/>
          <w:trHeight w:val="454"/>
          <w:jc w:val="center"/>
        </w:trPr>
        <w:tc>
          <w:tcPr>
            <w:tcW w:w="608" w:type="pct"/>
            <w:vAlign w:val="center"/>
          </w:tcPr>
          <w:p w14:paraId="4EF7928D"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占营业收入比例</w:t>
            </w:r>
          </w:p>
        </w:tc>
        <w:tc>
          <w:tcPr>
            <w:tcW w:w="555" w:type="pct"/>
            <w:vAlign w:val="center"/>
          </w:tcPr>
          <w:p w14:paraId="0ABE0DC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18%</w:t>
            </w:r>
          </w:p>
        </w:tc>
        <w:tc>
          <w:tcPr>
            <w:tcW w:w="555" w:type="pct"/>
            <w:vAlign w:val="center"/>
          </w:tcPr>
          <w:p w14:paraId="3822797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14%</w:t>
            </w:r>
          </w:p>
        </w:tc>
        <w:tc>
          <w:tcPr>
            <w:tcW w:w="555" w:type="pct"/>
            <w:vAlign w:val="center"/>
          </w:tcPr>
          <w:p w14:paraId="1D9B51C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w:t>
            </w:r>
          </w:p>
        </w:tc>
        <w:tc>
          <w:tcPr>
            <w:tcW w:w="555" w:type="pct"/>
            <w:vAlign w:val="center"/>
          </w:tcPr>
          <w:p w14:paraId="6A9C2C6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w:t>
            </w:r>
          </w:p>
        </w:tc>
        <w:tc>
          <w:tcPr>
            <w:tcW w:w="554" w:type="pct"/>
            <w:vAlign w:val="center"/>
          </w:tcPr>
          <w:p w14:paraId="0461779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w:t>
            </w:r>
          </w:p>
        </w:tc>
        <w:tc>
          <w:tcPr>
            <w:tcW w:w="554" w:type="pct"/>
            <w:vAlign w:val="center"/>
          </w:tcPr>
          <w:p w14:paraId="2A34B5F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w:t>
            </w:r>
          </w:p>
        </w:tc>
        <w:tc>
          <w:tcPr>
            <w:tcW w:w="554" w:type="pct"/>
            <w:vAlign w:val="center"/>
          </w:tcPr>
          <w:p w14:paraId="433598BA"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w:t>
            </w:r>
          </w:p>
        </w:tc>
        <w:tc>
          <w:tcPr>
            <w:tcW w:w="510" w:type="pct"/>
            <w:vAlign w:val="center"/>
          </w:tcPr>
          <w:p w14:paraId="7A30E2C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w:t>
            </w:r>
          </w:p>
        </w:tc>
      </w:tr>
      <w:tr w:rsidR="00CD798F" w:rsidRPr="00DB118A" w14:paraId="537A0E22" w14:textId="77777777" w:rsidTr="00214723">
        <w:trPr>
          <w:cantSplit/>
          <w:trHeight w:val="454"/>
          <w:jc w:val="center"/>
        </w:trPr>
        <w:tc>
          <w:tcPr>
            <w:tcW w:w="608" w:type="pct"/>
            <w:vAlign w:val="center"/>
          </w:tcPr>
          <w:p w14:paraId="1330F4B7" w14:textId="77777777" w:rsidR="00CD798F" w:rsidRPr="00E72DA1" w:rsidRDefault="00CD798F" w:rsidP="00214723">
            <w:pPr>
              <w:rPr>
                <w:rFonts w:ascii="Times New Roman" w:hAnsi="Times New Roman"/>
                <w:b/>
                <w:bCs/>
                <w:color w:val="000000"/>
                <w:szCs w:val="21"/>
              </w:rPr>
            </w:pPr>
            <w:r w:rsidRPr="00E72DA1">
              <w:rPr>
                <w:rFonts w:ascii="Times New Roman" w:hAnsi="Times New Roman" w:hint="eastAsia"/>
                <w:b/>
                <w:bCs/>
                <w:color w:val="000000"/>
                <w:szCs w:val="21"/>
              </w:rPr>
              <w:t>营业收入</w:t>
            </w:r>
          </w:p>
        </w:tc>
        <w:tc>
          <w:tcPr>
            <w:tcW w:w="555" w:type="pct"/>
            <w:vAlign w:val="center"/>
          </w:tcPr>
          <w:p w14:paraId="5828C2FB"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38,501.66 </w:t>
            </w:r>
          </w:p>
        </w:tc>
        <w:tc>
          <w:tcPr>
            <w:tcW w:w="555" w:type="pct"/>
            <w:vAlign w:val="center"/>
          </w:tcPr>
          <w:p w14:paraId="2ECD015C"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44,716.44 </w:t>
            </w:r>
          </w:p>
        </w:tc>
        <w:tc>
          <w:tcPr>
            <w:tcW w:w="555" w:type="pct"/>
            <w:vAlign w:val="center"/>
          </w:tcPr>
          <w:p w14:paraId="09B9E8AA"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24,799.86 </w:t>
            </w:r>
          </w:p>
        </w:tc>
        <w:tc>
          <w:tcPr>
            <w:tcW w:w="555" w:type="pct"/>
            <w:vAlign w:val="center"/>
          </w:tcPr>
          <w:p w14:paraId="3C1F64C0"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52,487.45 </w:t>
            </w:r>
          </w:p>
        </w:tc>
        <w:tc>
          <w:tcPr>
            <w:tcW w:w="554" w:type="pct"/>
            <w:vAlign w:val="center"/>
          </w:tcPr>
          <w:p w14:paraId="1B68ECEC"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56,074.53 </w:t>
            </w:r>
          </w:p>
        </w:tc>
        <w:tc>
          <w:tcPr>
            <w:tcW w:w="554" w:type="pct"/>
            <w:vAlign w:val="center"/>
          </w:tcPr>
          <w:p w14:paraId="2355E50A"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59,281.59 </w:t>
            </w:r>
          </w:p>
        </w:tc>
        <w:tc>
          <w:tcPr>
            <w:tcW w:w="554" w:type="pct"/>
            <w:vAlign w:val="center"/>
          </w:tcPr>
          <w:p w14:paraId="3140792A"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61,975.97 </w:t>
            </w:r>
          </w:p>
        </w:tc>
        <w:tc>
          <w:tcPr>
            <w:tcW w:w="510" w:type="pct"/>
            <w:vAlign w:val="center"/>
          </w:tcPr>
          <w:p w14:paraId="11751382"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 xml:space="preserve">64,249.70 </w:t>
            </w:r>
          </w:p>
        </w:tc>
      </w:tr>
      <w:tr w:rsidR="00CD798F" w:rsidRPr="00DB118A" w14:paraId="13F3AFCA" w14:textId="77777777" w:rsidTr="00214723">
        <w:trPr>
          <w:cantSplit/>
          <w:trHeight w:val="454"/>
          <w:jc w:val="center"/>
        </w:trPr>
        <w:tc>
          <w:tcPr>
            <w:tcW w:w="608" w:type="pct"/>
            <w:vAlign w:val="center"/>
          </w:tcPr>
          <w:p w14:paraId="0C7D1921"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增长率</w:t>
            </w:r>
          </w:p>
        </w:tc>
        <w:tc>
          <w:tcPr>
            <w:tcW w:w="555" w:type="pct"/>
            <w:vAlign w:val="center"/>
          </w:tcPr>
          <w:p w14:paraId="3639B43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555" w:type="pct"/>
            <w:vAlign w:val="center"/>
          </w:tcPr>
          <w:p w14:paraId="5EC4A3A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16.14%</w:t>
            </w:r>
          </w:p>
        </w:tc>
        <w:tc>
          <w:tcPr>
            <w:tcW w:w="555" w:type="pct"/>
            <w:vAlign w:val="center"/>
          </w:tcPr>
          <w:p w14:paraId="38C67A6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555" w:type="pct"/>
            <w:vAlign w:val="center"/>
          </w:tcPr>
          <w:p w14:paraId="3151D71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17.38%</w:t>
            </w:r>
          </w:p>
        </w:tc>
        <w:tc>
          <w:tcPr>
            <w:tcW w:w="554" w:type="pct"/>
            <w:vAlign w:val="center"/>
          </w:tcPr>
          <w:p w14:paraId="2BB5973A"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6.83%</w:t>
            </w:r>
          </w:p>
        </w:tc>
        <w:tc>
          <w:tcPr>
            <w:tcW w:w="554" w:type="pct"/>
            <w:vAlign w:val="center"/>
          </w:tcPr>
          <w:p w14:paraId="707747E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5.72%</w:t>
            </w:r>
          </w:p>
        </w:tc>
        <w:tc>
          <w:tcPr>
            <w:tcW w:w="554" w:type="pct"/>
            <w:vAlign w:val="center"/>
          </w:tcPr>
          <w:p w14:paraId="2B0FA10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4.55%</w:t>
            </w:r>
          </w:p>
        </w:tc>
        <w:tc>
          <w:tcPr>
            <w:tcW w:w="510" w:type="pct"/>
            <w:vAlign w:val="center"/>
          </w:tcPr>
          <w:p w14:paraId="11A221B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3.67%</w:t>
            </w:r>
          </w:p>
        </w:tc>
      </w:tr>
    </w:tbl>
    <w:p w14:paraId="06AB911B" w14:textId="77777777" w:rsidR="00CD798F" w:rsidRDefault="00CD798F" w:rsidP="00CD798F">
      <w:pPr>
        <w:pStyle w:val="005"/>
        <w:spacing w:before="120" w:after="120"/>
        <w:ind w:firstLine="480"/>
      </w:pPr>
      <w:r>
        <w:rPr>
          <w:rFonts w:hint="eastAsia"/>
        </w:rPr>
        <w:t>报告期各期</w:t>
      </w:r>
      <w:r w:rsidRPr="00017908">
        <w:rPr>
          <w:rFonts w:hint="eastAsia"/>
        </w:rPr>
        <w:t>研发费用率分别为</w:t>
      </w:r>
      <w:r w:rsidRPr="00017908">
        <w:rPr>
          <w:rFonts w:hint="eastAsia"/>
        </w:rPr>
        <w:t>18%</w:t>
      </w:r>
      <w:r>
        <w:rPr>
          <w:rFonts w:hint="eastAsia"/>
        </w:rPr>
        <w:t>、</w:t>
      </w:r>
      <w:r w:rsidRPr="00017908">
        <w:rPr>
          <w:rFonts w:hint="eastAsia"/>
        </w:rPr>
        <w:t>14%</w:t>
      </w:r>
      <w:r>
        <w:rPr>
          <w:rFonts w:hint="eastAsia"/>
        </w:rPr>
        <w:t>和</w:t>
      </w:r>
      <w:r w:rsidRPr="00017908">
        <w:rPr>
          <w:rFonts w:hint="eastAsia"/>
        </w:rPr>
        <w:t>13%</w:t>
      </w:r>
      <w:r w:rsidRPr="00017908">
        <w:rPr>
          <w:rFonts w:hint="eastAsia"/>
        </w:rPr>
        <w:t>，整体呈现逐年下降趋势。</w:t>
      </w:r>
      <w:r w:rsidRPr="00484DDA">
        <w:rPr>
          <w:rFonts w:hint="eastAsia"/>
        </w:rPr>
        <w:t>其中，</w:t>
      </w:r>
      <w:r w:rsidRPr="00484DDA">
        <w:rPr>
          <w:rFonts w:hint="eastAsia"/>
        </w:rPr>
        <w:t>2024</w:t>
      </w:r>
      <w:r w:rsidRPr="00484DDA">
        <w:rPr>
          <w:rFonts w:hint="eastAsia"/>
        </w:rPr>
        <w:t>年度研发费用率为</w:t>
      </w:r>
      <w:r w:rsidRPr="00484DDA">
        <w:rPr>
          <w:rFonts w:hint="eastAsia"/>
        </w:rPr>
        <w:t>14%</w:t>
      </w:r>
      <w:r w:rsidRPr="00484DDA">
        <w:rPr>
          <w:rFonts w:hint="eastAsia"/>
        </w:rPr>
        <w:t>，对应当年营业收入增长率为</w:t>
      </w:r>
      <w:r w:rsidRPr="00484DDA">
        <w:rPr>
          <w:rFonts w:hint="eastAsia"/>
        </w:rPr>
        <w:t>16.14%</w:t>
      </w:r>
      <w:r w:rsidRPr="00484DDA">
        <w:rPr>
          <w:rFonts w:hint="eastAsia"/>
        </w:rPr>
        <w:t>。标的公司未来将持续维持较高水平的研发投入，以保证自身的软硬件技术的先进性。预测期研发费用率均为</w:t>
      </w:r>
      <w:r w:rsidRPr="00484DDA">
        <w:rPr>
          <w:rFonts w:hint="eastAsia"/>
        </w:rPr>
        <w:t>13%</w:t>
      </w:r>
      <w:r w:rsidRPr="00484DDA">
        <w:rPr>
          <w:rFonts w:hint="eastAsia"/>
        </w:rPr>
        <w:t>，较为稳定，对应的收入增长率为</w:t>
      </w:r>
      <w:r w:rsidRPr="00484DDA">
        <w:rPr>
          <w:rFonts w:hint="eastAsia"/>
        </w:rPr>
        <w:t>3.67%-17.38%</w:t>
      </w:r>
      <w:r w:rsidRPr="00484DDA">
        <w:rPr>
          <w:rFonts w:hint="eastAsia"/>
        </w:rPr>
        <w:t>，对应平均收入增长率为</w:t>
      </w:r>
      <w:r w:rsidRPr="00484DDA">
        <w:rPr>
          <w:rFonts w:hint="eastAsia"/>
        </w:rPr>
        <w:t>7.63%</w:t>
      </w:r>
      <w:r>
        <w:rPr>
          <w:rFonts w:hint="eastAsia"/>
        </w:rPr>
        <w:t>，</w:t>
      </w:r>
      <w:r w:rsidRPr="00017908">
        <w:rPr>
          <w:rFonts w:hint="eastAsia"/>
        </w:rPr>
        <w:t>研发费用的持续投入规模的测算是具备合理性的</w:t>
      </w:r>
      <w:r>
        <w:rPr>
          <w:rFonts w:hint="eastAsia"/>
        </w:rPr>
        <w:t>。</w:t>
      </w:r>
    </w:p>
    <w:p w14:paraId="7EEA7F8A" w14:textId="77777777" w:rsidR="00CD798F" w:rsidRPr="00D03E0C" w:rsidRDefault="00CD798F" w:rsidP="00CD798F">
      <w:pPr>
        <w:pStyle w:val="005"/>
        <w:spacing w:before="120" w:after="120"/>
        <w:ind w:firstLine="480"/>
        <w:rPr>
          <w:rFonts w:ascii="宋体" w:hAnsi="宋体" w:hint="eastAsia"/>
        </w:rPr>
      </w:pPr>
      <w:r w:rsidRPr="00D03E0C">
        <w:rPr>
          <w:rFonts w:hint="eastAsia"/>
        </w:rPr>
        <w:lastRenderedPageBreak/>
        <w:t>上述内容已在《重组报告书》“第六节</w:t>
      </w:r>
      <w:r w:rsidRPr="00D03E0C">
        <w:rPr>
          <w:rFonts w:hint="eastAsia"/>
        </w:rPr>
        <w:t xml:space="preserve"> </w:t>
      </w:r>
      <w:r w:rsidRPr="00D03E0C">
        <w:rPr>
          <w:rFonts w:hint="eastAsia"/>
        </w:rPr>
        <w:t>交易标的评估情况”之“二、标的公司评估基本情况”之“（三）收益法的评估情况及分析”之“</w:t>
      </w:r>
      <w:r w:rsidRPr="00D03E0C">
        <w:rPr>
          <w:rFonts w:hint="eastAsia"/>
        </w:rPr>
        <w:t>4</w:t>
      </w:r>
      <w:r w:rsidRPr="00D03E0C">
        <w:rPr>
          <w:rFonts w:hint="eastAsia"/>
        </w:rPr>
        <w:t>、未来收益预测”</w:t>
      </w:r>
      <w:r w:rsidRPr="00D03E0C">
        <w:rPr>
          <w:rFonts w:ascii="宋体" w:hAnsi="宋体" w:hint="eastAsia"/>
        </w:rPr>
        <w:t>补充披露。</w:t>
      </w:r>
    </w:p>
    <w:p w14:paraId="052BBCF5" w14:textId="77777777" w:rsidR="00CD798F" w:rsidRDefault="00CD798F" w:rsidP="00CD798F">
      <w:pPr>
        <w:pStyle w:val="002"/>
        <w:spacing w:before="120" w:after="120"/>
        <w:ind w:firstLine="482"/>
      </w:pPr>
      <w:r>
        <w:rPr>
          <w:rFonts w:hint="eastAsia"/>
        </w:rPr>
        <w:t>五</w:t>
      </w:r>
      <w:r>
        <w:t>、</w:t>
      </w:r>
      <w:r w:rsidRPr="00E678CB">
        <w:rPr>
          <w:rFonts w:hint="eastAsia"/>
        </w:rPr>
        <w:t>结合各子公司预测期内收入、成本、费用、净利润等主要参数的具体预测情况、测算过程及测算依据，补充披露各子公司业绩及其少数股东权益价值的测算是否合理、准确，并进一步结合各子公司应纳税所得额的确定过程，评估测算使用的所得税税率、优惠政策是否符合相关法律法规的规定等，披露所得税费用的预测是否合理、准确</w:t>
      </w:r>
    </w:p>
    <w:p w14:paraId="79FCC52A" w14:textId="77777777" w:rsidR="00CD798F" w:rsidRPr="00E958DD" w:rsidRDefault="00CD798F" w:rsidP="00CD798F">
      <w:pPr>
        <w:pStyle w:val="003"/>
        <w:spacing w:before="120" w:after="120"/>
        <w:ind w:firstLine="482"/>
      </w:pPr>
      <w:r>
        <w:rPr>
          <w:rFonts w:hint="eastAsia"/>
        </w:rPr>
        <w:t>（一）</w:t>
      </w:r>
      <w:r w:rsidRPr="00BB02E6">
        <w:rPr>
          <w:rFonts w:hint="eastAsia"/>
        </w:rPr>
        <w:t>结合各子公司预测期内收入、成本、费用、净利润等主要参数的具体预测情况、测算过程及测算依据，补充披露各子公司业绩及其少数股东权益价值的测算是否合理、准确</w:t>
      </w:r>
      <w:r>
        <w:rPr>
          <w:rFonts w:hint="eastAsia"/>
        </w:rPr>
        <w:t>。</w:t>
      </w:r>
    </w:p>
    <w:p w14:paraId="7124C501" w14:textId="77777777" w:rsidR="00CD798F" w:rsidRDefault="00CD798F" w:rsidP="00CD798F">
      <w:pPr>
        <w:pStyle w:val="005"/>
        <w:spacing w:before="120" w:after="120"/>
        <w:ind w:firstLine="480"/>
      </w:pPr>
      <w:r w:rsidRPr="00C90A63">
        <w:rPr>
          <w:rFonts w:hint="eastAsia"/>
        </w:rPr>
        <w:t>本次涉及少数股东权益价值测算的各子公司如下</w:t>
      </w:r>
      <w:r>
        <w:rPr>
          <w:rFonts w:hint="eastAsia"/>
        </w:rPr>
        <w:t>：</w:t>
      </w:r>
    </w:p>
    <w:tbl>
      <w:tblPr>
        <w:tblW w:w="5181"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68"/>
        <w:gridCol w:w="3448"/>
        <w:gridCol w:w="1189"/>
        <w:gridCol w:w="2079"/>
        <w:gridCol w:w="2205"/>
      </w:tblGrid>
      <w:tr w:rsidR="00CD798F" w:rsidRPr="00D95B42" w14:paraId="57E8DC9B" w14:textId="77777777" w:rsidTr="00214723">
        <w:trPr>
          <w:cantSplit/>
          <w:trHeight w:val="454"/>
          <w:tblHeader/>
          <w:jc w:val="center"/>
        </w:trPr>
        <w:tc>
          <w:tcPr>
            <w:tcW w:w="250" w:type="pct"/>
            <w:vAlign w:val="center"/>
          </w:tcPr>
          <w:p w14:paraId="2AA6B52B"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序号</w:t>
            </w:r>
          </w:p>
        </w:tc>
        <w:tc>
          <w:tcPr>
            <w:tcW w:w="1836" w:type="pct"/>
            <w:noWrap/>
            <w:vAlign w:val="center"/>
            <w:hideMark/>
          </w:tcPr>
          <w:p w14:paraId="58810B8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企业名称</w:t>
            </w:r>
          </w:p>
        </w:tc>
        <w:tc>
          <w:tcPr>
            <w:tcW w:w="633" w:type="pct"/>
            <w:vAlign w:val="center"/>
          </w:tcPr>
          <w:p w14:paraId="69A55E17"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业务分类</w:t>
            </w:r>
          </w:p>
        </w:tc>
        <w:tc>
          <w:tcPr>
            <w:tcW w:w="1107" w:type="pct"/>
            <w:noWrap/>
            <w:vAlign w:val="center"/>
            <w:hideMark/>
          </w:tcPr>
          <w:p w14:paraId="08177CD7"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星云开物持股比例</w:t>
            </w:r>
          </w:p>
        </w:tc>
        <w:tc>
          <w:tcPr>
            <w:tcW w:w="1175" w:type="pct"/>
            <w:vAlign w:val="center"/>
          </w:tcPr>
          <w:p w14:paraId="081CE77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少数股东持股比例</w:t>
            </w:r>
          </w:p>
        </w:tc>
      </w:tr>
      <w:tr w:rsidR="00CD798F" w:rsidRPr="00D95B42" w14:paraId="120D3D50" w14:textId="77777777" w:rsidTr="00214723">
        <w:trPr>
          <w:cantSplit/>
          <w:trHeight w:val="454"/>
          <w:jc w:val="center"/>
        </w:trPr>
        <w:tc>
          <w:tcPr>
            <w:tcW w:w="250" w:type="pct"/>
            <w:vAlign w:val="center"/>
          </w:tcPr>
          <w:p w14:paraId="1B64035F"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1</w:t>
            </w:r>
          </w:p>
        </w:tc>
        <w:tc>
          <w:tcPr>
            <w:tcW w:w="1836" w:type="pct"/>
            <w:noWrap/>
            <w:vAlign w:val="center"/>
            <w:hideMark/>
          </w:tcPr>
          <w:p w14:paraId="66E21DE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广州星拓科技有限公司</w:t>
            </w:r>
          </w:p>
        </w:tc>
        <w:tc>
          <w:tcPr>
            <w:tcW w:w="633" w:type="pct"/>
            <w:vAlign w:val="center"/>
          </w:tcPr>
          <w:p w14:paraId="0BA2820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IoT+SaaS</w:t>
            </w:r>
          </w:p>
        </w:tc>
        <w:tc>
          <w:tcPr>
            <w:tcW w:w="1107" w:type="pct"/>
            <w:noWrap/>
            <w:vAlign w:val="center"/>
            <w:hideMark/>
          </w:tcPr>
          <w:p w14:paraId="7462650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70%</w:t>
            </w:r>
          </w:p>
        </w:tc>
        <w:tc>
          <w:tcPr>
            <w:tcW w:w="1175" w:type="pct"/>
            <w:vAlign w:val="center"/>
          </w:tcPr>
          <w:p w14:paraId="7DCBE49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w:t>
            </w:r>
          </w:p>
        </w:tc>
      </w:tr>
      <w:tr w:rsidR="00CD798F" w:rsidRPr="00D95B42" w14:paraId="372276B4" w14:textId="77777777" w:rsidTr="00214723">
        <w:trPr>
          <w:cantSplit/>
          <w:trHeight w:val="454"/>
          <w:jc w:val="center"/>
        </w:trPr>
        <w:tc>
          <w:tcPr>
            <w:tcW w:w="250" w:type="pct"/>
            <w:vAlign w:val="center"/>
          </w:tcPr>
          <w:p w14:paraId="20F5F26B"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2</w:t>
            </w:r>
          </w:p>
        </w:tc>
        <w:tc>
          <w:tcPr>
            <w:tcW w:w="1836" w:type="pct"/>
            <w:noWrap/>
            <w:vAlign w:val="center"/>
            <w:hideMark/>
          </w:tcPr>
          <w:p w14:paraId="1661A9DF"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广州乐爽信息科技有限公司</w:t>
            </w:r>
          </w:p>
        </w:tc>
        <w:tc>
          <w:tcPr>
            <w:tcW w:w="633" w:type="pct"/>
            <w:vAlign w:val="center"/>
          </w:tcPr>
          <w:p w14:paraId="3BBE8FE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IoT+SaaS</w:t>
            </w:r>
          </w:p>
        </w:tc>
        <w:tc>
          <w:tcPr>
            <w:tcW w:w="1107" w:type="pct"/>
            <w:noWrap/>
            <w:vAlign w:val="center"/>
            <w:hideMark/>
          </w:tcPr>
          <w:p w14:paraId="18A44E9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52%</w:t>
            </w:r>
          </w:p>
        </w:tc>
        <w:tc>
          <w:tcPr>
            <w:tcW w:w="1175" w:type="pct"/>
            <w:vAlign w:val="center"/>
          </w:tcPr>
          <w:p w14:paraId="7268BCD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48%</w:t>
            </w:r>
          </w:p>
        </w:tc>
      </w:tr>
      <w:tr w:rsidR="00CD798F" w:rsidRPr="00D95B42" w14:paraId="62A8DD71" w14:textId="77777777" w:rsidTr="00214723">
        <w:trPr>
          <w:cantSplit/>
          <w:trHeight w:val="454"/>
          <w:jc w:val="center"/>
        </w:trPr>
        <w:tc>
          <w:tcPr>
            <w:tcW w:w="250" w:type="pct"/>
            <w:vAlign w:val="center"/>
          </w:tcPr>
          <w:p w14:paraId="40309A27"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3</w:t>
            </w:r>
          </w:p>
        </w:tc>
        <w:tc>
          <w:tcPr>
            <w:tcW w:w="1836" w:type="pct"/>
            <w:noWrap/>
            <w:vAlign w:val="center"/>
            <w:hideMark/>
          </w:tcPr>
          <w:p w14:paraId="23969DF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乐呗科技</w:t>
            </w:r>
            <w:r w:rsidRPr="00D95B42">
              <w:rPr>
                <w:rFonts w:ascii="Times New Roman" w:hAnsi="Times New Roman"/>
                <w:color w:val="000000"/>
              </w:rPr>
              <w:t>(</w:t>
            </w:r>
            <w:r w:rsidRPr="00D95B42">
              <w:rPr>
                <w:rFonts w:ascii="Times New Roman" w:hAnsi="Times New Roman"/>
                <w:color w:val="000000"/>
              </w:rPr>
              <w:t>广州</w:t>
            </w:r>
            <w:r w:rsidRPr="00D95B42">
              <w:rPr>
                <w:rFonts w:ascii="Times New Roman" w:hAnsi="Times New Roman"/>
                <w:color w:val="000000"/>
              </w:rPr>
              <w:t>)</w:t>
            </w:r>
            <w:r w:rsidRPr="00D95B42">
              <w:rPr>
                <w:rFonts w:ascii="Times New Roman" w:hAnsi="Times New Roman"/>
                <w:color w:val="000000"/>
              </w:rPr>
              <w:t>有限公司</w:t>
            </w:r>
          </w:p>
        </w:tc>
        <w:tc>
          <w:tcPr>
            <w:tcW w:w="633" w:type="pct"/>
            <w:vAlign w:val="center"/>
          </w:tcPr>
          <w:p w14:paraId="6435DCD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IoT+SaaS</w:t>
            </w:r>
          </w:p>
        </w:tc>
        <w:tc>
          <w:tcPr>
            <w:tcW w:w="1107" w:type="pct"/>
            <w:noWrap/>
            <w:vAlign w:val="center"/>
            <w:hideMark/>
          </w:tcPr>
          <w:p w14:paraId="01674B4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51%</w:t>
            </w:r>
          </w:p>
        </w:tc>
        <w:tc>
          <w:tcPr>
            <w:tcW w:w="1175" w:type="pct"/>
            <w:vAlign w:val="center"/>
          </w:tcPr>
          <w:p w14:paraId="72C09F3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49%</w:t>
            </w:r>
          </w:p>
        </w:tc>
      </w:tr>
      <w:tr w:rsidR="00CD798F" w:rsidRPr="00D95B42" w14:paraId="27008856" w14:textId="77777777" w:rsidTr="00214723">
        <w:trPr>
          <w:cantSplit/>
          <w:trHeight w:val="454"/>
          <w:jc w:val="center"/>
        </w:trPr>
        <w:tc>
          <w:tcPr>
            <w:tcW w:w="250" w:type="pct"/>
            <w:vAlign w:val="center"/>
          </w:tcPr>
          <w:p w14:paraId="034422FA"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4</w:t>
            </w:r>
          </w:p>
        </w:tc>
        <w:tc>
          <w:tcPr>
            <w:tcW w:w="1836" w:type="pct"/>
            <w:noWrap/>
            <w:vAlign w:val="center"/>
            <w:hideMark/>
          </w:tcPr>
          <w:p w14:paraId="67FE8C0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广州宝点数字化科技有限公司</w:t>
            </w:r>
          </w:p>
        </w:tc>
        <w:tc>
          <w:tcPr>
            <w:tcW w:w="633" w:type="pct"/>
            <w:vAlign w:val="center"/>
          </w:tcPr>
          <w:p w14:paraId="2B4E3BF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IoT+SaaS</w:t>
            </w:r>
          </w:p>
        </w:tc>
        <w:tc>
          <w:tcPr>
            <w:tcW w:w="1107" w:type="pct"/>
            <w:noWrap/>
            <w:vAlign w:val="center"/>
            <w:hideMark/>
          </w:tcPr>
          <w:p w14:paraId="735F3A4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58%</w:t>
            </w:r>
          </w:p>
        </w:tc>
        <w:tc>
          <w:tcPr>
            <w:tcW w:w="1175" w:type="pct"/>
            <w:vAlign w:val="center"/>
          </w:tcPr>
          <w:p w14:paraId="274BEE4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42%</w:t>
            </w:r>
          </w:p>
        </w:tc>
      </w:tr>
      <w:tr w:rsidR="00CD798F" w:rsidRPr="00D95B42" w14:paraId="6FF595E1" w14:textId="77777777" w:rsidTr="00214723">
        <w:trPr>
          <w:cantSplit/>
          <w:trHeight w:val="454"/>
          <w:jc w:val="center"/>
        </w:trPr>
        <w:tc>
          <w:tcPr>
            <w:tcW w:w="250" w:type="pct"/>
            <w:vAlign w:val="center"/>
          </w:tcPr>
          <w:p w14:paraId="5A7B18B7"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5</w:t>
            </w:r>
          </w:p>
        </w:tc>
        <w:tc>
          <w:tcPr>
            <w:tcW w:w="1836" w:type="pct"/>
            <w:noWrap/>
            <w:vAlign w:val="center"/>
            <w:hideMark/>
          </w:tcPr>
          <w:p w14:paraId="3F701DA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广州小充同学智能科技有限公司</w:t>
            </w:r>
          </w:p>
        </w:tc>
        <w:tc>
          <w:tcPr>
            <w:tcW w:w="633" w:type="pct"/>
            <w:vAlign w:val="center"/>
          </w:tcPr>
          <w:p w14:paraId="4B2DEB6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IoT+SaaS</w:t>
            </w:r>
          </w:p>
        </w:tc>
        <w:tc>
          <w:tcPr>
            <w:tcW w:w="1107" w:type="pct"/>
            <w:noWrap/>
            <w:vAlign w:val="center"/>
            <w:hideMark/>
          </w:tcPr>
          <w:p w14:paraId="3BACAB8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51%</w:t>
            </w:r>
          </w:p>
        </w:tc>
        <w:tc>
          <w:tcPr>
            <w:tcW w:w="1175" w:type="pct"/>
            <w:vAlign w:val="center"/>
          </w:tcPr>
          <w:p w14:paraId="6A3E37F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49%</w:t>
            </w:r>
          </w:p>
        </w:tc>
      </w:tr>
    </w:tbl>
    <w:p w14:paraId="3B83DDD0" w14:textId="77777777" w:rsidR="00CD798F" w:rsidRPr="00C820D0" w:rsidRDefault="00CD798F" w:rsidP="00CD798F">
      <w:pPr>
        <w:pStyle w:val="005"/>
        <w:spacing w:before="120" w:after="120"/>
        <w:ind w:firstLine="480"/>
      </w:pPr>
      <w:r w:rsidRPr="00C820D0">
        <w:rPr>
          <w:rFonts w:hint="eastAsia"/>
        </w:rPr>
        <w:t>报告期内广州宝点对整体净利润占比贡献提升至</w:t>
      </w:r>
      <w:r w:rsidRPr="00C820D0">
        <w:t>20%</w:t>
      </w:r>
      <w:r w:rsidRPr="00C820D0">
        <w:rPr>
          <w:rFonts w:hint="eastAsia"/>
        </w:rPr>
        <w:t>以上，其余子公司净利润占合并净利润比例均低于</w:t>
      </w:r>
      <w:r w:rsidRPr="00C820D0">
        <w:t>2%</w:t>
      </w:r>
      <w:r w:rsidRPr="00C820D0">
        <w:rPr>
          <w:rFonts w:hint="eastAsia"/>
        </w:rPr>
        <w:t>，因此本次以广州宝点为例对涉及少数股权价值测算的子公司预测数据进行列示，具体情况如下：</w:t>
      </w:r>
    </w:p>
    <w:p w14:paraId="4CE13ED1" w14:textId="77777777" w:rsidR="00CD798F" w:rsidRPr="008210F5" w:rsidRDefault="00CD798F" w:rsidP="00CD798F">
      <w:pPr>
        <w:keepNext/>
        <w:jc w:val="right"/>
      </w:pPr>
      <w:r w:rsidRPr="003347DA">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76"/>
        <w:gridCol w:w="1585"/>
        <w:gridCol w:w="1199"/>
        <w:gridCol w:w="1199"/>
        <w:gridCol w:w="1200"/>
        <w:gridCol w:w="1200"/>
        <w:gridCol w:w="1202"/>
      </w:tblGrid>
      <w:tr w:rsidR="00CD798F" w:rsidRPr="00DB118A" w14:paraId="3A4664F6" w14:textId="77777777" w:rsidTr="00214723">
        <w:trPr>
          <w:cantSplit/>
          <w:trHeight w:val="454"/>
          <w:tblHeader/>
          <w:jc w:val="center"/>
        </w:trPr>
        <w:tc>
          <w:tcPr>
            <w:tcW w:w="625" w:type="pct"/>
            <w:noWrap/>
            <w:vAlign w:val="center"/>
            <w:hideMark/>
          </w:tcPr>
          <w:p w14:paraId="7833B1FD"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项目</w:t>
            </w:r>
            <w:r w:rsidRPr="00E72DA1">
              <w:rPr>
                <w:rFonts w:ascii="Times New Roman" w:hAnsi="Times New Roman"/>
                <w:b/>
                <w:color w:val="000000"/>
                <w:szCs w:val="21"/>
              </w:rPr>
              <w:t>\</w:t>
            </w:r>
            <w:r w:rsidRPr="00E72DA1">
              <w:rPr>
                <w:rFonts w:ascii="Times New Roman" w:hAnsi="Times New Roman" w:hint="eastAsia"/>
                <w:b/>
                <w:color w:val="000000"/>
                <w:szCs w:val="21"/>
              </w:rPr>
              <w:t>年份</w:t>
            </w:r>
          </w:p>
        </w:tc>
        <w:tc>
          <w:tcPr>
            <w:tcW w:w="729" w:type="pct"/>
            <w:noWrap/>
            <w:vAlign w:val="center"/>
            <w:hideMark/>
          </w:tcPr>
          <w:p w14:paraId="72401D7C"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7-12</w:t>
            </w:r>
            <w:r w:rsidRPr="00E72DA1">
              <w:rPr>
                <w:rFonts w:ascii="Times New Roman" w:hAnsi="Times New Roman" w:hint="eastAsia"/>
                <w:b/>
                <w:color w:val="000000"/>
                <w:szCs w:val="21"/>
              </w:rPr>
              <w:t>月</w:t>
            </w:r>
          </w:p>
        </w:tc>
        <w:tc>
          <w:tcPr>
            <w:tcW w:w="729" w:type="pct"/>
            <w:noWrap/>
            <w:vAlign w:val="center"/>
            <w:hideMark/>
          </w:tcPr>
          <w:p w14:paraId="20B81183"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年度</w:t>
            </w:r>
          </w:p>
        </w:tc>
        <w:tc>
          <w:tcPr>
            <w:tcW w:w="729" w:type="pct"/>
            <w:noWrap/>
            <w:vAlign w:val="center"/>
            <w:hideMark/>
          </w:tcPr>
          <w:p w14:paraId="5084A4FB"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年度</w:t>
            </w:r>
          </w:p>
        </w:tc>
        <w:tc>
          <w:tcPr>
            <w:tcW w:w="729" w:type="pct"/>
            <w:noWrap/>
            <w:vAlign w:val="center"/>
            <w:hideMark/>
          </w:tcPr>
          <w:p w14:paraId="0BBA1B9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年度</w:t>
            </w:r>
          </w:p>
        </w:tc>
        <w:tc>
          <w:tcPr>
            <w:tcW w:w="729" w:type="pct"/>
            <w:noWrap/>
            <w:vAlign w:val="center"/>
            <w:hideMark/>
          </w:tcPr>
          <w:p w14:paraId="7DC0FA4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年度</w:t>
            </w:r>
          </w:p>
        </w:tc>
        <w:tc>
          <w:tcPr>
            <w:tcW w:w="729" w:type="pct"/>
            <w:noWrap/>
            <w:vAlign w:val="center"/>
            <w:hideMark/>
          </w:tcPr>
          <w:p w14:paraId="6F4E0C6B"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2030</w:t>
            </w:r>
            <w:r w:rsidRPr="00E72DA1">
              <w:rPr>
                <w:rFonts w:ascii="Times New Roman" w:hAnsi="Times New Roman" w:hint="eastAsia"/>
                <w:b/>
                <w:color w:val="000000"/>
                <w:szCs w:val="21"/>
              </w:rPr>
              <w:t>年度</w:t>
            </w:r>
          </w:p>
          <w:p w14:paraId="203F5FAE"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及以后</w:t>
            </w:r>
          </w:p>
        </w:tc>
      </w:tr>
      <w:tr w:rsidR="00CD798F" w:rsidRPr="00DB118A" w14:paraId="513F2E4E" w14:textId="77777777" w:rsidTr="00214723">
        <w:trPr>
          <w:cantSplit/>
          <w:trHeight w:val="454"/>
          <w:jc w:val="center"/>
        </w:trPr>
        <w:tc>
          <w:tcPr>
            <w:tcW w:w="625" w:type="pct"/>
            <w:noWrap/>
            <w:vAlign w:val="center"/>
            <w:hideMark/>
          </w:tcPr>
          <w:p w14:paraId="399C078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营业收入</w:t>
            </w:r>
          </w:p>
        </w:tc>
        <w:tc>
          <w:tcPr>
            <w:tcW w:w="729" w:type="pct"/>
            <w:noWrap/>
            <w:vAlign w:val="center"/>
            <w:hideMark/>
          </w:tcPr>
          <w:p w14:paraId="31D9E84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7,715.83</w:t>
            </w:r>
          </w:p>
        </w:tc>
        <w:tc>
          <w:tcPr>
            <w:tcW w:w="729" w:type="pct"/>
            <w:noWrap/>
            <w:vAlign w:val="center"/>
            <w:hideMark/>
          </w:tcPr>
          <w:p w14:paraId="0FB035D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16,303.76</w:t>
            </w:r>
          </w:p>
        </w:tc>
        <w:tc>
          <w:tcPr>
            <w:tcW w:w="729" w:type="pct"/>
            <w:noWrap/>
            <w:vAlign w:val="center"/>
            <w:hideMark/>
          </w:tcPr>
          <w:p w14:paraId="760E81B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16,585.21</w:t>
            </w:r>
          </w:p>
        </w:tc>
        <w:tc>
          <w:tcPr>
            <w:tcW w:w="729" w:type="pct"/>
            <w:noWrap/>
            <w:vAlign w:val="center"/>
            <w:hideMark/>
          </w:tcPr>
          <w:p w14:paraId="25928EE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16,703.62</w:t>
            </w:r>
          </w:p>
        </w:tc>
        <w:tc>
          <w:tcPr>
            <w:tcW w:w="729" w:type="pct"/>
            <w:noWrap/>
            <w:vAlign w:val="center"/>
            <w:hideMark/>
          </w:tcPr>
          <w:p w14:paraId="028072C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16,843.89</w:t>
            </w:r>
          </w:p>
        </w:tc>
        <w:tc>
          <w:tcPr>
            <w:tcW w:w="729" w:type="pct"/>
            <w:noWrap/>
            <w:vAlign w:val="center"/>
            <w:hideMark/>
          </w:tcPr>
          <w:p w14:paraId="14C1289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16,843.89</w:t>
            </w:r>
          </w:p>
        </w:tc>
      </w:tr>
      <w:tr w:rsidR="00CD798F" w:rsidRPr="00DB118A" w14:paraId="2D379A52" w14:textId="77777777" w:rsidTr="00214723">
        <w:trPr>
          <w:cantSplit/>
          <w:trHeight w:val="454"/>
          <w:jc w:val="center"/>
        </w:trPr>
        <w:tc>
          <w:tcPr>
            <w:tcW w:w="625" w:type="pct"/>
            <w:noWrap/>
            <w:vAlign w:val="center"/>
            <w:hideMark/>
          </w:tcPr>
          <w:p w14:paraId="7FE0441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营业成本</w:t>
            </w:r>
          </w:p>
        </w:tc>
        <w:tc>
          <w:tcPr>
            <w:tcW w:w="729" w:type="pct"/>
            <w:noWrap/>
            <w:vAlign w:val="center"/>
            <w:hideMark/>
          </w:tcPr>
          <w:p w14:paraId="59A0494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3,748.11</w:t>
            </w:r>
          </w:p>
        </w:tc>
        <w:tc>
          <w:tcPr>
            <w:tcW w:w="729" w:type="pct"/>
            <w:noWrap/>
            <w:vAlign w:val="center"/>
            <w:hideMark/>
          </w:tcPr>
          <w:p w14:paraId="7528ABA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7,891.20</w:t>
            </w:r>
          </w:p>
        </w:tc>
        <w:tc>
          <w:tcPr>
            <w:tcW w:w="729" w:type="pct"/>
            <w:noWrap/>
            <w:vAlign w:val="center"/>
            <w:hideMark/>
          </w:tcPr>
          <w:p w14:paraId="344EAEC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7,970.75</w:t>
            </w:r>
          </w:p>
        </w:tc>
        <w:tc>
          <w:tcPr>
            <w:tcW w:w="729" w:type="pct"/>
            <w:noWrap/>
            <w:vAlign w:val="center"/>
            <w:hideMark/>
          </w:tcPr>
          <w:p w14:paraId="4993618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7,977.33</w:t>
            </w:r>
          </w:p>
        </w:tc>
        <w:tc>
          <w:tcPr>
            <w:tcW w:w="729" w:type="pct"/>
            <w:noWrap/>
            <w:vAlign w:val="center"/>
            <w:hideMark/>
          </w:tcPr>
          <w:p w14:paraId="361261F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8,005.90</w:t>
            </w:r>
          </w:p>
        </w:tc>
        <w:tc>
          <w:tcPr>
            <w:tcW w:w="729" w:type="pct"/>
            <w:noWrap/>
            <w:vAlign w:val="center"/>
            <w:hideMark/>
          </w:tcPr>
          <w:p w14:paraId="7A446730"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8,005.90</w:t>
            </w:r>
          </w:p>
        </w:tc>
      </w:tr>
      <w:tr w:rsidR="00CD798F" w:rsidRPr="00DB118A" w14:paraId="27F2D3E9" w14:textId="77777777" w:rsidTr="00214723">
        <w:trPr>
          <w:cantSplit/>
          <w:trHeight w:val="454"/>
          <w:jc w:val="center"/>
        </w:trPr>
        <w:tc>
          <w:tcPr>
            <w:tcW w:w="625" w:type="pct"/>
            <w:noWrap/>
            <w:vAlign w:val="center"/>
            <w:hideMark/>
          </w:tcPr>
          <w:p w14:paraId="4927F54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lastRenderedPageBreak/>
              <w:t>销售费用</w:t>
            </w:r>
          </w:p>
        </w:tc>
        <w:tc>
          <w:tcPr>
            <w:tcW w:w="729" w:type="pct"/>
            <w:noWrap/>
            <w:vAlign w:val="center"/>
            <w:hideMark/>
          </w:tcPr>
          <w:p w14:paraId="1CF8CB0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 xml:space="preserve">1,705.73 </w:t>
            </w:r>
          </w:p>
        </w:tc>
        <w:tc>
          <w:tcPr>
            <w:tcW w:w="729" w:type="pct"/>
            <w:noWrap/>
            <w:vAlign w:val="center"/>
            <w:hideMark/>
          </w:tcPr>
          <w:p w14:paraId="0F91B485"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 xml:space="preserve">3,274.27 </w:t>
            </w:r>
          </w:p>
        </w:tc>
        <w:tc>
          <w:tcPr>
            <w:tcW w:w="729" w:type="pct"/>
            <w:noWrap/>
            <w:vAlign w:val="center"/>
            <w:hideMark/>
          </w:tcPr>
          <w:p w14:paraId="63C7182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 xml:space="preserve">3,355.05 </w:t>
            </w:r>
          </w:p>
        </w:tc>
        <w:tc>
          <w:tcPr>
            <w:tcW w:w="729" w:type="pct"/>
            <w:noWrap/>
            <w:vAlign w:val="center"/>
            <w:hideMark/>
          </w:tcPr>
          <w:p w14:paraId="67F64EB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 xml:space="preserve">3,425.69 </w:t>
            </w:r>
          </w:p>
        </w:tc>
        <w:tc>
          <w:tcPr>
            <w:tcW w:w="729" w:type="pct"/>
            <w:noWrap/>
            <w:vAlign w:val="center"/>
            <w:hideMark/>
          </w:tcPr>
          <w:p w14:paraId="6F374F7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 xml:space="preserve">3,500.06 </w:t>
            </w:r>
          </w:p>
        </w:tc>
        <w:tc>
          <w:tcPr>
            <w:tcW w:w="729" w:type="pct"/>
            <w:noWrap/>
            <w:vAlign w:val="center"/>
            <w:hideMark/>
          </w:tcPr>
          <w:p w14:paraId="37F0B23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 xml:space="preserve">3,500.06 </w:t>
            </w:r>
          </w:p>
        </w:tc>
      </w:tr>
      <w:tr w:rsidR="00CD798F" w:rsidRPr="00DB118A" w14:paraId="780F51D2" w14:textId="77777777" w:rsidTr="00214723">
        <w:trPr>
          <w:cantSplit/>
          <w:trHeight w:val="454"/>
          <w:jc w:val="center"/>
        </w:trPr>
        <w:tc>
          <w:tcPr>
            <w:tcW w:w="625" w:type="pct"/>
            <w:noWrap/>
            <w:vAlign w:val="center"/>
          </w:tcPr>
          <w:p w14:paraId="29B84DE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管理费用</w:t>
            </w:r>
          </w:p>
        </w:tc>
        <w:tc>
          <w:tcPr>
            <w:tcW w:w="729" w:type="pct"/>
            <w:noWrap/>
            <w:vAlign w:val="center"/>
          </w:tcPr>
          <w:p w14:paraId="1E90D8C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652.99</w:t>
            </w:r>
          </w:p>
        </w:tc>
        <w:tc>
          <w:tcPr>
            <w:tcW w:w="729" w:type="pct"/>
            <w:noWrap/>
            <w:vAlign w:val="center"/>
          </w:tcPr>
          <w:p w14:paraId="35DA1A6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1,268.98</w:t>
            </w:r>
          </w:p>
        </w:tc>
        <w:tc>
          <w:tcPr>
            <w:tcW w:w="729" w:type="pct"/>
            <w:noWrap/>
            <w:vAlign w:val="center"/>
          </w:tcPr>
          <w:p w14:paraId="0B3474E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1,308.49</w:t>
            </w:r>
          </w:p>
        </w:tc>
        <w:tc>
          <w:tcPr>
            <w:tcW w:w="729" w:type="pct"/>
            <w:noWrap/>
            <w:vAlign w:val="center"/>
          </w:tcPr>
          <w:p w14:paraId="7676A42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1,346.60</w:t>
            </w:r>
          </w:p>
        </w:tc>
        <w:tc>
          <w:tcPr>
            <w:tcW w:w="729" w:type="pct"/>
            <w:noWrap/>
            <w:vAlign w:val="center"/>
          </w:tcPr>
          <w:p w14:paraId="40854AC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1,386.05</w:t>
            </w:r>
          </w:p>
        </w:tc>
        <w:tc>
          <w:tcPr>
            <w:tcW w:w="729" w:type="pct"/>
            <w:noWrap/>
            <w:vAlign w:val="center"/>
          </w:tcPr>
          <w:p w14:paraId="5491CA6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1,386.05</w:t>
            </w:r>
          </w:p>
        </w:tc>
      </w:tr>
      <w:tr w:rsidR="00CD798F" w:rsidRPr="00DB118A" w14:paraId="29E0A491" w14:textId="77777777" w:rsidTr="00214723">
        <w:trPr>
          <w:cantSplit/>
          <w:trHeight w:val="454"/>
          <w:jc w:val="center"/>
        </w:trPr>
        <w:tc>
          <w:tcPr>
            <w:tcW w:w="625" w:type="pct"/>
            <w:noWrap/>
            <w:vAlign w:val="center"/>
          </w:tcPr>
          <w:p w14:paraId="7EC2D527"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研发费用</w:t>
            </w:r>
          </w:p>
        </w:tc>
        <w:tc>
          <w:tcPr>
            <w:tcW w:w="729" w:type="pct"/>
            <w:noWrap/>
            <w:vAlign w:val="center"/>
          </w:tcPr>
          <w:p w14:paraId="137840B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677.57</w:t>
            </w:r>
          </w:p>
        </w:tc>
        <w:tc>
          <w:tcPr>
            <w:tcW w:w="729" w:type="pct"/>
            <w:noWrap/>
            <w:vAlign w:val="center"/>
          </w:tcPr>
          <w:p w14:paraId="0757769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1,270.65</w:t>
            </w:r>
          </w:p>
        </w:tc>
        <w:tc>
          <w:tcPr>
            <w:tcW w:w="729" w:type="pct"/>
            <w:noWrap/>
            <w:vAlign w:val="center"/>
          </w:tcPr>
          <w:p w14:paraId="416D249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1,310.26</w:t>
            </w:r>
          </w:p>
        </w:tc>
        <w:tc>
          <w:tcPr>
            <w:tcW w:w="729" w:type="pct"/>
            <w:noWrap/>
            <w:vAlign w:val="center"/>
          </w:tcPr>
          <w:p w14:paraId="1322B03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1,348.61</w:t>
            </w:r>
          </w:p>
        </w:tc>
        <w:tc>
          <w:tcPr>
            <w:tcW w:w="729" w:type="pct"/>
            <w:noWrap/>
            <w:vAlign w:val="center"/>
          </w:tcPr>
          <w:p w14:paraId="34CF209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1,388.45</w:t>
            </w:r>
          </w:p>
        </w:tc>
        <w:tc>
          <w:tcPr>
            <w:tcW w:w="729" w:type="pct"/>
            <w:noWrap/>
            <w:vAlign w:val="center"/>
          </w:tcPr>
          <w:p w14:paraId="09234A2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1,388.45</w:t>
            </w:r>
          </w:p>
        </w:tc>
      </w:tr>
      <w:tr w:rsidR="00CD798F" w:rsidRPr="00DB118A" w14:paraId="7C0DEB13" w14:textId="77777777" w:rsidTr="00214723">
        <w:trPr>
          <w:cantSplit/>
          <w:trHeight w:val="454"/>
          <w:jc w:val="center"/>
        </w:trPr>
        <w:tc>
          <w:tcPr>
            <w:tcW w:w="625" w:type="pct"/>
            <w:noWrap/>
            <w:vAlign w:val="center"/>
            <w:hideMark/>
          </w:tcPr>
          <w:p w14:paraId="2A1625D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净利润</w:t>
            </w:r>
          </w:p>
        </w:tc>
        <w:tc>
          <w:tcPr>
            <w:tcW w:w="729" w:type="pct"/>
            <w:noWrap/>
            <w:vAlign w:val="center"/>
            <w:hideMark/>
          </w:tcPr>
          <w:p w14:paraId="2EB5A64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1,248.28</w:t>
            </w:r>
          </w:p>
        </w:tc>
        <w:tc>
          <w:tcPr>
            <w:tcW w:w="729" w:type="pct"/>
            <w:noWrap/>
            <w:vAlign w:val="center"/>
            <w:hideMark/>
          </w:tcPr>
          <w:p w14:paraId="09B8EC7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2,952.81</w:t>
            </w:r>
          </w:p>
        </w:tc>
        <w:tc>
          <w:tcPr>
            <w:tcW w:w="729" w:type="pct"/>
            <w:noWrap/>
            <w:vAlign w:val="center"/>
            <w:hideMark/>
          </w:tcPr>
          <w:p w14:paraId="1653DEE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2,751.27</w:t>
            </w:r>
          </w:p>
        </w:tc>
        <w:tc>
          <w:tcPr>
            <w:tcW w:w="729" w:type="pct"/>
            <w:noWrap/>
            <w:vAlign w:val="center"/>
            <w:hideMark/>
          </w:tcPr>
          <w:p w14:paraId="2A9A352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2,724.26</w:t>
            </w:r>
          </w:p>
        </w:tc>
        <w:tc>
          <w:tcPr>
            <w:tcW w:w="729" w:type="pct"/>
            <w:noWrap/>
            <w:vAlign w:val="center"/>
            <w:hideMark/>
          </w:tcPr>
          <w:p w14:paraId="78F6FE9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2,691.84</w:t>
            </w:r>
          </w:p>
        </w:tc>
        <w:tc>
          <w:tcPr>
            <w:tcW w:w="729" w:type="pct"/>
            <w:noWrap/>
            <w:vAlign w:val="center"/>
            <w:hideMark/>
          </w:tcPr>
          <w:p w14:paraId="3691379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2,691.84</w:t>
            </w:r>
          </w:p>
        </w:tc>
      </w:tr>
      <w:tr w:rsidR="00CD798F" w:rsidRPr="00DB118A" w14:paraId="0FFE5364" w14:textId="77777777" w:rsidTr="00214723">
        <w:trPr>
          <w:cantSplit/>
          <w:trHeight w:val="454"/>
          <w:jc w:val="center"/>
        </w:trPr>
        <w:tc>
          <w:tcPr>
            <w:tcW w:w="625" w:type="pct"/>
            <w:noWrap/>
            <w:vAlign w:val="center"/>
            <w:hideMark/>
          </w:tcPr>
          <w:p w14:paraId="3D002E97"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现金流</w:t>
            </w:r>
          </w:p>
        </w:tc>
        <w:tc>
          <w:tcPr>
            <w:tcW w:w="729" w:type="pct"/>
            <w:noWrap/>
            <w:vAlign w:val="center"/>
            <w:hideMark/>
          </w:tcPr>
          <w:p w14:paraId="4B0825E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111.31</w:t>
            </w:r>
          </w:p>
        </w:tc>
        <w:tc>
          <w:tcPr>
            <w:tcW w:w="729" w:type="pct"/>
            <w:noWrap/>
            <w:vAlign w:val="center"/>
            <w:hideMark/>
          </w:tcPr>
          <w:p w14:paraId="12A300F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2,926.33</w:t>
            </w:r>
          </w:p>
        </w:tc>
        <w:tc>
          <w:tcPr>
            <w:tcW w:w="729" w:type="pct"/>
            <w:noWrap/>
            <w:vAlign w:val="center"/>
            <w:hideMark/>
          </w:tcPr>
          <w:p w14:paraId="1268A26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2,699.99</w:t>
            </w:r>
          </w:p>
        </w:tc>
        <w:tc>
          <w:tcPr>
            <w:tcW w:w="729" w:type="pct"/>
            <w:noWrap/>
            <w:vAlign w:val="center"/>
            <w:hideMark/>
          </w:tcPr>
          <w:p w14:paraId="532A21E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2,692.33</w:t>
            </w:r>
          </w:p>
        </w:tc>
        <w:tc>
          <w:tcPr>
            <w:tcW w:w="729" w:type="pct"/>
            <w:noWrap/>
            <w:vAlign w:val="center"/>
            <w:hideMark/>
          </w:tcPr>
          <w:p w14:paraId="126288E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2,661.18</w:t>
            </w:r>
          </w:p>
        </w:tc>
        <w:tc>
          <w:tcPr>
            <w:tcW w:w="729" w:type="pct"/>
            <w:noWrap/>
            <w:vAlign w:val="center"/>
            <w:hideMark/>
          </w:tcPr>
          <w:p w14:paraId="692A1F4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2,691.87</w:t>
            </w:r>
          </w:p>
        </w:tc>
      </w:tr>
      <w:tr w:rsidR="00CD798F" w:rsidRPr="00DB118A" w14:paraId="450AB4F2" w14:textId="77777777" w:rsidTr="00214723">
        <w:trPr>
          <w:cantSplit/>
          <w:trHeight w:val="454"/>
          <w:jc w:val="center"/>
        </w:trPr>
        <w:tc>
          <w:tcPr>
            <w:tcW w:w="625" w:type="pct"/>
            <w:noWrap/>
            <w:vAlign w:val="center"/>
            <w:hideMark/>
          </w:tcPr>
          <w:p w14:paraId="2AD1D515"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折现率</w:t>
            </w:r>
          </w:p>
        </w:tc>
        <w:tc>
          <w:tcPr>
            <w:tcW w:w="729" w:type="pct"/>
            <w:noWrap/>
            <w:vAlign w:val="center"/>
            <w:hideMark/>
          </w:tcPr>
          <w:p w14:paraId="4EE8517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11.70%</w:t>
            </w:r>
          </w:p>
        </w:tc>
        <w:tc>
          <w:tcPr>
            <w:tcW w:w="729" w:type="pct"/>
            <w:noWrap/>
            <w:vAlign w:val="center"/>
            <w:hideMark/>
          </w:tcPr>
          <w:p w14:paraId="418AC72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11.70%</w:t>
            </w:r>
          </w:p>
        </w:tc>
        <w:tc>
          <w:tcPr>
            <w:tcW w:w="729" w:type="pct"/>
            <w:noWrap/>
            <w:vAlign w:val="center"/>
            <w:hideMark/>
          </w:tcPr>
          <w:p w14:paraId="040628F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11.70%</w:t>
            </w:r>
          </w:p>
        </w:tc>
        <w:tc>
          <w:tcPr>
            <w:tcW w:w="729" w:type="pct"/>
            <w:noWrap/>
            <w:vAlign w:val="center"/>
            <w:hideMark/>
          </w:tcPr>
          <w:p w14:paraId="7B5E356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11.70%</w:t>
            </w:r>
          </w:p>
        </w:tc>
        <w:tc>
          <w:tcPr>
            <w:tcW w:w="729" w:type="pct"/>
            <w:noWrap/>
            <w:vAlign w:val="center"/>
            <w:hideMark/>
          </w:tcPr>
          <w:p w14:paraId="683316D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11.70%</w:t>
            </w:r>
          </w:p>
        </w:tc>
        <w:tc>
          <w:tcPr>
            <w:tcW w:w="729" w:type="pct"/>
            <w:noWrap/>
            <w:vAlign w:val="center"/>
            <w:hideMark/>
          </w:tcPr>
          <w:p w14:paraId="0B011EE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11.70%</w:t>
            </w:r>
          </w:p>
        </w:tc>
      </w:tr>
      <w:tr w:rsidR="00CD798F" w:rsidRPr="00DB118A" w14:paraId="5FD8E091" w14:textId="77777777" w:rsidTr="00214723">
        <w:trPr>
          <w:cantSplit/>
          <w:trHeight w:val="454"/>
          <w:jc w:val="center"/>
        </w:trPr>
        <w:tc>
          <w:tcPr>
            <w:tcW w:w="625" w:type="pct"/>
            <w:noWrap/>
            <w:vAlign w:val="center"/>
          </w:tcPr>
          <w:p w14:paraId="46CC7085"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非经营性资产</w:t>
            </w:r>
          </w:p>
        </w:tc>
        <w:tc>
          <w:tcPr>
            <w:tcW w:w="729" w:type="pct"/>
            <w:noWrap/>
            <w:vAlign w:val="center"/>
          </w:tcPr>
          <w:p w14:paraId="2C05788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1,855.84</w:t>
            </w:r>
          </w:p>
        </w:tc>
        <w:tc>
          <w:tcPr>
            <w:tcW w:w="729" w:type="pct"/>
            <w:noWrap/>
            <w:vAlign w:val="center"/>
          </w:tcPr>
          <w:p w14:paraId="68EDC78E"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溢余资产</w:t>
            </w:r>
          </w:p>
        </w:tc>
        <w:tc>
          <w:tcPr>
            <w:tcW w:w="729" w:type="pct"/>
            <w:noWrap/>
            <w:vAlign w:val="center"/>
          </w:tcPr>
          <w:p w14:paraId="050D7DB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0.00</w:t>
            </w:r>
          </w:p>
        </w:tc>
        <w:tc>
          <w:tcPr>
            <w:tcW w:w="729" w:type="pct"/>
            <w:noWrap/>
            <w:vAlign w:val="center"/>
          </w:tcPr>
          <w:p w14:paraId="719D6564"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评估值</w:t>
            </w:r>
          </w:p>
        </w:tc>
        <w:tc>
          <w:tcPr>
            <w:tcW w:w="1459" w:type="pct"/>
            <w:gridSpan w:val="2"/>
            <w:noWrap/>
            <w:vAlign w:val="center"/>
          </w:tcPr>
          <w:p w14:paraId="3E47B43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24,900.00</w:t>
            </w:r>
          </w:p>
        </w:tc>
      </w:tr>
    </w:tbl>
    <w:p w14:paraId="1E2C04ED" w14:textId="77777777" w:rsidR="00CD798F" w:rsidRPr="00C820D0" w:rsidRDefault="00CD798F" w:rsidP="00CD798F">
      <w:pPr>
        <w:pStyle w:val="005"/>
        <w:spacing w:before="120" w:after="120"/>
        <w:ind w:firstLine="480"/>
      </w:pPr>
      <w:r w:rsidRPr="00C820D0">
        <w:t>广州宝点的主营业务收入成本可见</w:t>
      </w:r>
      <w:r w:rsidRPr="00C820D0">
        <w:t>“</w:t>
      </w:r>
      <w:r w:rsidRPr="00C820D0">
        <w:t>问题一</w:t>
      </w:r>
      <w:r w:rsidRPr="00C820D0">
        <w:t>”</w:t>
      </w:r>
      <w:r w:rsidRPr="00C820D0">
        <w:t>、</w:t>
      </w:r>
      <w:r w:rsidRPr="00C820D0">
        <w:t>“</w:t>
      </w:r>
      <w:r w:rsidRPr="00C820D0">
        <w:t>问题二</w:t>
      </w:r>
      <w:r w:rsidRPr="00C820D0">
        <w:t>”</w:t>
      </w:r>
      <w:r w:rsidRPr="00C820D0">
        <w:t>及</w:t>
      </w:r>
      <w:r w:rsidRPr="00C820D0">
        <w:t>“</w:t>
      </w:r>
      <w:r w:rsidRPr="00C820D0">
        <w:t>问题三</w:t>
      </w:r>
      <w:r w:rsidRPr="00C820D0">
        <w:t>”</w:t>
      </w:r>
      <w:r w:rsidRPr="00C820D0">
        <w:t>中涉及场地解决方案相关各类收入、成本的预测方法和预测过程；广州宝点的各大费用预测可见</w:t>
      </w:r>
      <w:r w:rsidRPr="00C820D0">
        <w:t>“</w:t>
      </w:r>
      <w:r w:rsidRPr="00C820D0">
        <w:t>问题四</w:t>
      </w:r>
      <w:r w:rsidRPr="00C820D0">
        <w:t>”</w:t>
      </w:r>
      <w:r w:rsidRPr="00C820D0">
        <w:t>中涉及销售、管理及研发费用的预测逻辑和方法。整体来看，收入、成本、费用的预测逻辑和预测过程，广州宝点与合并收益法口径均保持一致。</w:t>
      </w:r>
    </w:p>
    <w:p w14:paraId="19C5C14E" w14:textId="77777777" w:rsidR="00CD798F" w:rsidRPr="00C820D0" w:rsidRDefault="00CD798F" w:rsidP="00CD798F">
      <w:pPr>
        <w:pStyle w:val="005"/>
        <w:spacing w:before="120" w:after="120"/>
        <w:ind w:firstLine="480"/>
      </w:pPr>
      <w:r w:rsidRPr="00C820D0">
        <w:t>广州宝点的净利润水平在预测期内有所降低，主要系由于预测期内充分考虑了市场竞争及前期快速扩张带来的后期增速压力，对广州宝点的收入、成本和费用进行了较为谨慎的测算，故预测期净利润呈现了下降的情况。</w:t>
      </w:r>
    </w:p>
    <w:p w14:paraId="52959292" w14:textId="77777777" w:rsidR="00CD798F" w:rsidRPr="00C820D0" w:rsidRDefault="00CD798F" w:rsidP="00CD798F">
      <w:pPr>
        <w:pStyle w:val="005"/>
        <w:spacing w:before="120" w:after="120"/>
        <w:ind w:firstLine="480"/>
      </w:pPr>
      <w:r w:rsidRPr="00C820D0">
        <w:t>基于预测净利润，通过调整折旧摊销、资本性支出、以及营运资金增加等项目后得到广州宝点的企业自由现金流。广州宝点的现金流具体预测逻辑和方法与合并收益法一致，折旧摊销、资本性支出、以及营运资金增加等项目的预测逻辑可参见</w:t>
      </w:r>
      <w:r w:rsidRPr="00C820D0">
        <w:t>“</w:t>
      </w:r>
      <w:r w:rsidRPr="00C820D0">
        <w:t>问题六</w:t>
      </w:r>
      <w:r w:rsidRPr="00C820D0">
        <w:t>”</w:t>
      </w:r>
      <w:r w:rsidRPr="00C820D0">
        <w:t>的答复披露的内容。</w:t>
      </w:r>
    </w:p>
    <w:p w14:paraId="4F24BE95" w14:textId="77777777" w:rsidR="00CD798F" w:rsidRPr="00C820D0" w:rsidRDefault="00CD798F" w:rsidP="00CD798F">
      <w:pPr>
        <w:pStyle w:val="005"/>
        <w:spacing w:before="120" w:after="120"/>
        <w:ind w:firstLine="480"/>
      </w:pPr>
      <w:r w:rsidRPr="00C820D0">
        <w:t>广州宝点的折现率测算过程可参见</w:t>
      </w:r>
      <w:r w:rsidRPr="00C820D0">
        <w:t>“</w:t>
      </w:r>
      <w:r w:rsidRPr="00C820D0">
        <w:t>问题七</w:t>
      </w:r>
      <w:r w:rsidRPr="00C820D0">
        <w:t>”</w:t>
      </w:r>
      <w:r w:rsidRPr="00C820D0">
        <w:t>的答复。经计算后广州宝点的折现率与合并口径收益法同为</w:t>
      </w:r>
      <w:r w:rsidRPr="00C820D0">
        <w:t>11.7%</w:t>
      </w:r>
      <w:r w:rsidRPr="00C820D0">
        <w:t>。具体预测方法与合并收益法一致。</w:t>
      </w:r>
    </w:p>
    <w:p w14:paraId="4FB04846" w14:textId="77777777" w:rsidR="00CD798F" w:rsidRPr="00C820D0" w:rsidRDefault="00CD798F" w:rsidP="00CD798F">
      <w:pPr>
        <w:pStyle w:val="005"/>
        <w:spacing w:before="120" w:after="120"/>
        <w:ind w:firstLine="480"/>
      </w:pPr>
      <w:r w:rsidRPr="00C820D0">
        <w:t>对于股权价值的测算，基于预测的现金流，结合折现率和折现期（月）计算得到折现后现金流，进一步测算得到企业价值。后续结合非经营性资产、溢余资产、付息债务。综合测算得到广州宝点的股东全部权益价值。</w:t>
      </w:r>
    </w:p>
    <w:p w14:paraId="38D17FB8" w14:textId="77777777" w:rsidR="00CD798F" w:rsidRPr="00C820D0" w:rsidRDefault="00CD798F" w:rsidP="00CD798F">
      <w:pPr>
        <w:pStyle w:val="005"/>
        <w:spacing w:before="120" w:after="120"/>
        <w:ind w:firstLine="480"/>
      </w:pPr>
      <w:r w:rsidRPr="00C820D0">
        <w:lastRenderedPageBreak/>
        <w:t>结合广州宝点的少数股东股权比例计算得到广州宝点的少数股东权益价值：</w:t>
      </w:r>
    </w:p>
    <w:p w14:paraId="581D8AF6" w14:textId="77777777" w:rsidR="00CD798F" w:rsidRPr="00C820D0" w:rsidRDefault="00CD798F" w:rsidP="00CD798F">
      <w:pPr>
        <w:pStyle w:val="005"/>
        <w:spacing w:before="120" w:after="120"/>
        <w:ind w:firstLine="480"/>
      </w:pPr>
      <w:r w:rsidRPr="00C820D0">
        <w:t>少数股权价值</w:t>
      </w:r>
      <w:r w:rsidRPr="00C820D0">
        <w:t>=</w:t>
      </w:r>
      <w:r w:rsidRPr="00C820D0">
        <w:t>股东全部权益价值</w:t>
      </w:r>
      <w:r w:rsidRPr="00C820D0">
        <w:t>×</w:t>
      </w:r>
      <w:r w:rsidRPr="00C820D0">
        <w:t>少数股东股权比例</w:t>
      </w:r>
    </w:p>
    <w:p w14:paraId="0068E666" w14:textId="77777777" w:rsidR="00CD798F" w:rsidRPr="00C820D0" w:rsidRDefault="00CD798F" w:rsidP="00CD798F">
      <w:pPr>
        <w:pStyle w:val="005"/>
        <w:spacing w:before="120" w:after="120"/>
        <w:ind w:firstLineChars="800" w:firstLine="1920"/>
      </w:pPr>
      <w:r w:rsidRPr="00C820D0">
        <w:t>=24,900.00×42%</w:t>
      </w:r>
    </w:p>
    <w:p w14:paraId="535B812A" w14:textId="77777777" w:rsidR="00CD798F" w:rsidRPr="00C820D0" w:rsidRDefault="00CD798F" w:rsidP="00CD798F">
      <w:pPr>
        <w:pStyle w:val="005"/>
        <w:spacing w:before="120" w:after="120"/>
        <w:ind w:firstLineChars="800" w:firstLine="1920"/>
      </w:pPr>
      <w:r w:rsidRPr="00C820D0">
        <w:t>=10,458.00</w:t>
      </w:r>
      <w:r w:rsidRPr="00C820D0">
        <w:t>万元</w:t>
      </w:r>
    </w:p>
    <w:p w14:paraId="7877053E" w14:textId="77777777" w:rsidR="00CD798F" w:rsidRDefault="00CD798F" w:rsidP="00CD798F">
      <w:pPr>
        <w:pStyle w:val="005"/>
        <w:spacing w:before="120" w:after="120"/>
        <w:ind w:firstLine="480"/>
      </w:pPr>
      <w:r w:rsidRPr="00164539">
        <w:rPr>
          <w:rFonts w:hint="eastAsia"/>
        </w:rPr>
        <w:t>本次测算中对</w:t>
      </w:r>
      <w:r>
        <w:rPr>
          <w:rFonts w:hint="eastAsia"/>
        </w:rPr>
        <w:t>其他涉及少数股权价值测算的</w:t>
      </w:r>
      <w:r w:rsidRPr="00164539">
        <w:rPr>
          <w:rFonts w:hint="eastAsia"/>
        </w:rPr>
        <w:t>子公司的预测年限，收入、成本、费用预测逻辑与合并报表口径下的企业整体的预测逻辑均保持一致。折现率参数本次均与合并口径保持一致。</w:t>
      </w:r>
    </w:p>
    <w:p w14:paraId="091113B6" w14:textId="77777777" w:rsidR="00CD798F" w:rsidRDefault="00CD798F" w:rsidP="00CD798F">
      <w:pPr>
        <w:pStyle w:val="005"/>
        <w:spacing w:before="120" w:after="120"/>
        <w:ind w:firstLine="480"/>
      </w:pPr>
      <w:r w:rsidRPr="00C90A63">
        <w:rPr>
          <w:rFonts w:hint="eastAsia"/>
        </w:rPr>
        <w:t>合并收益法下少数股东权益价值测算</w:t>
      </w:r>
      <w:r>
        <w:rPr>
          <w:rFonts w:hint="eastAsia"/>
        </w:rPr>
        <w:t>结果：</w:t>
      </w:r>
    </w:p>
    <w:p w14:paraId="6F2DEE14" w14:textId="77777777" w:rsidR="00CD798F" w:rsidRDefault="00CD798F" w:rsidP="00CD798F">
      <w:pPr>
        <w:pStyle w:val="005"/>
        <w:spacing w:before="120" w:after="120"/>
        <w:ind w:firstLine="480"/>
        <w:jc w:val="right"/>
      </w:pPr>
      <w:r>
        <w:rPr>
          <w:rFonts w:hint="eastAsia"/>
        </w:rPr>
        <w:t>金额单位：万元</w:t>
      </w:r>
    </w:p>
    <w:tbl>
      <w:tblPr>
        <w:tblW w:w="5132"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32"/>
        <w:gridCol w:w="3355"/>
        <w:gridCol w:w="2632"/>
        <w:gridCol w:w="1136"/>
        <w:gridCol w:w="1445"/>
      </w:tblGrid>
      <w:tr w:rsidR="00CD798F" w:rsidRPr="00D95B42" w14:paraId="349A41A1" w14:textId="77777777" w:rsidTr="00214723">
        <w:trPr>
          <w:cantSplit/>
          <w:trHeight w:val="454"/>
          <w:tblHeader/>
          <w:jc w:val="center"/>
        </w:trPr>
        <w:tc>
          <w:tcPr>
            <w:tcW w:w="393" w:type="pct"/>
            <w:vAlign w:val="center"/>
          </w:tcPr>
          <w:p w14:paraId="5013619C"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序号</w:t>
            </w:r>
          </w:p>
        </w:tc>
        <w:tc>
          <w:tcPr>
            <w:tcW w:w="1803" w:type="pct"/>
            <w:noWrap/>
            <w:vAlign w:val="center"/>
            <w:hideMark/>
          </w:tcPr>
          <w:p w14:paraId="129490B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企业名称</w:t>
            </w:r>
          </w:p>
        </w:tc>
        <w:tc>
          <w:tcPr>
            <w:tcW w:w="1415" w:type="pct"/>
            <w:noWrap/>
            <w:vAlign w:val="center"/>
            <w:hideMark/>
          </w:tcPr>
          <w:p w14:paraId="687F82CE"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股东全部权益价值（</w:t>
            </w:r>
            <w:r w:rsidRPr="00D95B42">
              <w:rPr>
                <w:rFonts w:ascii="Times New Roman" w:hAnsi="Times New Roman"/>
                <w:b/>
                <w:color w:val="000000"/>
              </w:rPr>
              <w:t>A</w:t>
            </w:r>
            <w:r w:rsidRPr="00D95B42">
              <w:rPr>
                <w:rFonts w:ascii="Times New Roman" w:hAnsi="Times New Roman"/>
                <w:b/>
                <w:color w:val="000000"/>
              </w:rPr>
              <w:t>）</w:t>
            </w:r>
          </w:p>
        </w:tc>
        <w:tc>
          <w:tcPr>
            <w:tcW w:w="611" w:type="pct"/>
            <w:vAlign w:val="center"/>
          </w:tcPr>
          <w:p w14:paraId="7ECA14F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少数股东持股比例（</w:t>
            </w:r>
            <w:r w:rsidRPr="00D95B42">
              <w:rPr>
                <w:rFonts w:ascii="Times New Roman" w:hAnsi="Times New Roman"/>
                <w:b/>
                <w:color w:val="000000"/>
              </w:rPr>
              <w:t>B</w:t>
            </w:r>
            <w:r w:rsidRPr="00D95B42">
              <w:rPr>
                <w:rFonts w:ascii="Times New Roman" w:hAnsi="Times New Roman"/>
                <w:b/>
                <w:color w:val="000000"/>
              </w:rPr>
              <w:t>）</w:t>
            </w:r>
          </w:p>
        </w:tc>
        <w:tc>
          <w:tcPr>
            <w:tcW w:w="778" w:type="pct"/>
            <w:vAlign w:val="center"/>
          </w:tcPr>
          <w:p w14:paraId="29942D4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少数股权价值（</w:t>
            </w:r>
            <w:r w:rsidRPr="00D95B42">
              <w:rPr>
                <w:rFonts w:ascii="Times New Roman" w:hAnsi="Times New Roman"/>
                <w:b/>
                <w:color w:val="000000"/>
              </w:rPr>
              <w:t>A</w:t>
            </w:r>
            <w:r w:rsidRPr="00D95B42">
              <w:rPr>
                <w:rFonts w:ascii="Times New Roman" w:hAnsi="Times New Roman"/>
                <w:b/>
                <w:color w:val="000000"/>
              </w:rPr>
              <w:t>）</w:t>
            </w:r>
            <w:r w:rsidRPr="00D95B42">
              <w:rPr>
                <w:rFonts w:ascii="Times New Roman" w:hAnsi="Times New Roman"/>
                <w:b/>
                <w:color w:val="000000"/>
              </w:rPr>
              <w:t>×</w:t>
            </w:r>
            <w:r w:rsidRPr="00D95B42">
              <w:rPr>
                <w:rFonts w:ascii="Times New Roman" w:hAnsi="Times New Roman"/>
                <w:b/>
                <w:color w:val="000000"/>
              </w:rPr>
              <w:t>（</w:t>
            </w:r>
            <w:r w:rsidRPr="00D95B42">
              <w:rPr>
                <w:rFonts w:ascii="Times New Roman" w:hAnsi="Times New Roman"/>
                <w:b/>
                <w:color w:val="000000"/>
              </w:rPr>
              <w:t>B</w:t>
            </w:r>
            <w:r w:rsidRPr="00D95B42">
              <w:rPr>
                <w:rFonts w:ascii="Times New Roman" w:hAnsi="Times New Roman"/>
                <w:b/>
                <w:color w:val="000000"/>
              </w:rPr>
              <w:t>）</w:t>
            </w:r>
          </w:p>
        </w:tc>
      </w:tr>
      <w:tr w:rsidR="00CD798F" w:rsidRPr="00D95B42" w14:paraId="77295A80" w14:textId="77777777" w:rsidTr="00214723">
        <w:trPr>
          <w:cantSplit/>
          <w:trHeight w:val="454"/>
          <w:jc w:val="center"/>
        </w:trPr>
        <w:tc>
          <w:tcPr>
            <w:tcW w:w="393" w:type="pct"/>
            <w:vAlign w:val="center"/>
          </w:tcPr>
          <w:p w14:paraId="1CD49DD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w:t>
            </w:r>
          </w:p>
        </w:tc>
        <w:tc>
          <w:tcPr>
            <w:tcW w:w="1803" w:type="pct"/>
            <w:noWrap/>
            <w:vAlign w:val="center"/>
            <w:hideMark/>
          </w:tcPr>
          <w:p w14:paraId="23B857F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广州星拓科技有限公司</w:t>
            </w:r>
          </w:p>
        </w:tc>
        <w:tc>
          <w:tcPr>
            <w:tcW w:w="1415" w:type="pct"/>
            <w:noWrap/>
            <w:vAlign w:val="center"/>
          </w:tcPr>
          <w:p w14:paraId="72125E5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98.00</w:t>
            </w:r>
          </w:p>
        </w:tc>
        <w:tc>
          <w:tcPr>
            <w:tcW w:w="611" w:type="pct"/>
            <w:vAlign w:val="center"/>
          </w:tcPr>
          <w:p w14:paraId="45B911E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w:t>
            </w:r>
          </w:p>
        </w:tc>
        <w:tc>
          <w:tcPr>
            <w:tcW w:w="778" w:type="pct"/>
            <w:vAlign w:val="center"/>
          </w:tcPr>
          <w:p w14:paraId="67EFD77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29.40</w:t>
            </w:r>
          </w:p>
        </w:tc>
      </w:tr>
      <w:tr w:rsidR="00CD798F" w:rsidRPr="00D95B42" w14:paraId="395F9563" w14:textId="77777777" w:rsidTr="00214723">
        <w:trPr>
          <w:cantSplit/>
          <w:trHeight w:val="454"/>
          <w:jc w:val="center"/>
        </w:trPr>
        <w:tc>
          <w:tcPr>
            <w:tcW w:w="393" w:type="pct"/>
            <w:vAlign w:val="center"/>
          </w:tcPr>
          <w:p w14:paraId="0881C6C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w:t>
            </w:r>
          </w:p>
        </w:tc>
        <w:tc>
          <w:tcPr>
            <w:tcW w:w="1803" w:type="pct"/>
            <w:noWrap/>
            <w:vAlign w:val="center"/>
            <w:hideMark/>
          </w:tcPr>
          <w:p w14:paraId="75B397E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广州乐爽信息科技有限公司</w:t>
            </w:r>
          </w:p>
        </w:tc>
        <w:tc>
          <w:tcPr>
            <w:tcW w:w="1415" w:type="pct"/>
            <w:noWrap/>
            <w:vAlign w:val="center"/>
          </w:tcPr>
          <w:p w14:paraId="05D69FE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870.00</w:t>
            </w:r>
          </w:p>
        </w:tc>
        <w:tc>
          <w:tcPr>
            <w:tcW w:w="611" w:type="pct"/>
            <w:vAlign w:val="center"/>
          </w:tcPr>
          <w:p w14:paraId="15C142D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48%</w:t>
            </w:r>
          </w:p>
        </w:tc>
        <w:tc>
          <w:tcPr>
            <w:tcW w:w="778" w:type="pct"/>
            <w:vAlign w:val="center"/>
          </w:tcPr>
          <w:p w14:paraId="322E682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417.60</w:t>
            </w:r>
          </w:p>
        </w:tc>
      </w:tr>
      <w:tr w:rsidR="00CD798F" w:rsidRPr="00D95B42" w14:paraId="58C75A99" w14:textId="77777777" w:rsidTr="00214723">
        <w:trPr>
          <w:cantSplit/>
          <w:trHeight w:val="454"/>
          <w:jc w:val="center"/>
        </w:trPr>
        <w:tc>
          <w:tcPr>
            <w:tcW w:w="393" w:type="pct"/>
            <w:vAlign w:val="center"/>
          </w:tcPr>
          <w:p w14:paraId="22F2C74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w:t>
            </w:r>
          </w:p>
        </w:tc>
        <w:tc>
          <w:tcPr>
            <w:tcW w:w="1803" w:type="pct"/>
            <w:noWrap/>
            <w:vAlign w:val="center"/>
            <w:hideMark/>
          </w:tcPr>
          <w:p w14:paraId="56D430E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乐呗科技</w:t>
            </w:r>
            <w:r w:rsidRPr="00D95B42">
              <w:rPr>
                <w:rFonts w:ascii="Times New Roman" w:hAnsi="Times New Roman"/>
                <w:color w:val="000000"/>
              </w:rPr>
              <w:t>(</w:t>
            </w:r>
            <w:r w:rsidRPr="00D95B42">
              <w:rPr>
                <w:rFonts w:ascii="Times New Roman" w:hAnsi="Times New Roman"/>
                <w:color w:val="000000"/>
              </w:rPr>
              <w:t>广州</w:t>
            </w:r>
            <w:r w:rsidRPr="00D95B42">
              <w:rPr>
                <w:rFonts w:ascii="Times New Roman" w:hAnsi="Times New Roman"/>
                <w:color w:val="000000"/>
              </w:rPr>
              <w:t>)</w:t>
            </w:r>
            <w:r w:rsidRPr="00D95B42">
              <w:rPr>
                <w:rFonts w:ascii="Times New Roman" w:hAnsi="Times New Roman"/>
                <w:color w:val="000000"/>
              </w:rPr>
              <w:t>有限公司</w:t>
            </w:r>
          </w:p>
        </w:tc>
        <w:tc>
          <w:tcPr>
            <w:tcW w:w="1415" w:type="pct"/>
            <w:noWrap/>
            <w:vAlign w:val="center"/>
          </w:tcPr>
          <w:p w14:paraId="25660C8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750.00</w:t>
            </w:r>
          </w:p>
        </w:tc>
        <w:tc>
          <w:tcPr>
            <w:tcW w:w="611" w:type="pct"/>
            <w:vAlign w:val="center"/>
          </w:tcPr>
          <w:p w14:paraId="56FA75DF"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49%</w:t>
            </w:r>
          </w:p>
        </w:tc>
        <w:tc>
          <w:tcPr>
            <w:tcW w:w="778" w:type="pct"/>
            <w:vAlign w:val="center"/>
          </w:tcPr>
          <w:p w14:paraId="6188D10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367.50</w:t>
            </w:r>
          </w:p>
        </w:tc>
      </w:tr>
      <w:tr w:rsidR="00CD798F" w:rsidRPr="00D95B42" w14:paraId="19A2A409" w14:textId="77777777" w:rsidTr="00214723">
        <w:trPr>
          <w:cantSplit/>
          <w:trHeight w:val="454"/>
          <w:jc w:val="center"/>
        </w:trPr>
        <w:tc>
          <w:tcPr>
            <w:tcW w:w="393" w:type="pct"/>
            <w:vAlign w:val="center"/>
          </w:tcPr>
          <w:p w14:paraId="72EB78B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w:t>
            </w:r>
          </w:p>
        </w:tc>
        <w:tc>
          <w:tcPr>
            <w:tcW w:w="1803" w:type="pct"/>
            <w:noWrap/>
            <w:vAlign w:val="center"/>
            <w:hideMark/>
          </w:tcPr>
          <w:p w14:paraId="4E84171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广州宝点数字化科技有限公司</w:t>
            </w:r>
          </w:p>
        </w:tc>
        <w:tc>
          <w:tcPr>
            <w:tcW w:w="1415" w:type="pct"/>
            <w:noWrap/>
            <w:vAlign w:val="center"/>
          </w:tcPr>
          <w:p w14:paraId="3C75E5B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24,900.00</w:t>
            </w:r>
          </w:p>
        </w:tc>
        <w:tc>
          <w:tcPr>
            <w:tcW w:w="611" w:type="pct"/>
            <w:vAlign w:val="center"/>
          </w:tcPr>
          <w:p w14:paraId="11FB08C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42%</w:t>
            </w:r>
          </w:p>
        </w:tc>
        <w:tc>
          <w:tcPr>
            <w:tcW w:w="778" w:type="pct"/>
            <w:vAlign w:val="center"/>
          </w:tcPr>
          <w:p w14:paraId="668BBB7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10,458.00</w:t>
            </w:r>
          </w:p>
        </w:tc>
      </w:tr>
      <w:tr w:rsidR="00CD798F" w:rsidRPr="00D95B42" w14:paraId="331954A8" w14:textId="77777777" w:rsidTr="00214723">
        <w:trPr>
          <w:cantSplit/>
          <w:trHeight w:val="454"/>
          <w:jc w:val="center"/>
        </w:trPr>
        <w:tc>
          <w:tcPr>
            <w:tcW w:w="393" w:type="pct"/>
            <w:vAlign w:val="center"/>
          </w:tcPr>
          <w:p w14:paraId="0F7BB9C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w:t>
            </w:r>
          </w:p>
        </w:tc>
        <w:tc>
          <w:tcPr>
            <w:tcW w:w="1803" w:type="pct"/>
            <w:noWrap/>
            <w:vAlign w:val="center"/>
            <w:hideMark/>
          </w:tcPr>
          <w:p w14:paraId="1892A5D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广州小充同学智能科技有限公司</w:t>
            </w:r>
          </w:p>
        </w:tc>
        <w:tc>
          <w:tcPr>
            <w:tcW w:w="1415" w:type="pct"/>
            <w:noWrap/>
            <w:vAlign w:val="center"/>
          </w:tcPr>
          <w:p w14:paraId="4CF1ED5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199.00</w:t>
            </w:r>
          </w:p>
        </w:tc>
        <w:tc>
          <w:tcPr>
            <w:tcW w:w="611" w:type="pct"/>
            <w:vAlign w:val="center"/>
          </w:tcPr>
          <w:p w14:paraId="782A3B0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49%</w:t>
            </w:r>
          </w:p>
        </w:tc>
        <w:tc>
          <w:tcPr>
            <w:tcW w:w="778" w:type="pct"/>
            <w:vAlign w:val="center"/>
          </w:tcPr>
          <w:p w14:paraId="072860E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97.51</w:t>
            </w:r>
          </w:p>
        </w:tc>
      </w:tr>
      <w:tr w:rsidR="00CD798F" w:rsidRPr="00D95B42" w14:paraId="66005306" w14:textId="77777777" w:rsidTr="00214723">
        <w:trPr>
          <w:cantSplit/>
          <w:trHeight w:val="454"/>
          <w:jc w:val="center"/>
        </w:trPr>
        <w:tc>
          <w:tcPr>
            <w:tcW w:w="2197" w:type="pct"/>
            <w:gridSpan w:val="2"/>
            <w:vAlign w:val="center"/>
          </w:tcPr>
          <w:p w14:paraId="6DD17E5B"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合计</w:t>
            </w:r>
          </w:p>
        </w:tc>
        <w:tc>
          <w:tcPr>
            <w:tcW w:w="1415" w:type="pct"/>
            <w:noWrap/>
            <w:vAlign w:val="center"/>
          </w:tcPr>
          <w:p w14:paraId="18E95449"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26,817.00</w:t>
            </w:r>
          </w:p>
        </w:tc>
        <w:tc>
          <w:tcPr>
            <w:tcW w:w="611" w:type="pct"/>
            <w:vAlign w:val="center"/>
          </w:tcPr>
          <w:p w14:paraId="4A53254C" w14:textId="77777777" w:rsidR="00CD798F" w:rsidRPr="00D95B42" w:rsidRDefault="00CD798F" w:rsidP="00214723">
            <w:pPr>
              <w:rPr>
                <w:rFonts w:ascii="Times New Roman" w:hAnsi="Times New Roman"/>
                <w:b/>
                <w:bCs/>
                <w:color w:val="000000"/>
              </w:rPr>
            </w:pPr>
          </w:p>
        </w:tc>
        <w:tc>
          <w:tcPr>
            <w:tcW w:w="778" w:type="pct"/>
            <w:vAlign w:val="center"/>
          </w:tcPr>
          <w:p w14:paraId="72CAB7F6"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11,370.01</w:t>
            </w:r>
          </w:p>
        </w:tc>
      </w:tr>
    </w:tbl>
    <w:p w14:paraId="357DF45B" w14:textId="77777777" w:rsidR="00CD798F" w:rsidRDefault="00CD798F" w:rsidP="00CD798F">
      <w:pPr>
        <w:pStyle w:val="005"/>
        <w:spacing w:before="120" w:after="120"/>
        <w:ind w:firstLine="480"/>
      </w:pPr>
      <w:r w:rsidRPr="007F788D">
        <w:rPr>
          <w:rFonts w:hint="eastAsia"/>
        </w:rPr>
        <w:t>综上，本次测算中各子公司的</w:t>
      </w:r>
      <w:r>
        <w:rPr>
          <w:rFonts w:hint="eastAsia"/>
        </w:rPr>
        <w:t>业绩、少数股权价值测算</w:t>
      </w:r>
      <w:r w:rsidRPr="007F788D">
        <w:rPr>
          <w:rFonts w:hint="eastAsia"/>
        </w:rPr>
        <w:t>具备合理性</w:t>
      </w:r>
      <w:r>
        <w:rPr>
          <w:rFonts w:hint="eastAsia"/>
        </w:rPr>
        <w:t>。</w:t>
      </w:r>
    </w:p>
    <w:p w14:paraId="3C142578" w14:textId="77777777" w:rsidR="00CD798F" w:rsidRPr="00E958DD" w:rsidRDefault="00CD798F" w:rsidP="00CD798F">
      <w:pPr>
        <w:pStyle w:val="003"/>
        <w:spacing w:before="120" w:after="120"/>
        <w:ind w:firstLine="482"/>
      </w:pPr>
      <w:r>
        <w:rPr>
          <w:rFonts w:hint="eastAsia"/>
        </w:rPr>
        <w:t>（二）</w:t>
      </w:r>
      <w:r w:rsidRPr="00BB02E6">
        <w:rPr>
          <w:rFonts w:hint="eastAsia"/>
        </w:rPr>
        <w:t>结合各子公司应纳税所得额的确定过程，评估测算使用的所得税税率、优惠政策是否符合相关法律法规的规定等，披露所得税费用的预测是否合理、准确</w:t>
      </w:r>
      <w:r>
        <w:rPr>
          <w:rFonts w:hint="eastAsia"/>
        </w:rPr>
        <w:t>。</w:t>
      </w:r>
    </w:p>
    <w:p w14:paraId="6BEE4156" w14:textId="77777777" w:rsidR="00CD798F" w:rsidRPr="00762CDB" w:rsidRDefault="00CD798F" w:rsidP="00CD798F">
      <w:pPr>
        <w:pStyle w:val="004"/>
        <w:spacing w:before="120" w:after="120"/>
        <w:ind w:firstLine="482"/>
      </w:pPr>
      <w:r>
        <w:rPr>
          <w:rFonts w:hint="eastAsia"/>
        </w:rPr>
        <w:t>1</w:t>
      </w:r>
      <w:r>
        <w:rPr>
          <w:rFonts w:hint="eastAsia"/>
        </w:rPr>
        <w:t>、</w:t>
      </w:r>
      <w:r w:rsidRPr="00762CDB">
        <w:rPr>
          <w:rFonts w:hint="eastAsia"/>
        </w:rPr>
        <w:t>各子公司应纳税所得额的确定过程</w:t>
      </w:r>
    </w:p>
    <w:p w14:paraId="2E4D6ACB" w14:textId="77777777" w:rsidR="00CD798F" w:rsidRPr="00C820D0" w:rsidRDefault="00CD798F" w:rsidP="00CD798F">
      <w:pPr>
        <w:pStyle w:val="005"/>
        <w:spacing w:before="120" w:after="120"/>
        <w:ind w:firstLine="480"/>
      </w:pPr>
      <w:r w:rsidRPr="00C820D0">
        <w:rPr>
          <w:rFonts w:hint="eastAsia"/>
        </w:rPr>
        <w:t>本次对子公司应纳税所得额的确定过程主要通过分析标的公司各子公司报告期内的经营业绩，结合合并收益法内对于各个子公司涉及的业务板块的预测情况，与标的</w:t>
      </w:r>
      <w:r w:rsidRPr="00C820D0">
        <w:rPr>
          <w:rFonts w:hint="eastAsia"/>
        </w:rPr>
        <w:lastRenderedPageBreak/>
        <w:t>公司管理层进行讨论分析，判断子公司预测期内的经营业绩是盈亏平衡、扭亏为盈亦或者持续盈利。</w:t>
      </w:r>
    </w:p>
    <w:p w14:paraId="6B06AC9C" w14:textId="77777777" w:rsidR="00CD798F" w:rsidRPr="00C820D0" w:rsidRDefault="00CD798F" w:rsidP="00CD798F">
      <w:pPr>
        <w:pStyle w:val="005"/>
        <w:spacing w:before="120" w:after="120"/>
        <w:ind w:firstLine="480"/>
      </w:pPr>
      <w:r w:rsidRPr="00C820D0">
        <w:rPr>
          <w:rFonts w:hint="eastAsia"/>
        </w:rPr>
        <w:t>若分析判断子公司未来预计盈亏平衡亦或者其自身已无业务，则其未来应纳税所得额可以确认为</w:t>
      </w:r>
      <w:r w:rsidRPr="00C820D0">
        <w:t>0</w:t>
      </w:r>
      <w:r w:rsidRPr="00C820D0">
        <w:rPr>
          <w:rFonts w:hint="eastAsia"/>
        </w:rPr>
        <w:t>元，未来亦不涉及缴纳所得税；对于基准日已注销、已转出的公司，本次预测期内对于此类子公司的应纳税所得额未予测算；对于计划关闭的湖南小充则于基准日整体作为非经营性资产考虑，预测期的应纳税所得额亦未予预测。</w:t>
      </w:r>
    </w:p>
    <w:p w14:paraId="7A18C5B8" w14:textId="77777777" w:rsidR="00CD798F" w:rsidRDefault="00CD798F" w:rsidP="00CD798F">
      <w:pPr>
        <w:pStyle w:val="005"/>
        <w:spacing w:before="120" w:after="120"/>
        <w:ind w:firstLine="480"/>
      </w:pPr>
      <w:r w:rsidRPr="00C820D0">
        <w:rPr>
          <w:rFonts w:hint="eastAsia"/>
        </w:rPr>
        <w:t>经过上述分析过程，本次评估测算中共有</w:t>
      </w:r>
      <w:r w:rsidRPr="00C820D0">
        <w:t>7</w:t>
      </w:r>
      <w:r w:rsidRPr="00C820D0">
        <w:rPr>
          <w:rFonts w:hint="eastAsia"/>
        </w:rPr>
        <w:t>家子公司在预测期内扭亏为盈或者持续盈利，故对该</w:t>
      </w:r>
      <w:r w:rsidRPr="00C820D0">
        <w:t>7</w:t>
      </w:r>
      <w:r w:rsidRPr="00C820D0">
        <w:rPr>
          <w:rFonts w:hint="eastAsia"/>
        </w:rPr>
        <w:t>家盈利主体的收入、成本、费用等均进行了测算，并进一步根据各年的应纳税所得额、当年适用的所得税率、优惠政策及可弥补亏损等数据，综合测算得出了各子公司的所得税</w:t>
      </w:r>
      <w:r>
        <w:rPr>
          <w:rFonts w:hint="eastAsia"/>
        </w:rPr>
        <w:t>。子公司相关的收入、成本、费用测算过程和预测逻辑与合并收益法保持一致，可参见“问题一”、“问题三”、“问题四”中披露的相关内容。</w:t>
      </w:r>
    </w:p>
    <w:p w14:paraId="23661729" w14:textId="77777777" w:rsidR="00CD798F" w:rsidRPr="00762CDB" w:rsidRDefault="00CD798F" w:rsidP="00CD798F">
      <w:pPr>
        <w:pStyle w:val="004"/>
        <w:spacing w:before="120" w:after="120"/>
        <w:ind w:firstLine="482"/>
      </w:pPr>
      <w:r>
        <w:rPr>
          <w:rFonts w:hint="eastAsia"/>
        </w:rPr>
        <w:t>2</w:t>
      </w:r>
      <w:r>
        <w:rPr>
          <w:rFonts w:hint="eastAsia"/>
        </w:rPr>
        <w:t>、</w:t>
      </w:r>
      <w:r w:rsidRPr="00762CDB">
        <w:rPr>
          <w:rFonts w:hint="eastAsia"/>
        </w:rPr>
        <w:t>评估测算使用的所得税税率、优惠政策是否符合相关法律法规的规定等，披露所得税费用的预测是否合理、准确</w:t>
      </w:r>
    </w:p>
    <w:p w14:paraId="1E93485A" w14:textId="77777777" w:rsidR="00CD798F" w:rsidRPr="00BC21BE" w:rsidRDefault="00CD798F" w:rsidP="00CD798F">
      <w:pPr>
        <w:pStyle w:val="004"/>
        <w:spacing w:before="120" w:after="120"/>
        <w:ind w:firstLine="482"/>
        <w:outlineLvl w:val="4"/>
      </w:pPr>
      <w:r w:rsidRPr="008210F5">
        <w:rPr>
          <w:rFonts w:hint="eastAsia"/>
        </w:rPr>
        <w:t>（</w:t>
      </w:r>
      <w:r w:rsidRPr="00BC21BE">
        <w:t>1</w:t>
      </w:r>
      <w:r w:rsidRPr="00BC21BE">
        <w:t>）</w:t>
      </w:r>
      <w:r w:rsidRPr="008210F5">
        <w:rPr>
          <w:rFonts w:hint="eastAsia"/>
        </w:rPr>
        <w:t>本次评估</w:t>
      </w:r>
      <w:r w:rsidRPr="00BC21BE">
        <w:t>基准日具体涉及的税率、优惠政策</w:t>
      </w:r>
    </w:p>
    <w:p w14:paraId="134B70FA" w14:textId="77777777" w:rsidR="00CD798F" w:rsidRPr="00C820D0" w:rsidRDefault="00CD798F" w:rsidP="00CD798F">
      <w:pPr>
        <w:pStyle w:val="005"/>
        <w:spacing w:before="120" w:after="120"/>
        <w:ind w:firstLine="480"/>
      </w:pPr>
      <w:r w:rsidRPr="00C820D0">
        <w:rPr>
          <w:rFonts w:hint="eastAsia"/>
        </w:rPr>
        <w:t>广州宝点于</w:t>
      </w:r>
      <w:r w:rsidRPr="00C820D0">
        <w:t>2022</w:t>
      </w:r>
      <w:r w:rsidRPr="00C820D0">
        <w:rPr>
          <w:rFonts w:hint="eastAsia"/>
        </w:rPr>
        <w:t>年</w:t>
      </w:r>
      <w:r w:rsidRPr="00C820D0">
        <w:t>12</w:t>
      </w:r>
      <w:r w:rsidRPr="00C820D0">
        <w:rPr>
          <w:rFonts w:hint="eastAsia"/>
        </w:rPr>
        <w:t>月</w:t>
      </w:r>
      <w:r w:rsidRPr="00C820D0">
        <w:t>22</w:t>
      </w:r>
      <w:r w:rsidRPr="00C820D0">
        <w:rPr>
          <w:rFonts w:hint="eastAsia"/>
        </w:rPr>
        <w:t>日取得广东省科学技术厅、广东省财政厅、国家税务总局广东省税务局联合下发的编号</w:t>
      </w:r>
      <w:r w:rsidRPr="00C820D0">
        <w:t>GR202244013440</w:t>
      </w:r>
      <w:r w:rsidRPr="00C820D0">
        <w:rPr>
          <w:rFonts w:hint="eastAsia"/>
        </w:rPr>
        <w:t>的高新技术企业证书，证书有效期为三年（</w:t>
      </w:r>
      <w:r w:rsidRPr="00C820D0">
        <w:t>2023—2025</w:t>
      </w:r>
      <w:r w:rsidRPr="00C820D0">
        <w:rPr>
          <w:rFonts w:hint="eastAsia"/>
        </w:rPr>
        <w:t>年）。根据企业所得税法第二十八条规定：“国家需要重点扶持的高新技术企业，减按</w:t>
      </w:r>
      <w:r w:rsidRPr="00C820D0">
        <w:t>15%</w:t>
      </w:r>
      <w:r w:rsidRPr="00C820D0">
        <w:rPr>
          <w:rFonts w:hint="eastAsia"/>
        </w:rPr>
        <w:t>的税率征收企业所得税”，</w:t>
      </w:r>
      <w:r w:rsidRPr="00C820D0">
        <w:t>2022</w:t>
      </w:r>
      <w:r w:rsidRPr="00C820D0">
        <w:rPr>
          <w:rFonts w:hint="eastAsia"/>
        </w:rPr>
        <w:t>年度至</w:t>
      </w:r>
      <w:r w:rsidRPr="00C820D0">
        <w:t>2025</w:t>
      </w:r>
      <w:r w:rsidRPr="00C820D0">
        <w:rPr>
          <w:rFonts w:hint="eastAsia"/>
        </w:rPr>
        <w:t>年度，广州宝点适用</w:t>
      </w:r>
      <w:r w:rsidRPr="00C820D0">
        <w:t>15%</w:t>
      </w:r>
      <w:r w:rsidRPr="00C820D0">
        <w:rPr>
          <w:rFonts w:hint="eastAsia"/>
        </w:rPr>
        <w:t>的企业所得税税率。</w:t>
      </w:r>
    </w:p>
    <w:p w14:paraId="5039D6D9" w14:textId="77777777" w:rsidR="00CD798F" w:rsidRPr="00C820D0" w:rsidRDefault="00CD798F" w:rsidP="00CD798F">
      <w:pPr>
        <w:pStyle w:val="005"/>
        <w:spacing w:before="120" w:after="120"/>
        <w:ind w:firstLine="480"/>
      </w:pPr>
      <w:r w:rsidRPr="00C820D0">
        <w:rPr>
          <w:rFonts w:hint="eastAsia"/>
        </w:rPr>
        <w:t>根据《财政部</w:t>
      </w:r>
      <w:r w:rsidRPr="00C820D0">
        <w:t xml:space="preserve"> </w:t>
      </w:r>
      <w:r w:rsidRPr="00C820D0">
        <w:rPr>
          <w:rFonts w:hint="eastAsia"/>
        </w:rPr>
        <w:t>国家税务总局关于软件产品增值税政策的通知》（财政部、国家税务总局公布的财税</w:t>
      </w:r>
      <w:r w:rsidRPr="00C820D0">
        <w:t>[2011]100</w:t>
      </w:r>
      <w:r w:rsidRPr="00C820D0">
        <w:rPr>
          <w:rFonts w:hint="eastAsia"/>
        </w:rPr>
        <w:t>号文），对增值税一般纳税人销售其自行开发生产的软件产品，按</w:t>
      </w:r>
      <w:r w:rsidRPr="00C820D0">
        <w:t>13%</w:t>
      </w:r>
      <w:r w:rsidRPr="00C820D0">
        <w:rPr>
          <w:rFonts w:hint="eastAsia"/>
        </w:rPr>
        <w:t>税率征收增值税后，对其增值税实际税负超过</w:t>
      </w:r>
      <w:r w:rsidRPr="00C820D0">
        <w:t>3%</w:t>
      </w:r>
      <w:r w:rsidRPr="00C820D0">
        <w:rPr>
          <w:rFonts w:hint="eastAsia"/>
        </w:rPr>
        <w:t>的部分实行即征即退政策。广州宝点享有此优惠政策。</w:t>
      </w:r>
    </w:p>
    <w:p w14:paraId="55F42D3B" w14:textId="77777777" w:rsidR="00CD798F" w:rsidRPr="00C820D0" w:rsidRDefault="00CD798F" w:rsidP="00CD798F">
      <w:pPr>
        <w:pStyle w:val="005"/>
        <w:spacing w:before="120" w:after="120"/>
        <w:ind w:firstLine="480"/>
      </w:pPr>
      <w:r w:rsidRPr="00C820D0">
        <w:rPr>
          <w:rFonts w:hint="eastAsia"/>
        </w:rPr>
        <w:t>根据《财政部</w:t>
      </w:r>
      <w:r w:rsidRPr="00C820D0">
        <w:t xml:space="preserve"> </w:t>
      </w:r>
      <w:r w:rsidRPr="00C820D0">
        <w:rPr>
          <w:rFonts w:hint="eastAsia"/>
        </w:rPr>
        <w:t>税务总局关于进一步支持小微企业和个体工商户发展有关税费政策</w:t>
      </w:r>
      <w:r w:rsidRPr="00C820D0">
        <w:rPr>
          <w:rFonts w:hint="eastAsia"/>
        </w:rPr>
        <w:lastRenderedPageBreak/>
        <w:t>的公告》（财政部税务总局公告</w:t>
      </w:r>
      <w:r w:rsidRPr="00C820D0">
        <w:t>2023</w:t>
      </w:r>
      <w:r w:rsidRPr="00C820D0">
        <w:rPr>
          <w:rFonts w:hint="eastAsia"/>
        </w:rPr>
        <w:t>年第</w:t>
      </w:r>
      <w:r w:rsidRPr="00C820D0">
        <w:t>12</w:t>
      </w:r>
      <w:r w:rsidRPr="00C820D0">
        <w:rPr>
          <w:rFonts w:hint="eastAsia"/>
        </w:rPr>
        <w:t>号），对小型微利企业减按</w:t>
      </w:r>
      <w:r w:rsidRPr="00C820D0">
        <w:t>25%</w:t>
      </w:r>
      <w:r w:rsidRPr="00C820D0">
        <w:rPr>
          <w:rFonts w:hint="eastAsia"/>
        </w:rPr>
        <w:t>计算应纳税所得额，按</w:t>
      </w:r>
      <w:r w:rsidRPr="00C820D0">
        <w:t>20%</w:t>
      </w:r>
      <w:r w:rsidRPr="00C820D0">
        <w:rPr>
          <w:rFonts w:hint="eastAsia"/>
        </w:rPr>
        <w:t>的税率缴纳企业所得税政策，同时“六税两费”（资源税、城市维护建设税、房产税、城镇土地使用税、印花税（不含税证券交易印花税）、耕地占用税和教育费附加、地方教育附加）减半征收，延续执行至</w:t>
      </w:r>
      <w:r w:rsidRPr="00C820D0">
        <w:t>2027</w:t>
      </w:r>
      <w:r w:rsidRPr="00C820D0">
        <w:rPr>
          <w:rFonts w:hint="eastAsia"/>
        </w:rPr>
        <w:t>年</w:t>
      </w:r>
      <w:r w:rsidRPr="00C820D0">
        <w:t>12</w:t>
      </w:r>
      <w:r w:rsidRPr="00C820D0">
        <w:rPr>
          <w:rFonts w:hint="eastAsia"/>
        </w:rPr>
        <w:t>月</w:t>
      </w:r>
      <w:r w:rsidRPr="00C820D0">
        <w:t>31</w:t>
      </w:r>
      <w:r w:rsidRPr="00C820D0">
        <w:rPr>
          <w:rFonts w:hint="eastAsia"/>
        </w:rPr>
        <w:t>日。除星云开物以及广州宝点外，其余均为小型微利企业，适用该小微企业税务优惠。</w:t>
      </w:r>
    </w:p>
    <w:p w14:paraId="13780794" w14:textId="77777777" w:rsidR="00CD798F" w:rsidRPr="00C820D0" w:rsidRDefault="00CD798F" w:rsidP="00CD798F">
      <w:pPr>
        <w:pStyle w:val="005"/>
        <w:spacing w:before="120" w:after="120"/>
        <w:ind w:firstLine="480"/>
      </w:pPr>
      <w:r w:rsidRPr="00C820D0">
        <w:rPr>
          <w:rFonts w:hint="eastAsia"/>
        </w:rPr>
        <w:t>根据《关于进一步完善研发费用税前加计扣除政策的公告》</w:t>
      </w:r>
      <w:r w:rsidRPr="00C820D0">
        <w:t>(</w:t>
      </w:r>
      <w:r w:rsidRPr="00C820D0">
        <w:rPr>
          <w:rFonts w:hint="eastAsia"/>
        </w:rPr>
        <w:t>财税</w:t>
      </w:r>
      <w:r w:rsidRPr="00C820D0">
        <w:t>(2023)7</w:t>
      </w:r>
      <w:r w:rsidRPr="00C820D0">
        <w:rPr>
          <w:rFonts w:hint="eastAsia"/>
        </w:rPr>
        <w:t>号</w:t>
      </w:r>
      <w:r w:rsidRPr="00C820D0">
        <w:t>)</w:t>
      </w:r>
      <w:r w:rsidRPr="00C820D0">
        <w:rPr>
          <w:rFonts w:hint="eastAsia"/>
        </w:rPr>
        <w:t>的相关规定</w:t>
      </w:r>
      <w:r w:rsidRPr="00C820D0">
        <w:t>:</w:t>
      </w:r>
      <w:r w:rsidRPr="00C820D0">
        <w:rPr>
          <w:rFonts w:hint="eastAsia"/>
        </w:rPr>
        <w:t>企业开展研发活动中实际发生的研发费用，未形成无形资产计入当期损益的，在按规定据实扣除的基础上，自</w:t>
      </w:r>
      <w:r w:rsidRPr="00C820D0">
        <w:t>2023</w:t>
      </w:r>
      <w:r w:rsidRPr="00C820D0">
        <w:rPr>
          <w:rFonts w:hint="eastAsia"/>
        </w:rPr>
        <w:t>年</w:t>
      </w:r>
      <w:r w:rsidRPr="00C820D0">
        <w:t>1</w:t>
      </w:r>
      <w:r w:rsidRPr="00C820D0">
        <w:rPr>
          <w:rFonts w:hint="eastAsia"/>
        </w:rPr>
        <w:t>月</w:t>
      </w:r>
      <w:r w:rsidRPr="00C820D0">
        <w:t>1</w:t>
      </w:r>
      <w:r w:rsidRPr="00C820D0">
        <w:rPr>
          <w:rFonts w:hint="eastAsia"/>
        </w:rPr>
        <w:t>日起，再按照实际发生额的</w:t>
      </w:r>
      <w:r w:rsidRPr="00C820D0">
        <w:t>100%</w:t>
      </w:r>
      <w:r w:rsidRPr="00C820D0">
        <w:rPr>
          <w:rFonts w:hint="eastAsia"/>
        </w:rPr>
        <w:t>在税前加计扣除</w:t>
      </w:r>
      <w:r w:rsidRPr="00C820D0">
        <w:t>;</w:t>
      </w:r>
      <w:r w:rsidRPr="00C820D0">
        <w:rPr>
          <w:rFonts w:hint="eastAsia"/>
        </w:rPr>
        <w:t>形成无形资产的，自</w:t>
      </w:r>
      <w:r w:rsidRPr="00C820D0">
        <w:t>2023</w:t>
      </w:r>
      <w:r w:rsidRPr="00C820D0">
        <w:rPr>
          <w:rFonts w:hint="eastAsia"/>
        </w:rPr>
        <w:t>年</w:t>
      </w:r>
      <w:r w:rsidRPr="00C820D0">
        <w:t>1</w:t>
      </w:r>
      <w:r w:rsidRPr="00C820D0">
        <w:rPr>
          <w:rFonts w:hint="eastAsia"/>
        </w:rPr>
        <w:t>月</w:t>
      </w:r>
      <w:r w:rsidRPr="00C820D0">
        <w:t>1</w:t>
      </w:r>
      <w:r w:rsidRPr="00C820D0">
        <w:rPr>
          <w:rFonts w:hint="eastAsia"/>
        </w:rPr>
        <w:t>日起，按照无形资产成本的</w:t>
      </w:r>
      <w:r w:rsidRPr="00C820D0">
        <w:t>200%</w:t>
      </w:r>
      <w:r w:rsidRPr="00C820D0">
        <w:rPr>
          <w:rFonts w:hint="eastAsia"/>
        </w:rPr>
        <w:t>在税前摊销。</w:t>
      </w:r>
      <w:r w:rsidRPr="00C820D0">
        <w:t>2023</w:t>
      </w:r>
      <w:r w:rsidRPr="00C820D0">
        <w:rPr>
          <w:rFonts w:hint="eastAsia"/>
        </w:rPr>
        <w:t>年、</w:t>
      </w:r>
      <w:r w:rsidRPr="00C820D0">
        <w:t>2024</w:t>
      </w:r>
      <w:r w:rsidRPr="00C820D0">
        <w:rPr>
          <w:rFonts w:hint="eastAsia"/>
        </w:rPr>
        <w:t>年、</w:t>
      </w:r>
      <w:r w:rsidRPr="00C820D0">
        <w:t>2025</w:t>
      </w:r>
      <w:r w:rsidRPr="00C820D0">
        <w:rPr>
          <w:rFonts w:hint="eastAsia"/>
        </w:rPr>
        <w:t>年</w:t>
      </w:r>
      <w:r w:rsidRPr="00C820D0">
        <w:t>1-6</w:t>
      </w:r>
      <w:r w:rsidRPr="00C820D0">
        <w:rPr>
          <w:rFonts w:hint="eastAsia"/>
        </w:rPr>
        <w:t>月母公司广东星云开物科技股份有限公司、子公司广州宝点数字化科技有限公司、广州科蝶信息科技有限公司、广州亦强科技有限公司、广州易普乐信息科技有限公司、杭州东晙信息技术有限公司、广州乐爽信息科技有限公司符合相关条件，研发费用税前加计扣除比例为</w:t>
      </w:r>
      <w:r w:rsidRPr="00C820D0">
        <w:t>100%</w:t>
      </w:r>
      <w:r w:rsidRPr="00C820D0">
        <w:rPr>
          <w:rFonts w:hint="eastAsia"/>
        </w:rPr>
        <w:t>。</w:t>
      </w:r>
    </w:p>
    <w:p w14:paraId="7EC775C1" w14:textId="77777777" w:rsidR="00CD798F" w:rsidRPr="008210F5" w:rsidRDefault="00CD798F" w:rsidP="00CD798F">
      <w:pPr>
        <w:pStyle w:val="004"/>
        <w:spacing w:before="120" w:after="120"/>
        <w:ind w:firstLine="482"/>
        <w:outlineLvl w:val="4"/>
      </w:pPr>
      <w:r w:rsidRPr="008210F5">
        <w:rPr>
          <w:rFonts w:hint="eastAsia"/>
        </w:rPr>
        <w:t>（</w:t>
      </w:r>
      <w:r w:rsidRPr="00BC21BE">
        <w:rPr>
          <w:rFonts w:hint="eastAsia"/>
        </w:rPr>
        <w:t>2</w:t>
      </w:r>
      <w:r w:rsidRPr="00BC21BE">
        <w:rPr>
          <w:rFonts w:hint="eastAsia"/>
        </w:rPr>
        <w:t>）</w:t>
      </w:r>
      <w:r w:rsidRPr="008210F5">
        <w:rPr>
          <w:rFonts w:hint="eastAsia"/>
        </w:rPr>
        <w:t>可弥补亏损对于预测期所得税的影响</w:t>
      </w:r>
    </w:p>
    <w:p w14:paraId="44FD67C5" w14:textId="77777777" w:rsidR="00CD798F" w:rsidRPr="00C820D0" w:rsidRDefault="00CD798F" w:rsidP="00CD798F">
      <w:pPr>
        <w:pStyle w:val="005"/>
        <w:spacing w:before="120" w:after="120"/>
        <w:ind w:firstLine="480"/>
      </w:pPr>
      <w:r w:rsidRPr="00C820D0">
        <w:rPr>
          <w:rFonts w:hint="eastAsia"/>
        </w:rPr>
        <w:t>除此以外，根据《中华人民共和国企业所得税法》第二章第十八条之规定“企业纳税年度发生的亏损，准予向以后年度结转，用以后年度的所得弥补，但结转年限最长不得超过五年。”，根据《财政部</w:t>
      </w:r>
      <w:r w:rsidRPr="00C820D0">
        <w:t xml:space="preserve"> </w:t>
      </w:r>
      <w:r w:rsidRPr="00C820D0">
        <w:rPr>
          <w:rFonts w:hint="eastAsia"/>
        </w:rPr>
        <w:t>税务总局关于延长高新技术企业和科技型中小企业亏损结转年限的通知》（财税〔</w:t>
      </w:r>
      <w:r w:rsidRPr="00C820D0">
        <w:t>2018</w:t>
      </w:r>
      <w:r w:rsidRPr="00C820D0">
        <w:rPr>
          <w:rFonts w:hint="eastAsia"/>
        </w:rPr>
        <w:t>〕</w:t>
      </w:r>
      <w:r w:rsidRPr="00C820D0">
        <w:t>76</w:t>
      </w:r>
      <w:r w:rsidRPr="00C820D0">
        <w:rPr>
          <w:rFonts w:hint="eastAsia"/>
        </w:rPr>
        <w:t>号）“自</w:t>
      </w:r>
      <w:r w:rsidRPr="00C820D0">
        <w:t>2018</w:t>
      </w:r>
      <w:r w:rsidRPr="00C820D0">
        <w:rPr>
          <w:rFonts w:hint="eastAsia"/>
        </w:rPr>
        <w:t>年</w:t>
      </w:r>
      <w:r w:rsidRPr="00C820D0">
        <w:t>1</w:t>
      </w:r>
      <w:r w:rsidRPr="00C820D0">
        <w:rPr>
          <w:rFonts w:hint="eastAsia"/>
        </w:rPr>
        <w:t>月</w:t>
      </w:r>
      <w:r w:rsidRPr="00C820D0">
        <w:t>1</w:t>
      </w:r>
      <w:r w:rsidRPr="00C820D0">
        <w:rPr>
          <w:rFonts w:hint="eastAsia"/>
        </w:rPr>
        <w:t>日起，当年具备高新技术企业或科技型中小企业资格（以下统称资格）的企业，其具备资格年度之前</w:t>
      </w:r>
      <w:r w:rsidRPr="00C820D0">
        <w:t>5</w:t>
      </w:r>
      <w:r w:rsidRPr="00C820D0">
        <w:rPr>
          <w:rFonts w:hint="eastAsia"/>
        </w:rPr>
        <w:t>个年度发生的尚未弥补完的亏损，准予结转以后年度弥补，最长结转年限由</w:t>
      </w:r>
      <w:r w:rsidRPr="00C820D0">
        <w:t>5</w:t>
      </w:r>
      <w:r w:rsidRPr="00C820D0">
        <w:rPr>
          <w:rFonts w:hint="eastAsia"/>
        </w:rPr>
        <w:t>年延长至</w:t>
      </w:r>
      <w:r w:rsidRPr="00C820D0">
        <w:t>10</w:t>
      </w:r>
      <w:r w:rsidRPr="00C820D0">
        <w:rPr>
          <w:rFonts w:hint="eastAsia"/>
        </w:rPr>
        <w:t>年。”广州宝点存在历史年度可弥补亏损，本次对于符合上述条件的高新技术企业按</w:t>
      </w:r>
      <w:r w:rsidRPr="00C820D0">
        <w:t>10</w:t>
      </w:r>
      <w:r w:rsidRPr="00C820D0">
        <w:rPr>
          <w:rFonts w:hint="eastAsia"/>
        </w:rPr>
        <w:t>年考虑可弥补亏损对于预测期所得税的影响；对于不具备高新技术企业的其他子公司按</w:t>
      </w:r>
      <w:r w:rsidRPr="00C820D0">
        <w:t>5</w:t>
      </w:r>
      <w:r w:rsidRPr="00C820D0">
        <w:rPr>
          <w:rFonts w:hint="eastAsia"/>
        </w:rPr>
        <w:t>年考虑可弥补亏损对于预测期所得税的影响。</w:t>
      </w:r>
    </w:p>
    <w:p w14:paraId="4882D7BE" w14:textId="77777777" w:rsidR="00CD798F" w:rsidRPr="00C820D0" w:rsidRDefault="00CD798F" w:rsidP="00CD798F">
      <w:pPr>
        <w:pStyle w:val="005"/>
        <w:spacing w:before="120" w:after="120"/>
        <w:ind w:firstLine="480"/>
      </w:pPr>
      <w:r w:rsidRPr="00C820D0">
        <w:rPr>
          <w:rFonts w:hint="eastAsia"/>
        </w:rPr>
        <w:t>同时，对于预测期内业绩转好的子公司，根据其应纳税所得额结合《财政部</w:t>
      </w:r>
      <w:r w:rsidRPr="00C820D0">
        <w:t xml:space="preserve"> </w:t>
      </w:r>
      <w:r w:rsidRPr="00C820D0">
        <w:rPr>
          <w:rFonts w:hint="eastAsia"/>
        </w:rPr>
        <w:t>税务总局关于进一步支持小微企业和个体工商户发展有关税费政策的公告》政策有效期以</w:t>
      </w:r>
      <w:r w:rsidRPr="00C820D0">
        <w:rPr>
          <w:rFonts w:hint="eastAsia"/>
        </w:rPr>
        <w:lastRenderedPageBreak/>
        <w:t>及该公告中对于小微企业的定义，综合判断子公司在预测期内的所得税税率。</w:t>
      </w:r>
    </w:p>
    <w:p w14:paraId="5E9B726E" w14:textId="77777777" w:rsidR="00CD798F" w:rsidRPr="00BC21BE" w:rsidRDefault="00CD798F" w:rsidP="00CD798F">
      <w:pPr>
        <w:pStyle w:val="004"/>
        <w:spacing w:before="120" w:after="120"/>
        <w:ind w:firstLine="482"/>
        <w:outlineLvl w:val="4"/>
      </w:pPr>
      <w:r w:rsidRPr="008210F5">
        <w:rPr>
          <w:rFonts w:hint="eastAsia"/>
        </w:rPr>
        <w:t>（</w:t>
      </w:r>
      <w:r w:rsidRPr="008210F5">
        <w:t>3</w:t>
      </w:r>
      <w:r w:rsidRPr="008210F5">
        <w:rPr>
          <w:rFonts w:hint="eastAsia"/>
        </w:rPr>
        <w:t>）高新技术企业优惠税率</w:t>
      </w:r>
    </w:p>
    <w:p w14:paraId="0C81E112" w14:textId="77777777" w:rsidR="00CD798F" w:rsidRPr="00C820D0" w:rsidRDefault="00CD798F" w:rsidP="00CD798F">
      <w:pPr>
        <w:pStyle w:val="005"/>
        <w:spacing w:before="120" w:after="120"/>
        <w:ind w:firstLine="480"/>
      </w:pPr>
      <w:r w:rsidRPr="00C820D0">
        <w:rPr>
          <w:rFonts w:hint="eastAsia"/>
        </w:rPr>
        <w:t>对于具备高新技术企业资质的公司，假设现行高新技术企业认定的相关法规政策未来无重大变化，评估师对企业目前的主营业务构成类型、研发人员构成、未来研发投入占主营收入比例等指标分析后，基于对未来的合理推断，假设被评估单位未来具备持续获得高新技术企业认定的条件，能够持续享受所得税优惠政策。截止本回复日，星云开物及广州宝点均已通过新一轮</w:t>
      </w:r>
      <w:r w:rsidRPr="00C820D0">
        <w:rPr>
          <w:rFonts w:hint="eastAsia"/>
        </w:rPr>
        <w:t>3</w:t>
      </w:r>
      <w:r w:rsidRPr="00C820D0">
        <w:rPr>
          <w:rFonts w:hint="eastAsia"/>
        </w:rPr>
        <w:t>年的高新技术企业资质审核，已确认高新技术企业资质可以延续。故本次对上述公司的所得税预测持续采用高新技术企业的</w:t>
      </w:r>
      <w:r w:rsidRPr="00C820D0">
        <w:t>15%</w:t>
      </w:r>
      <w:r w:rsidRPr="00C820D0">
        <w:rPr>
          <w:rFonts w:hint="eastAsia"/>
        </w:rPr>
        <w:t>优惠税率，具备合理性和谨慎性。</w:t>
      </w:r>
    </w:p>
    <w:p w14:paraId="6DA433B9" w14:textId="77777777" w:rsidR="00CD798F" w:rsidRPr="00C820D0" w:rsidRDefault="00CD798F" w:rsidP="00CD798F">
      <w:pPr>
        <w:pStyle w:val="005"/>
        <w:spacing w:before="120" w:after="120"/>
        <w:ind w:firstLine="480"/>
      </w:pPr>
      <w:r w:rsidRPr="00C820D0">
        <w:rPr>
          <w:rFonts w:hint="eastAsia"/>
        </w:rPr>
        <w:t>综上，本次子公司所得税费用的预测充分考虑了各个子公司执行的税率、优惠政策、政策有效期间等因素的影响，具备合理性。</w:t>
      </w:r>
    </w:p>
    <w:p w14:paraId="4F612549" w14:textId="77777777" w:rsidR="00CD798F" w:rsidRPr="00C820D0" w:rsidRDefault="00CD798F" w:rsidP="00CD798F">
      <w:pPr>
        <w:pStyle w:val="005"/>
        <w:spacing w:before="120" w:after="120"/>
        <w:ind w:firstLine="480"/>
      </w:pPr>
      <w:r w:rsidRPr="00C820D0">
        <w:rPr>
          <w:rFonts w:hint="eastAsia"/>
        </w:rPr>
        <w:t>上述内容已在《重组报告书》“第六节</w:t>
      </w:r>
      <w:r w:rsidRPr="00C820D0">
        <w:t xml:space="preserve"> </w:t>
      </w:r>
      <w:r w:rsidRPr="00C820D0">
        <w:rPr>
          <w:rFonts w:hint="eastAsia"/>
        </w:rPr>
        <w:t>交易标的评估情况”之“二、标的公司评估基本情况”之“（三）收益法的评估情况及分析”之“</w:t>
      </w:r>
      <w:r w:rsidRPr="00C820D0">
        <w:t>4</w:t>
      </w:r>
      <w:r w:rsidRPr="00C820D0">
        <w:rPr>
          <w:rFonts w:hint="eastAsia"/>
        </w:rPr>
        <w:t>、未来收益预测”补充披露。</w:t>
      </w:r>
    </w:p>
    <w:p w14:paraId="5CE03CB5" w14:textId="77777777" w:rsidR="00CD798F" w:rsidRDefault="00CD798F" w:rsidP="00CD798F">
      <w:pPr>
        <w:pStyle w:val="002"/>
        <w:spacing w:before="120" w:after="120"/>
        <w:ind w:firstLine="482"/>
      </w:pPr>
      <w:r>
        <w:rPr>
          <w:rFonts w:hint="eastAsia"/>
        </w:rPr>
        <w:t>六</w:t>
      </w:r>
      <w:r>
        <w:t>、</w:t>
      </w:r>
      <w:r w:rsidRPr="007B3D9D">
        <w:rPr>
          <w:rFonts w:hint="eastAsia"/>
        </w:rPr>
        <w:t>补充披露预测期内标的资产折旧与摊销、资本性支出、营运资金、溢余资产的具体测算过程及测算依据，折旧与摊销、资本性支出金额呈下降趋势的合理性，营运资本增加额均为负值的合理性，与预测销售规模是否匹配</w:t>
      </w:r>
    </w:p>
    <w:p w14:paraId="2185C7C5" w14:textId="77777777" w:rsidR="00CD798F" w:rsidRDefault="00CD798F" w:rsidP="00CD798F">
      <w:pPr>
        <w:pStyle w:val="003"/>
        <w:spacing w:before="120" w:after="120"/>
        <w:ind w:firstLine="482"/>
      </w:pPr>
      <w:r w:rsidRPr="001173A7">
        <w:rPr>
          <w:rFonts w:hint="eastAsia"/>
        </w:rPr>
        <w:t>（一）</w:t>
      </w:r>
      <w:r w:rsidRPr="00F702E2">
        <w:rPr>
          <w:rFonts w:hint="eastAsia"/>
        </w:rPr>
        <w:t>补充披露预测期内标的资产折旧与摊销、资本性支出、营运资金、溢余资产的具体测算过程及测算依据</w:t>
      </w:r>
    </w:p>
    <w:p w14:paraId="244D8624" w14:textId="77777777" w:rsidR="00CD798F" w:rsidRDefault="00CD798F" w:rsidP="00CD798F">
      <w:pPr>
        <w:pStyle w:val="005"/>
        <w:spacing w:before="120" w:after="120"/>
        <w:ind w:firstLine="480"/>
      </w:pPr>
      <w:r w:rsidRPr="00377B2D">
        <w:rPr>
          <w:rFonts w:hint="eastAsia"/>
        </w:rPr>
        <w:t>预测期内，标的资产折旧摊销及资本性支出预测情况如下：</w:t>
      </w:r>
    </w:p>
    <w:p w14:paraId="4D1FE80C" w14:textId="77777777" w:rsidR="00CD798F" w:rsidRPr="00F25CA7" w:rsidRDefault="00CD798F" w:rsidP="00CD798F">
      <w:pPr>
        <w:pStyle w:val="004"/>
        <w:spacing w:before="120" w:after="120"/>
        <w:ind w:firstLine="482"/>
      </w:pPr>
      <w:r>
        <w:rPr>
          <w:rFonts w:hint="eastAsia"/>
        </w:rPr>
        <w:t>1</w:t>
      </w:r>
      <w:r>
        <w:rPr>
          <w:rFonts w:hint="eastAsia"/>
        </w:rPr>
        <w:t>、</w:t>
      </w:r>
      <w:r w:rsidRPr="00F25CA7">
        <w:rPr>
          <w:rFonts w:hint="eastAsia"/>
        </w:rPr>
        <w:t>折旧摊销及资本性支出</w:t>
      </w:r>
    </w:p>
    <w:p w14:paraId="5C15ED73" w14:textId="77777777" w:rsidR="00CD798F" w:rsidRPr="00762CDB" w:rsidRDefault="00CD798F" w:rsidP="00CD798F">
      <w:pPr>
        <w:pStyle w:val="004"/>
        <w:spacing w:before="120" w:after="120"/>
        <w:ind w:firstLine="482"/>
        <w:outlineLvl w:val="4"/>
      </w:pPr>
      <w:r>
        <w:rPr>
          <w:rFonts w:hint="eastAsia"/>
        </w:rPr>
        <w:t>（</w:t>
      </w:r>
      <w:r>
        <w:rPr>
          <w:rFonts w:hint="eastAsia"/>
        </w:rPr>
        <w:t>1</w:t>
      </w:r>
      <w:r>
        <w:rPr>
          <w:rFonts w:hint="eastAsia"/>
        </w:rPr>
        <w:t>）</w:t>
      </w:r>
      <w:r w:rsidRPr="00377B2D">
        <w:rPr>
          <w:rFonts w:hint="eastAsia"/>
        </w:rPr>
        <w:t>固定资产</w:t>
      </w:r>
    </w:p>
    <w:p w14:paraId="50432D7E" w14:textId="77777777" w:rsidR="00CD798F" w:rsidRPr="00C820D0" w:rsidRDefault="00CD798F" w:rsidP="00CD798F">
      <w:pPr>
        <w:pStyle w:val="005"/>
        <w:spacing w:before="120" w:after="120"/>
        <w:ind w:firstLine="480"/>
      </w:pPr>
      <w:r w:rsidRPr="00C820D0">
        <w:rPr>
          <w:rFonts w:hint="eastAsia"/>
        </w:rPr>
        <w:t>1</w:t>
      </w:r>
      <w:r w:rsidRPr="00C820D0">
        <w:rPr>
          <w:rFonts w:hint="eastAsia"/>
        </w:rPr>
        <w:t>）固定资产折旧</w:t>
      </w:r>
    </w:p>
    <w:p w14:paraId="3C351703"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固定资产账面原值合计1,557.25万元，根据审计报告显示，固定资产整体折旧年</w:t>
      </w:r>
      <w:r w:rsidRPr="00C820D0">
        <w:rPr>
          <w:rFonts w:ascii="宋体" w:hAnsi="宋体" w:hint="eastAsia"/>
        </w:rPr>
        <w:lastRenderedPageBreak/>
        <w:t>限在5-10年，本次评估按5年测算各年的折旧金额。预测期固定资产折旧金额如下：</w:t>
      </w:r>
    </w:p>
    <w:p w14:paraId="5BC09891" w14:textId="77777777" w:rsidR="00CD798F" w:rsidRPr="00C820D0" w:rsidRDefault="00CD798F" w:rsidP="00CD798F">
      <w:pPr>
        <w:keepNext/>
        <w:jc w:val="right"/>
        <w:rPr>
          <w:rFonts w:ascii="宋体" w:hAnsi="宋体" w:hint="eastAsia"/>
        </w:rPr>
      </w:pPr>
      <w:r w:rsidRPr="00C820D0">
        <w:rPr>
          <w:rFonts w:ascii="宋体" w:hAnsi="宋体"/>
        </w:rPr>
        <w:t>单位：万元</w:t>
      </w:r>
    </w:p>
    <w:tbl>
      <w:tblPr>
        <w:tblW w:w="5111"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585"/>
        <w:gridCol w:w="974"/>
        <w:gridCol w:w="951"/>
        <w:gridCol w:w="951"/>
        <w:gridCol w:w="951"/>
        <w:gridCol w:w="1525"/>
      </w:tblGrid>
      <w:tr w:rsidR="00CD798F" w:rsidRPr="00316E63" w14:paraId="64B1A4D8" w14:textId="77777777" w:rsidTr="00214723">
        <w:trPr>
          <w:cantSplit/>
          <w:trHeight w:val="454"/>
          <w:tblHeader/>
          <w:jc w:val="center"/>
        </w:trPr>
        <w:tc>
          <w:tcPr>
            <w:tcW w:w="1212" w:type="pct"/>
            <w:noWrap/>
            <w:vAlign w:val="center"/>
            <w:hideMark/>
          </w:tcPr>
          <w:p w14:paraId="06A9E1A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科目</w:t>
            </w:r>
          </w:p>
        </w:tc>
        <w:tc>
          <w:tcPr>
            <w:tcW w:w="843" w:type="pct"/>
            <w:noWrap/>
            <w:vAlign w:val="center"/>
            <w:hideMark/>
          </w:tcPr>
          <w:p w14:paraId="3E42512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7-12</w:t>
            </w:r>
            <w:r w:rsidRPr="00E72DA1">
              <w:rPr>
                <w:rFonts w:ascii="Times New Roman" w:hAnsi="Times New Roman" w:hint="eastAsia"/>
                <w:b/>
                <w:color w:val="000000"/>
                <w:szCs w:val="21"/>
              </w:rPr>
              <w:t>月</w:t>
            </w:r>
          </w:p>
        </w:tc>
        <w:tc>
          <w:tcPr>
            <w:tcW w:w="616" w:type="pct"/>
            <w:noWrap/>
            <w:vAlign w:val="center"/>
            <w:hideMark/>
          </w:tcPr>
          <w:p w14:paraId="113039A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507" w:type="pct"/>
            <w:noWrap/>
            <w:vAlign w:val="center"/>
            <w:hideMark/>
          </w:tcPr>
          <w:p w14:paraId="0221B35D"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507" w:type="pct"/>
            <w:noWrap/>
            <w:vAlign w:val="center"/>
            <w:hideMark/>
          </w:tcPr>
          <w:p w14:paraId="61EAA085"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507" w:type="pct"/>
            <w:noWrap/>
            <w:vAlign w:val="center"/>
            <w:hideMark/>
          </w:tcPr>
          <w:p w14:paraId="011CEED5"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c>
          <w:tcPr>
            <w:tcW w:w="808" w:type="pct"/>
            <w:noWrap/>
            <w:vAlign w:val="center"/>
            <w:hideMark/>
          </w:tcPr>
          <w:p w14:paraId="4E0303B2"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2030</w:t>
            </w:r>
            <w:r w:rsidRPr="00E72DA1">
              <w:rPr>
                <w:rFonts w:ascii="Times New Roman" w:hAnsi="Times New Roman" w:hint="eastAsia"/>
                <w:b/>
                <w:color w:val="000000"/>
                <w:szCs w:val="21"/>
              </w:rPr>
              <w:t>年及以后</w:t>
            </w:r>
          </w:p>
        </w:tc>
      </w:tr>
      <w:tr w:rsidR="00CD798F" w:rsidRPr="00316E63" w14:paraId="2F6B0771" w14:textId="77777777" w:rsidTr="00214723">
        <w:trPr>
          <w:cantSplit/>
          <w:trHeight w:val="454"/>
          <w:jc w:val="center"/>
        </w:trPr>
        <w:tc>
          <w:tcPr>
            <w:tcW w:w="1212" w:type="pct"/>
            <w:noWrap/>
            <w:vAlign w:val="center"/>
            <w:hideMark/>
          </w:tcPr>
          <w:p w14:paraId="0E0DEE54"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固定资产账面原值合计</w:t>
            </w:r>
          </w:p>
        </w:tc>
        <w:tc>
          <w:tcPr>
            <w:tcW w:w="843" w:type="pct"/>
            <w:noWrap/>
            <w:vAlign w:val="center"/>
            <w:hideMark/>
          </w:tcPr>
          <w:p w14:paraId="477CC9A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1,557.25</w:t>
            </w:r>
          </w:p>
        </w:tc>
        <w:tc>
          <w:tcPr>
            <w:tcW w:w="616" w:type="pct"/>
            <w:noWrap/>
            <w:vAlign w:val="center"/>
            <w:hideMark/>
          </w:tcPr>
          <w:p w14:paraId="1951144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1,657.25</w:t>
            </w:r>
          </w:p>
        </w:tc>
        <w:tc>
          <w:tcPr>
            <w:tcW w:w="507" w:type="pct"/>
            <w:noWrap/>
            <w:vAlign w:val="center"/>
            <w:hideMark/>
          </w:tcPr>
          <w:p w14:paraId="56832D3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1,757.25</w:t>
            </w:r>
          </w:p>
        </w:tc>
        <w:tc>
          <w:tcPr>
            <w:tcW w:w="507" w:type="pct"/>
            <w:noWrap/>
            <w:vAlign w:val="center"/>
            <w:hideMark/>
          </w:tcPr>
          <w:p w14:paraId="0169D5B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1,757.25</w:t>
            </w:r>
          </w:p>
        </w:tc>
        <w:tc>
          <w:tcPr>
            <w:tcW w:w="507" w:type="pct"/>
            <w:noWrap/>
            <w:vAlign w:val="center"/>
            <w:hideMark/>
          </w:tcPr>
          <w:p w14:paraId="5438C5A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1,757.25</w:t>
            </w:r>
          </w:p>
        </w:tc>
        <w:tc>
          <w:tcPr>
            <w:tcW w:w="808" w:type="pct"/>
            <w:noWrap/>
            <w:vAlign w:val="center"/>
            <w:hideMark/>
          </w:tcPr>
          <w:p w14:paraId="2103F21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1,757.25</w:t>
            </w:r>
          </w:p>
        </w:tc>
      </w:tr>
      <w:tr w:rsidR="00CD798F" w:rsidRPr="00316E63" w14:paraId="3C70383A" w14:textId="77777777" w:rsidTr="00214723">
        <w:trPr>
          <w:cantSplit/>
          <w:trHeight w:val="454"/>
          <w:jc w:val="center"/>
        </w:trPr>
        <w:tc>
          <w:tcPr>
            <w:tcW w:w="1212" w:type="pct"/>
            <w:noWrap/>
            <w:vAlign w:val="center"/>
            <w:hideMark/>
          </w:tcPr>
          <w:p w14:paraId="38093E89"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折旧年限（年）</w:t>
            </w:r>
          </w:p>
        </w:tc>
        <w:tc>
          <w:tcPr>
            <w:tcW w:w="843" w:type="pct"/>
            <w:noWrap/>
            <w:vAlign w:val="center"/>
            <w:hideMark/>
          </w:tcPr>
          <w:p w14:paraId="55B0E85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p>
        </w:tc>
        <w:tc>
          <w:tcPr>
            <w:tcW w:w="616" w:type="pct"/>
            <w:noWrap/>
            <w:vAlign w:val="center"/>
            <w:hideMark/>
          </w:tcPr>
          <w:p w14:paraId="7ECEDC0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p>
        </w:tc>
        <w:tc>
          <w:tcPr>
            <w:tcW w:w="507" w:type="pct"/>
            <w:noWrap/>
            <w:vAlign w:val="center"/>
            <w:hideMark/>
          </w:tcPr>
          <w:p w14:paraId="60DCB54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p>
        </w:tc>
        <w:tc>
          <w:tcPr>
            <w:tcW w:w="507" w:type="pct"/>
            <w:noWrap/>
            <w:vAlign w:val="center"/>
            <w:hideMark/>
          </w:tcPr>
          <w:p w14:paraId="0E22C3C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p>
        </w:tc>
        <w:tc>
          <w:tcPr>
            <w:tcW w:w="507" w:type="pct"/>
            <w:noWrap/>
            <w:vAlign w:val="center"/>
            <w:hideMark/>
          </w:tcPr>
          <w:p w14:paraId="66BC729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p>
        </w:tc>
        <w:tc>
          <w:tcPr>
            <w:tcW w:w="808" w:type="pct"/>
            <w:noWrap/>
            <w:vAlign w:val="center"/>
            <w:hideMark/>
          </w:tcPr>
          <w:p w14:paraId="6685F76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p>
        </w:tc>
      </w:tr>
      <w:tr w:rsidR="00CD798F" w:rsidRPr="00316E63" w14:paraId="2187D672" w14:textId="77777777" w:rsidTr="00214723">
        <w:trPr>
          <w:cantSplit/>
          <w:trHeight w:val="454"/>
          <w:jc w:val="center"/>
        </w:trPr>
        <w:tc>
          <w:tcPr>
            <w:tcW w:w="1212" w:type="pct"/>
            <w:noWrap/>
            <w:vAlign w:val="center"/>
            <w:hideMark/>
          </w:tcPr>
          <w:p w14:paraId="3829E9CE" w14:textId="77777777" w:rsidR="00CD798F" w:rsidRPr="00E72DA1" w:rsidRDefault="00CD798F" w:rsidP="00214723">
            <w:pPr>
              <w:rPr>
                <w:rFonts w:ascii="Times New Roman" w:hAnsi="Times New Roman"/>
                <w:b/>
                <w:bCs/>
                <w:color w:val="000000"/>
                <w:szCs w:val="21"/>
              </w:rPr>
            </w:pPr>
            <w:r w:rsidRPr="00E72DA1">
              <w:rPr>
                <w:rFonts w:ascii="Times New Roman" w:hAnsi="Times New Roman" w:hint="eastAsia"/>
                <w:b/>
                <w:bCs/>
                <w:color w:val="000000"/>
                <w:szCs w:val="21"/>
              </w:rPr>
              <w:t>固定资产当期折旧合计</w:t>
            </w:r>
          </w:p>
        </w:tc>
        <w:tc>
          <w:tcPr>
            <w:tcW w:w="843" w:type="pct"/>
            <w:noWrap/>
            <w:vAlign w:val="center"/>
            <w:hideMark/>
          </w:tcPr>
          <w:p w14:paraId="3AFB4A6B"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147.94</w:t>
            </w:r>
          </w:p>
        </w:tc>
        <w:tc>
          <w:tcPr>
            <w:tcW w:w="616" w:type="pct"/>
            <w:noWrap/>
            <w:vAlign w:val="center"/>
            <w:hideMark/>
          </w:tcPr>
          <w:p w14:paraId="5562C8C1"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314.87</w:t>
            </w:r>
          </w:p>
        </w:tc>
        <w:tc>
          <w:tcPr>
            <w:tcW w:w="507" w:type="pct"/>
            <w:noWrap/>
            <w:vAlign w:val="center"/>
            <w:hideMark/>
          </w:tcPr>
          <w:p w14:paraId="49BC84CE"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333.87</w:t>
            </w:r>
          </w:p>
        </w:tc>
        <w:tc>
          <w:tcPr>
            <w:tcW w:w="507" w:type="pct"/>
            <w:noWrap/>
            <w:vAlign w:val="center"/>
            <w:hideMark/>
          </w:tcPr>
          <w:p w14:paraId="603FB3DE"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333.87</w:t>
            </w:r>
          </w:p>
        </w:tc>
        <w:tc>
          <w:tcPr>
            <w:tcW w:w="507" w:type="pct"/>
            <w:noWrap/>
            <w:vAlign w:val="center"/>
            <w:hideMark/>
          </w:tcPr>
          <w:p w14:paraId="06E42E1C"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333.87</w:t>
            </w:r>
          </w:p>
        </w:tc>
        <w:tc>
          <w:tcPr>
            <w:tcW w:w="808" w:type="pct"/>
            <w:noWrap/>
            <w:vAlign w:val="center"/>
            <w:hideMark/>
          </w:tcPr>
          <w:p w14:paraId="7AC98F35"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333.87</w:t>
            </w:r>
          </w:p>
        </w:tc>
      </w:tr>
    </w:tbl>
    <w:p w14:paraId="733AA65B"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2）资本性支出</w:t>
      </w:r>
    </w:p>
    <w:p w14:paraId="2C0CF42F"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对于固定资产的资本性支出包括扩张资本性支出及更新资本性支出。</w:t>
      </w:r>
    </w:p>
    <w:p w14:paraId="0800841F"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扩张性资本支出主要为满足未来业务发展需求，标的公司预计将于2026年至2027年投入共计100万元，用于购置服务器、计算机等办公及经营所需设备。</w:t>
      </w:r>
    </w:p>
    <w:p w14:paraId="16D952F6"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更新性资本支出主要用于维持日常经营所需的设备更新。本次评估综合考虑了现有设备的成新率、前述新增设备的投入，在预测期内，标的公司以2025年7-12月及2026-2029年各年度折旧金额的50%作为该部分支出的估算基础。自2030年起进入永续期，更新性资本支出将按当年折旧金额的100%进行预测，以保障标的公司持续经营所需的设备更新与资产维护。</w:t>
      </w:r>
    </w:p>
    <w:p w14:paraId="2A505599"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固定资产资本性支出如下：</w:t>
      </w:r>
    </w:p>
    <w:p w14:paraId="66F0AB31" w14:textId="77777777" w:rsidR="00CD798F" w:rsidRPr="00E72E9B" w:rsidRDefault="00CD798F" w:rsidP="00CD798F">
      <w:pPr>
        <w:keepNext/>
        <w:jc w:val="right"/>
      </w:pPr>
      <w:r w:rsidRPr="004B1244">
        <w:t>单位：万元</w:t>
      </w:r>
    </w:p>
    <w:tbl>
      <w:tblPr>
        <w:tblW w:w="0" w:type="auto"/>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5"/>
        <w:gridCol w:w="1097"/>
        <w:gridCol w:w="1029"/>
        <w:gridCol w:w="992"/>
        <w:gridCol w:w="992"/>
        <w:gridCol w:w="993"/>
        <w:gridCol w:w="1190"/>
      </w:tblGrid>
      <w:tr w:rsidR="00CD798F" w:rsidRPr="00316E63" w14:paraId="607906DD" w14:textId="77777777" w:rsidTr="00214723">
        <w:trPr>
          <w:cantSplit/>
          <w:trHeight w:val="454"/>
          <w:tblHeader/>
          <w:jc w:val="center"/>
        </w:trPr>
        <w:tc>
          <w:tcPr>
            <w:tcW w:w="2235" w:type="dxa"/>
            <w:noWrap/>
            <w:vAlign w:val="center"/>
            <w:hideMark/>
          </w:tcPr>
          <w:p w14:paraId="39E4641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科目</w:t>
            </w:r>
          </w:p>
        </w:tc>
        <w:tc>
          <w:tcPr>
            <w:tcW w:w="1097" w:type="dxa"/>
            <w:noWrap/>
            <w:vAlign w:val="center"/>
            <w:hideMark/>
          </w:tcPr>
          <w:p w14:paraId="09E1D3A1"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7-12</w:t>
            </w:r>
            <w:r w:rsidRPr="00E72DA1">
              <w:rPr>
                <w:rFonts w:ascii="Times New Roman" w:hAnsi="Times New Roman" w:hint="eastAsia"/>
                <w:b/>
                <w:color w:val="000000"/>
                <w:szCs w:val="21"/>
              </w:rPr>
              <w:t>月</w:t>
            </w:r>
          </w:p>
        </w:tc>
        <w:tc>
          <w:tcPr>
            <w:tcW w:w="1029" w:type="dxa"/>
            <w:noWrap/>
            <w:vAlign w:val="center"/>
            <w:hideMark/>
          </w:tcPr>
          <w:p w14:paraId="37807D3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992" w:type="dxa"/>
            <w:noWrap/>
            <w:vAlign w:val="center"/>
            <w:hideMark/>
          </w:tcPr>
          <w:p w14:paraId="57506385"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992" w:type="dxa"/>
            <w:noWrap/>
            <w:vAlign w:val="center"/>
            <w:hideMark/>
          </w:tcPr>
          <w:p w14:paraId="4206DC87"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993" w:type="dxa"/>
            <w:noWrap/>
            <w:vAlign w:val="center"/>
            <w:hideMark/>
          </w:tcPr>
          <w:p w14:paraId="1C470083"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c>
          <w:tcPr>
            <w:tcW w:w="1190" w:type="dxa"/>
            <w:noWrap/>
            <w:vAlign w:val="center"/>
            <w:hideMark/>
          </w:tcPr>
          <w:p w14:paraId="6AEB506B"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2030</w:t>
            </w:r>
            <w:r w:rsidRPr="00E72DA1">
              <w:rPr>
                <w:rFonts w:ascii="Times New Roman" w:hAnsi="Times New Roman" w:hint="eastAsia"/>
                <w:b/>
                <w:color w:val="000000"/>
                <w:szCs w:val="21"/>
              </w:rPr>
              <w:t>年及以后</w:t>
            </w:r>
          </w:p>
        </w:tc>
      </w:tr>
      <w:tr w:rsidR="00CD798F" w:rsidRPr="00316E63" w14:paraId="2BC87081" w14:textId="77777777" w:rsidTr="00214723">
        <w:trPr>
          <w:cantSplit/>
          <w:trHeight w:val="454"/>
          <w:jc w:val="center"/>
        </w:trPr>
        <w:tc>
          <w:tcPr>
            <w:tcW w:w="2235" w:type="dxa"/>
            <w:noWrap/>
            <w:vAlign w:val="center"/>
            <w:hideMark/>
          </w:tcPr>
          <w:p w14:paraId="1E093F01"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设备类当期折旧</w:t>
            </w:r>
          </w:p>
        </w:tc>
        <w:tc>
          <w:tcPr>
            <w:tcW w:w="1097" w:type="dxa"/>
            <w:noWrap/>
            <w:vAlign w:val="center"/>
            <w:hideMark/>
          </w:tcPr>
          <w:p w14:paraId="63C2C05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147.94</w:t>
            </w:r>
          </w:p>
        </w:tc>
        <w:tc>
          <w:tcPr>
            <w:tcW w:w="1029" w:type="dxa"/>
            <w:noWrap/>
            <w:vAlign w:val="center"/>
            <w:hideMark/>
          </w:tcPr>
          <w:p w14:paraId="415A6FB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314.87</w:t>
            </w:r>
          </w:p>
        </w:tc>
        <w:tc>
          <w:tcPr>
            <w:tcW w:w="992" w:type="dxa"/>
            <w:noWrap/>
            <w:vAlign w:val="center"/>
            <w:hideMark/>
          </w:tcPr>
          <w:p w14:paraId="457BFD8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333.87</w:t>
            </w:r>
          </w:p>
        </w:tc>
        <w:tc>
          <w:tcPr>
            <w:tcW w:w="992" w:type="dxa"/>
            <w:noWrap/>
            <w:vAlign w:val="center"/>
            <w:hideMark/>
          </w:tcPr>
          <w:p w14:paraId="40BA9D5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333.87</w:t>
            </w:r>
          </w:p>
        </w:tc>
        <w:tc>
          <w:tcPr>
            <w:tcW w:w="993" w:type="dxa"/>
            <w:noWrap/>
            <w:vAlign w:val="center"/>
            <w:hideMark/>
          </w:tcPr>
          <w:p w14:paraId="5232859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333.87</w:t>
            </w:r>
          </w:p>
        </w:tc>
        <w:tc>
          <w:tcPr>
            <w:tcW w:w="1190" w:type="dxa"/>
            <w:noWrap/>
            <w:vAlign w:val="center"/>
            <w:hideMark/>
          </w:tcPr>
          <w:p w14:paraId="773AF4A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333.87</w:t>
            </w:r>
          </w:p>
        </w:tc>
      </w:tr>
      <w:tr w:rsidR="00CD798F" w:rsidRPr="00316E63" w14:paraId="0D421E3D" w14:textId="77777777" w:rsidTr="00214723">
        <w:trPr>
          <w:cantSplit/>
          <w:trHeight w:val="454"/>
          <w:jc w:val="center"/>
        </w:trPr>
        <w:tc>
          <w:tcPr>
            <w:tcW w:w="2235" w:type="dxa"/>
            <w:noWrap/>
            <w:vAlign w:val="center"/>
            <w:hideMark/>
          </w:tcPr>
          <w:p w14:paraId="4390C36E"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折旧资金用于更新性资本性支出的比例</w:t>
            </w:r>
          </w:p>
        </w:tc>
        <w:tc>
          <w:tcPr>
            <w:tcW w:w="1097" w:type="dxa"/>
            <w:noWrap/>
            <w:vAlign w:val="center"/>
            <w:hideMark/>
          </w:tcPr>
          <w:p w14:paraId="23A6202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50.0%</w:t>
            </w:r>
          </w:p>
        </w:tc>
        <w:tc>
          <w:tcPr>
            <w:tcW w:w="1029" w:type="dxa"/>
            <w:noWrap/>
            <w:vAlign w:val="center"/>
            <w:hideMark/>
          </w:tcPr>
          <w:p w14:paraId="372BBC00"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50.0%</w:t>
            </w:r>
          </w:p>
        </w:tc>
        <w:tc>
          <w:tcPr>
            <w:tcW w:w="992" w:type="dxa"/>
            <w:noWrap/>
            <w:vAlign w:val="center"/>
            <w:hideMark/>
          </w:tcPr>
          <w:p w14:paraId="23D82B50"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50.0%</w:t>
            </w:r>
          </w:p>
        </w:tc>
        <w:tc>
          <w:tcPr>
            <w:tcW w:w="992" w:type="dxa"/>
            <w:noWrap/>
            <w:vAlign w:val="center"/>
            <w:hideMark/>
          </w:tcPr>
          <w:p w14:paraId="3702515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50.0%</w:t>
            </w:r>
          </w:p>
        </w:tc>
        <w:tc>
          <w:tcPr>
            <w:tcW w:w="993" w:type="dxa"/>
            <w:noWrap/>
            <w:vAlign w:val="center"/>
            <w:hideMark/>
          </w:tcPr>
          <w:p w14:paraId="6EF72FB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50.0%</w:t>
            </w:r>
          </w:p>
        </w:tc>
        <w:tc>
          <w:tcPr>
            <w:tcW w:w="1190" w:type="dxa"/>
            <w:noWrap/>
            <w:vAlign w:val="center"/>
            <w:hideMark/>
          </w:tcPr>
          <w:p w14:paraId="1BEDCF9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w:t>
            </w:r>
          </w:p>
        </w:tc>
      </w:tr>
      <w:tr w:rsidR="00CD798F" w:rsidRPr="00316E63" w14:paraId="1447EE02" w14:textId="77777777" w:rsidTr="00214723">
        <w:trPr>
          <w:cantSplit/>
          <w:trHeight w:val="454"/>
          <w:jc w:val="center"/>
        </w:trPr>
        <w:tc>
          <w:tcPr>
            <w:tcW w:w="2235" w:type="dxa"/>
            <w:noWrap/>
            <w:vAlign w:val="center"/>
          </w:tcPr>
          <w:p w14:paraId="3C8ED517"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更新性资本性支出金额</w:t>
            </w:r>
          </w:p>
        </w:tc>
        <w:tc>
          <w:tcPr>
            <w:tcW w:w="1097" w:type="dxa"/>
            <w:noWrap/>
            <w:vAlign w:val="center"/>
          </w:tcPr>
          <w:p w14:paraId="4E919F6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73.97</w:t>
            </w:r>
          </w:p>
        </w:tc>
        <w:tc>
          <w:tcPr>
            <w:tcW w:w="1029" w:type="dxa"/>
            <w:noWrap/>
            <w:vAlign w:val="center"/>
          </w:tcPr>
          <w:p w14:paraId="439D40A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157.44</w:t>
            </w:r>
          </w:p>
        </w:tc>
        <w:tc>
          <w:tcPr>
            <w:tcW w:w="992" w:type="dxa"/>
            <w:noWrap/>
            <w:vAlign w:val="center"/>
          </w:tcPr>
          <w:p w14:paraId="02C5574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166.94</w:t>
            </w:r>
          </w:p>
        </w:tc>
        <w:tc>
          <w:tcPr>
            <w:tcW w:w="992" w:type="dxa"/>
            <w:noWrap/>
            <w:vAlign w:val="center"/>
          </w:tcPr>
          <w:p w14:paraId="67B10844"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166.94</w:t>
            </w:r>
          </w:p>
        </w:tc>
        <w:tc>
          <w:tcPr>
            <w:tcW w:w="993" w:type="dxa"/>
            <w:noWrap/>
            <w:vAlign w:val="center"/>
          </w:tcPr>
          <w:p w14:paraId="0D9706A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166.94</w:t>
            </w:r>
          </w:p>
        </w:tc>
        <w:tc>
          <w:tcPr>
            <w:tcW w:w="1190" w:type="dxa"/>
            <w:noWrap/>
            <w:vAlign w:val="center"/>
          </w:tcPr>
          <w:p w14:paraId="75E6048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333.87</w:t>
            </w:r>
          </w:p>
        </w:tc>
      </w:tr>
      <w:tr w:rsidR="00CD798F" w:rsidRPr="00316E63" w14:paraId="2846F1F7" w14:textId="77777777" w:rsidTr="00214723">
        <w:trPr>
          <w:cantSplit/>
          <w:trHeight w:val="454"/>
          <w:jc w:val="center"/>
        </w:trPr>
        <w:tc>
          <w:tcPr>
            <w:tcW w:w="2235" w:type="dxa"/>
            <w:noWrap/>
            <w:vAlign w:val="center"/>
            <w:hideMark/>
          </w:tcPr>
          <w:p w14:paraId="26828318"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扩张性资本性支出金额</w:t>
            </w:r>
          </w:p>
        </w:tc>
        <w:tc>
          <w:tcPr>
            <w:tcW w:w="1097" w:type="dxa"/>
            <w:noWrap/>
            <w:vAlign w:val="center"/>
            <w:hideMark/>
          </w:tcPr>
          <w:p w14:paraId="77EBE45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1029" w:type="dxa"/>
            <w:noWrap/>
            <w:vAlign w:val="center"/>
            <w:hideMark/>
          </w:tcPr>
          <w:p w14:paraId="2FA2E4E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100.00</w:t>
            </w:r>
          </w:p>
        </w:tc>
        <w:tc>
          <w:tcPr>
            <w:tcW w:w="992" w:type="dxa"/>
            <w:noWrap/>
            <w:vAlign w:val="center"/>
            <w:hideMark/>
          </w:tcPr>
          <w:p w14:paraId="17340D9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100.00</w:t>
            </w:r>
          </w:p>
        </w:tc>
        <w:tc>
          <w:tcPr>
            <w:tcW w:w="992" w:type="dxa"/>
            <w:noWrap/>
            <w:vAlign w:val="center"/>
            <w:hideMark/>
          </w:tcPr>
          <w:p w14:paraId="42F94E7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993" w:type="dxa"/>
            <w:noWrap/>
            <w:vAlign w:val="center"/>
            <w:hideMark/>
          </w:tcPr>
          <w:p w14:paraId="7144F0F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1190" w:type="dxa"/>
            <w:noWrap/>
            <w:vAlign w:val="center"/>
            <w:hideMark/>
          </w:tcPr>
          <w:p w14:paraId="7CDC3E1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r>
      <w:tr w:rsidR="00CD798F" w:rsidRPr="00316E63" w14:paraId="4A3D6D12" w14:textId="77777777" w:rsidTr="00214723">
        <w:trPr>
          <w:cantSplit/>
          <w:trHeight w:val="454"/>
          <w:jc w:val="center"/>
        </w:trPr>
        <w:tc>
          <w:tcPr>
            <w:tcW w:w="2235" w:type="dxa"/>
            <w:noWrap/>
            <w:vAlign w:val="center"/>
          </w:tcPr>
          <w:p w14:paraId="44BD6314" w14:textId="77777777" w:rsidR="00CD798F" w:rsidRPr="00E72DA1" w:rsidRDefault="00CD798F" w:rsidP="00214723">
            <w:pPr>
              <w:rPr>
                <w:rFonts w:ascii="Times New Roman" w:hAnsi="Times New Roman"/>
                <w:b/>
                <w:bCs/>
                <w:color w:val="000000"/>
                <w:szCs w:val="21"/>
              </w:rPr>
            </w:pPr>
            <w:r w:rsidRPr="00E72DA1">
              <w:rPr>
                <w:rFonts w:ascii="Times New Roman" w:hAnsi="Times New Roman" w:hint="eastAsia"/>
                <w:b/>
                <w:bCs/>
                <w:color w:val="000000"/>
                <w:szCs w:val="21"/>
              </w:rPr>
              <w:t>设备类资本性支出合计</w:t>
            </w:r>
          </w:p>
        </w:tc>
        <w:tc>
          <w:tcPr>
            <w:tcW w:w="1097" w:type="dxa"/>
            <w:noWrap/>
            <w:vAlign w:val="center"/>
          </w:tcPr>
          <w:p w14:paraId="308EC1A5"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73.97</w:t>
            </w:r>
          </w:p>
        </w:tc>
        <w:tc>
          <w:tcPr>
            <w:tcW w:w="1029" w:type="dxa"/>
            <w:noWrap/>
            <w:vAlign w:val="center"/>
          </w:tcPr>
          <w:p w14:paraId="6FA7A670"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257.44</w:t>
            </w:r>
          </w:p>
        </w:tc>
        <w:tc>
          <w:tcPr>
            <w:tcW w:w="992" w:type="dxa"/>
            <w:noWrap/>
            <w:vAlign w:val="center"/>
          </w:tcPr>
          <w:p w14:paraId="0DA90C2E"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266.94</w:t>
            </w:r>
          </w:p>
        </w:tc>
        <w:tc>
          <w:tcPr>
            <w:tcW w:w="992" w:type="dxa"/>
            <w:noWrap/>
            <w:vAlign w:val="center"/>
          </w:tcPr>
          <w:p w14:paraId="2944ECFF"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166.94</w:t>
            </w:r>
          </w:p>
        </w:tc>
        <w:tc>
          <w:tcPr>
            <w:tcW w:w="993" w:type="dxa"/>
            <w:noWrap/>
            <w:vAlign w:val="center"/>
          </w:tcPr>
          <w:p w14:paraId="5444B386"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166.94</w:t>
            </w:r>
          </w:p>
        </w:tc>
        <w:tc>
          <w:tcPr>
            <w:tcW w:w="1190" w:type="dxa"/>
            <w:noWrap/>
            <w:vAlign w:val="center"/>
          </w:tcPr>
          <w:p w14:paraId="6AA8010E" w14:textId="77777777" w:rsidR="00CD798F" w:rsidRPr="00E72DA1" w:rsidRDefault="00CD798F" w:rsidP="00214723">
            <w:pPr>
              <w:jc w:val="right"/>
              <w:rPr>
                <w:rFonts w:ascii="Times New Roman" w:hAnsi="Times New Roman"/>
                <w:b/>
                <w:bCs/>
                <w:color w:val="000000"/>
                <w:szCs w:val="21"/>
              </w:rPr>
            </w:pPr>
            <w:r w:rsidRPr="00E72DA1">
              <w:rPr>
                <w:rFonts w:ascii="Times New Roman" w:hAnsi="Times New Roman"/>
                <w:b/>
                <w:bCs/>
                <w:color w:val="000000"/>
                <w:szCs w:val="21"/>
              </w:rPr>
              <w:t>333.87</w:t>
            </w:r>
          </w:p>
        </w:tc>
      </w:tr>
    </w:tbl>
    <w:p w14:paraId="318E3677"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lastRenderedPageBreak/>
        <w:t>综上，上述预测基于未来业务发展需求、现有资产成新率及资产更新需求综合确定，具备合理性。</w:t>
      </w:r>
    </w:p>
    <w:p w14:paraId="37CC2E6D" w14:textId="77777777" w:rsidR="00CD798F" w:rsidRDefault="00CD798F" w:rsidP="00CD798F">
      <w:pPr>
        <w:pStyle w:val="004"/>
        <w:spacing w:before="120" w:after="120"/>
        <w:ind w:firstLine="482"/>
        <w:outlineLvl w:val="4"/>
      </w:pPr>
      <w:r>
        <w:rPr>
          <w:rFonts w:hint="eastAsia"/>
        </w:rPr>
        <w:t>（</w:t>
      </w:r>
      <w:r>
        <w:rPr>
          <w:rFonts w:hint="eastAsia"/>
        </w:rPr>
        <w:t>2</w:t>
      </w:r>
      <w:r>
        <w:rPr>
          <w:rFonts w:hint="eastAsia"/>
        </w:rPr>
        <w:t>）</w:t>
      </w:r>
      <w:r w:rsidRPr="00377B2D">
        <w:rPr>
          <w:rFonts w:hint="eastAsia"/>
        </w:rPr>
        <w:t>无形资产</w:t>
      </w:r>
    </w:p>
    <w:p w14:paraId="2F1DD21B"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1）无形资产摊销</w:t>
      </w:r>
    </w:p>
    <w:p w14:paraId="26122CBA"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065"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25"/>
        <w:gridCol w:w="1585"/>
        <w:gridCol w:w="1094"/>
        <w:gridCol w:w="1094"/>
        <w:gridCol w:w="1094"/>
        <w:gridCol w:w="1094"/>
        <w:gridCol w:w="1525"/>
      </w:tblGrid>
      <w:tr w:rsidR="00CD798F" w:rsidRPr="00316E63" w14:paraId="2C438986" w14:textId="77777777" w:rsidTr="00214723">
        <w:trPr>
          <w:cantSplit/>
          <w:trHeight w:val="454"/>
          <w:tblHeader/>
          <w:jc w:val="center"/>
        </w:trPr>
        <w:tc>
          <w:tcPr>
            <w:tcW w:w="1138" w:type="pct"/>
            <w:noWrap/>
            <w:vAlign w:val="center"/>
            <w:hideMark/>
          </w:tcPr>
          <w:p w14:paraId="224AAA0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科目</w:t>
            </w:r>
          </w:p>
        </w:tc>
        <w:tc>
          <w:tcPr>
            <w:tcW w:w="794" w:type="pct"/>
            <w:noWrap/>
            <w:vAlign w:val="center"/>
            <w:hideMark/>
          </w:tcPr>
          <w:p w14:paraId="2569627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7-12</w:t>
            </w:r>
            <w:r w:rsidRPr="00E72DA1">
              <w:rPr>
                <w:rFonts w:ascii="Times New Roman" w:hAnsi="Times New Roman" w:hint="eastAsia"/>
                <w:b/>
                <w:color w:val="000000"/>
                <w:szCs w:val="21"/>
              </w:rPr>
              <w:t>月</w:t>
            </w:r>
          </w:p>
        </w:tc>
        <w:tc>
          <w:tcPr>
            <w:tcW w:w="560" w:type="pct"/>
            <w:noWrap/>
            <w:vAlign w:val="center"/>
            <w:hideMark/>
          </w:tcPr>
          <w:p w14:paraId="56F3A1E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625" w:type="pct"/>
            <w:noWrap/>
            <w:vAlign w:val="center"/>
            <w:hideMark/>
          </w:tcPr>
          <w:p w14:paraId="5B982FD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560" w:type="pct"/>
            <w:noWrap/>
            <w:vAlign w:val="center"/>
            <w:hideMark/>
          </w:tcPr>
          <w:p w14:paraId="786FC85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560" w:type="pct"/>
            <w:noWrap/>
            <w:vAlign w:val="center"/>
            <w:hideMark/>
          </w:tcPr>
          <w:p w14:paraId="7365496E"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c>
          <w:tcPr>
            <w:tcW w:w="762" w:type="pct"/>
            <w:noWrap/>
            <w:vAlign w:val="center"/>
            <w:hideMark/>
          </w:tcPr>
          <w:p w14:paraId="0FBEF82D"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2030</w:t>
            </w:r>
            <w:r w:rsidRPr="00E72DA1">
              <w:rPr>
                <w:rFonts w:ascii="Times New Roman" w:hAnsi="Times New Roman" w:hint="eastAsia"/>
                <w:b/>
                <w:color w:val="000000"/>
                <w:szCs w:val="21"/>
              </w:rPr>
              <w:t>年及以后</w:t>
            </w:r>
          </w:p>
        </w:tc>
      </w:tr>
      <w:tr w:rsidR="00CD798F" w:rsidRPr="00316E63" w14:paraId="56B5E2EE" w14:textId="77777777" w:rsidTr="00214723">
        <w:trPr>
          <w:cantSplit/>
          <w:trHeight w:val="454"/>
          <w:jc w:val="center"/>
        </w:trPr>
        <w:tc>
          <w:tcPr>
            <w:tcW w:w="1138" w:type="pct"/>
            <w:noWrap/>
            <w:vAlign w:val="center"/>
            <w:hideMark/>
          </w:tcPr>
          <w:p w14:paraId="35FFB5D8"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无形资产账面原值合计</w:t>
            </w:r>
          </w:p>
        </w:tc>
        <w:tc>
          <w:tcPr>
            <w:tcW w:w="794" w:type="pct"/>
            <w:noWrap/>
            <w:vAlign w:val="center"/>
            <w:hideMark/>
          </w:tcPr>
          <w:p w14:paraId="2DEFE2F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3,044.67</w:t>
            </w:r>
          </w:p>
        </w:tc>
        <w:tc>
          <w:tcPr>
            <w:tcW w:w="560" w:type="pct"/>
            <w:noWrap/>
            <w:vAlign w:val="center"/>
            <w:hideMark/>
          </w:tcPr>
          <w:p w14:paraId="66E383E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3,044.67</w:t>
            </w:r>
          </w:p>
        </w:tc>
        <w:tc>
          <w:tcPr>
            <w:tcW w:w="625" w:type="pct"/>
            <w:noWrap/>
            <w:vAlign w:val="center"/>
            <w:hideMark/>
          </w:tcPr>
          <w:p w14:paraId="41485B7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3,044.67</w:t>
            </w:r>
          </w:p>
        </w:tc>
        <w:tc>
          <w:tcPr>
            <w:tcW w:w="560" w:type="pct"/>
            <w:noWrap/>
            <w:vAlign w:val="center"/>
            <w:hideMark/>
          </w:tcPr>
          <w:p w14:paraId="0FEA75B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3,044.67</w:t>
            </w:r>
          </w:p>
        </w:tc>
        <w:tc>
          <w:tcPr>
            <w:tcW w:w="560" w:type="pct"/>
            <w:noWrap/>
            <w:vAlign w:val="center"/>
            <w:hideMark/>
          </w:tcPr>
          <w:p w14:paraId="30B2ED3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3,044.67</w:t>
            </w:r>
          </w:p>
        </w:tc>
        <w:tc>
          <w:tcPr>
            <w:tcW w:w="762" w:type="pct"/>
            <w:noWrap/>
            <w:vAlign w:val="center"/>
            <w:hideMark/>
          </w:tcPr>
          <w:p w14:paraId="5B43E505"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3,044.67</w:t>
            </w:r>
          </w:p>
        </w:tc>
      </w:tr>
      <w:tr w:rsidR="00CD798F" w:rsidRPr="00316E63" w14:paraId="7B57CE93" w14:textId="77777777" w:rsidTr="00214723">
        <w:trPr>
          <w:cantSplit/>
          <w:trHeight w:val="454"/>
          <w:jc w:val="center"/>
        </w:trPr>
        <w:tc>
          <w:tcPr>
            <w:tcW w:w="1138" w:type="pct"/>
            <w:noWrap/>
            <w:vAlign w:val="center"/>
            <w:hideMark/>
          </w:tcPr>
          <w:p w14:paraId="1ACFB6CE"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摊销年限</w:t>
            </w:r>
          </w:p>
        </w:tc>
        <w:tc>
          <w:tcPr>
            <w:tcW w:w="794" w:type="pct"/>
            <w:noWrap/>
            <w:vAlign w:val="center"/>
            <w:hideMark/>
          </w:tcPr>
          <w:p w14:paraId="2DA4B75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r w:rsidRPr="00E72DA1">
              <w:rPr>
                <w:rFonts w:ascii="Times New Roman" w:hAnsi="Times New Roman" w:hint="eastAsia"/>
                <w:color w:val="000000"/>
                <w:szCs w:val="21"/>
              </w:rPr>
              <w:t>年</w:t>
            </w:r>
            <w:r w:rsidRPr="00E72DA1">
              <w:rPr>
                <w:rFonts w:ascii="Times New Roman" w:hAnsi="Times New Roman"/>
                <w:color w:val="000000"/>
                <w:szCs w:val="21"/>
              </w:rPr>
              <w:t>/10</w:t>
            </w:r>
            <w:r w:rsidRPr="00E72DA1">
              <w:rPr>
                <w:rFonts w:ascii="Times New Roman" w:hAnsi="Times New Roman" w:hint="eastAsia"/>
                <w:color w:val="000000"/>
                <w:szCs w:val="21"/>
              </w:rPr>
              <w:t>年</w:t>
            </w:r>
          </w:p>
        </w:tc>
        <w:tc>
          <w:tcPr>
            <w:tcW w:w="560" w:type="pct"/>
            <w:noWrap/>
            <w:vAlign w:val="center"/>
            <w:hideMark/>
          </w:tcPr>
          <w:p w14:paraId="231AF29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r w:rsidRPr="00E72DA1">
              <w:rPr>
                <w:rFonts w:ascii="Times New Roman" w:hAnsi="Times New Roman" w:hint="eastAsia"/>
                <w:color w:val="000000"/>
                <w:szCs w:val="21"/>
              </w:rPr>
              <w:t>年</w:t>
            </w:r>
            <w:r w:rsidRPr="00E72DA1">
              <w:rPr>
                <w:rFonts w:ascii="Times New Roman" w:hAnsi="Times New Roman"/>
                <w:color w:val="000000"/>
                <w:szCs w:val="21"/>
              </w:rPr>
              <w:t>/10</w:t>
            </w:r>
            <w:r w:rsidRPr="00E72DA1">
              <w:rPr>
                <w:rFonts w:ascii="Times New Roman" w:hAnsi="Times New Roman" w:hint="eastAsia"/>
                <w:color w:val="000000"/>
                <w:szCs w:val="21"/>
              </w:rPr>
              <w:t>年</w:t>
            </w:r>
          </w:p>
        </w:tc>
        <w:tc>
          <w:tcPr>
            <w:tcW w:w="625" w:type="pct"/>
            <w:noWrap/>
            <w:vAlign w:val="center"/>
            <w:hideMark/>
          </w:tcPr>
          <w:p w14:paraId="5BD8ED6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r w:rsidRPr="00E72DA1">
              <w:rPr>
                <w:rFonts w:ascii="Times New Roman" w:hAnsi="Times New Roman" w:hint="eastAsia"/>
                <w:color w:val="000000"/>
                <w:szCs w:val="21"/>
              </w:rPr>
              <w:t>年</w:t>
            </w:r>
            <w:r w:rsidRPr="00E72DA1">
              <w:rPr>
                <w:rFonts w:ascii="Times New Roman" w:hAnsi="Times New Roman"/>
                <w:color w:val="000000"/>
                <w:szCs w:val="21"/>
              </w:rPr>
              <w:t>/10</w:t>
            </w:r>
            <w:r w:rsidRPr="00E72DA1">
              <w:rPr>
                <w:rFonts w:ascii="Times New Roman" w:hAnsi="Times New Roman" w:hint="eastAsia"/>
                <w:color w:val="000000"/>
                <w:szCs w:val="21"/>
              </w:rPr>
              <w:t>年</w:t>
            </w:r>
          </w:p>
        </w:tc>
        <w:tc>
          <w:tcPr>
            <w:tcW w:w="560" w:type="pct"/>
            <w:noWrap/>
            <w:vAlign w:val="center"/>
            <w:hideMark/>
          </w:tcPr>
          <w:p w14:paraId="2C18A03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r w:rsidRPr="00E72DA1">
              <w:rPr>
                <w:rFonts w:ascii="Times New Roman" w:hAnsi="Times New Roman" w:hint="eastAsia"/>
                <w:color w:val="000000"/>
                <w:szCs w:val="21"/>
              </w:rPr>
              <w:t>年</w:t>
            </w:r>
            <w:r w:rsidRPr="00E72DA1">
              <w:rPr>
                <w:rFonts w:ascii="Times New Roman" w:hAnsi="Times New Roman"/>
                <w:color w:val="000000"/>
                <w:szCs w:val="21"/>
              </w:rPr>
              <w:t>/10</w:t>
            </w:r>
            <w:r w:rsidRPr="00E72DA1">
              <w:rPr>
                <w:rFonts w:ascii="Times New Roman" w:hAnsi="Times New Roman" w:hint="eastAsia"/>
                <w:color w:val="000000"/>
                <w:szCs w:val="21"/>
              </w:rPr>
              <w:t>年</w:t>
            </w:r>
          </w:p>
        </w:tc>
        <w:tc>
          <w:tcPr>
            <w:tcW w:w="560" w:type="pct"/>
            <w:noWrap/>
            <w:vAlign w:val="center"/>
            <w:hideMark/>
          </w:tcPr>
          <w:p w14:paraId="47C784B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r w:rsidRPr="00E72DA1">
              <w:rPr>
                <w:rFonts w:ascii="Times New Roman" w:hAnsi="Times New Roman" w:hint="eastAsia"/>
                <w:color w:val="000000"/>
                <w:szCs w:val="21"/>
              </w:rPr>
              <w:t>年</w:t>
            </w:r>
            <w:r w:rsidRPr="00E72DA1">
              <w:rPr>
                <w:rFonts w:ascii="Times New Roman" w:hAnsi="Times New Roman"/>
                <w:color w:val="000000"/>
                <w:szCs w:val="21"/>
              </w:rPr>
              <w:t>/10</w:t>
            </w:r>
            <w:r w:rsidRPr="00E72DA1">
              <w:rPr>
                <w:rFonts w:ascii="Times New Roman" w:hAnsi="Times New Roman" w:hint="eastAsia"/>
                <w:color w:val="000000"/>
                <w:szCs w:val="21"/>
              </w:rPr>
              <w:t>年</w:t>
            </w:r>
          </w:p>
        </w:tc>
        <w:tc>
          <w:tcPr>
            <w:tcW w:w="762" w:type="pct"/>
            <w:noWrap/>
            <w:vAlign w:val="center"/>
            <w:hideMark/>
          </w:tcPr>
          <w:p w14:paraId="4C3A804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5</w:t>
            </w:r>
            <w:r w:rsidRPr="00E72DA1">
              <w:rPr>
                <w:rFonts w:ascii="Times New Roman" w:hAnsi="Times New Roman" w:hint="eastAsia"/>
                <w:color w:val="000000"/>
                <w:szCs w:val="21"/>
              </w:rPr>
              <w:t>年</w:t>
            </w:r>
            <w:r w:rsidRPr="00E72DA1">
              <w:rPr>
                <w:rFonts w:ascii="Times New Roman" w:hAnsi="Times New Roman"/>
                <w:color w:val="000000"/>
                <w:szCs w:val="21"/>
              </w:rPr>
              <w:t>/10</w:t>
            </w:r>
            <w:r w:rsidRPr="00E72DA1">
              <w:rPr>
                <w:rFonts w:ascii="Times New Roman" w:hAnsi="Times New Roman" w:hint="eastAsia"/>
                <w:color w:val="000000"/>
                <w:szCs w:val="21"/>
              </w:rPr>
              <w:t>年</w:t>
            </w:r>
          </w:p>
        </w:tc>
      </w:tr>
      <w:tr w:rsidR="00CD798F" w:rsidRPr="00316E63" w14:paraId="0460017D" w14:textId="77777777" w:rsidTr="00214723">
        <w:trPr>
          <w:cantSplit/>
          <w:trHeight w:val="454"/>
          <w:jc w:val="center"/>
        </w:trPr>
        <w:tc>
          <w:tcPr>
            <w:tcW w:w="1138" w:type="pct"/>
            <w:noWrap/>
            <w:vAlign w:val="center"/>
            <w:hideMark/>
          </w:tcPr>
          <w:p w14:paraId="729CD2BD" w14:textId="77777777" w:rsidR="00CD798F" w:rsidRPr="00E72DA1" w:rsidRDefault="00CD798F" w:rsidP="00214723">
            <w:pPr>
              <w:rPr>
                <w:rFonts w:ascii="Times New Roman" w:hAnsi="Times New Roman"/>
                <w:b/>
                <w:bCs/>
                <w:color w:val="000000"/>
                <w:szCs w:val="21"/>
              </w:rPr>
            </w:pPr>
            <w:r w:rsidRPr="00E72DA1">
              <w:rPr>
                <w:rFonts w:ascii="Times New Roman" w:hAnsi="Times New Roman" w:hint="eastAsia"/>
                <w:b/>
                <w:bCs/>
                <w:color w:val="000000"/>
                <w:szCs w:val="21"/>
              </w:rPr>
              <w:t>无形资产当期摊销合计</w:t>
            </w:r>
          </w:p>
        </w:tc>
        <w:tc>
          <w:tcPr>
            <w:tcW w:w="794" w:type="pct"/>
            <w:noWrap/>
            <w:vAlign w:val="center"/>
            <w:hideMark/>
          </w:tcPr>
          <w:p w14:paraId="054D87E3"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167.92</w:t>
            </w:r>
          </w:p>
        </w:tc>
        <w:tc>
          <w:tcPr>
            <w:tcW w:w="560" w:type="pct"/>
            <w:noWrap/>
            <w:vAlign w:val="center"/>
            <w:hideMark/>
          </w:tcPr>
          <w:p w14:paraId="0A62C03F"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335.82</w:t>
            </w:r>
          </w:p>
        </w:tc>
        <w:tc>
          <w:tcPr>
            <w:tcW w:w="625" w:type="pct"/>
            <w:noWrap/>
            <w:vAlign w:val="center"/>
            <w:hideMark/>
          </w:tcPr>
          <w:p w14:paraId="0975EDE2"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335.82</w:t>
            </w:r>
          </w:p>
        </w:tc>
        <w:tc>
          <w:tcPr>
            <w:tcW w:w="560" w:type="pct"/>
            <w:noWrap/>
            <w:vAlign w:val="center"/>
            <w:hideMark/>
          </w:tcPr>
          <w:p w14:paraId="0C33A509"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335.82</w:t>
            </w:r>
          </w:p>
        </w:tc>
        <w:tc>
          <w:tcPr>
            <w:tcW w:w="560" w:type="pct"/>
            <w:noWrap/>
            <w:vAlign w:val="center"/>
            <w:hideMark/>
          </w:tcPr>
          <w:p w14:paraId="344F0B02"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335.82</w:t>
            </w:r>
          </w:p>
        </w:tc>
        <w:tc>
          <w:tcPr>
            <w:tcW w:w="762" w:type="pct"/>
            <w:noWrap/>
            <w:vAlign w:val="center"/>
            <w:hideMark/>
          </w:tcPr>
          <w:p w14:paraId="5766232B" w14:textId="77777777" w:rsidR="00CD798F" w:rsidRPr="00E72DA1" w:rsidRDefault="00CD798F" w:rsidP="00214723">
            <w:pPr>
              <w:jc w:val="center"/>
              <w:rPr>
                <w:rFonts w:ascii="Times New Roman" w:hAnsi="Times New Roman"/>
                <w:b/>
                <w:bCs/>
                <w:color w:val="000000"/>
                <w:szCs w:val="21"/>
              </w:rPr>
            </w:pPr>
            <w:r w:rsidRPr="00E72DA1">
              <w:rPr>
                <w:rFonts w:ascii="Times New Roman" w:hAnsi="Times New Roman"/>
                <w:b/>
                <w:bCs/>
                <w:color w:val="000000"/>
                <w:szCs w:val="21"/>
              </w:rPr>
              <w:t>335.82</w:t>
            </w:r>
          </w:p>
        </w:tc>
      </w:tr>
    </w:tbl>
    <w:p w14:paraId="7225DC38"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无形资产账面原值合计3,044.67万元，根据审计报告显示，无形资产摊销年限为5年或10年，对于一般软件按5年摊销，对于外购技术按10年摊销。本次评估师基于上述原则测算各类无形资产的摊销金额。</w:t>
      </w:r>
    </w:p>
    <w:p w14:paraId="317E38F2"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2）资本性支出</w:t>
      </w:r>
    </w:p>
    <w:p w14:paraId="525B6545"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对于无形资产的资本性支出，由于标的公司目前的技术储备丰富，且持续投入高额研发，故暂无购入外部技术进行补充的需要。因此本次评估仅考虑无形资产更新性资本性支出。预测期内按100%的当期摊销，无形资产资本性支出预测如下：</w:t>
      </w:r>
    </w:p>
    <w:p w14:paraId="1748DB3D"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037"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26"/>
        <w:gridCol w:w="1585"/>
        <w:gridCol w:w="892"/>
        <w:gridCol w:w="892"/>
        <w:gridCol w:w="892"/>
        <w:gridCol w:w="892"/>
        <w:gridCol w:w="1525"/>
      </w:tblGrid>
      <w:tr w:rsidR="00CD798F" w:rsidRPr="00316E63" w14:paraId="3AD8B353" w14:textId="77777777" w:rsidTr="00214723">
        <w:trPr>
          <w:cantSplit/>
          <w:trHeight w:val="454"/>
          <w:tblHeader/>
          <w:jc w:val="center"/>
        </w:trPr>
        <w:tc>
          <w:tcPr>
            <w:tcW w:w="1738" w:type="pct"/>
            <w:noWrap/>
            <w:vAlign w:val="center"/>
            <w:hideMark/>
          </w:tcPr>
          <w:p w14:paraId="610F7E7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科目</w:t>
            </w:r>
          </w:p>
        </w:tc>
        <w:tc>
          <w:tcPr>
            <w:tcW w:w="753" w:type="pct"/>
            <w:noWrap/>
            <w:vAlign w:val="center"/>
            <w:hideMark/>
          </w:tcPr>
          <w:p w14:paraId="2A7363C3"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7-12</w:t>
            </w:r>
            <w:r w:rsidRPr="00E72DA1">
              <w:rPr>
                <w:rFonts w:ascii="Times New Roman" w:hAnsi="Times New Roman" w:hint="eastAsia"/>
                <w:b/>
                <w:color w:val="000000"/>
                <w:szCs w:val="21"/>
              </w:rPr>
              <w:t>月</w:t>
            </w:r>
          </w:p>
        </w:tc>
        <w:tc>
          <w:tcPr>
            <w:tcW w:w="474" w:type="pct"/>
            <w:noWrap/>
            <w:vAlign w:val="center"/>
            <w:hideMark/>
          </w:tcPr>
          <w:p w14:paraId="27C70316"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437" w:type="pct"/>
            <w:noWrap/>
            <w:vAlign w:val="center"/>
            <w:hideMark/>
          </w:tcPr>
          <w:p w14:paraId="18CE354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437" w:type="pct"/>
            <w:noWrap/>
            <w:vAlign w:val="center"/>
            <w:hideMark/>
          </w:tcPr>
          <w:p w14:paraId="39DE361D"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437" w:type="pct"/>
            <w:noWrap/>
            <w:vAlign w:val="center"/>
            <w:hideMark/>
          </w:tcPr>
          <w:p w14:paraId="1CCECA2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c>
          <w:tcPr>
            <w:tcW w:w="723" w:type="pct"/>
            <w:noWrap/>
            <w:vAlign w:val="center"/>
            <w:hideMark/>
          </w:tcPr>
          <w:p w14:paraId="442E2F4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2030</w:t>
            </w:r>
            <w:r w:rsidRPr="00E72DA1">
              <w:rPr>
                <w:rFonts w:ascii="Times New Roman" w:hAnsi="Times New Roman" w:hint="eastAsia"/>
                <w:b/>
                <w:color w:val="000000"/>
                <w:szCs w:val="21"/>
              </w:rPr>
              <w:t>年及以后</w:t>
            </w:r>
          </w:p>
        </w:tc>
      </w:tr>
      <w:tr w:rsidR="00CD798F" w:rsidRPr="00316E63" w14:paraId="2A892E46" w14:textId="77777777" w:rsidTr="00214723">
        <w:trPr>
          <w:cantSplit/>
          <w:trHeight w:val="454"/>
          <w:jc w:val="center"/>
        </w:trPr>
        <w:tc>
          <w:tcPr>
            <w:tcW w:w="1738" w:type="pct"/>
            <w:noWrap/>
            <w:vAlign w:val="center"/>
            <w:hideMark/>
          </w:tcPr>
          <w:p w14:paraId="26644CA6"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无形资产当期摊销</w:t>
            </w:r>
          </w:p>
        </w:tc>
        <w:tc>
          <w:tcPr>
            <w:tcW w:w="753" w:type="pct"/>
            <w:noWrap/>
            <w:vAlign w:val="center"/>
            <w:hideMark/>
          </w:tcPr>
          <w:p w14:paraId="70DD397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167.92</w:t>
            </w:r>
          </w:p>
        </w:tc>
        <w:tc>
          <w:tcPr>
            <w:tcW w:w="474" w:type="pct"/>
            <w:noWrap/>
            <w:vAlign w:val="center"/>
            <w:hideMark/>
          </w:tcPr>
          <w:p w14:paraId="71F1ACA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437" w:type="pct"/>
            <w:noWrap/>
            <w:vAlign w:val="center"/>
            <w:hideMark/>
          </w:tcPr>
          <w:p w14:paraId="5F7914E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437" w:type="pct"/>
            <w:noWrap/>
            <w:vAlign w:val="center"/>
            <w:hideMark/>
          </w:tcPr>
          <w:p w14:paraId="4322B49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437" w:type="pct"/>
            <w:noWrap/>
            <w:vAlign w:val="center"/>
            <w:hideMark/>
          </w:tcPr>
          <w:p w14:paraId="2577995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723" w:type="pct"/>
            <w:noWrap/>
            <w:vAlign w:val="center"/>
            <w:hideMark/>
          </w:tcPr>
          <w:p w14:paraId="7842822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r>
      <w:tr w:rsidR="00CD798F" w:rsidRPr="00316E63" w14:paraId="28279AB4" w14:textId="77777777" w:rsidTr="00214723">
        <w:trPr>
          <w:cantSplit/>
          <w:trHeight w:val="454"/>
          <w:jc w:val="center"/>
        </w:trPr>
        <w:tc>
          <w:tcPr>
            <w:tcW w:w="1738" w:type="pct"/>
            <w:noWrap/>
            <w:vAlign w:val="center"/>
            <w:hideMark/>
          </w:tcPr>
          <w:p w14:paraId="6BC10E2A"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摊销资金用于</w:t>
            </w:r>
          </w:p>
          <w:p w14:paraId="6849602F"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更新性资本性支出的比例</w:t>
            </w:r>
          </w:p>
        </w:tc>
        <w:tc>
          <w:tcPr>
            <w:tcW w:w="753" w:type="pct"/>
            <w:noWrap/>
            <w:vAlign w:val="center"/>
            <w:hideMark/>
          </w:tcPr>
          <w:p w14:paraId="61FBDFE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c>
          <w:tcPr>
            <w:tcW w:w="474" w:type="pct"/>
            <w:noWrap/>
            <w:vAlign w:val="center"/>
            <w:hideMark/>
          </w:tcPr>
          <w:p w14:paraId="16C8E82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c>
          <w:tcPr>
            <w:tcW w:w="437" w:type="pct"/>
            <w:noWrap/>
            <w:vAlign w:val="center"/>
            <w:hideMark/>
          </w:tcPr>
          <w:p w14:paraId="347DD33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c>
          <w:tcPr>
            <w:tcW w:w="437" w:type="pct"/>
            <w:noWrap/>
            <w:vAlign w:val="center"/>
            <w:hideMark/>
          </w:tcPr>
          <w:p w14:paraId="5A1DAD2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c>
          <w:tcPr>
            <w:tcW w:w="437" w:type="pct"/>
            <w:noWrap/>
            <w:vAlign w:val="center"/>
            <w:hideMark/>
          </w:tcPr>
          <w:p w14:paraId="3F89149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c>
          <w:tcPr>
            <w:tcW w:w="723" w:type="pct"/>
            <w:noWrap/>
            <w:vAlign w:val="center"/>
            <w:hideMark/>
          </w:tcPr>
          <w:p w14:paraId="08E72FF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r>
      <w:tr w:rsidR="00CD798F" w:rsidRPr="00316E63" w14:paraId="23098BEF" w14:textId="77777777" w:rsidTr="00214723">
        <w:trPr>
          <w:cantSplit/>
          <w:trHeight w:val="454"/>
          <w:jc w:val="center"/>
        </w:trPr>
        <w:tc>
          <w:tcPr>
            <w:tcW w:w="1738" w:type="pct"/>
            <w:noWrap/>
            <w:vAlign w:val="center"/>
          </w:tcPr>
          <w:p w14:paraId="1266B6EC"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更新性资本性支出金额</w:t>
            </w:r>
          </w:p>
        </w:tc>
        <w:tc>
          <w:tcPr>
            <w:tcW w:w="753" w:type="pct"/>
            <w:noWrap/>
            <w:vAlign w:val="center"/>
          </w:tcPr>
          <w:p w14:paraId="098432C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167.92</w:t>
            </w:r>
          </w:p>
        </w:tc>
        <w:tc>
          <w:tcPr>
            <w:tcW w:w="474" w:type="pct"/>
            <w:noWrap/>
            <w:vAlign w:val="center"/>
          </w:tcPr>
          <w:p w14:paraId="2F9DF615"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437" w:type="pct"/>
            <w:noWrap/>
            <w:vAlign w:val="center"/>
          </w:tcPr>
          <w:p w14:paraId="59F6570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437" w:type="pct"/>
            <w:noWrap/>
            <w:vAlign w:val="center"/>
          </w:tcPr>
          <w:p w14:paraId="5A75616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437" w:type="pct"/>
            <w:noWrap/>
            <w:vAlign w:val="center"/>
          </w:tcPr>
          <w:p w14:paraId="6425F57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c>
          <w:tcPr>
            <w:tcW w:w="723" w:type="pct"/>
            <w:noWrap/>
            <w:vAlign w:val="center"/>
          </w:tcPr>
          <w:p w14:paraId="1F47DD8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335.82</w:t>
            </w:r>
          </w:p>
        </w:tc>
      </w:tr>
    </w:tbl>
    <w:p w14:paraId="404A2325" w14:textId="77777777" w:rsidR="00CD798F" w:rsidRDefault="00CD798F" w:rsidP="00CD798F">
      <w:pPr>
        <w:pStyle w:val="004"/>
        <w:spacing w:before="120" w:after="120"/>
        <w:ind w:firstLine="482"/>
        <w:outlineLvl w:val="4"/>
      </w:pPr>
      <w:r>
        <w:rPr>
          <w:rFonts w:hint="eastAsia"/>
        </w:rPr>
        <w:t>（</w:t>
      </w:r>
      <w:r>
        <w:rPr>
          <w:rFonts w:hint="eastAsia"/>
        </w:rPr>
        <w:t>3</w:t>
      </w:r>
      <w:r>
        <w:rPr>
          <w:rFonts w:hint="eastAsia"/>
        </w:rPr>
        <w:t>）</w:t>
      </w:r>
      <w:r w:rsidRPr="00377B2D">
        <w:rPr>
          <w:rFonts w:hint="eastAsia"/>
        </w:rPr>
        <w:t>长期待摊费用</w:t>
      </w:r>
    </w:p>
    <w:p w14:paraId="77331BAE"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1）长期待摊摊销</w:t>
      </w:r>
    </w:p>
    <w:p w14:paraId="7EB9C8DC"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lastRenderedPageBreak/>
        <w:t>单位：万元</w:t>
      </w:r>
    </w:p>
    <w:tbl>
      <w:tblPr>
        <w:tblW w:w="5116"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57"/>
        <w:gridCol w:w="1585"/>
        <w:gridCol w:w="951"/>
        <w:gridCol w:w="951"/>
        <w:gridCol w:w="951"/>
        <w:gridCol w:w="951"/>
        <w:gridCol w:w="1525"/>
      </w:tblGrid>
      <w:tr w:rsidR="00CD798F" w:rsidRPr="00C820D0" w14:paraId="224B9A08" w14:textId="77777777" w:rsidTr="00214723">
        <w:trPr>
          <w:cantSplit/>
          <w:trHeight w:val="454"/>
          <w:tblHeader/>
          <w:jc w:val="center"/>
        </w:trPr>
        <w:tc>
          <w:tcPr>
            <w:tcW w:w="1361" w:type="pct"/>
            <w:noWrap/>
            <w:vAlign w:val="center"/>
            <w:hideMark/>
          </w:tcPr>
          <w:p w14:paraId="385B9A6E"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科目</w:t>
            </w:r>
          </w:p>
        </w:tc>
        <w:tc>
          <w:tcPr>
            <w:tcW w:w="805" w:type="pct"/>
            <w:noWrap/>
            <w:vAlign w:val="center"/>
            <w:hideMark/>
          </w:tcPr>
          <w:p w14:paraId="2D404734"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2025</w:t>
            </w:r>
            <w:r w:rsidRPr="00C820D0">
              <w:rPr>
                <w:rFonts w:ascii="Times New Roman" w:hAnsi="Times New Roman"/>
                <w:b/>
                <w:color w:val="000000"/>
              </w:rPr>
              <w:t>年</w:t>
            </w:r>
            <w:r w:rsidRPr="00C820D0">
              <w:rPr>
                <w:rFonts w:ascii="Times New Roman" w:hAnsi="Times New Roman"/>
                <w:b/>
                <w:color w:val="000000"/>
              </w:rPr>
              <w:t>7-12</w:t>
            </w:r>
            <w:r w:rsidRPr="00C820D0">
              <w:rPr>
                <w:rFonts w:ascii="Times New Roman" w:hAnsi="Times New Roman"/>
                <w:b/>
                <w:color w:val="000000"/>
              </w:rPr>
              <w:t>月</w:t>
            </w:r>
          </w:p>
        </w:tc>
        <w:tc>
          <w:tcPr>
            <w:tcW w:w="487" w:type="pct"/>
            <w:noWrap/>
            <w:vAlign w:val="center"/>
            <w:hideMark/>
          </w:tcPr>
          <w:p w14:paraId="15F8562F"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2026</w:t>
            </w:r>
            <w:r w:rsidRPr="00C820D0">
              <w:rPr>
                <w:rFonts w:ascii="Times New Roman" w:hAnsi="Times New Roman"/>
                <w:b/>
                <w:color w:val="000000"/>
              </w:rPr>
              <w:t>年</w:t>
            </w:r>
          </w:p>
        </w:tc>
        <w:tc>
          <w:tcPr>
            <w:tcW w:w="600" w:type="pct"/>
            <w:noWrap/>
            <w:vAlign w:val="center"/>
            <w:hideMark/>
          </w:tcPr>
          <w:p w14:paraId="730EF6B4"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2027</w:t>
            </w:r>
            <w:r w:rsidRPr="00C820D0">
              <w:rPr>
                <w:rFonts w:ascii="Times New Roman" w:hAnsi="Times New Roman"/>
                <w:b/>
                <w:color w:val="000000"/>
              </w:rPr>
              <w:t>年</w:t>
            </w:r>
          </w:p>
        </w:tc>
        <w:tc>
          <w:tcPr>
            <w:tcW w:w="487" w:type="pct"/>
            <w:noWrap/>
            <w:vAlign w:val="center"/>
            <w:hideMark/>
          </w:tcPr>
          <w:p w14:paraId="201B48FC"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2028</w:t>
            </w:r>
            <w:r w:rsidRPr="00C820D0">
              <w:rPr>
                <w:rFonts w:ascii="Times New Roman" w:hAnsi="Times New Roman"/>
                <w:b/>
                <w:color w:val="000000"/>
              </w:rPr>
              <w:t>年</w:t>
            </w:r>
          </w:p>
        </w:tc>
        <w:tc>
          <w:tcPr>
            <w:tcW w:w="487" w:type="pct"/>
            <w:noWrap/>
            <w:vAlign w:val="center"/>
            <w:hideMark/>
          </w:tcPr>
          <w:p w14:paraId="51CBAD1C"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2029</w:t>
            </w:r>
            <w:r w:rsidRPr="00C820D0">
              <w:rPr>
                <w:rFonts w:ascii="Times New Roman" w:hAnsi="Times New Roman"/>
                <w:b/>
                <w:color w:val="000000"/>
              </w:rPr>
              <w:t>年</w:t>
            </w:r>
          </w:p>
        </w:tc>
        <w:tc>
          <w:tcPr>
            <w:tcW w:w="772" w:type="pct"/>
            <w:noWrap/>
            <w:vAlign w:val="center"/>
            <w:hideMark/>
          </w:tcPr>
          <w:p w14:paraId="0DBCE28B"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2030</w:t>
            </w:r>
            <w:r w:rsidRPr="00C820D0">
              <w:rPr>
                <w:rFonts w:ascii="Times New Roman" w:hAnsi="Times New Roman"/>
                <w:b/>
                <w:color w:val="000000"/>
              </w:rPr>
              <w:t>年及以后</w:t>
            </w:r>
          </w:p>
        </w:tc>
      </w:tr>
      <w:tr w:rsidR="00CD798F" w:rsidRPr="00C820D0" w14:paraId="4BEF02C1" w14:textId="77777777" w:rsidTr="00214723">
        <w:trPr>
          <w:cantSplit/>
          <w:trHeight w:val="454"/>
          <w:jc w:val="center"/>
        </w:trPr>
        <w:tc>
          <w:tcPr>
            <w:tcW w:w="1361" w:type="pct"/>
            <w:noWrap/>
            <w:vAlign w:val="center"/>
            <w:hideMark/>
          </w:tcPr>
          <w:p w14:paraId="4960ECD6"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长期待摊费用</w:t>
            </w:r>
          </w:p>
          <w:p w14:paraId="266AB5F8"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账面原值合计</w:t>
            </w:r>
          </w:p>
        </w:tc>
        <w:tc>
          <w:tcPr>
            <w:tcW w:w="805" w:type="pct"/>
            <w:noWrap/>
            <w:vAlign w:val="center"/>
            <w:hideMark/>
          </w:tcPr>
          <w:p w14:paraId="66D3B7F8"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2,190.78</w:t>
            </w:r>
          </w:p>
        </w:tc>
        <w:tc>
          <w:tcPr>
            <w:tcW w:w="487" w:type="pct"/>
            <w:noWrap/>
            <w:vAlign w:val="center"/>
            <w:hideMark/>
          </w:tcPr>
          <w:p w14:paraId="63458CDE"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2,190.78</w:t>
            </w:r>
          </w:p>
        </w:tc>
        <w:tc>
          <w:tcPr>
            <w:tcW w:w="600" w:type="pct"/>
            <w:noWrap/>
            <w:vAlign w:val="center"/>
            <w:hideMark/>
          </w:tcPr>
          <w:p w14:paraId="7E3A1070"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2,190.78</w:t>
            </w:r>
          </w:p>
        </w:tc>
        <w:tc>
          <w:tcPr>
            <w:tcW w:w="487" w:type="pct"/>
            <w:noWrap/>
            <w:vAlign w:val="center"/>
            <w:hideMark/>
          </w:tcPr>
          <w:p w14:paraId="14959931"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2,190.78</w:t>
            </w:r>
          </w:p>
        </w:tc>
        <w:tc>
          <w:tcPr>
            <w:tcW w:w="487" w:type="pct"/>
            <w:noWrap/>
            <w:vAlign w:val="center"/>
            <w:hideMark/>
          </w:tcPr>
          <w:p w14:paraId="4A22B40F"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2,190.78</w:t>
            </w:r>
          </w:p>
        </w:tc>
        <w:tc>
          <w:tcPr>
            <w:tcW w:w="772" w:type="pct"/>
            <w:noWrap/>
            <w:vAlign w:val="center"/>
            <w:hideMark/>
          </w:tcPr>
          <w:p w14:paraId="30627353"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2,190.78</w:t>
            </w:r>
          </w:p>
        </w:tc>
      </w:tr>
      <w:tr w:rsidR="00CD798F" w:rsidRPr="00C820D0" w14:paraId="7B163693" w14:textId="77777777" w:rsidTr="00214723">
        <w:trPr>
          <w:cantSplit/>
          <w:trHeight w:val="454"/>
          <w:jc w:val="center"/>
        </w:trPr>
        <w:tc>
          <w:tcPr>
            <w:tcW w:w="1361" w:type="pct"/>
            <w:noWrap/>
            <w:vAlign w:val="center"/>
            <w:hideMark/>
          </w:tcPr>
          <w:p w14:paraId="2B498A85"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摊销年限</w:t>
            </w:r>
          </w:p>
        </w:tc>
        <w:tc>
          <w:tcPr>
            <w:tcW w:w="805" w:type="pct"/>
            <w:noWrap/>
            <w:vAlign w:val="center"/>
            <w:hideMark/>
          </w:tcPr>
          <w:p w14:paraId="3F53D314"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5</w:t>
            </w:r>
            <w:r w:rsidRPr="00C820D0">
              <w:rPr>
                <w:rFonts w:ascii="Times New Roman" w:hAnsi="Times New Roman"/>
                <w:color w:val="000000"/>
              </w:rPr>
              <w:t>年</w:t>
            </w:r>
          </w:p>
        </w:tc>
        <w:tc>
          <w:tcPr>
            <w:tcW w:w="487" w:type="pct"/>
            <w:noWrap/>
            <w:vAlign w:val="center"/>
            <w:hideMark/>
          </w:tcPr>
          <w:p w14:paraId="0DD57A0A"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5</w:t>
            </w:r>
            <w:r w:rsidRPr="00C820D0">
              <w:rPr>
                <w:rFonts w:ascii="Times New Roman" w:hAnsi="Times New Roman"/>
                <w:color w:val="000000"/>
              </w:rPr>
              <w:t>年</w:t>
            </w:r>
          </w:p>
        </w:tc>
        <w:tc>
          <w:tcPr>
            <w:tcW w:w="600" w:type="pct"/>
            <w:noWrap/>
            <w:vAlign w:val="center"/>
            <w:hideMark/>
          </w:tcPr>
          <w:p w14:paraId="51B787F4"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5</w:t>
            </w:r>
            <w:r w:rsidRPr="00C820D0">
              <w:rPr>
                <w:rFonts w:ascii="Times New Roman" w:hAnsi="Times New Roman"/>
                <w:color w:val="000000"/>
              </w:rPr>
              <w:t>年</w:t>
            </w:r>
          </w:p>
        </w:tc>
        <w:tc>
          <w:tcPr>
            <w:tcW w:w="487" w:type="pct"/>
            <w:noWrap/>
            <w:vAlign w:val="center"/>
            <w:hideMark/>
          </w:tcPr>
          <w:p w14:paraId="08E78FEF"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5</w:t>
            </w:r>
            <w:r w:rsidRPr="00C820D0">
              <w:rPr>
                <w:rFonts w:ascii="Times New Roman" w:hAnsi="Times New Roman"/>
                <w:color w:val="000000"/>
              </w:rPr>
              <w:t>年</w:t>
            </w:r>
          </w:p>
        </w:tc>
        <w:tc>
          <w:tcPr>
            <w:tcW w:w="487" w:type="pct"/>
            <w:noWrap/>
            <w:vAlign w:val="center"/>
            <w:hideMark/>
          </w:tcPr>
          <w:p w14:paraId="368973B4"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5</w:t>
            </w:r>
            <w:r w:rsidRPr="00C820D0">
              <w:rPr>
                <w:rFonts w:ascii="Times New Roman" w:hAnsi="Times New Roman"/>
                <w:color w:val="000000"/>
              </w:rPr>
              <w:t>年</w:t>
            </w:r>
          </w:p>
        </w:tc>
        <w:tc>
          <w:tcPr>
            <w:tcW w:w="772" w:type="pct"/>
            <w:noWrap/>
            <w:vAlign w:val="center"/>
            <w:hideMark/>
          </w:tcPr>
          <w:p w14:paraId="52289CDA"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5</w:t>
            </w:r>
            <w:r w:rsidRPr="00C820D0">
              <w:rPr>
                <w:rFonts w:ascii="Times New Roman" w:hAnsi="Times New Roman"/>
                <w:color w:val="000000"/>
              </w:rPr>
              <w:t>年</w:t>
            </w:r>
          </w:p>
        </w:tc>
      </w:tr>
      <w:tr w:rsidR="00CD798F" w:rsidRPr="00316E63" w14:paraId="4D22DF8B" w14:textId="77777777" w:rsidTr="00214723">
        <w:trPr>
          <w:cantSplit/>
          <w:trHeight w:val="454"/>
          <w:jc w:val="center"/>
        </w:trPr>
        <w:tc>
          <w:tcPr>
            <w:tcW w:w="1361" w:type="pct"/>
            <w:noWrap/>
            <w:vAlign w:val="center"/>
            <w:hideMark/>
          </w:tcPr>
          <w:p w14:paraId="1E38AE60" w14:textId="77777777" w:rsidR="00CD798F" w:rsidRPr="00E72DA1" w:rsidRDefault="00CD798F" w:rsidP="00214723">
            <w:pPr>
              <w:rPr>
                <w:rFonts w:ascii="Times New Roman" w:hAnsi="Times New Roman"/>
                <w:b/>
                <w:bCs/>
                <w:color w:val="000000"/>
              </w:rPr>
            </w:pPr>
            <w:r w:rsidRPr="00E72DA1">
              <w:rPr>
                <w:rFonts w:ascii="Times New Roman" w:hAnsi="Times New Roman" w:hint="eastAsia"/>
                <w:b/>
                <w:bCs/>
                <w:color w:val="000000"/>
              </w:rPr>
              <w:t>长期待摊费用</w:t>
            </w:r>
          </w:p>
          <w:p w14:paraId="7F864DD9" w14:textId="77777777" w:rsidR="00CD798F" w:rsidRPr="00E72DA1" w:rsidRDefault="00CD798F" w:rsidP="00214723">
            <w:pPr>
              <w:rPr>
                <w:rFonts w:ascii="Times New Roman" w:hAnsi="Times New Roman"/>
                <w:b/>
                <w:bCs/>
                <w:color w:val="000000"/>
              </w:rPr>
            </w:pPr>
            <w:r w:rsidRPr="00E72DA1">
              <w:rPr>
                <w:rFonts w:ascii="Times New Roman" w:hAnsi="Times New Roman" w:hint="eastAsia"/>
                <w:b/>
                <w:bCs/>
                <w:color w:val="000000"/>
              </w:rPr>
              <w:t>当期摊销合计</w:t>
            </w:r>
          </w:p>
        </w:tc>
        <w:tc>
          <w:tcPr>
            <w:tcW w:w="805" w:type="pct"/>
            <w:noWrap/>
            <w:vAlign w:val="center"/>
            <w:hideMark/>
          </w:tcPr>
          <w:p w14:paraId="5E6567C7" w14:textId="77777777" w:rsidR="00CD798F" w:rsidRPr="00E72DA1" w:rsidRDefault="00CD798F" w:rsidP="00214723">
            <w:pPr>
              <w:jc w:val="right"/>
              <w:rPr>
                <w:rFonts w:ascii="Times New Roman" w:hAnsi="Times New Roman"/>
                <w:b/>
                <w:bCs/>
                <w:color w:val="000000"/>
              </w:rPr>
            </w:pPr>
            <w:r w:rsidRPr="00E72DA1">
              <w:rPr>
                <w:rFonts w:ascii="Times New Roman" w:hAnsi="Times New Roman"/>
                <w:b/>
                <w:bCs/>
                <w:color w:val="000000"/>
              </w:rPr>
              <w:t>219.09</w:t>
            </w:r>
          </w:p>
        </w:tc>
        <w:tc>
          <w:tcPr>
            <w:tcW w:w="487" w:type="pct"/>
            <w:noWrap/>
            <w:vAlign w:val="center"/>
            <w:hideMark/>
          </w:tcPr>
          <w:p w14:paraId="734B3780" w14:textId="77777777" w:rsidR="00CD798F" w:rsidRPr="00E72DA1" w:rsidRDefault="00CD798F" w:rsidP="00214723">
            <w:pPr>
              <w:jc w:val="right"/>
              <w:rPr>
                <w:rFonts w:ascii="Times New Roman" w:hAnsi="Times New Roman"/>
                <w:b/>
                <w:bCs/>
                <w:color w:val="000000"/>
              </w:rPr>
            </w:pPr>
            <w:r w:rsidRPr="00E72DA1">
              <w:rPr>
                <w:rFonts w:ascii="Times New Roman" w:hAnsi="Times New Roman"/>
                <w:b/>
                <w:bCs/>
                <w:color w:val="000000"/>
              </w:rPr>
              <w:t>438.15</w:t>
            </w:r>
          </w:p>
        </w:tc>
        <w:tc>
          <w:tcPr>
            <w:tcW w:w="600" w:type="pct"/>
            <w:noWrap/>
            <w:vAlign w:val="center"/>
            <w:hideMark/>
          </w:tcPr>
          <w:p w14:paraId="279D0D28" w14:textId="77777777" w:rsidR="00CD798F" w:rsidRPr="00E72DA1" w:rsidRDefault="00CD798F" w:rsidP="00214723">
            <w:pPr>
              <w:jc w:val="right"/>
              <w:rPr>
                <w:rFonts w:ascii="Times New Roman" w:hAnsi="Times New Roman"/>
                <w:b/>
                <w:bCs/>
                <w:color w:val="000000"/>
              </w:rPr>
            </w:pPr>
            <w:r w:rsidRPr="00E72DA1">
              <w:rPr>
                <w:rFonts w:ascii="Times New Roman" w:hAnsi="Times New Roman"/>
                <w:b/>
                <w:bCs/>
                <w:color w:val="000000"/>
              </w:rPr>
              <w:t>438.15</w:t>
            </w:r>
          </w:p>
        </w:tc>
        <w:tc>
          <w:tcPr>
            <w:tcW w:w="487" w:type="pct"/>
            <w:noWrap/>
            <w:vAlign w:val="center"/>
            <w:hideMark/>
          </w:tcPr>
          <w:p w14:paraId="4F0E817C" w14:textId="77777777" w:rsidR="00CD798F" w:rsidRPr="00E72DA1" w:rsidRDefault="00CD798F" w:rsidP="00214723">
            <w:pPr>
              <w:jc w:val="right"/>
              <w:rPr>
                <w:rFonts w:ascii="Times New Roman" w:hAnsi="Times New Roman"/>
                <w:b/>
                <w:bCs/>
                <w:color w:val="000000"/>
              </w:rPr>
            </w:pPr>
            <w:r w:rsidRPr="00E72DA1">
              <w:rPr>
                <w:rFonts w:ascii="Times New Roman" w:hAnsi="Times New Roman"/>
                <w:b/>
                <w:bCs/>
                <w:color w:val="000000"/>
              </w:rPr>
              <w:t>438.15</w:t>
            </w:r>
          </w:p>
        </w:tc>
        <w:tc>
          <w:tcPr>
            <w:tcW w:w="487" w:type="pct"/>
            <w:noWrap/>
            <w:vAlign w:val="center"/>
            <w:hideMark/>
          </w:tcPr>
          <w:p w14:paraId="7A8A5699" w14:textId="77777777" w:rsidR="00CD798F" w:rsidRPr="00E72DA1" w:rsidRDefault="00CD798F" w:rsidP="00214723">
            <w:pPr>
              <w:jc w:val="right"/>
              <w:rPr>
                <w:rFonts w:ascii="Times New Roman" w:hAnsi="Times New Roman"/>
                <w:b/>
                <w:bCs/>
                <w:color w:val="000000"/>
              </w:rPr>
            </w:pPr>
            <w:r w:rsidRPr="00E72DA1">
              <w:rPr>
                <w:rFonts w:ascii="Times New Roman" w:hAnsi="Times New Roman"/>
                <w:b/>
                <w:bCs/>
                <w:color w:val="000000"/>
              </w:rPr>
              <w:t>438.15</w:t>
            </w:r>
          </w:p>
        </w:tc>
        <w:tc>
          <w:tcPr>
            <w:tcW w:w="772" w:type="pct"/>
            <w:noWrap/>
            <w:vAlign w:val="center"/>
            <w:hideMark/>
          </w:tcPr>
          <w:p w14:paraId="282922A5" w14:textId="77777777" w:rsidR="00CD798F" w:rsidRPr="00E72DA1" w:rsidRDefault="00CD798F" w:rsidP="00214723">
            <w:pPr>
              <w:jc w:val="right"/>
              <w:rPr>
                <w:rFonts w:ascii="Times New Roman" w:hAnsi="Times New Roman"/>
                <w:b/>
                <w:bCs/>
                <w:color w:val="000000"/>
              </w:rPr>
            </w:pPr>
            <w:r w:rsidRPr="00E72DA1">
              <w:rPr>
                <w:rFonts w:ascii="Times New Roman" w:hAnsi="Times New Roman"/>
                <w:b/>
                <w:bCs/>
                <w:color w:val="000000"/>
              </w:rPr>
              <w:t>438.15</w:t>
            </w:r>
          </w:p>
        </w:tc>
      </w:tr>
    </w:tbl>
    <w:p w14:paraId="4DE6BBE6"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长期待摊费用账面原值合计2,190.78万元，根据审计报告显示，摊销年限为5年，本次评估师基于上述原则测算长期待摊费用的预测期各年的摊销金额。</w:t>
      </w:r>
    </w:p>
    <w:p w14:paraId="27C34FAE"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2）资本性支出</w:t>
      </w:r>
    </w:p>
    <w:p w14:paraId="0AD499FC"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对于长期待摊费用的资本性支出，由于标的公司目前的办公场所场地面积充足，可以满足未来新增人员的办公需要，因此预测期内未考虑新增办公场所以及对应装修支出。对于云服务器费用，由于目前在成本中已考虑了部分未来SaaS服务需要的云服务器费用，故本次预测期内考虑50%的摊销费用作为更新性资本性支出，永续期考虑100%的摊销费用作为更新性资本性支出。</w:t>
      </w:r>
    </w:p>
    <w:p w14:paraId="19240EDF"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长期待摊费用预测期资本性支出预测如下：</w:t>
      </w:r>
    </w:p>
    <w:p w14:paraId="175B4EF1"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109"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581"/>
        <w:gridCol w:w="1585"/>
        <w:gridCol w:w="892"/>
        <w:gridCol w:w="892"/>
        <w:gridCol w:w="892"/>
        <w:gridCol w:w="892"/>
        <w:gridCol w:w="1525"/>
      </w:tblGrid>
      <w:tr w:rsidR="00CD798F" w:rsidRPr="00316E63" w14:paraId="0D3E1DAD" w14:textId="77777777" w:rsidTr="00214723">
        <w:trPr>
          <w:cantSplit/>
          <w:trHeight w:val="454"/>
          <w:tblHeader/>
          <w:jc w:val="center"/>
        </w:trPr>
        <w:tc>
          <w:tcPr>
            <w:tcW w:w="1713" w:type="pct"/>
            <w:noWrap/>
            <w:vAlign w:val="center"/>
            <w:hideMark/>
          </w:tcPr>
          <w:p w14:paraId="24F0236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科目</w:t>
            </w:r>
          </w:p>
        </w:tc>
        <w:tc>
          <w:tcPr>
            <w:tcW w:w="743" w:type="pct"/>
            <w:noWrap/>
            <w:vAlign w:val="center"/>
            <w:hideMark/>
          </w:tcPr>
          <w:p w14:paraId="2B8C0F6D"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7-12</w:t>
            </w:r>
            <w:r w:rsidRPr="00E72DA1">
              <w:rPr>
                <w:rFonts w:ascii="Times New Roman" w:hAnsi="Times New Roman" w:hint="eastAsia"/>
                <w:b/>
                <w:color w:val="000000"/>
                <w:szCs w:val="21"/>
              </w:rPr>
              <w:t>月</w:t>
            </w:r>
          </w:p>
        </w:tc>
        <w:tc>
          <w:tcPr>
            <w:tcW w:w="431" w:type="pct"/>
            <w:noWrap/>
            <w:vAlign w:val="center"/>
            <w:hideMark/>
          </w:tcPr>
          <w:p w14:paraId="3738819E"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538" w:type="pct"/>
            <w:noWrap/>
            <w:vAlign w:val="center"/>
            <w:hideMark/>
          </w:tcPr>
          <w:p w14:paraId="0DD16D02"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431" w:type="pct"/>
            <w:noWrap/>
            <w:vAlign w:val="center"/>
            <w:hideMark/>
          </w:tcPr>
          <w:p w14:paraId="364F9AB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431" w:type="pct"/>
            <w:noWrap/>
            <w:vAlign w:val="center"/>
            <w:hideMark/>
          </w:tcPr>
          <w:p w14:paraId="26EEAEF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c>
          <w:tcPr>
            <w:tcW w:w="713" w:type="pct"/>
            <w:noWrap/>
            <w:vAlign w:val="center"/>
            <w:hideMark/>
          </w:tcPr>
          <w:p w14:paraId="2DBB808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2030</w:t>
            </w:r>
            <w:r w:rsidRPr="00E72DA1">
              <w:rPr>
                <w:rFonts w:ascii="Times New Roman" w:hAnsi="Times New Roman" w:hint="eastAsia"/>
                <w:b/>
                <w:color w:val="000000"/>
                <w:szCs w:val="21"/>
              </w:rPr>
              <w:t>年及以后</w:t>
            </w:r>
          </w:p>
        </w:tc>
      </w:tr>
      <w:tr w:rsidR="00CD798F" w:rsidRPr="00316E63" w14:paraId="473EEE36" w14:textId="77777777" w:rsidTr="00214723">
        <w:trPr>
          <w:cantSplit/>
          <w:trHeight w:val="454"/>
          <w:jc w:val="center"/>
        </w:trPr>
        <w:tc>
          <w:tcPr>
            <w:tcW w:w="1713" w:type="pct"/>
            <w:noWrap/>
            <w:vAlign w:val="center"/>
            <w:hideMark/>
          </w:tcPr>
          <w:p w14:paraId="23052188"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长期待摊费用当期摊销</w:t>
            </w:r>
          </w:p>
        </w:tc>
        <w:tc>
          <w:tcPr>
            <w:tcW w:w="743" w:type="pct"/>
            <w:noWrap/>
            <w:vAlign w:val="center"/>
            <w:hideMark/>
          </w:tcPr>
          <w:p w14:paraId="16E4344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127.01</w:t>
            </w:r>
          </w:p>
        </w:tc>
        <w:tc>
          <w:tcPr>
            <w:tcW w:w="431" w:type="pct"/>
            <w:noWrap/>
            <w:vAlign w:val="center"/>
            <w:hideMark/>
          </w:tcPr>
          <w:p w14:paraId="4BB6416A"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538" w:type="pct"/>
            <w:noWrap/>
            <w:vAlign w:val="center"/>
            <w:hideMark/>
          </w:tcPr>
          <w:p w14:paraId="29F84D2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431" w:type="pct"/>
            <w:noWrap/>
            <w:vAlign w:val="center"/>
            <w:hideMark/>
          </w:tcPr>
          <w:p w14:paraId="35B3F21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431" w:type="pct"/>
            <w:noWrap/>
            <w:vAlign w:val="center"/>
            <w:hideMark/>
          </w:tcPr>
          <w:p w14:paraId="535AFC9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713" w:type="pct"/>
            <w:noWrap/>
            <w:vAlign w:val="center"/>
            <w:hideMark/>
          </w:tcPr>
          <w:p w14:paraId="6498714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438.15</w:t>
            </w:r>
          </w:p>
        </w:tc>
      </w:tr>
      <w:tr w:rsidR="00CD798F" w:rsidRPr="00316E63" w14:paraId="1F0B8D88" w14:textId="77777777" w:rsidTr="00214723">
        <w:trPr>
          <w:cantSplit/>
          <w:trHeight w:val="454"/>
          <w:jc w:val="center"/>
        </w:trPr>
        <w:tc>
          <w:tcPr>
            <w:tcW w:w="1713" w:type="pct"/>
            <w:noWrap/>
            <w:vAlign w:val="center"/>
            <w:hideMark/>
          </w:tcPr>
          <w:p w14:paraId="54456EA6"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摊销资金用于</w:t>
            </w:r>
          </w:p>
          <w:p w14:paraId="06B2B8C4"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更新性资本性支出的比例</w:t>
            </w:r>
          </w:p>
        </w:tc>
        <w:tc>
          <w:tcPr>
            <w:tcW w:w="743" w:type="pct"/>
            <w:noWrap/>
            <w:vAlign w:val="center"/>
            <w:hideMark/>
          </w:tcPr>
          <w:p w14:paraId="1166DE3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w:t>
            </w:r>
          </w:p>
        </w:tc>
        <w:tc>
          <w:tcPr>
            <w:tcW w:w="431" w:type="pct"/>
            <w:noWrap/>
            <w:vAlign w:val="center"/>
            <w:hideMark/>
          </w:tcPr>
          <w:p w14:paraId="3268BC5A"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w:t>
            </w:r>
          </w:p>
        </w:tc>
        <w:tc>
          <w:tcPr>
            <w:tcW w:w="538" w:type="pct"/>
            <w:noWrap/>
            <w:vAlign w:val="center"/>
            <w:hideMark/>
          </w:tcPr>
          <w:p w14:paraId="770E9BA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w:t>
            </w:r>
          </w:p>
        </w:tc>
        <w:tc>
          <w:tcPr>
            <w:tcW w:w="431" w:type="pct"/>
            <w:noWrap/>
            <w:vAlign w:val="center"/>
            <w:hideMark/>
          </w:tcPr>
          <w:p w14:paraId="0675BF5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w:t>
            </w:r>
          </w:p>
        </w:tc>
        <w:tc>
          <w:tcPr>
            <w:tcW w:w="431" w:type="pct"/>
            <w:noWrap/>
            <w:vAlign w:val="center"/>
            <w:hideMark/>
          </w:tcPr>
          <w:p w14:paraId="6E3A41A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w:t>
            </w:r>
          </w:p>
        </w:tc>
        <w:tc>
          <w:tcPr>
            <w:tcW w:w="713" w:type="pct"/>
            <w:noWrap/>
            <w:vAlign w:val="center"/>
            <w:hideMark/>
          </w:tcPr>
          <w:p w14:paraId="4BF55D5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100.0%</w:t>
            </w:r>
          </w:p>
        </w:tc>
      </w:tr>
      <w:tr w:rsidR="00CD798F" w:rsidRPr="00316E63" w14:paraId="1FBAB94D" w14:textId="77777777" w:rsidTr="00214723">
        <w:trPr>
          <w:cantSplit/>
          <w:trHeight w:val="454"/>
          <w:jc w:val="center"/>
        </w:trPr>
        <w:tc>
          <w:tcPr>
            <w:tcW w:w="1713" w:type="pct"/>
            <w:noWrap/>
            <w:vAlign w:val="center"/>
          </w:tcPr>
          <w:p w14:paraId="19415E98"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更新性资本性支出金额</w:t>
            </w:r>
          </w:p>
        </w:tc>
        <w:tc>
          <w:tcPr>
            <w:tcW w:w="743" w:type="pct"/>
            <w:noWrap/>
            <w:vAlign w:val="center"/>
          </w:tcPr>
          <w:p w14:paraId="7BD6ABE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127.01</w:t>
            </w:r>
          </w:p>
        </w:tc>
        <w:tc>
          <w:tcPr>
            <w:tcW w:w="431" w:type="pct"/>
            <w:noWrap/>
            <w:vAlign w:val="center"/>
          </w:tcPr>
          <w:p w14:paraId="758ECAE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538" w:type="pct"/>
            <w:noWrap/>
            <w:vAlign w:val="center"/>
          </w:tcPr>
          <w:p w14:paraId="020C2E3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431" w:type="pct"/>
            <w:noWrap/>
            <w:vAlign w:val="center"/>
          </w:tcPr>
          <w:p w14:paraId="28566D92"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431" w:type="pct"/>
            <w:noWrap/>
            <w:vAlign w:val="center"/>
          </w:tcPr>
          <w:p w14:paraId="16B62F3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254.00</w:t>
            </w:r>
          </w:p>
        </w:tc>
        <w:tc>
          <w:tcPr>
            <w:tcW w:w="713" w:type="pct"/>
            <w:noWrap/>
            <w:vAlign w:val="center"/>
          </w:tcPr>
          <w:p w14:paraId="663F26A7"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438.15</w:t>
            </w:r>
          </w:p>
        </w:tc>
      </w:tr>
    </w:tbl>
    <w:p w14:paraId="59637046" w14:textId="77777777" w:rsidR="00CD798F" w:rsidRDefault="00CD798F" w:rsidP="00CD798F">
      <w:pPr>
        <w:pStyle w:val="004"/>
        <w:spacing w:before="120" w:after="120"/>
        <w:ind w:firstLine="482"/>
        <w:outlineLvl w:val="4"/>
      </w:pPr>
      <w:r>
        <w:rPr>
          <w:rFonts w:hint="eastAsia"/>
        </w:rPr>
        <w:t>（</w:t>
      </w:r>
      <w:r>
        <w:rPr>
          <w:rFonts w:hint="eastAsia"/>
        </w:rPr>
        <w:t>4</w:t>
      </w:r>
      <w:r>
        <w:rPr>
          <w:rFonts w:hint="eastAsia"/>
        </w:rPr>
        <w:t>）</w:t>
      </w:r>
      <w:r w:rsidRPr="00377B2D">
        <w:rPr>
          <w:rFonts w:hint="eastAsia"/>
        </w:rPr>
        <w:t>折旧与摊销、资本性支出</w:t>
      </w:r>
    </w:p>
    <w:p w14:paraId="56D71B33"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根据上述测算，预测期折旧与摊销和资本性支出金额情况如下：</w:t>
      </w:r>
    </w:p>
    <w:p w14:paraId="153B5157"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061"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1596"/>
        <w:gridCol w:w="957"/>
        <w:gridCol w:w="1068"/>
        <w:gridCol w:w="958"/>
        <w:gridCol w:w="958"/>
        <w:gridCol w:w="1529"/>
      </w:tblGrid>
      <w:tr w:rsidR="00CD798F" w:rsidRPr="00316E63" w14:paraId="248766D4" w14:textId="77777777" w:rsidTr="00214723">
        <w:trPr>
          <w:cantSplit/>
          <w:trHeight w:val="454"/>
          <w:tblHeader/>
          <w:jc w:val="center"/>
        </w:trPr>
        <w:tc>
          <w:tcPr>
            <w:tcW w:w="1143" w:type="pct"/>
            <w:noWrap/>
            <w:vAlign w:val="center"/>
            <w:hideMark/>
          </w:tcPr>
          <w:p w14:paraId="1FAC39F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lastRenderedPageBreak/>
              <w:t>科目</w:t>
            </w:r>
          </w:p>
        </w:tc>
        <w:tc>
          <w:tcPr>
            <w:tcW w:w="871" w:type="pct"/>
            <w:noWrap/>
            <w:vAlign w:val="center"/>
            <w:hideMark/>
          </w:tcPr>
          <w:p w14:paraId="2D389DE3"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2025</w:t>
            </w:r>
            <w:r w:rsidRPr="00E72DA1">
              <w:rPr>
                <w:rFonts w:ascii="Times New Roman" w:hAnsi="Times New Roman" w:hint="eastAsia"/>
                <w:b/>
                <w:color w:val="000000"/>
                <w:szCs w:val="21"/>
              </w:rPr>
              <w:t>年</w:t>
            </w:r>
            <w:r w:rsidRPr="00E72DA1">
              <w:rPr>
                <w:rFonts w:ascii="Times New Roman" w:hAnsi="Times New Roman"/>
                <w:b/>
                <w:color w:val="000000"/>
                <w:szCs w:val="21"/>
              </w:rPr>
              <w:t>7-12</w:t>
            </w:r>
            <w:r w:rsidRPr="00E72DA1">
              <w:rPr>
                <w:rFonts w:ascii="Times New Roman" w:hAnsi="Times New Roman" w:hint="eastAsia"/>
                <w:b/>
                <w:color w:val="000000"/>
                <w:szCs w:val="21"/>
              </w:rPr>
              <w:t>月</w:t>
            </w:r>
          </w:p>
        </w:tc>
        <w:tc>
          <w:tcPr>
            <w:tcW w:w="523" w:type="pct"/>
            <w:noWrap/>
            <w:vAlign w:val="center"/>
            <w:hideMark/>
          </w:tcPr>
          <w:p w14:paraId="700DC92E"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2026</w:t>
            </w:r>
            <w:r w:rsidRPr="00E72DA1">
              <w:rPr>
                <w:rFonts w:ascii="Times New Roman" w:hAnsi="Times New Roman" w:hint="eastAsia"/>
                <w:b/>
                <w:color w:val="000000"/>
                <w:szCs w:val="21"/>
              </w:rPr>
              <w:t>年</w:t>
            </w:r>
          </w:p>
        </w:tc>
        <w:tc>
          <w:tcPr>
            <w:tcW w:w="583" w:type="pct"/>
            <w:noWrap/>
            <w:vAlign w:val="center"/>
            <w:hideMark/>
          </w:tcPr>
          <w:p w14:paraId="5BEBE0FF"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2027</w:t>
            </w:r>
            <w:r w:rsidRPr="00E72DA1">
              <w:rPr>
                <w:rFonts w:ascii="Times New Roman" w:hAnsi="Times New Roman" w:hint="eastAsia"/>
                <w:b/>
                <w:color w:val="000000"/>
                <w:szCs w:val="21"/>
              </w:rPr>
              <w:t>年</w:t>
            </w:r>
          </w:p>
        </w:tc>
        <w:tc>
          <w:tcPr>
            <w:tcW w:w="523" w:type="pct"/>
            <w:noWrap/>
            <w:vAlign w:val="center"/>
            <w:hideMark/>
          </w:tcPr>
          <w:p w14:paraId="03237713"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2028</w:t>
            </w:r>
            <w:r w:rsidRPr="00E72DA1">
              <w:rPr>
                <w:rFonts w:ascii="Times New Roman" w:hAnsi="Times New Roman" w:hint="eastAsia"/>
                <w:b/>
                <w:color w:val="000000"/>
                <w:szCs w:val="21"/>
              </w:rPr>
              <w:t>年</w:t>
            </w:r>
          </w:p>
        </w:tc>
        <w:tc>
          <w:tcPr>
            <w:tcW w:w="523" w:type="pct"/>
            <w:noWrap/>
            <w:vAlign w:val="center"/>
            <w:hideMark/>
          </w:tcPr>
          <w:p w14:paraId="029BBE9E"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2029</w:t>
            </w:r>
            <w:r w:rsidRPr="00E72DA1">
              <w:rPr>
                <w:rFonts w:ascii="Times New Roman" w:hAnsi="Times New Roman" w:hint="eastAsia"/>
                <w:b/>
                <w:color w:val="000000"/>
                <w:szCs w:val="21"/>
              </w:rPr>
              <w:t>年</w:t>
            </w:r>
          </w:p>
        </w:tc>
        <w:tc>
          <w:tcPr>
            <w:tcW w:w="835" w:type="pct"/>
            <w:noWrap/>
            <w:vAlign w:val="center"/>
            <w:hideMark/>
          </w:tcPr>
          <w:p w14:paraId="2BEC550C"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b/>
                <w:color w:val="000000"/>
                <w:szCs w:val="21"/>
              </w:rPr>
              <w:t>2030</w:t>
            </w:r>
            <w:r w:rsidRPr="00E72DA1">
              <w:rPr>
                <w:rFonts w:ascii="Times New Roman" w:hAnsi="Times New Roman" w:hint="eastAsia"/>
                <w:b/>
                <w:color w:val="000000"/>
                <w:szCs w:val="21"/>
              </w:rPr>
              <w:t>年及以后</w:t>
            </w:r>
          </w:p>
        </w:tc>
      </w:tr>
      <w:tr w:rsidR="00CD798F" w:rsidRPr="00316E63" w14:paraId="131E8EF6" w14:textId="77777777" w:rsidTr="00214723">
        <w:trPr>
          <w:cantSplit/>
          <w:trHeight w:val="454"/>
          <w:jc w:val="center"/>
        </w:trPr>
        <w:tc>
          <w:tcPr>
            <w:tcW w:w="1143" w:type="pct"/>
            <w:noWrap/>
            <w:vAlign w:val="center"/>
            <w:hideMark/>
          </w:tcPr>
          <w:p w14:paraId="79808B0F"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折旧摊销金额合计</w:t>
            </w:r>
          </w:p>
        </w:tc>
        <w:tc>
          <w:tcPr>
            <w:tcW w:w="871" w:type="pct"/>
            <w:noWrap/>
            <w:vAlign w:val="center"/>
            <w:hideMark/>
          </w:tcPr>
          <w:p w14:paraId="5363B98E"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534.95</w:t>
            </w:r>
          </w:p>
        </w:tc>
        <w:tc>
          <w:tcPr>
            <w:tcW w:w="523" w:type="pct"/>
            <w:noWrap/>
            <w:vAlign w:val="center"/>
            <w:hideMark/>
          </w:tcPr>
          <w:p w14:paraId="33D2673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1,088.84</w:t>
            </w:r>
          </w:p>
        </w:tc>
        <w:tc>
          <w:tcPr>
            <w:tcW w:w="583" w:type="pct"/>
            <w:noWrap/>
            <w:vAlign w:val="center"/>
            <w:hideMark/>
          </w:tcPr>
          <w:p w14:paraId="29CE484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1,107.84</w:t>
            </w:r>
          </w:p>
        </w:tc>
        <w:tc>
          <w:tcPr>
            <w:tcW w:w="523" w:type="pct"/>
            <w:noWrap/>
            <w:vAlign w:val="center"/>
            <w:hideMark/>
          </w:tcPr>
          <w:p w14:paraId="69B888F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1,107.84</w:t>
            </w:r>
          </w:p>
        </w:tc>
        <w:tc>
          <w:tcPr>
            <w:tcW w:w="523" w:type="pct"/>
            <w:noWrap/>
            <w:vAlign w:val="center"/>
            <w:hideMark/>
          </w:tcPr>
          <w:p w14:paraId="676B4126"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1,107.84</w:t>
            </w:r>
          </w:p>
        </w:tc>
        <w:tc>
          <w:tcPr>
            <w:tcW w:w="835" w:type="pct"/>
            <w:noWrap/>
            <w:vAlign w:val="center"/>
            <w:hideMark/>
          </w:tcPr>
          <w:p w14:paraId="18AF2B5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1,107.84</w:t>
            </w:r>
          </w:p>
        </w:tc>
      </w:tr>
      <w:tr w:rsidR="00CD798F" w:rsidRPr="00316E63" w14:paraId="3E86E65B" w14:textId="77777777" w:rsidTr="00214723">
        <w:trPr>
          <w:cantSplit/>
          <w:trHeight w:val="454"/>
          <w:jc w:val="center"/>
        </w:trPr>
        <w:tc>
          <w:tcPr>
            <w:tcW w:w="1143" w:type="pct"/>
            <w:noWrap/>
            <w:vAlign w:val="center"/>
          </w:tcPr>
          <w:p w14:paraId="165F2B7E"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资本性支出金额合计</w:t>
            </w:r>
          </w:p>
        </w:tc>
        <w:tc>
          <w:tcPr>
            <w:tcW w:w="871" w:type="pct"/>
            <w:noWrap/>
            <w:vAlign w:val="center"/>
          </w:tcPr>
          <w:p w14:paraId="5C14361F"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368.90</w:t>
            </w:r>
          </w:p>
        </w:tc>
        <w:tc>
          <w:tcPr>
            <w:tcW w:w="523" w:type="pct"/>
            <w:noWrap/>
            <w:vAlign w:val="center"/>
          </w:tcPr>
          <w:p w14:paraId="0E6D29B1"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847.26</w:t>
            </w:r>
          </w:p>
        </w:tc>
        <w:tc>
          <w:tcPr>
            <w:tcW w:w="583" w:type="pct"/>
            <w:noWrap/>
            <w:vAlign w:val="center"/>
          </w:tcPr>
          <w:p w14:paraId="0CE52A65"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856.76</w:t>
            </w:r>
          </w:p>
        </w:tc>
        <w:tc>
          <w:tcPr>
            <w:tcW w:w="523" w:type="pct"/>
            <w:noWrap/>
            <w:vAlign w:val="center"/>
          </w:tcPr>
          <w:p w14:paraId="4E9815E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756.76</w:t>
            </w:r>
          </w:p>
        </w:tc>
        <w:tc>
          <w:tcPr>
            <w:tcW w:w="523" w:type="pct"/>
            <w:noWrap/>
            <w:vAlign w:val="center"/>
          </w:tcPr>
          <w:p w14:paraId="3B8DBF2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756.76</w:t>
            </w:r>
          </w:p>
        </w:tc>
        <w:tc>
          <w:tcPr>
            <w:tcW w:w="835" w:type="pct"/>
            <w:noWrap/>
            <w:vAlign w:val="center"/>
          </w:tcPr>
          <w:p w14:paraId="47EBDCEA"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1,107.84</w:t>
            </w:r>
          </w:p>
        </w:tc>
      </w:tr>
    </w:tbl>
    <w:p w14:paraId="584019BB"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其中，资本性支出中2026年度和2027年度略高于2028年度及2029年度，主要是在2026年度和2027年年度均考虑了新增设备各100万/年以满足预测期内业务扩张新增员工及设备配置需要。永续期的折旧摊销与资本性支出金额一致，是为了保证永续期内配置的资产可以满足未来持续使用。</w:t>
      </w:r>
    </w:p>
    <w:p w14:paraId="2E28119F"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综上，折旧摊销及资本性支出在预测期内的变动具备合理性。</w:t>
      </w:r>
    </w:p>
    <w:p w14:paraId="5238CFCF" w14:textId="77777777" w:rsidR="00CD798F" w:rsidRPr="00F25CA7" w:rsidRDefault="00CD798F" w:rsidP="00CD798F">
      <w:pPr>
        <w:pStyle w:val="004"/>
        <w:spacing w:before="120" w:after="120"/>
        <w:ind w:firstLine="482"/>
      </w:pPr>
      <w:r>
        <w:rPr>
          <w:rFonts w:hint="eastAsia"/>
        </w:rPr>
        <w:t>2</w:t>
      </w:r>
      <w:r>
        <w:rPr>
          <w:rFonts w:hint="eastAsia"/>
        </w:rPr>
        <w:t>、</w:t>
      </w:r>
      <w:r w:rsidRPr="00F25CA7">
        <w:rPr>
          <w:rFonts w:hint="eastAsia"/>
        </w:rPr>
        <w:t>营运资金、溢余资金</w:t>
      </w:r>
    </w:p>
    <w:p w14:paraId="68892A3D" w14:textId="77777777" w:rsidR="00CD798F" w:rsidRDefault="00CD798F" w:rsidP="00CD798F">
      <w:pPr>
        <w:pStyle w:val="004"/>
        <w:spacing w:before="120" w:after="120"/>
        <w:ind w:firstLine="482"/>
        <w:outlineLvl w:val="4"/>
      </w:pPr>
      <w:r>
        <w:rPr>
          <w:rFonts w:hint="eastAsia"/>
        </w:rPr>
        <w:t>（</w:t>
      </w:r>
      <w:r>
        <w:rPr>
          <w:rFonts w:hint="eastAsia"/>
        </w:rPr>
        <w:t>1</w:t>
      </w:r>
      <w:r>
        <w:rPr>
          <w:rFonts w:hint="eastAsia"/>
        </w:rPr>
        <w:t>）测算方式</w:t>
      </w:r>
    </w:p>
    <w:p w14:paraId="71265188"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预测期内，标的资产的营运资金、溢余资金的测算基于以下测算逻辑：</w:t>
      </w:r>
    </w:p>
    <w:p w14:paraId="6612B368"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营运资本＝最佳货币资金保有量＋存货＋应收款项－应付款项</w:t>
      </w:r>
    </w:p>
    <w:p w14:paraId="76799749"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营运资本增加额＝当期营运资本－上期营运资本</w:t>
      </w:r>
    </w:p>
    <w:p w14:paraId="31ADCB0C"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其中：</w:t>
      </w:r>
    </w:p>
    <w:p w14:paraId="73536B31"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最佳货币资金保有量＝月付现成本费用×最佳货币资金保有量月数</w:t>
      </w:r>
    </w:p>
    <w:p w14:paraId="62441CDA"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其中：</w:t>
      </w:r>
    </w:p>
    <w:p w14:paraId="6A13C051"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月付现成本费用＝营业成本＋税金＋期间费用－折旧和摊销</w:t>
      </w:r>
    </w:p>
    <w:p w14:paraId="12C5DD90"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最佳货币资金保有量月数本次参考企业历史年度现金周转情况，历史年度标的公司的应收款项、存货、应付款项周转情况如下：</w:t>
      </w:r>
    </w:p>
    <w:p w14:paraId="4BD193A3" w14:textId="77777777" w:rsidR="00CD798F" w:rsidRPr="00807CA9" w:rsidRDefault="00CD798F" w:rsidP="00CD798F">
      <w:pPr>
        <w:keepNext/>
        <w:jc w:val="right"/>
        <w:rPr>
          <w:rFonts w:ascii="Times" w:hAnsi="Times" w:cs="Times"/>
        </w:rPr>
      </w:pPr>
      <w:r w:rsidRPr="00807CA9">
        <w:rPr>
          <w:rFonts w:ascii="Times" w:hAnsi="Times" w:cs="Times" w:hint="eastAsia"/>
        </w:rPr>
        <w:t>单位：</w:t>
      </w:r>
      <w:r w:rsidRPr="00807CA9">
        <w:rPr>
          <w:rFonts w:ascii="Times" w:hAnsi="Times" w:cs="Times" w:hint="eastAsia"/>
        </w:rPr>
        <w:t>%</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827"/>
        <w:gridCol w:w="2508"/>
        <w:gridCol w:w="1863"/>
        <w:gridCol w:w="1863"/>
      </w:tblGrid>
      <w:tr w:rsidR="00CD798F" w:rsidRPr="00D95B42" w14:paraId="67330632" w14:textId="77777777" w:rsidTr="00214723">
        <w:trPr>
          <w:cantSplit/>
          <w:trHeight w:val="454"/>
          <w:tblHeader/>
          <w:jc w:val="center"/>
        </w:trPr>
        <w:tc>
          <w:tcPr>
            <w:tcW w:w="1560" w:type="pct"/>
            <w:noWrap/>
            <w:vAlign w:val="center"/>
          </w:tcPr>
          <w:p w14:paraId="4219A22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1384" w:type="pct"/>
            <w:vAlign w:val="center"/>
          </w:tcPr>
          <w:p w14:paraId="6C6E155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年</w:t>
            </w:r>
            <w:r w:rsidRPr="00D95B42">
              <w:rPr>
                <w:rFonts w:ascii="Times New Roman" w:hAnsi="Times New Roman"/>
                <w:b/>
                <w:color w:val="000000"/>
              </w:rPr>
              <w:t>1-6</w:t>
            </w:r>
            <w:r w:rsidRPr="00D95B42">
              <w:rPr>
                <w:rFonts w:ascii="Times New Roman" w:hAnsi="Times New Roman"/>
                <w:b/>
                <w:color w:val="000000"/>
              </w:rPr>
              <w:t>月</w:t>
            </w:r>
          </w:p>
        </w:tc>
        <w:tc>
          <w:tcPr>
            <w:tcW w:w="1028" w:type="pct"/>
            <w:noWrap/>
            <w:vAlign w:val="center"/>
          </w:tcPr>
          <w:p w14:paraId="5634C740"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2024</w:t>
            </w:r>
            <w:r w:rsidRPr="00D95B42">
              <w:rPr>
                <w:rFonts w:ascii="Times New Roman" w:hAnsi="Times New Roman"/>
                <w:b/>
                <w:color w:val="000000"/>
              </w:rPr>
              <w:t>年度</w:t>
            </w:r>
          </w:p>
        </w:tc>
        <w:tc>
          <w:tcPr>
            <w:tcW w:w="1028" w:type="pct"/>
            <w:vAlign w:val="center"/>
          </w:tcPr>
          <w:p w14:paraId="41CCC1C9"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2023</w:t>
            </w:r>
            <w:r w:rsidRPr="00D95B42">
              <w:rPr>
                <w:rFonts w:ascii="Times New Roman" w:hAnsi="Times New Roman"/>
                <w:b/>
                <w:color w:val="000000"/>
              </w:rPr>
              <w:t>年度</w:t>
            </w:r>
          </w:p>
        </w:tc>
      </w:tr>
      <w:tr w:rsidR="00CD798F" w:rsidRPr="00D95B42" w14:paraId="07C0223C" w14:textId="77777777" w:rsidTr="00214723">
        <w:trPr>
          <w:cantSplit/>
          <w:trHeight w:val="454"/>
          <w:jc w:val="center"/>
        </w:trPr>
        <w:tc>
          <w:tcPr>
            <w:tcW w:w="1560" w:type="pct"/>
            <w:noWrap/>
            <w:vAlign w:val="center"/>
            <w:hideMark/>
          </w:tcPr>
          <w:p w14:paraId="2B81A5A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存货周转率</w:t>
            </w:r>
          </w:p>
        </w:tc>
        <w:tc>
          <w:tcPr>
            <w:tcW w:w="1384" w:type="pct"/>
            <w:vAlign w:val="center"/>
          </w:tcPr>
          <w:p w14:paraId="27BBAF7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12.30</w:t>
            </w:r>
          </w:p>
        </w:tc>
        <w:tc>
          <w:tcPr>
            <w:tcW w:w="1028" w:type="pct"/>
            <w:noWrap/>
            <w:vAlign w:val="center"/>
            <w:hideMark/>
          </w:tcPr>
          <w:p w14:paraId="66470E8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14.40</w:t>
            </w:r>
          </w:p>
        </w:tc>
        <w:tc>
          <w:tcPr>
            <w:tcW w:w="1028" w:type="pct"/>
            <w:vAlign w:val="center"/>
          </w:tcPr>
          <w:p w14:paraId="4F04D73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12.40</w:t>
            </w:r>
          </w:p>
        </w:tc>
      </w:tr>
      <w:tr w:rsidR="00CD798F" w:rsidRPr="00D95B42" w14:paraId="5A54B58C" w14:textId="77777777" w:rsidTr="00214723">
        <w:trPr>
          <w:cantSplit/>
          <w:trHeight w:val="454"/>
          <w:jc w:val="center"/>
        </w:trPr>
        <w:tc>
          <w:tcPr>
            <w:tcW w:w="1560" w:type="pct"/>
            <w:noWrap/>
            <w:vAlign w:val="center"/>
            <w:hideMark/>
          </w:tcPr>
          <w:p w14:paraId="70EE0A7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lastRenderedPageBreak/>
              <w:t>应收款项周转率</w:t>
            </w:r>
          </w:p>
        </w:tc>
        <w:tc>
          <w:tcPr>
            <w:tcW w:w="1384" w:type="pct"/>
            <w:vAlign w:val="center"/>
          </w:tcPr>
          <w:p w14:paraId="7713AF8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45.90</w:t>
            </w:r>
          </w:p>
        </w:tc>
        <w:tc>
          <w:tcPr>
            <w:tcW w:w="1028" w:type="pct"/>
            <w:noWrap/>
            <w:vAlign w:val="center"/>
            <w:hideMark/>
          </w:tcPr>
          <w:p w14:paraId="4941881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27.30</w:t>
            </w:r>
          </w:p>
        </w:tc>
        <w:tc>
          <w:tcPr>
            <w:tcW w:w="1028" w:type="pct"/>
            <w:vAlign w:val="center"/>
          </w:tcPr>
          <w:p w14:paraId="720F91A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44.50</w:t>
            </w:r>
          </w:p>
        </w:tc>
      </w:tr>
      <w:tr w:rsidR="00CD798F" w:rsidRPr="00D95B42" w14:paraId="55116C18" w14:textId="77777777" w:rsidTr="00214723">
        <w:trPr>
          <w:cantSplit/>
          <w:trHeight w:val="454"/>
          <w:jc w:val="center"/>
        </w:trPr>
        <w:tc>
          <w:tcPr>
            <w:tcW w:w="1560" w:type="pct"/>
            <w:noWrap/>
            <w:vAlign w:val="center"/>
            <w:hideMark/>
          </w:tcPr>
          <w:p w14:paraId="7EC5A71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应付款项周转率</w:t>
            </w:r>
          </w:p>
        </w:tc>
        <w:tc>
          <w:tcPr>
            <w:tcW w:w="1384" w:type="pct"/>
            <w:vAlign w:val="center"/>
          </w:tcPr>
          <w:p w14:paraId="7FA7A7B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2.40</w:t>
            </w:r>
          </w:p>
        </w:tc>
        <w:tc>
          <w:tcPr>
            <w:tcW w:w="1028" w:type="pct"/>
            <w:noWrap/>
            <w:vAlign w:val="center"/>
            <w:hideMark/>
          </w:tcPr>
          <w:p w14:paraId="5DD9343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2.20</w:t>
            </w:r>
          </w:p>
        </w:tc>
        <w:tc>
          <w:tcPr>
            <w:tcW w:w="1028" w:type="pct"/>
            <w:vAlign w:val="center"/>
          </w:tcPr>
          <w:p w14:paraId="70B46EF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2.00</w:t>
            </w:r>
          </w:p>
        </w:tc>
      </w:tr>
    </w:tbl>
    <w:p w14:paraId="186CAC76" w14:textId="77777777" w:rsidR="00CD798F" w:rsidRPr="00C820D0" w:rsidRDefault="00CD798F" w:rsidP="00CD798F">
      <w:pPr>
        <w:pStyle w:val="005"/>
        <w:spacing w:before="120" w:after="120"/>
        <w:ind w:firstLine="480"/>
      </w:pPr>
      <w:r w:rsidRPr="00C820D0">
        <w:t>数据显示历史年度标的公司的应收款项周转天数在</w:t>
      </w:r>
      <w:r w:rsidRPr="00C820D0">
        <w:t>8-13</w:t>
      </w:r>
      <w:r w:rsidRPr="00C820D0">
        <w:t>天，应付款项平均支付时间约为</w:t>
      </w:r>
      <w:r w:rsidRPr="00C820D0">
        <w:t>180</w:t>
      </w:r>
      <w:r w:rsidRPr="00C820D0">
        <w:t>天左右，存货周转天数约为</w:t>
      </w:r>
      <w:r w:rsidRPr="00C820D0">
        <w:t>25-30</w:t>
      </w:r>
      <w:r w:rsidRPr="00C820D0">
        <w:t>天左右，显示现金流状态良好。结合上述主要影响营运资金的项目来看，标的公司保有的最佳货币资金水平在</w:t>
      </w:r>
      <w:r w:rsidRPr="00C820D0">
        <w:t>1</w:t>
      </w:r>
      <w:r w:rsidRPr="00C820D0">
        <w:t>个月以内，基于谨慎性考虑，本次按</w:t>
      </w:r>
      <w:r w:rsidRPr="00C820D0">
        <w:t>1</w:t>
      </w:r>
      <w:r w:rsidRPr="00C820D0">
        <w:t>个月作为最佳货币资金保有量，具备合理性。</w:t>
      </w:r>
    </w:p>
    <w:p w14:paraId="1C20F93F" w14:textId="77777777" w:rsidR="00CD798F" w:rsidRPr="00C820D0" w:rsidRDefault="00CD798F" w:rsidP="00CD798F">
      <w:pPr>
        <w:pStyle w:val="005"/>
        <w:spacing w:before="120" w:after="120"/>
        <w:ind w:firstLine="480"/>
        <w:rPr>
          <w:rFonts w:ascii="宋体" w:hAnsi="宋体" w:hint="eastAsia"/>
        </w:rPr>
      </w:pPr>
      <w:r w:rsidRPr="00C820D0">
        <w:t>预测期内根据各期的成本费用预测值，计算月付现成本费用，并按</w:t>
      </w:r>
      <w:r w:rsidRPr="00C820D0">
        <w:t>1</w:t>
      </w:r>
      <w:r w:rsidRPr="00C820D0">
        <w:t>个月的月</w:t>
      </w:r>
      <w:r w:rsidRPr="00C820D0">
        <w:rPr>
          <w:rFonts w:ascii="宋体" w:hAnsi="宋体" w:hint="eastAsia"/>
        </w:rPr>
        <w:t>付现成本费用作为的最佳货币资金保有量。</w:t>
      </w:r>
    </w:p>
    <w:p w14:paraId="38069937"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预测期最佳货币资金保有量具体测算过程及预测数据如下：</w:t>
      </w:r>
    </w:p>
    <w:p w14:paraId="703096B7"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273"/>
        <w:gridCol w:w="1100"/>
        <w:gridCol w:w="1046"/>
        <w:gridCol w:w="1046"/>
        <w:gridCol w:w="1046"/>
        <w:gridCol w:w="1046"/>
        <w:gridCol w:w="1504"/>
      </w:tblGrid>
      <w:tr w:rsidR="00CD798F" w:rsidRPr="00D95B42" w14:paraId="79829670" w14:textId="77777777" w:rsidTr="00214723">
        <w:trPr>
          <w:cantSplit/>
          <w:trHeight w:val="454"/>
          <w:tblHeader/>
          <w:jc w:val="center"/>
        </w:trPr>
        <w:tc>
          <w:tcPr>
            <w:tcW w:w="1255" w:type="pct"/>
            <w:noWrap/>
            <w:vAlign w:val="center"/>
            <w:hideMark/>
          </w:tcPr>
          <w:p w14:paraId="1312CC1D"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项目</w:t>
            </w:r>
          </w:p>
        </w:tc>
        <w:tc>
          <w:tcPr>
            <w:tcW w:w="607" w:type="pct"/>
            <w:noWrap/>
            <w:vAlign w:val="center"/>
            <w:hideMark/>
          </w:tcPr>
          <w:p w14:paraId="532D4216"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2025</w:t>
            </w:r>
            <w:r w:rsidRPr="00D95B42">
              <w:rPr>
                <w:rFonts w:ascii="Times New Roman" w:hAnsi="Times New Roman"/>
                <w:b/>
                <w:color w:val="000000"/>
                <w:sz w:val="18"/>
                <w:szCs w:val="21"/>
              </w:rPr>
              <w:t>全年</w:t>
            </w:r>
          </w:p>
        </w:tc>
        <w:tc>
          <w:tcPr>
            <w:tcW w:w="577" w:type="pct"/>
            <w:noWrap/>
            <w:vAlign w:val="center"/>
            <w:hideMark/>
          </w:tcPr>
          <w:p w14:paraId="0A4D1FC3"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2026</w:t>
            </w:r>
            <w:r w:rsidRPr="00D95B42">
              <w:rPr>
                <w:rFonts w:ascii="Times New Roman" w:hAnsi="Times New Roman"/>
                <w:b/>
                <w:color w:val="000000"/>
                <w:sz w:val="18"/>
                <w:szCs w:val="21"/>
              </w:rPr>
              <w:t>年</w:t>
            </w:r>
          </w:p>
        </w:tc>
        <w:tc>
          <w:tcPr>
            <w:tcW w:w="577" w:type="pct"/>
            <w:noWrap/>
            <w:vAlign w:val="center"/>
            <w:hideMark/>
          </w:tcPr>
          <w:p w14:paraId="4BC8202E"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2027</w:t>
            </w:r>
            <w:r w:rsidRPr="00D95B42">
              <w:rPr>
                <w:rFonts w:ascii="Times New Roman" w:hAnsi="Times New Roman"/>
                <w:b/>
                <w:color w:val="000000"/>
                <w:sz w:val="18"/>
                <w:szCs w:val="21"/>
              </w:rPr>
              <w:t>年</w:t>
            </w:r>
          </w:p>
        </w:tc>
        <w:tc>
          <w:tcPr>
            <w:tcW w:w="577" w:type="pct"/>
            <w:noWrap/>
            <w:vAlign w:val="center"/>
            <w:hideMark/>
          </w:tcPr>
          <w:p w14:paraId="57876238"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2028</w:t>
            </w:r>
            <w:r w:rsidRPr="00D95B42">
              <w:rPr>
                <w:rFonts w:ascii="Times New Roman" w:hAnsi="Times New Roman"/>
                <w:b/>
                <w:color w:val="000000"/>
                <w:sz w:val="18"/>
                <w:szCs w:val="21"/>
              </w:rPr>
              <w:t>年</w:t>
            </w:r>
          </w:p>
        </w:tc>
        <w:tc>
          <w:tcPr>
            <w:tcW w:w="577" w:type="pct"/>
            <w:noWrap/>
            <w:vAlign w:val="center"/>
            <w:hideMark/>
          </w:tcPr>
          <w:p w14:paraId="7FCFF28E"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2029</w:t>
            </w:r>
            <w:r w:rsidRPr="00D95B42">
              <w:rPr>
                <w:rFonts w:ascii="Times New Roman" w:hAnsi="Times New Roman"/>
                <w:b/>
                <w:color w:val="000000"/>
                <w:sz w:val="18"/>
                <w:szCs w:val="21"/>
              </w:rPr>
              <w:t>年</w:t>
            </w:r>
          </w:p>
        </w:tc>
        <w:tc>
          <w:tcPr>
            <w:tcW w:w="830" w:type="pct"/>
            <w:noWrap/>
            <w:vAlign w:val="center"/>
            <w:hideMark/>
          </w:tcPr>
          <w:p w14:paraId="67992739" w14:textId="77777777" w:rsidR="00CD798F" w:rsidRPr="00D95B42" w:rsidRDefault="00CD798F" w:rsidP="00214723">
            <w:pPr>
              <w:keepNext/>
              <w:jc w:val="center"/>
              <w:rPr>
                <w:rFonts w:ascii="Times New Roman" w:hAnsi="Times New Roman"/>
                <w:b/>
                <w:color w:val="000000"/>
                <w:sz w:val="18"/>
                <w:szCs w:val="21"/>
              </w:rPr>
            </w:pPr>
            <w:r w:rsidRPr="00D95B42">
              <w:rPr>
                <w:rFonts w:ascii="Times New Roman" w:hAnsi="Times New Roman"/>
                <w:b/>
                <w:color w:val="000000"/>
                <w:sz w:val="18"/>
                <w:szCs w:val="21"/>
              </w:rPr>
              <w:t>2030</w:t>
            </w:r>
            <w:r w:rsidRPr="00D95B42">
              <w:rPr>
                <w:rFonts w:ascii="Times New Roman" w:hAnsi="Times New Roman"/>
                <w:b/>
                <w:color w:val="000000"/>
                <w:sz w:val="18"/>
                <w:szCs w:val="21"/>
              </w:rPr>
              <w:t>年及以后</w:t>
            </w:r>
          </w:p>
        </w:tc>
      </w:tr>
      <w:tr w:rsidR="00CD798F" w:rsidRPr="00D95B42" w14:paraId="157D412F" w14:textId="77777777" w:rsidTr="00214723">
        <w:trPr>
          <w:cantSplit/>
          <w:trHeight w:val="454"/>
          <w:jc w:val="center"/>
        </w:trPr>
        <w:tc>
          <w:tcPr>
            <w:tcW w:w="1255" w:type="pct"/>
            <w:noWrap/>
            <w:vAlign w:val="center"/>
            <w:hideMark/>
          </w:tcPr>
          <w:p w14:paraId="21D233A3"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付现成本及费用合计</w:t>
            </w:r>
          </w:p>
        </w:tc>
        <w:tc>
          <w:tcPr>
            <w:tcW w:w="607" w:type="pct"/>
            <w:noWrap/>
            <w:vAlign w:val="center"/>
            <w:hideMark/>
          </w:tcPr>
          <w:p w14:paraId="1813ABE4"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39,723.89</w:t>
            </w:r>
          </w:p>
        </w:tc>
        <w:tc>
          <w:tcPr>
            <w:tcW w:w="577" w:type="pct"/>
            <w:noWrap/>
            <w:vAlign w:val="center"/>
            <w:hideMark/>
          </w:tcPr>
          <w:p w14:paraId="45B5FBBB"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42,786.64</w:t>
            </w:r>
          </w:p>
        </w:tc>
        <w:tc>
          <w:tcPr>
            <w:tcW w:w="577" w:type="pct"/>
            <w:noWrap/>
            <w:vAlign w:val="center"/>
            <w:hideMark/>
          </w:tcPr>
          <w:p w14:paraId="71870DB9"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45,702.25</w:t>
            </w:r>
          </w:p>
        </w:tc>
        <w:tc>
          <w:tcPr>
            <w:tcW w:w="577" w:type="pct"/>
            <w:noWrap/>
            <w:vAlign w:val="center"/>
            <w:hideMark/>
          </w:tcPr>
          <w:p w14:paraId="65265569"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48,282.92</w:t>
            </w:r>
          </w:p>
        </w:tc>
        <w:tc>
          <w:tcPr>
            <w:tcW w:w="577" w:type="pct"/>
            <w:noWrap/>
            <w:vAlign w:val="center"/>
            <w:hideMark/>
          </w:tcPr>
          <w:p w14:paraId="0AA789DE"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50,069.32</w:t>
            </w:r>
          </w:p>
        </w:tc>
        <w:tc>
          <w:tcPr>
            <w:tcW w:w="830" w:type="pct"/>
            <w:noWrap/>
            <w:vAlign w:val="center"/>
            <w:hideMark/>
          </w:tcPr>
          <w:p w14:paraId="5860D2A1"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50,069.32</w:t>
            </w:r>
          </w:p>
        </w:tc>
      </w:tr>
      <w:tr w:rsidR="00CD798F" w:rsidRPr="00D95B42" w14:paraId="0790A134" w14:textId="77777777" w:rsidTr="00214723">
        <w:trPr>
          <w:cantSplit/>
          <w:trHeight w:val="454"/>
          <w:jc w:val="center"/>
        </w:trPr>
        <w:tc>
          <w:tcPr>
            <w:tcW w:w="1255" w:type="pct"/>
            <w:noWrap/>
            <w:vAlign w:val="center"/>
            <w:hideMark/>
          </w:tcPr>
          <w:p w14:paraId="013A61A0"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平均每月付现成本费用</w:t>
            </w:r>
          </w:p>
        </w:tc>
        <w:tc>
          <w:tcPr>
            <w:tcW w:w="607" w:type="pct"/>
            <w:noWrap/>
            <w:vAlign w:val="center"/>
            <w:hideMark/>
          </w:tcPr>
          <w:p w14:paraId="37BFD76C"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3,310.32</w:t>
            </w:r>
          </w:p>
        </w:tc>
        <w:tc>
          <w:tcPr>
            <w:tcW w:w="577" w:type="pct"/>
            <w:noWrap/>
            <w:vAlign w:val="center"/>
            <w:hideMark/>
          </w:tcPr>
          <w:p w14:paraId="55B808BA"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3,565.55</w:t>
            </w:r>
          </w:p>
        </w:tc>
        <w:tc>
          <w:tcPr>
            <w:tcW w:w="577" w:type="pct"/>
            <w:noWrap/>
            <w:vAlign w:val="center"/>
            <w:hideMark/>
          </w:tcPr>
          <w:p w14:paraId="1033993F"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3,808.52</w:t>
            </w:r>
          </w:p>
        </w:tc>
        <w:tc>
          <w:tcPr>
            <w:tcW w:w="577" w:type="pct"/>
            <w:noWrap/>
            <w:vAlign w:val="center"/>
            <w:hideMark/>
          </w:tcPr>
          <w:p w14:paraId="268AB8EA"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4,023.58</w:t>
            </w:r>
          </w:p>
        </w:tc>
        <w:tc>
          <w:tcPr>
            <w:tcW w:w="577" w:type="pct"/>
            <w:noWrap/>
            <w:vAlign w:val="center"/>
            <w:hideMark/>
          </w:tcPr>
          <w:p w14:paraId="32E4B73C"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4,172.44</w:t>
            </w:r>
          </w:p>
        </w:tc>
        <w:tc>
          <w:tcPr>
            <w:tcW w:w="830" w:type="pct"/>
            <w:noWrap/>
            <w:vAlign w:val="center"/>
            <w:hideMark/>
          </w:tcPr>
          <w:p w14:paraId="0B56448E"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4,172.44</w:t>
            </w:r>
          </w:p>
        </w:tc>
      </w:tr>
      <w:tr w:rsidR="00CD798F" w:rsidRPr="00D95B42" w14:paraId="752C4CE3" w14:textId="77777777" w:rsidTr="00214723">
        <w:trPr>
          <w:cantSplit/>
          <w:trHeight w:val="454"/>
          <w:jc w:val="center"/>
        </w:trPr>
        <w:tc>
          <w:tcPr>
            <w:tcW w:w="1255" w:type="pct"/>
            <w:vAlign w:val="center"/>
            <w:hideMark/>
          </w:tcPr>
          <w:p w14:paraId="52850269"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最佳货币资金保有量月数</w:t>
            </w:r>
          </w:p>
        </w:tc>
        <w:tc>
          <w:tcPr>
            <w:tcW w:w="607" w:type="pct"/>
            <w:noWrap/>
            <w:vAlign w:val="center"/>
            <w:hideMark/>
          </w:tcPr>
          <w:p w14:paraId="53BA4AAA"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1.00</w:t>
            </w:r>
          </w:p>
        </w:tc>
        <w:tc>
          <w:tcPr>
            <w:tcW w:w="577" w:type="pct"/>
            <w:noWrap/>
            <w:vAlign w:val="center"/>
            <w:hideMark/>
          </w:tcPr>
          <w:p w14:paraId="2CCF3167"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1.00</w:t>
            </w:r>
          </w:p>
        </w:tc>
        <w:tc>
          <w:tcPr>
            <w:tcW w:w="577" w:type="pct"/>
            <w:noWrap/>
            <w:vAlign w:val="center"/>
            <w:hideMark/>
          </w:tcPr>
          <w:p w14:paraId="23A7078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1.00</w:t>
            </w:r>
          </w:p>
        </w:tc>
        <w:tc>
          <w:tcPr>
            <w:tcW w:w="577" w:type="pct"/>
            <w:noWrap/>
            <w:vAlign w:val="center"/>
            <w:hideMark/>
          </w:tcPr>
          <w:p w14:paraId="59D76D2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1.00</w:t>
            </w:r>
          </w:p>
        </w:tc>
        <w:tc>
          <w:tcPr>
            <w:tcW w:w="577" w:type="pct"/>
            <w:noWrap/>
            <w:vAlign w:val="center"/>
            <w:hideMark/>
          </w:tcPr>
          <w:p w14:paraId="3882443C"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1.00</w:t>
            </w:r>
          </w:p>
        </w:tc>
        <w:tc>
          <w:tcPr>
            <w:tcW w:w="830" w:type="pct"/>
            <w:noWrap/>
            <w:vAlign w:val="center"/>
            <w:hideMark/>
          </w:tcPr>
          <w:p w14:paraId="788082F1"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1.00</w:t>
            </w:r>
          </w:p>
        </w:tc>
      </w:tr>
      <w:tr w:rsidR="00CD798F" w:rsidRPr="00D95B42" w14:paraId="2EA7BE1F" w14:textId="77777777" w:rsidTr="00214723">
        <w:trPr>
          <w:cantSplit/>
          <w:trHeight w:val="454"/>
          <w:jc w:val="center"/>
        </w:trPr>
        <w:tc>
          <w:tcPr>
            <w:tcW w:w="1255" w:type="pct"/>
            <w:vAlign w:val="center"/>
            <w:hideMark/>
          </w:tcPr>
          <w:p w14:paraId="3F8E8BB0" w14:textId="77777777" w:rsidR="00CD798F" w:rsidRPr="00D95B42" w:rsidRDefault="00CD798F" w:rsidP="00214723">
            <w:pPr>
              <w:rPr>
                <w:rFonts w:ascii="Times New Roman" w:hAnsi="Times New Roman"/>
                <w:color w:val="000000"/>
                <w:sz w:val="18"/>
                <w:szCs w:val="21"/>
              </w:rPr>
            </w:pPr>
            <w:r w:rsidRPr="00D95B42">
              <w:rPr>
                <w:rFonts w:ascii="Times New Roman" w:hAnsi="Times New Roman"/>
                <w:color w:val="000000"/>
                <w:sz w:val="18"/>
                <w:szCs w:val="21"/>
              </w:rPr>
              <w:t>不可作为溢余资产的受限货币资金</w:t>
            </w:r>
          </w:p>
        </w:tc>
        <w:tc>
          <w:tcPr>
            <w:tcW w:w="607" w:type="pct"/>
            <w:noWrap/>
            <w:vAlign w:val="center"/>
            <w:hideMark/>
          </w:tcPr>
          <w:p w14:paraId="5A91B614"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0.00</w:t>
            </w:r>
          </w:p>
        </w:tc>
        <w:tc>
          <w:tcPr>
            <w:tcW w:w="577" w:type="pct"/>
            <w:noWrap/>
            <w:vAlign w:val="center"/>
            <w:hideMark/>
          </w:tcPr>
          <w:p w14:paraId="2303009F"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0.00</w:t>
            </w:r>
          </w:p>
        </w:tc>
        <w:tc>
          <w:tcPr>
            <w:tcW w:w="577" w:type="pct"/>
            <w:noWrap/>
            <w:vAlign w:val="center"/>
            <w:hideMark/>
          </w:tcPr>
          <w:p w14:paraId="453BA80E"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0.00</w:t>
            </w:r>
          </w:p>
        </w:tc>
        <w:tc>
          <w:tcPr>
            <w:tcW w:w="577" w:type="pct"/>
            <w:noWrap/>
            <w:vAlign w:val="center"/>
            <w:hideMark/>
          </w:tcPr>
          <w:p w14:paraId="1CAB0831"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0.00</w:t>
            </w:r>
          </w:p>
        </w:tc>
        <w:tc>
          <w:tcPr>
            <w:tcW w:w="577" w:type="pct"/>
            <w:noWrap/>
            <w:vAlign w:val="center"/>
            <w:hideMark/>
          </w:tcPr>
          <w:p w14:paraId="6865F0E0"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0.00</w:t>
            </w:r>
          </w:p>
        </w:tc>
        <w:tc>
          <w:tcPr>
            <w:tcW w:w="830" w:type="pct"/>
            <w:noWrap/>
            <w:vAlign w:val="center"/>
            <w:hideMark/>
          </w:tcPr>
          <w:p w14:paraId="29D6C09B" w14:textId="77777777" w:rsidR="00CD798F" w:rsidRPr="00D95B42" w:rsidRDefault="00CD798F" w:rsidP="00214723">
            <w:pPr>
              <w:jc w:val="right"/>
              <w:rPr>
                <w:rFonts w:ascii="Times New Roman" w:hAnsi="Times New Roman"/>
                <w:color w:val="000000"/>
                <w:sz w:val="18"/>
                <w:szCs w:val="21"/>
              </w:rPr>
            </w:pPr>
            <w:r w:rsidRPr="00D95B42">
              <w:rPr>
                <w:rFonts w:ascii="Times New Roman" w:hAnsi="Times New Roman"/>
                <w:color w:val="000000"/>
                <w:sz w:val="18"/>
                <w:szCs w:val="21"/>
              </w:rPr>
              <w:t>0.00</w:t>
            </w:r>
          </w:p>
        </w:tc>
      </w:tr>
      <w:tr w:rsidR="00CD798F" w:rsidRPr="00D95B42" w14:paraId="09839AAC" w14:textId="77777777" w:rsidTr="00214723">
        <w:trPr>
          <w:cantSplit/>
          <w:trHeight w:val="454"/>
          <w:jc w:val="center"/>
        </w:trPr>
        <w:tc>
          <w:tcPr>
            <w:tcW w:w="1255" w:type="pct"/>
            <w:noWrap/>
            <w:vAlign w:val="center"/>
            <w:hideMark/>
          </w:tcPr>
          <w:p w14:paraId="74356D7F" w14:textId="77777777" w:rsidR="00CD798F" w:rsidRPr="00D95B42" w:rsidRDefault="00CD798F" w:rsidP="00214723">
            <w:pPr>
              <w:rPr>
                <w:rFonts w:ascii="Times New Roman" w:hAnsi="Times New Roman"/>
                <w:b/>
                <w:bCs/>
                <w:color w:val="000000"/>
                <w:sz w:val="18"/>
                <w:szCs w:val="21"/>
              </w:rPr>
            </w:pPr>
            <w:r w:rsidRPr="00D95B42">
              <w:rPr>
                <w:rFonts w:ascii="Times New Roman" w:hAnsi="Times New Roman"/>
                <w:b/>
                <w:bCs/>
                <w:color w:val="000000"/>
                <w:sz w:val="18"/>
                <w:szCs w:val="21"/>
              </w:rPr>
              <w:t>最佳货币资金保有量</w:t>
            </w:r>
          </w:p>
        </w:tc>
        <w:tc>
          <w:tcPr>
            <w:tcW w:w="607" w:type="pct"/>
            <w:noWrap/>
            <w:vAlign w:val="center"/>
            <w:hideMark/>
          </w:tcPr>
          <w:p w14:paraId="40B690DB"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3,310.32</w:t>
            </w:r>
          </w:p>
        </w:tc>
        <w:tc>
          <w:tcPr>
            <w:tcW w:w="577" w:type="pct"/>
            <w:noWrap/>
            <w:vAlign w:val="center"/>
            <w:hideMark/>
          </w:tcPr>
          <w:p w14:paraId="36DFF4CE"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3,565.55</w:t>
            </w:r>
          </w:p>
        </w:tc>
        <w:tc>
          <w:tcPr>
            <w:tcW w:w="577" w:type="pct"/>
            <w:noWrap/>
            <w:vAlign w:val="center"/>
            <w:hideMark/>
          </w:tcPr>
          <w:p w14:paraId="48BF551B"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3,808.52</w:t>
            </w:r>
          </w:p>
        </w:tc>
        <w:tc>
          <w:tcPr>
            <w:tcW w:w="577" w:type="pct"/>
            <w:noWrap/>
            <w:vAlign w:val="center"/>
            <w:hideMark/>
          </w:tcPr>
          <w:p w14:paraId="6F30D794"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4,023.58</w:t>
            </w:r>
          </w:p>
        </w:tc>
        <w:tc>
          <w:tcPr>
            <w:tcW w:w="577" w:type="pct"/>
            <w:noWrap/>
            <w:vAlign w:val="center"/>
            <w:hideMark/>
          </w:tcPr>
          <w:p w14:paraId="3FCB42C0"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4,172.44</w:t>
            </w:r>
          </w:p>
        </w:tc>
        <w:tc>
          <w:tcPr>
            <w:tcW w:w="830" w:type="pct"/>
            <w:noWrap/>
            <w:vAlign w:val="center"/>
            <w:hideMark/>
          </w:tcPr>
          <w:p w14:paraId="73CC8E7F" w14:textId="77777777" w:rsidR="00CD798F" w:rsidRPr="00D95B42" w:rsidRDefault="00CD798F" w:rsidP="00214723">
            <w:pPr>
              <w:jc w:val="right"/>
              <w:rPr>
                <w:rFonts w:ascii="Times New Roman" w:hAnsi="Times New Roman"/>
                <w:b/>
                <w:bCs/>
                <w:color w:val="000000"/>
                <w:sz w:val="18"/>
                <w:szCs w:val="21"/>
              </w:rPr>
            </w:pPr>
            <w:r w:rsidRPr="00D95B42">
              <w:rPr>
                <w:rFonts w:ascii="Times New Roman" w:hAnsi="Times New Roman"/>
                <w:b/>
                <w:bCs/>
                <w:color w:val="000000"/>
                <w:sz w:val="18"/>
                <w:szCs w:val="21"/>
              </w:rPr>
              <w:t>4,172.44</w:t>
            </w:r>
          </w:p>
        </w:tc>
      </w:tr>
    </w:tbl>
    <w:p w14:paraId="18D167C4" w14:textId="77777777" w:rsidR="00CD798F" w:rsidRDefault="00CD798F" w:rsidP="00CD798F">
      <w:pPr>
        <w:pStyle w:val="004"/>
        <w:spacing w:before="120" w:after="120"/>
        <w:ind w:firstLine="482"/>
        <w:outlineLvl w:val="4"/>
      </w:pPr>
      <w:r>
        <w:rPr>
          <w:rFonts w:hint="eastAsia"/>
        </w:rPr>
        <w:t>（</w:t>
      </w:r>
      <w:r>
        <w:rPr>
          <w:rFonts w:hint="eastAsia"/>
        </w:rPr>
        <w:t>2</w:t>
      </w:r>
      <w:r>
        <w:rPr>
          <w:rFonts w:hint="eastAsia"/>
        </w:rPr>
        <w:t>）</w:t>
      </w:r>
      <w:r w:rsidRPr="00BF5D78">
        <w:rPr>
          <w:rFonts w:hint="eastAsia"/>
        </w:rPr>
        <w:t>溢余资金</w:t>
      </w:r>
    </w:p>
    <w:p w14:paraId="34869548"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基准日溢余资金测算过程如下：</w:t>
      </w:r>
    </w:p>
    <w:p w14:paraId="2A19C526"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6272"/>
        <w:gridCol w:w="2789"/>
      </w:tblGrid>
      <w:tr w:rsidR="00CD798F" w:rsidRPr="00D95B42" w14:paraId="235AECFD" w14:textId="77777777" w:rsidTr="00214723">
        <w:trPr>
          <w:cantSplit/>
          <w:trHeight w:val="454"/>
          <w:tblHeader/>
          <w:jc w:val="center"/>
        </w:trPr>
        <w:tc>
          <w:tcPr>
            <w:tcW w:w="3461" w:type="pct"/>
            <w:noWrap/>
            <w:vAlign w:val="center"/>
            <w:hideMark/>
          </w:tcPr>
          <w:p w14:paraId="39ACFC0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项目</w:t>
            </w:r>
          </w:p>
        </w:tc>
        <w:tc>
          <w:tcPr>
            <w:tcW w:w="1539" w:type="pct"/>
            <w:vAlign w:val="center"/>
          </w:tcPr>
          <w:p w14:paraId="3C4E4FD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2025</w:t>
            </w:r>
            <w:r w:rsidRPr="00D95B42">
              <w:rPr>
                <w:rFonts w:ascii="Times New Roman" w:hAnsi="Times New Roman"/>
                <w:b/>
                <w:color w:val="000000"/>
              </w:rPr>
              <w:t>年</w:t>
            </w:r>
            <w:r w:rsidRPr="00D95B42">
              <w:rPr>
                <w:rFonts w:ascii="Times New Roman" w:hAnsi="Times New Roman"/>
                <w:b/>
                <w:color w:val="000000"/>
              </w:rPr>
              <w:t>1-6</w:t>
            </w:r>
            <w:r w:rsidRPr="00D95B42">
              <w:rPr>
                <w:rFonts w:ascii="Times New Roman" w:hAnsi="Times New Roman"/>
                <w:b/>
                <w:color w:val="000000"/>
              </w:rPr>
              <w:t>月</w:t>
            </w:r>
          </w:p>
        </w:tc>
      </w:tr>
      <w:tr w:rsidR="00CD798F" w:rsidRPr="00D95B42" w14:paraId="3B0AF575" w14:textId="77777777" w:rsidTr="00214723">
        <w:trPr>
          <w:cantSplit/>
          <w:trHeight w:val="454"/>
          <w:jc w:val="center"/>
        </w:trPr>
        <w:tc>
          <w:tcPr>
            <w:tcW w:w="3461" w:type="pct"/>
            <w:noWrap/>
            <w:vAlign w:val="center"/>
            <w:hideMark/>
          </w:tcPr>
          <w:p w14:paraId="72426A9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付现成本及费用合计</w:t>
            </w:r>
          </w:p>
        </w:tc>
        <w:tc>
          <w:tcPr>
            <w:tcW w:w="1539" w:type="pct"/>
            <w:vAlign w:val="center"/>
          </w:tcPr>
          <w:p w14:paraId="79011EE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18,160.62</w:t>
            </w:r>
          </w:p>
        </w:tc>
      </w:tr>
      <w:tr w:rsidR="00CD798F" w:rsidRPr="00D95B42" w14:paraId="3CDDF008" w14:textId="77777777" w:rsidTr="00214723">
        <w:trPr>
          <w:cantSplit/>
          <w:trHeight w:val="454"/>
          <w:jc w:val="center"/>
        </w:trPr>
        <w:tc>
          <w:tcPr>
            <w:tcW w:w="3461" w:type="pct"/>
            <w:noWrap/>
            <w:vAlign w:val="center"/>
            <w:hideMark/>
          </w:tcPr>
          <w:p w14:paraId="2E77613F"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平均每月付现成本费用</w:t>
            </w:r>
          </w:p>
        </w:tc>
        <w:tc>
          <w:tcPr>
            <w:tcW w:w="1539" w:type="pct"/>
            <w:vAlign w:val="center"/>
          </w:tcPr>
          <w:p w14:paraId="34DA7C4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3,026.77</w:t>
            </w:r>
          </w:p>
        </w:tc>
      </w:tr>
      <w:tr w:rsidR="00CD798F" w:rsidRPr="00D95B42" w14:paraId="01783C19" w14:textId="77777777" w:rsidTr="00214723">
        <w:trPr>
          <w:cantSplit/>
          <w:trHeight w:val="454"/>
          <w:jc w:val="center"/>
        </w:trPr>
        <w:tc>
          <w:tcPr>
            <w:tcW w:w="3461" w:type="pct"/>
            <w:vAlign w:val="center"/>
            <w:hideMark/>
          </w:tcPr>
          <w:p w14:paraId="294E26A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lastRenderedPageBreak/>
              <w:t>最佳货币资金保有量月数</w:t>
            </w:r>
          </w:p>
        </w:tc>
        <w:tc>
          <w:tcPr>
            <w:tcW w:w="1539" w:type="pct"/>
            <w:vAlign w:val="center"/>
          </w:tcPr>
          <w:p w14:paraId="362D433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1.00</w:t>
            </w:r>
          </w:p>
        </w:tc>
      </w:tr>
      <w:tr w:rsidR="00CD798F" w:rsidRPr="00D95B42" w14:paraId="6A6167F7" w14:textId="77777777" w:rsidTr="00214723">
        <w:trPr>
          <w:cantSplit/>
          <w:trHeight w:val="454"/>
          <w:jc w:val="center"/>
        </w:trPr>
        <w:tc>
          <w:tcPr>
            <w:tcW w:w="3461" w:type="pct"/>
            <w:vAlign w:val="center"/>
            <w:hideMark/>
          </w:tcPr>
          <w:p w14:paraId="7CA6378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不可作为溢余资产的受限货币资金</w:t>
            </w:r>
          </w:p>
        </w:tc>
        <w:tc>
          <w:tcPr>
            <w:tcW w:w="1539" w:type="pct"/>
            <w:vAlign w:val="center"/>
          </w:tcPr>
          <w:p w14:paraId="0FAC91C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w:t>
            </w:r>
          </w:p>
        </w:tc>
      </w:tr>
      <w:tr w:rsidR="00CD798F" w:rsidRPr="00D95B42" w14:paraId="13C2916A" w14:textId="77777777" w:rsidTr="00214723">
        <w:trPr>
          <w:cantSplit/>
          <w:trHeight w:val="454"/>
          <w:jc w:val="center"/>
        </w:trPr>
        <w:tc>
          <w:tcPr>
            <w:tcW w:w="3461" w:type="pct"/>
            <w:noWrap/>
            <w:vAlign w:val="center"/>
            <w:hideMark/>
          </w:tcPr>
          <w:p w14:paraId="35DE656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最佳货币资金保有量</w:t>
            </w:r>
          </w:p>
        </w:tc>
        <w:tc>
          <w:tcPr>
            <w:tcW w:w="1539" w:type="pct"/>
            <w:vAlign w:val="center"/>
          </w:tcPr>
          <w:p w14:paraId="2FE588E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3,026.77</w:t>
            </w:r>
          </w:p>
        </w:tc>
      </w:tr>
      <w:tr w:rsidR="00CD798F" w:rsidRPr="00D95B42" w14:paraId="4076FB26" w14:textId="77777777" w:rsidTr="00214723">
        <w:trPr>
          <w:cantSplit/>
          <w:trHeight w:val="454"/>
          <w:jc w:val="center"/>
        </w:trPr>
        <w:tc>
          <w:tcPr>
            <w:tcW w:w="3461" w:type="pct"/>
            <w:noWrap/>
            <w:vAlign w:val="center"/>
            <w:hideMark/>
          </w:tcPr>
          <w:p w14:paraId="2A51548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基准日货币资金</w:t>
            </w:r>
          </w:p>
        </w:tc>
        <w:tc>
          <w:tcPr>
            <w:tcW w:w="1539" w:type="pct"/>
            <w:vAlign w:val="center"/>
          </w:tcPr>
          <w:p w14:paraId="0D2430F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4,470.16</w:t>
            </w:r>
          </w:p>
        </w:tc>
      </w:tr>
      <w:tr w:rsidR="00CD798F" w:rsidRPr="00D95B42" w14:paraId="68893068" w14:textId="77777777" w:rsidTr="00214723">
        <w:trPr>
          <w:cantSplit/>
          <w:trHeight w:val="454"/>
          <w:jc w:val="center"/>
        </w:trPr>
        <w:tc>
          <w:tcPr>
            <w:tcW w:w="3461" w:type="pct"/>
            <w:noWrap/>
            <w:vAlign w:val="center"/>
            <w:hideMark/>
          </w:tcPr>
          <w:p w14:paraId="2F8DB9F8"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溢余资金</w:t>
            </w:r>
          </w:p>
        </w:tc>
        <w:tc>
          <w:tcPr>
            <w:tcW w:w="1539" w:type="pct"/>
            <w:vAlign w:val="center"/>
          </w:tcPr>
          <w:p w14:paraId="6B243EC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1,443.39</w:t>
            </w:r>
          </w:p>
        </w:tc>
      </w:tr>
    </w:tbl>
    <w:p w14:paraId="7212F6FF" w14:textId="77777777" w:rsidR="00CD798F" w:rsidRPr="00D95B42" w:rsidRDefault="00CD798F" w:rsidP="00CD798F">
      <w:pPr>
        <w:pStyle w:val="005"/>
        <w:spacing w:before="120" w:after="120"/>
        <w:ind w:firstLine="480"/>
      </w:pPr>
      <w:r w:rsidRPr="00D95B42">
        <w:t>基准日标的公司付现成本及费用合计为</w:t>
      </w:r>
      <w:r w:rsidRPr="00D95B42">
        <w:t>18,160.62</w:t>
      </w:r>
      <w:r w:rsidRPr="00D95B42">
        <w:t>万元，货币资金</w:t>
      </w:r>
      <w:r w:rsidRPr="00D95B42">
        <w:t>4,470.16</w:t>
      </w:r>
      <w:r w:rsidRPr="00D95B42">
        <w:t>万元，月付现成本费用合计</w:t>
      </w:r>
      <w:r w:rsidRPr="00D95B42">
        <w:t>3,026.77</w:t>
      </w:r>
      <w:r w:rsidRPr="00D95B42">
        <w:t>万元，则按</w:t>
      </w:r>
      <w:r w:rsidRPr="00D95B42">
        <w:t>1</w:t>
      </w:r>
      <w:r w:rsidRPr="00D95B42">
        <w:t>个月确认的最佳货币资金保有量为</w:t>
      </w:r>
      <w:r w:rsidRPr="00D95B42">
        <w:t>3,026.77</w:t>
      </w:r>
      <w:r w:rsidRPr="00D95B42">
        <w:t>万元，得到溢余资金合计</w:t>
      </w:r>
      <w:r w:rsidRPr="00D95B42">
        <w:t>1,443.39</w:t>
      </w:r>
      <w:r w:rsidRPr="00D95B42">
        <w:t>万元。</w:t>
      </w:r>
    </w:p>
    <w:p w14:paraId="5C9A8015" w14:textId="77777777" w:rsidR="00CD798F" w:rsidRPr="00D70F82" w:rsidRDefault="00CD798F" w:rsidP="00CD798F">
      <w:pPr>
        <w:pStyle w:val="004"/>
        <w:spacing w:before="120" w:after="120"/>
        <w:ind w:firstLine="482"/>
        <w:outlineLvl w:val="4"/>
      </w:pPr>
      <w:r>
        <w:rPr>
          <w:rFonts w:hint="eastAsia"/>
        </w:rPr>
        <w:t>（</w:t>
      </w:r>
      <w:r>
        <w:rPr>
          <w:rFonts w:hint="eastAsia"/>
        </w:rPr>
        <w:t>3</w:t>
      </w:r>
      <w:r>
        <w:rPr>
          <w:rFonts w:hint="eastAsia"/>
        </w:rPr>
        <w:t>）</w:t>
      </w:r>
      <w:r w:rsidRPr="00D70F82">
        <w:rPr>
          <w:rFonts w:hint="eastAsia"/>
        </w:rPr>
        <w:t>营运</w:t>
      </w:r>
      <w:r>
        <w:rPr>
          <w:rFonts w:hint="eastAsia"/>
        </w:rPr>
        <w:t>资金</w:t>
      </w:r>
    </w:p>
    <w:p w14:paraId="2E3091C0"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对于预测期内各期营运资本主要基于周转率预测。历史年度存货周转率、应收款项周转率、应付款项周转率的测算基于报告期的各年收入成本、应收款项余额测算得出。具体测算过程及测算依据如下：</w:t>
      </w:r>
    </w:p>
    <w:p w14:paraId="185450B6" w14:textId="77777777" w:rsidR="00CD798F" w:rsidRPr="00E72E9B"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866"/>
        <w:gridCol w:w="1455"/>
        <w:gridCol w:w="1455"/>
        <w:gridCol w:w="2285"/>
      </w:tblGrid>
      <w:tr w:rsidR="00CD798F" w:rsidRPr="00C820D0" w14:paraId="3F430086" w14:textId="77777777" w:rsidTr="00214723">
        <w:trPr>
          <w:cantSplit/>
          <w:trHeight w:val="454"/>
          <w:tblHeader/>
          <w:jc w:val="center"/>
        </w:trPr>
        <w:tc>
          <w:tcPr>
            <w:tcW w:w="2133" w:type="pct"/>
            <w:noWrap/>
            <w:vAlign w:val="center"/>
            <w:hideMark/>
          </w:tcPr>
          <w:p w14:paraId="75A92769"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项目</w:t>
            </w:r>
            <w:r w:rsidRPr="00C820D0">
              <w:rPr>
                <w:rFonts w:ascii="Times New Roman" w:hAnsi="Times New Roman"/>
                <w:b/>
                <w:color w:val="000000"/>
              </w:rPr>
              <w:t>\</w:t>
            </w:r>
            <w:r w:rsidRPr="00C820D0">
              <w:rPr>
                <w:rFonts w:ascii="Times New Roman" w:hAnsi="Times New Roman"/>
                <w:b/>
                <w:color w:val="000000"/>
              </w:rPr>
              <w:t>年份</w:t>
            </w:r>
          </w:p>
        </w:tc>
        <w:tc>
          <w:tcPr>
            <w:tcW w:w="803" w:type="pct"/>
            <w:noWrap/>
            <w:vAlign w:val="center"/>
            <w:hideMark/>
          </w:tcPr>
          <w:p w14:paraId="7559EA6A"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2023</w:t>
            </w:r>
            <w:r w:rsidRPr="00C820D0">
              <w:rPr>
                <w:rFonts w:ascii="Times New Roman" w:hAnsi="Times New Roman"/>
                <w:b/>
                <w:color w:val="000000"/>
              </w:rPr>
              <w:t>年</w:t>
            </w:r>
          </w:p>
        </w:tc>
        <w:tc>
          <w:tcPr>
            <w:tcW w:w="803" w:type="pct"/>
            <w:noWrap/>
            <w:vAlign w:val="center"/>
            <w:hideMark/>
          </w:tcPr>
          <w:p w14:paraId="1582EDB4"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2024</w:t>
            </w:r>
            <w:r w:rsidRPr="00C820D0">
              <w:rPr>
                <w:rFonts w:ascii="Times New Roman" w:hAnsi="Times New Roman"/>
                <w:b/>
                <w:color w:val="000000"/>
              </w:rPr>
              <w:t>年</w:t>
            </w:r>
          </w:p>
        </w:tc>
        <w:tc>
          <w:tcPr>
            <w:tcW w:w="1261" w:type="pct"/>
            <w:noWrap/>
            <w:vAlign w:val="center"/>
            <w:hideMark/>
          </w:tcPr>
          <w:p w14:paraId="5AE5DC58"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2025</w:t>
            </w:r>
            <w:r w:rsidRPr="00C820D0">
              <w:rPr>
                <w:rFonts w:ascii="Times New Roman" w:hAnsi="Times New Roman"/>
                <w:b/>
                <w:color w:val="000000"/>
              </w:rPr>
              <w:t>年</w:t>
            </w:r>
            <w:r w:rsidRPr="00C820D0">
              <w:rPr>
                <w:rFonts w:ascii="Times New Roman" w:hAnsi="Times New Roman"/>
                <w:b/>
                <w:color w:val="000000"/>
              </w:rPr>
              <w:t>1-6</w:t>
            </w:r>
            <w:r w:rsidRPr="00C820D0">
              <w:rPr>
                <w:rFonts w:ascii="Times New Roman" w:hAnsi="Times New Roman"/>
                <w:b/>
                <w:color w:val="000000"/>
              </w:rPr>
              <w:t>月</w:t>
            </w:r>
          </w:p>
        </w:tc>
      </w:tr>
      <w:tr w:rsidR="00CD798F" w:rsidRPr="00C820D0" w14:paraId="2DB1C922" w14:textId="77777777" w:rsidTr="00214723">
        <w:trPr>
          <w:cantSplit/>
          <w:trHeight w:val="454"/>
          <w:jc w:val="center"/>
        </w:trPr>
        <w:tc>
          <w:tcPr>
            <w:tcW w:w="2133" w:type="pct"/>
            <w:noWrap/>
            <w:vAlign w:val="center"/>
            <w:hideMark/>
          </w:tcPr>
          <w:p w14:paraId="0877E562"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存货</w:t>
            </w:r>
          </w:p>
        </w:tc>
        <w:tc>
          <w:tcPr>
            <w:tcW w:w="803" w:type="pct"/>
            <w:noWrap/>
            <w:vAlign w:val="center"/>
            <w:hideMark/>
          </w:tcPr>
          <w:p w14:paraId="7AA785C3"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1,238.06</w:t>
            </w:r>
          </w:p>
        </w:tc>
        <w:tc>
          <w:tcPr>
            <w:tcW w:w="803" w:type="pct"/>
            <w:noWrap/>
            <w:vAlign w:val="center"/>
            <w:hideMark/>
          </w:tcPr>
          <w:p w14:paraId="07C38DA4"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1,152.11</w:t>
            </w:r>
          </w:p>
        </w:tc>
        <w:tc>
          <w:tcPr>
            <w:tcW w:w="1261" w:type="pct"/>
            <w:noWrap/>
            <w:vAlign w:val="center"/>
            <w:hideMark/>
          </w:tcPr>
          <w:p w14:paraId="741D9388"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1,526.99</w:t>
            </w:r>
          </w:p>
        </w:tc>
      </w:tr>
      <w:tr w:rsidR="00CD798F" w:rsidRPr="00C820D0" w14:paraId="385AC083" w14:textId="77777777" w:rsidTr="00214723">
        <w:trPr>
          <w:cantSplit/>
          <w:trHeight w:val="454"/>
          <w:jc w:val="center"/>
        </w:trPr>
        <w:tc>
          <w:tcPr>
            <w:tcW w:w="2133" w:type="pct"/>
            <w:noWrap/>
            <w:vAlign w:val="center"/>
            <w:hideMark/>
          </w:tcPr>
          <w:p w14:paraId="187DF997"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应收款项合计</w:t>
            </w:r>
          </w:p>
        </w:tc>
        <w:tc>
          <w:tcPr>
            <w:tcW w:w="803" w:type="pct"/>
            <w:noWrap/>
            <w:vAlign w:val="center"/>
            <w:hideMark/>
          </w:tcPr>
          <w:p w14:paraId="33DCE056"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866.16</w:t>
            </w:r>
          </w:p>
        </w:tc>
        <w:tc>
          <w:tcPr>
            <w:tcW w:w="803" w:type="pct"/>
            <w:noWrap/>
            <w:vAlign w:val="center"/>
            <w:hideMark/>
          </w:tcPr>
          <w:p w14:paraId="3B970BD9"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3,185.86</w:t>
            </w:r>
          </w:p>
        </w:tc>
        <w:tc>
          <w:tcPr>
            <w:tcW w:w="1261" w:type="pct"/>
            <w:noWrap/>
            <w:vAlign w:val="center"/>
            <w:hideMark/>
          </w:tcPr>
          <w:p w14:paraId="2CAE5E0C"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3,553.50</w:t>
            </w:r>
          </w:p>
        </w:tc>
      </w:tr>
      <w:tr w:rsidR="00CD798F" w:rsidRPr="00C820D0" w14:paraId="56B9AED0" w14:textId="77777777" w:rsidTr="00214723">
        <w:trPr>
          <w:cantSplit/>
          <w:trHeight w:val="454"/>
          <w:jc w:val="center"/>
        </w:trPr>
        <w:tc>
          <w:tcPr>
            <w:tcW w:w="2133" w:type="pct"/>
            <w:noWrap/>
            <w:vAlign w:val="center"/>
            <w:hideMark/>
          </w:tcPr>
          <w:p w14:paraId="0C982661"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应付款项合计</w:t>
            </w:r>
          </w:p>
        </w:tc>
        <w:tc>
          <w:tcPr>
            <w:tcW w:w="803" w:type="pct"/>
            <w:noWrap/>
            <w:vAlign w:val="center"/>
            <w:hideMark/>
          </w:tcPr>
          <w:p w14:paraId="440500F9"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8,078.19</w:t>
            </w:r>
          </w:p>
        </w:tc>
        <w:tc>
          <w:tcPr>
            <w:tcW w:w="803" w:type="pct"/>
            <w:noWrap/>
            <w:vAlign w:val="center"/>
            <w:hideMark/>
          </w:tcPr>
          <w:p w14:paraId="0F0330F8"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7,932.30</w:t>
            </w:r>
          </w:p>
        </w:tc>
        <w:tc>
          <w:tcPr>
            <w:tcW w:w="1261" w:type="pct"/>
            <w:noWrap/>
            <w:vAlign w:val="center"/>
            <w:hideMark/>
          </w:tcPr>
          <w:p w14:paraId="087A4BC6"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8,042.93</w:t>
            </w:r>
          </w:p>
        </w:tc>
      </w:tr>
      <w:tr w:rsidR="00CD798F" w:rsidRPr="00C820D0" w14:paraId="79B337CB" w14:textId="77777777" w:rsidTr="00214723">
        <w:trPr>
          <w:cantSplit/>
          <w:trHeight w:val="454"/>
          <w:jc w:val="center"/>
        </w:trPr>
        <w:tc>
          <w:tcPr>
            <w:tcW w:w="2133" w:type="pct"/>
            <w:noWrap/>
            <w:vAlign w:val="center"/>
            <w:hideMark/>
          </w:tcPr>
          <w:p w14:paraId="2C745122"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存货周转率（</w:t>
            </w:r>
            <w:r w:rsidRPr="00C820D0">
              <w:rPr>
                <w:rFonts w:ascii="Times New Roman" w:hAnsi="Times New Roman"/>
                <w:color w:val="000000"/>
              </w:rPr>
              <w:t>%</w:t>
            </w:r>
            <w:r w:rsidRPr="00C820D0">
              <w:rPr>
                <w:rFonts w:ascii="Times New Roman" w:hAnsi="Times New Roman"/>
                <w:color w:val="000000"/>
              </w:rPr>
              <w:t>）</w:t>
            </w:r>
          </w:p>
        </w:tc>
        <w:tc>
          <w:tcPr>
            <w:tcW w:w="803" w:type="pct"/>
            <w:noWrap/>
            <w:vAlign w:val="center"/>
            <w:hideMark/>
          </w:tcPr>
          <w:p w14:paraId="05594A97"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12.40</w:t>
            </w:r>
          </w:p>
        </w:tc>
        <w:tc>
          <w:tcPr>
            <w:tcW w:w="803" w:type="pct"/>
            <w:noWrap/>
            <w:vAlign w:val="center"/>
            <w:hideMark/>
          </w:tcPr>
          <w:p w14:paraId="4D8F3009"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14.40</w:t>
            </w:r>
          </w:p>
        </w:tc>
        <w:tc>
          <w:tcPr>
            <w:tcW w:w="1261" w:type="pct"/>
            <w:noWrap/>
            <w:vAlign w:val="center"/>
            <w:hideMark/>
          </w:tcPr>
          <w:p w14:paraId="0932B76B"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12.30</w:t>
            </w:r>
          </w:p>
        </w:tc>
      </w:tr>
      <w:tr w:rsidR="00CD798F" w:rsidRPr="00C820D0" w14:paraId="7D1589BA" w14:textId="77777777" w:rsidTr="00214723">
        <w:trPr>
          <w:cantSplit/>
          <w:trHeight w:val="454"/>
          <w:jc w:val="center"/>
        </w:trPr>
        <w:tc>
          <w:tcPr>
            <w:tcW w:w="2133" w:type="pct"/>
            <w:noWrap/>
            <w:vAlign w:val="center"/>
            <w:hideMark/>
          </w:tcPr>
          <w:p w14:paraId="6B70623A"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应收款项周转率（</w:t>
            </w:r>
            <w:r w:rsidRPr="00C820D0">
              <w:rPr>
                <w:rFonts w:ascii="Times New Roman" w:hAnsi="Times New Roman"/>
                <w:color w:val="000000"/>
              </w:rPr>
              <w:t>%</w:t>
            </w:r>
            <w:r w:rsidRPr="00C820D0">
              <w:rPr>
                <w:rFonts w:ascii="Times New Roman" w:hAnsi="Times New Roman"/>
                <w:color w:val="000000"/>
              </w:rPr>
              <w:t>）</w:t>
            </w:r>
          </w:p>
        </w:tc>
        <w:tc>
          <w:tcPr>
            <w:tcW w:w="803" w:type="pct"/>
            <w:noWrap/>
            <w:vAlign w:val="center"/>
            <w:hideMark/>
          </w:tcPr>
          <w:p w14:paraId="51753219"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44.50</w:t>
            </w:r>
          </w:p>
        </w:tc>
        <w:tc>
          <w:tcPr>
            <w:tcW w:w="803" w:type="pct"/>
            <w:noWrap/>
            <w:vAlign w:val="center"/>
            <w:hideMark/>
          </w:tcPr>
          <w:p w14:paraId="180FB9A2"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27.30</w:t>
            </w:r>
          </w:p>
        </w:tc>
        <w:tc>
          <w:tcPr>
            <w:tcW w:w="1261" w:type="pct"/>
            <w:noWrap/>
            <w:vAlign w:val="center"/>
            <w:hideMark/>
          </w:tcPr>
          <w:p w14:paraId="2E513972"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45.90</w:t>
            </w:r>
          </w:p>
        </w:tc>
      </w:tr>
      <w:tr w:rsidR="00CD798F" w:rsidRPr="00C820D0" w14:paraId="16CA3C4E" w14:textId="77777777" w:rsidTr="00214723">
        <w:trPr>
          <w:cantSplit/>
          <w:trHeight w:val="454"/>
          <w:jc w:val="center"/>
        </w:trPr>
        <w:tc>
          <w:tcPr>
            <w:tcW w:w="2133" w:type="pct"/>
            <w:noWrap/>
            <w:vAlign w:val="center"/>
            <w:hideMark/>
          </w:tcPr>
          <w:p w14:paraId="3E519111"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应付款项周转率（</w:t>
            </w:r>
            <w:r w:rsidRPr="00C820D0">
              <w:rPr>
                <w:rFonts w:ascii="Times New Roman" w:hAnsi="Times New Roman"/>
                <w:color w:val="000000"/>
              </w:rPr>
              <w:t>%</w:t>
            </w:r>
            <w:r w:rsidRPr="00C820D0">
              <w:rPr>
                <w:rFonts w:ascii="Times New Roman" w:hAnsi="Times New Roman"/>
                <w:color w:val="000000"/>
              </w:rPr>
              <w:t>）</w:t>
            </w:r>
          </w:p>
        </w:tc>
        <w:tc>
          <w:tcPr>
            <w:tcW w:w="803" w:type="pct"/>
            <w:noWrap/>
            <w:vAlign w:val="center"/>
            <w:hideMark/>
          </w:tcPr>
          <w:p w14:paraId="5A37139D"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2.00</w:t>
            </w:r>
          </w:p>
        </w:tc>
        <w:tc>
          <w:tcPr>
            <w:tcW w:w="803" w:type="pct"/>
            <w:noWrap/>
            <w:vAlign w:val="center"/>
            <w:hideMark/>
          </w:tcPr>
          <w:p w14:paraId="0DF85118"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2.20</w:t>
            </w:r>
          </w:p>
        </w:tc>
        <w:tc>
          <w:tcPr>
            <w:tcW w:w="1261" w:type="pct"/>
            <w:noWrap/>
            <w:vAlign w:val="center"/>
            <w:hideMark/>
          </w:tcPr>
          <w:p w14:paraId="0A4BBE25"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2.40</w:t>
            </w:r>
          </w:p>
        </w:tc>
      </w:tr>
    </w:tbl>
    <w:p w14:paraId="67782BEA"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rPr>
        <w:t>1</w:t>
      </w:r>
      <w:r w:rsidRPr="00C820D0">
        <w:rPr>
          <w:rFonts w:ascii="宋体" w:hAnsi="宋体" w:hint="eastAsia"/>
        </w:rPr>
        <w:t>）应收款项的预测</w:t>
      </w:r>
    </w:p>
    <w:p w14:paraId="083996F7" w14:textId="77777777" w:rsidR="00CD798F" w:rsidRPr="003149FE" w:rsidRDefault="00CD798F" w:rsidP="00CD798F">
      <w:pPr>
        <w:pStyle w:val="005"/>
        <w:spacing w:before="120" w:after="120"/>
        <w:ind w:firstLine="480"/>
      </w:pPr>
      <w:r w:rsidRPr="003149FE">
        <w:t>预测期内应收款项测算基于应收款项的业务模式，分别采用了营业收入总额和应收款项度周转率以及按金额预测的模式进行测算。</w:t>
      </w:r>
    </w:p>
    <w:p w14:paraId="246124E0" w14:textId="77777777" w:rsidR="00CD798F" w:rsidRPr="003149FE" w:rsidRDefault="00CD798F" w:rsidP="00CD798F">
      <w:pPr>
        <w:pStyle w:val="005"/>
        <w:spacing w:before="120" w:after="120"/>
        <w:ind w:firstLine="480"/>
      </w:pPr>
      <w:r w:rsidRPr="003149FE">
        <w:lastRenderedPageBreak/>
        <w:t>对于代运营类的业务涉及的应收款项，本次基于业务模式，在预测期由于业务规模稳定，本次按一定金额预测。</w:t>
      </w:r>
    </w:p>
    <w:p w14:paraId="3DD0601F" w14:textId="77777777" w:rsidR="00CD798F" w:rsidRPr="003149FE" w:rsidRDefault="00CD798F" w:rsidP="00CD798F">
      <w:pPr>
        <w:pStyle w:val="005"/>
        <w:spacing w:before="120" w:after="120"/>
        <w:ind w:firstLine="480"/>
      </w:pPr>
      <w:r w:rsidRPr="003149FE">
        <w:t>对于其他的应收款项，则基于下列公式测算：</w:t>
      </w:r>
    </w:p>
    <w:p w14:paraId="7E044852" w14:textId="77777777" w:rsidR="00CD798F" w:rsidRPr="003149FE" w:rsidRDefault="00CD798F" w:rsidP="00CD798F">
      <w:pPr>
        <w:pStyle w:val="005"/>
        <w:spacing w:before="120" w:after="120"/>
        <w:ind w:firstLine="480"/>
      </w:pPr>
      <w:r w:rsidRPr="003149FE">
        <w:t>应收款项＝营业收入总额</w:t>
      </w:r>
      <w:r w:rsidRPr="003149FE">
        <w:t>÷</w:t>
      </w:r>
      <w:r w:rsidRPr="003149FE">
        <w:t>应收款项周转率</w:t>
      </w:r>
    </w:p>
    <w:p w14:paraId="05576170" w14:textId="77777777" w:rsidR="00CD798F" w:rsidRPr="003149FE" w:rsidRDefault="00CD798F" w:rsidP="00CD798F">
      <w:pPr>
        <w:pStyle w:val="005"/>
        <w:spacing w:before="120" w:after="120"/>
        <w:ind w:firstLine="480"/>
      </w:pPr>
      <w:r w:rsidRPr="003149FE">
        <w:t>其中，应收款项主要包括应收账款、与经营业务相关的其他应收账款等诸项（合同负债作为应收款项的减项处理）。</w:t>
      </w:r>
    </w:p>
    <w:p w14:paraId="0441ABAE" w14:textId="77777777" w:rsidR="00CD798F" w:rsidRPr="003149FE" w:rsidRDefault="00CD798F" w:rsidP="00CD798F">
      <w:pPr>
        <w:pStyle w:val="005"/>
        <w:spacing w:before="120" w:after="120"/>
        <w:ind w:firstLine="480"/>
      </w:pPr>
      <w:r w:rsidRPr="003149FE">
        <w:t>本次预测采用的历史年度周转率选取了</w:t>
      </w:r>
      <w:r w:rsidRPr="003149FE">
        <w:t>2023-2024</w:t>
      </w:r>
      <w:r w:rsidRPr="003149FE">
        <w:t>两年均值</w:t>
      </w:r>
      <w:r w:rsidRPr="003149FE">
        <w:t>35.90%</w:t>
      </w:r>
      <w:r w:rsidRPr="003149FE">
        <w:t>，主要考虑到报告期内其各期存在一定波动，按均值周转更为谨慎。</w:t>
      </w:r>
    </w:p>
    <w:p w14:paraId="6663E935" w14:textId="77777777" w:rsidR="00CD798F" w:rsidRPr="003149FE" w:rsidRDefault="00CD798F" w:rsidP="00CD798F">
      <w:pPr>
        <w:pStyle w:val="005"/>
        <w:spacing w:before="120" w:after="120"/>
        <w:ind w:firstLine="480"/>
      </w:pPr>
      <w:r w:rsidRPr="003149FE">
        <w:t>预测期内应收款项预测如下：</w:t>
      </w:r>
    </w:p>
    <w:p w14:paraId="21F67C88"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28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60"/>
        <w:gridCol w:w="1349"/>
        <w:gridCol w:w="1156"/>
        <w:gridCol w:w="1156"/>
        <w:gridCol w:w="1156"/>
        <w:gridCol w:w="1156"/>
        <w:gridCol w:w="1535"/>
      </w:tblGrid>
      <w:tr w:rsidR="00CD798F" w:rsidRPr="003149FE" w14:paraId="653085F5" w14:textId="77777777" w:rsidTr="00214723">
        <w:trPr>
          <w:cantSplit/>
          <w:trHeight w:val="454"/>
          <w:tblHeader/>
          <w:jc w:val="center"/>
        </w:trPr>
        <w:tc>
          <w:tcPr>
            <w:tcW w:w="1076" w:type="pct"/>
            <w:noWrap/>
            <w:vAlign w:val="center"/>
            <w:hideMark/>
          </w:tcPr>
          <w:p w14:paraId="081444ED"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项目</w:t>
            </w:r>
          </w:p>
        </w:tc>
        <w:tc>
          <w:tcPr>
            <w:tcW w:w="705" w:type="pct"/>
            <w:noWrap/>
            <w:vAlign w:val="center"/>
            <w:hideMark/>
          </w:tcPr>
          <w:p w14:paraId="0CA4F192"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2025</w:t>
            </w:r>
            <w:r w:rsidRPr="003149FE">
              <w:rPr>
                <w:rFonts w:ascii="Times New Roman" w:hAnsi="Times New Roman"/>
                <w:b/>
                <w:color w:val="000000"/>
                <w:sz w:val="20"/>
              </w:rPr>
              <w:t>年度</w:t>
            </w:r>
          </w:p>
        </w:tc>
        <w:tc>
          <w:tcPr>
            <w:tcW w:w="604" w:type="pct"/>
            <w:noWrap/>
            <w:vAlign w:val="center"/>
            <w:hideMark/>
          </w:tcPr>
          <w:p w14:paraId="2ED42DBB"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2026</w:t>
            </w:r>
            <w:r w:rsidRPr="003149FE">
              <w:rPr>
                <w:rFonts w:ascii="Times New Roman" w:hAnsi="Times New Roman"/>
                <w:b/>
                <w:color w:val="000000"/>
                <w:sz w:val="20"/>
              </w:rPr>
              <w:t>年度</w:t>
            </w:r>
          </w:p>
        </w:tc>
        <w:tc>
          <w:tcPr>
            <w:tcW w:w="604" w:type="pct"/>
            <w:noWrap/>
            <w:vAlign w:val="center"/>
            <w:hideMark/>
          </w:tcPr>
          <w:p w14:paraId="1CEB218C"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2027</w:t>
            </w:r>
            <w:r w:rsidRPr="003149FE">
              <w:rPr>
                <w:rFonts w:ascii="Times New Roman" w:hAnsi="Times New Roman"/>
                <w:b/>
                <w:color w:val="000000"/>
                <w:sz w:val="20"/>
              </w:rPr>
              <w:t>年度</w:t>
            </w:r>
          </w:p>
        </w:tc>
        <w:tc>
          <w:tcPr>
            <w:tcW w:w="604" w:type="pct"/>
            <w:noWrap/>
            <w:vAlign w:val="center"/>
            <w:hideMark/>
          </w:tcPr>
          <w:p w14:paraId="0372BDB2"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2028</w:t>
            </w:r>
            <w:r w:rsidRPr="003149FE">
              <w:rPr>
                <w:rFonts w:ascii="Times New Roman" w:hAnsi="Times New Roman"/>
                <w:b/>
                <w:color w:val="000000"/>
                <w:sz w:val="20"/>
              </w:rPr>
              <w:t>年度</w:t>
            </w:r>
          </w:p>
        </w:tc>
        <w:tc>
          <w:tcPr>
            <w:tcW w:w="604" w:type="pct"/>
            <w:noWrap/>
            <w:vAlign w:val="center"/>
            <w:hideMark/>
          </w:tcPr>
          <w:p w14:paraId="63E4143A"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2029</w:t>
            </w:r>
            <w:r w:rsidRPr="003149FE">
              <w:rPr>
                <w:rFonts w:ascii="Times New Roman" w:hAnsi="Times New Roman"/>
                <w:b/>
                <w:color w:val="000000"/>
                <w:sz w:val="20"/>
              </w:rPr>
              <w:t>年度</w:t>
            </w:r>
          </w:p>
        </w:tc>
        <w:tc>
          <w:tcPr>
            <w:tcW w:w="802" w:type="pct"/>
            <w:noWrap/>
            <w:vAlign w:val="center"/>
            <w:hideMark/>
          </w:tcPr>
          <w:p w14:paraId="3FE8E89C"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2030</w:t>
            </w:r>
            <w:r w:rsidRPr="003149FE">
              <w:rPr>
                <w:rFonts w:ascii="Times New Roman" w:hAnsi="Times New Roman"/>
                <w:b/>
                <w:color w:val="000000"/>
                <w:sz w:val="20"/>
              </w:rPr>
              <w:t>年及以后</w:t>
            </w:r>
          </w:p>
        </w:tc>
      </w:tr>
      <w:tr w:rsidR="00CD798F" w:rsidRPr="003149FE" w14:paraId="1CE7AB83" w14:textId="77777777" w:rsidTr="00214723">
        <w:trPr>
          <w:cantSplit/>
          <w:trHeight w:val="454"/>
          <w:jc w:val="center"/>
        </w:trPr>
        <w:tc>
          <w:tcPr>
            <w:tcW w:w="1076" w:type="pct"/>
            <w:noWrap/>
            <w:vAlign w:val="center"/>
            <w:hideMark/>
          </w:tcPr>
          <w:p w14:paraId="118FE751" w14:textId="77777777" w:rsidR="00CD798F" w:rsidRPr="003149FE" w:rsidRDefault="00CD798F" w:rsidP="00214723">
            <w:pPr>
              <w:jc w:val="center"/>
              <w:rPr>
                <w:rFonts w:ascii="Times New Roman" w:hAnsi="Times New Roman"/>
                <w:color w:val="000000"/>
                <w:sz w:val="20"/>
              </w:rPr>
            </w:pPr>
            <w:r w:rsidRPr="003149FE">
              <w:rPr>
                <w:rFonts w:ascii="Times New Roman" w:hAnsi="Times New Roman"/>
                <w:color w:val="000000"/>
                <w:sz w:val="20"/>
              </w:rPr>
              <w:t>应收款项合计</w:t>
            </w:r>
          </w:p>
        </w:tc>
        <w:tc>
          <w:tcPr>
            <w:tcW w:w="705" w:type="pct"/>
            <w:noWrap/>
            <w:vAlign w:val="center"/>
            <w:hideMark/>
          </w:tcPr>
          <w:p w14:paraId="58A9C3B3"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4,434.18</w:t>
            </w:r>
          </w:p>
        </w:tc>
        <w:tc>
          <w:tcPr>
            <w:tcW w:w="604" w:type="pct"/>
            <w:noWrap/>
            <w:vAlign w:val="center"/>
            <w:hideMark/>
          </w:tcPr>
          <w:p w14:paraId="03C5897D"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4,551.27</w:t>
            </w:r>
          </w:p>
        </w:tc>
        <w:tc>
          <w:tcPr>
            <w:tcW w:w="604" w:type="pct"/>
            <w:noWrap/>
            <w:vAlign w:val="center"/>
            <w:hideMark/>
          </w:tcPr>
          <w:p w14:paraId="4C38439F"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4,657.79</w:t>
            </w:r>
          </w:p>
        </w:tc>
        <w:tc>
          <w:tcPr>
            <w:tcW w:w="604" w:type="pct"/>
            <w:noWrap/>
            <w:vAlign w:val="center"/>
            <w:hideMark/>
          </w:tcPr>
          <w:p w14:paraId="258701FB"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4,750.02</w:t>
            </w:r>
          </w:p>
        </w:tc>
        <w:tc>
          <w:tcPr>
            <w:tcW w:w="604" w:type="pct"/>
            <w:noWrap/>
            <w:vAlign w:val="center"/>
            <w:hideMark/>
          </w:tcPr>
          <w:p w14:paraId="4763BE25"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4,830.54</w:t>
            </w:r>
          </w:p>
        </w:tc>
        <w:tc>
          <w:tcPr>
            <w:tcW w:w="802" w:type="pct"/>
            <w:noWrap/>
            <w:vAlign w:val="center"/>
            <w:hideMark/>
          </w:tcPr>
          <w:p w14:paraId="5882619D"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4,830.54</w:t>
            </w:r>
          </w:p>
        </w:tc>
      </w:tr>
    </w:tbl>
    <w:p w14:paraId="7EAB9482"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2）应付款项的预测</w:t>
      </w:r>
    </w:p>
    <w:p w14:paraId="176D29DA"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应付款项＝营业成本总额÷应付款项周转率</w:t>
      </w:r>
    </w:p>
    <w:p w14:paraId="51EB55F4"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其中，应付款项主要包括应付账款、应付票据以及与经营业务相关的其他应付账款等诸项（预付款项作为应付款项的减项处理）。其中应交税费的测算根据各年测算的应交增值税-销项税净额、附加税费金额以及企业所得税费用，分别考虑按月或者按季度缴纳。</w:t>
      </w:r>
    </w:p>
    <w:p w14:paraId="4C4D4F9A" w14:textId="77777777" w:rsidR="00CD798F" w:rsidRPr="00C820D0" w:rsidRDefault="00CD798F" w:rsidP="00CD798F">
      <w:pPr>
        <w:pStyle w:val="005"/>
        <w:spacing w:before="120" w:after="120"/>
        <w:ind w:firstLine="480"/>
        <w:jc w:val="right"/>
        <w:rPr>
          <w:rFonts w:ascii="宋体" w:hAnsi="宋体" w:hint="eastAsia"/>
        </w:rPr>
      </w:pPr>
      <w:r w:rsidRPr="00C820D0">
        <w:rPr>
          <w:rFonts w:ascii="宋体" w:hAnsi="宋体"/>
        </w:rPr>
        <w:t>单位：万元</w:t>
      </w:r>
    </w:p>
    <w:tbl>
      <w:tblPr>
        <w:tblW w:w="5371"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58"/>
        <w:gridCol w:w="1308"/>
        <w:gridCol w:w="1119"/>
        <w:gridCol w:w="1240"/>
        <w:gridCol w:w="1240"/>
        <w:gridCol w:w="1240"/>
        <w:gridCol w:w="1528"/>
      </w:tblGrid>
      <w:tr w:rsidR="00CD798F" w:rsidRPr="00C820D0" w14:paraId="010F63AA" w14:textId="77777777" w:rsidTr="00214723">
        <w:trPr>
          <w:cantSplit/>
          <w:trHeight w:val="454"/>
          <w:tblHeader/>
          <w:jc w:val="center"/>
        </w:trPr>
        <w:tc>
          <w:tcPr>
            <w:tcW w:w="1057" w:type="pct"/>
            <w:noWrap/>
            <w:vAlign w:val="center"/>
            <w:hideMark/>
          </w:tcPr>
          <w:p w14:paraId="4CF3983E" w14:textId="77777777" w:rsidR="00CD798F" w:rsidRPr="00C820D0" w:rsidRDefault="00CD798F" w:rsidP="00214723">
            <w:pPr>
              <w:keepNext/>
              <w:jc w:val="center"/>
              <w:rPr>
                <w:rFonts w:ascii="Times New Roman" w:hAnsi="Times New Roman"/>
                <w:b/>
                <w:color w:val="000000"/>
                <w:sz w:val="20"/>
              </w:rPr>
            </w:pPr>
            <w:r w:rsidRPr="00C820D0">
              <w:rPr>
                <w:rFonts w:ascii="Times New Roman" w:hAnsi="Times New Roman"/>
                <w:b/>
                <w:color w:val="000000"/>
                <w:sz w:val="20"/>
              </w:rPr>
              <w:t>项目</w:t>
            </w:r>
          </w:p>
        </w:tc>
        <w:tc>
          <w:tcPr>
            <w:tcW w:w="672" w:type="pct"/>
            <w:noWrap/>
            <w:vAlign w:val="center"/>
            <w:hideMark/>
          </w:tcPr>
          <w:p w14:paraId="38245F6F" w14:textId="77777777" w:rsidR="00CD798F" w:rsidRPr="00C820D0" w:rsidRDefault="00CD798F" w:rsidP="00214723">
            <w:pPr>
              <w:keepNext/>
              <w:jc w:val="center"/>
              <w:rPr>
                <w:rFonts w:ascii="Times New Roman" w:hAnsi="Times New Roman"/>
                <w:b/>
                <w:color w:val="000000"/>
                <w:sz w:val="20"/>
              </w:rPr>
            </w:pPr>
            <w:r w:rsidRPr="00C820D0">
              <w:rPr>
                <w:rFonts w:ascii="Times New Roman" w:hAnsi="Times New Roman"/>
                <w:b/>
                <w:color w:val="000000"/>
                <w:sz w:val="20"/>
              </w:rPr>
              <w:t>2025</w:t>
            </w:r>
            <w:r w:rsidRPr="00C820D0">
              <w:rPr>
                <w:rFonts w:ascii="Times New Roman" w:hAnsi="Times New Roman"/>
                <w:b/>
                <w:color w:val="000000"/>
                <w:sz w:val="20"/>
              </w:rPr>
              <w:t>全年</w:t>
            </w:r>
          </w:p>
        </w:tc>
        <w:tc>
          <w:tcPr>
            <w:tcW w:w="575" w:type="pct"/>
            <w:noWrap/>
            <w:vAlign w:val="center"/>
            <w:hideMark/>
          </w:tcPr>
          <w:p w14:paraId="666E0827" w14:textId="77777777" w:rsidR="00CD798F" w:rsidRPr="00C820D0" w:rsidRDefault="00CD798F" w:rsidP="00214723">
            <w:pPr>
              <w:keepNext/>
              <w:jc w:val="center"/>
              <w:rPr>
                <w:rFonts w:ascii="Times New Roman" w:hAnsi="Times New Roman"/>
                <w:b/>
                <w:color w:val="000000"/>
                <w:sz w:val="20"/>
              </w:rPr>
            </w:pPr>
            <w:r w:rsidRPr="00C820D0">
              <w:rPr>
                <w:rFonts w:ascii="Times New Roman" w:hAnsi="Times New Roman"/>
                <w:b/>
                <w:color w:val="000000"/>
                <w:sz w:val="20"/>
              </w:rPr>
              <w:t>2026</w:t>
            </w:r>
            <w:r w:rsidRPr="00C820D0">
              <w:rPr>
                <w:rFonts w:ascii="Times New Roman" w:hAnsi="Times New Roman"/>
                <w:b/>
                <w:color w:val="000000"/>
                <w:sz w:val="20"/>
              </w:rPr>
              <w:t>年</w:t>
            </w:r>
          </w:p>
        </w:tc>
        <w:tc>
          <w:tcPr>
            <w:tcW w:w="637" w:type="pct"/>
            <w:noWrap/>
            <w:vAlign w:val="center"/>
            <w:hideMark/>
          </w:tcPr>
          <w:p w14:paraId="263BB06A" w14:textId="77777777" w:rsidR="00CD798F" w:rsidRPr="00C820D0" w:rsidRDefault="00CD798F" w:rsidP="00214723">
            <w:pPr>
              <w:keepNext/>
              <w:jc w:val="center"/>
              <w:rPr>
                <w:rFonts w:ascii="Times New Roman" w:hAnsi="Times New Roman"/>
                <w:b/>
                <w:color w:val="000000"/>
                <w:sz w:val="20"/>
              </w:rPr>
            </w:pPr>
            <w:r w:rsidRPr="00C820D0">
              <w:rPr>
                <w:rFonts w:ascii="Times New Roman" w:hAnsi="Times New Roman"/>
                <w:b/>
                <w:color w:val="000000"/>
                <w:sz w:val="20"/>
              </w:rPr>
              <w:t>2027</w:t>
            </w:r>
            <w:r w:rsidRPr="00C820D0">
              <w:rPr>
                <w:rFonts w:ascii="Times New Roman" w:hAnsi="Times New Roman"/>
                <w:b/>
                <w:color w:val="000000"/>
                <w:sz w:val="20"/>
              </w:rPr>
              <w:t>年</w:t>
            </w:r>
          </w:p>
        </w:tc>
        <w:tc>
          <w:tcPr>
            <w:tcW w:w="637" w:type="pct"/>
            <w:noWrap/>
            <w:vAlign w:val="center"/>
            <w:hideMark/>
          </w:tcPr>
          <w:p w14:paraId="5AEB89BB" w14:textId="77777777" w:rsidR="00CD798F" w:rsidRPr="00C820D0" w:rsidRDefault="00CD798F" w:rsidP="00214723">
            <w:pPr>
              <w:keepNext/>
              <w:jc w:val="center"/>
              <w:rPr>
                <w:rFonts w:ascii="Times New Roman" w:hAnsi="Times New Roman"/>
                <w:b/>
                <w:color w:val="000000"/>
                <w:sz w:val="20"/>
              </w:rPr>
            </w:pPr>
            <w:r w:rsidRPr="00C820D0">
              <w:rPr>
                <w:rFonts w:ascii="Times New Roman" w:hAnsi="Times New Roman"/>
                <w:b/>
                <w:color w:val="000000"/>
                <w:sz w:val="20"/>
              </w:rPr>
              <w:t>2028</w:t>
            </w:r>
            <w:r w:rsidRPr="00C820D0">
              <w:rPr>
                <w:rFonts w:ascii="Times New Roman" w:hAnsi="Times New Roman"/>
                <w:b/>
                <w:color w:val="000000"/>
                <w:sz w:val="20"/>
              </w:rPr>
              <w:t>年</w:t>
            </w:r>
          </w:p>
        </w:tc>
        <w:tc>
          <w:tcPr>
            <w:tcW w:w="637" w:type="pct"/>
            <w:noWrap/>
            <w:vAlign w:val="center"/>
            <w:hideMark/>
          </w:tcPr>
          <w:p w14:paraId="190F9FC1" w14:textId="77777777" w:rsidR="00CD798F" w:rsidRPr="00C820D0" w:rsidRDefault="00CD798F" w:rsidP="00214723">
            <w:pPr>
              <w:keepNext/>
              <w:jc w:val="center"/>
              <w:rPr>
                <w:rFonts w:ascii="Times New Roman" w:hAnsi="Times New Roman"/>
                <w:b/>
                <w:color w:val="000000"/>
                <w:sz w:val="20"/>
              </w:rPr>
            </w:pPr>
            <w:r w:rsidRPr="00C820D0">
              <w:rPr>
                <w:rFonts w:ascii="Times New Roman" w:hAnsi="Times New Roman"/>
                <w:b/>
                <w:color w:val="000000"/>
                <w:sz w:val="20"/>
              </w:rPr>
              <w:t>2029</w:t>
            </w:r>
            <w:r w:rsidRPr="00C820D0">
              <w:rPr>
                <w:rFonts w:ascii="Times New Roman" w:hAnsi="Times New Roman"/>
                <w:b/>
                <w:color w:val="000000"/>
                <w:sz w:val="20"/>
              </w:rPr>
              <w:t>年</w:t>
            </w:r>
          </w:p>
        </w:tc>
        <w:tc>
          <w:tcPr>
            <w:tcW w:w="785" w:type="pct"/>
            <w:noWrap/>
            <w:vAlign w:val="center"/>
            <w:hideMark/>
          </w:tcPr>
          <w:p w14:paraId="07707A45" w14:textId="77777777" w:rsidR="00CD798F" w:rsidRPr="00C820D0" w:rsidRDefault="00CD798F" w:rsidP="00214723">
            <w:pPr>
              <w:keepNext/>
              <w:jc w:val="center"/>
              <w:rPr>
                <w:rFonts w:ascii="Times New Roman" w:hAnsi="Times New Roman"/>
                <w:b/>
                <w:color w:val="000000"/>
                <w:sz w:val="20"/>
              </w:rPr>
            </w:pPr>
            <w:r w:rsidRPr="00C820D0">
              <w:rPr>
                <w:rFonts w:ascii="Times New Roman" w:hAnsi="Times New Roman"/>
                <w:b/>
                <w:color w:val="000000"/>
                <w:sz w:val="20"/>
              </w:rPr>
              <w:t>2030</w:t>
            </w:r>
            <w:r w:rsidRPr="00C820D0">
              <w:rPr>
                <w:rFonts w:ascii="Times New Roman" w:hAnsi="Times New Roman"/>
                <w:b/>
                <w:color w:val="000000"/>
                <w:sz w:val="20"/>
              </w:rPr>
              <w:t>年及以后</w:t>
            </w:r>
          </w:p>
        </w:tc>
      </w:tr>
      <w:tr w:rsidR="00CD798F" w:rsidRPr="00C820D0" w14:paraId="6325FB9E" w14:textId="77777777" w:rsidTr="00214723">
        <w:trPr>
          <w:cantSplit/>
          <w:trHeight w:val="454"/>
          <w:jc w:val="center"/>
        </w:trPr>
        <w:tc>
          <w:tcPr>
            <w:tcW w:w="1057" w:type="pct"/>
            <w:noWrap/>
            <w:vAlign w:val="center"/>
            <w:hideMark/>
          </w:tcPr>
          <w:p w14:paraId="466F25E2" w14:textId="77777777" w:rsidR="00CD798F" w:rsidRPr="00C820D0" w:rsidRDefault="00CD798F" w:rsidP="00214723">
            <w:pPr>
              <w:jc w:val="center"/>
              <w:rPr>
                <w:rFonts w:ascii="Times New Roman" w:hAnsi="Times New Roman"/>
                <w:color w:val="000000"/>
                <w:sz w:val="20"/>
              </w:rPr>
            </w:pPr>
            <w:r w:rsidRPr="00C820D0">
              <w:rPr>
                <w:rFonts w:ascii="Times New Roman" w:hAnsi="Times New Roman"/>
                <w:color w:val="000000"/>
                <w:sz w:val="20"/>
              </w:rPr>
              <w:t>应付款项合计</w:t>
            </w:r>
          </w:p>
        </w:tc>
        <w:tc>
          <w:tcPr>
            <w:tcW w:w="672" w:type="pct"/>
            <w:noWrap/>
            <w:vAlign w:val="center"/>
            <w:hideMark/>
          </w:tcPr>
          <w:p w14:paraId="310D20A0" w14:textId="77777777" w:rsidR="00CD798F" w:rsidRPr="00C820D0" w:rsidRDefault="00CD798F" w:rsidP="00214723">
            <w:pPr>
              <w:jc w:val="right"/>
              <w:rPr>
                <w:rFonts w:ascii="Times New Roman" w:hAnsi="Times New Roman"/>
                <w:color w:val="000000"/>
                <w:sz w:val="20"/>
              </w:rPr>
            </w:pPr>
            <w:r w:rsidRPr="00C820D0">
              <w:rPr>
                <w:rFonts w:ascii="Times New Roman" w:hAnsi="Times New Roman"/>
                <w:color w:val="000000"/>
                <w:sz w:val="20"/>
              </w:rPr>
              <w:t>9,008.99</w:t>
            </w:r>
          </w:p>
        </w:tc>
        <w:tc>
          <w:tcPr>
            <w:tcW w:w="575" w:type="pct"/>
            <w:noWrap/>
            <w:vAlign w:val="center"/>
            <w:hideMark/>
          </w:tcPr>
          <w:p w14:paraId="5FA9710A" w14:textId="77777777" w:rsidR="00CD798F" w:rsidRPr="00C820D0" w:rsidRDefault="00CD798F" w:rsidP="00214723">
            <w:pPr>
              <w:jc w:val="right"/>
              <w:rPr>
                <w:rFonts w:ascii="Times New Roman" w:hAnsi="Times New Roman"/>
                <w:color w:val="000000"/>
                <w:sz w:val="20"/>
              </w:rPr>
            </w:pPr>
            <w:r w:rsidRPr="00C820D0">
              <w:rPr>
                <w:rFonts w:ascii="Times New Roman" w:hAnsi="Times New Roman"/>
                <w:color w:val="000000"/>
                <w:sz w:val="20"/>
              </w:rPr>
              <w:t>9,714.38</w:t>
            </w:r>
          </w:p>
        </w:tc>
        <w:tc>
          <w:tcPr>
            <w:tcW w:w="637" w:type="pct"/>
            <w:noWrap/>
            <w:vAlign w:val="center"/>
            <w:hideMark/>
          </w:tcPr>
          <w:p w14:paraId="02628173" w14:textId="77777777" w:rsidR="00CD798F" w:rsidRPr="00C820D0" w:rsidRDefault="00CD798F" w:rsidP="00214723">
            <w:pPr>
              <w:jc w:val="right"/>
              <w:rPr>
                <w:rFonts w:ascii="Times New Roman" w:hAnsi="Times New Roman"/>
                <w:color w:val="000000"/>
                <w:sz w:val="20"/>
              </w:rPr>
            </w:pPr>
            <w:r w:rsidRPr="00C820D0">
              <w:rPr>
                <w:rFonts w:ascii="Times New Roman" w:hAnsi="Times New Roman"/>
                <w:color w:val="000000"/>
                <w:sz w:val="20"/>
              </w:rPr>
              <w:t>10,271.99</w:t>
            </w:r>
          </w:p>
        </w:tc>
        <w:tc>
          <w:tcPr>
            <w:tcW w:w="637" w:type="pct"/>
            <w:noWrap/>
            <w:vAlign w:val="center"/>
            <w:hideMark/>
          </w:tcPr>
          <w:p w14:paraId="180CD313" w14:textId="77777777" w:rsidR="00CD798F" w:rsidRPr="00C820D0" w:rsidRDefault="00CD798F" w:rsidP="00214723">
            <w:pPr>
              <w:jc w:val="right"/>
              <w:rPr>
                <w:rFonts w:ascii="Times New Roman" w:hAnsi="Times New Roman"/>
                <w:color w:val="000000"/>
                <w:sz w:val="20"/>
              </w:rPr>
            </w:pPr>
            <w:r w:rsidRPr="00C820D0">
              <w:rPr>
                <w:rFonts w:ascii="Times New Roman" w:hAnsi="Times New Roman"/>
                <w:color w:val="000000"/>
                <w:sz w:val="20"/>
              </w:rPr>
              <w:t>10,734.36</w:t>
            </w:r>
          </w:p>
        </w:tc>
        <w:tc>
          <w:tcPr>
            <w:tcW w:w="637" w:type="pct"/>
            <w:noWrap/>
            <w:vAlign w:val="center"/>
            <w:hideMark/>
          </w:tcPr>
          <w:p w14:paraId="3F0A3F85" w14:textId="77777777" w:rsidR="00CD798F" w:rsidRPr="00C820D0" w:rsidRDefault="00CD798F" w:rsidP="00214723">
            <w:pPr>
              <w:jc w:val="right"/>
              <w:rPr>
                <w:rFonts w:ascii="Times New Roman" w:hAnsi="Times New Roman"/>
                <w:color w:val="000000"/>
                <w:sz w:val="20"/>
              </w:rPr>
            </w:pPr>
            <w:r w:rsidRPr="00C820D0">
              <w:rPr>
                <w:rFonts w:ascii="Times New Roman" w:hAnsi="Times New Roman"/>
                <w:color w:val="000000"/>
                <w:sz w:val="20"/>
              </w:rPr>
              <w:t>11,130.66</w:t>
            </w:r>
          </w:p>
        </w:tc>
        <w:tc>
          <w:tcPr>
            <w:tcW w:w="785" w:type="pct"/>
            <w:noWrap/>
            <w:vAlign w:val="center"/>
            <w:hideMark/>
          </w:tcPr>
          <w:p w14:paraId="0733A3F7" w14:textId="77777777" w:rsidR="00CD798F" w:rsidRPr="00C820D0" w:rsidRDefault="00CD798F" w:rsidP="00214723">
            <w:pPr>
              <w:jc w:val="right"/>
              <w:rPr>
                <w:rFonts w:ascii="Times New Roman" w:hAnsi="Times New Roman"/>
                <w:color w:val="000000"/>
                <w:sz w:val="20"/>
              </w:rPr>
            </w:pPr>
            <w:r w:rsidRPr="00C820D0">
              <w:rPr>
                <w:rFonts w:ascii="Times New Roman" w:hAnsi="Times New Roman"/>
                <w:color w:val="000000"/>
                <w:sz w:val="20"/>
              </w:rPr>
              <w:t>11,130.66</w:t>
            </w:r>
          </w:p>
        </w:tc>
      </w:tr>
    </w:tbl>
    <w:p w14:paraId="4332C1C7"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3）存货的预测</w:t>
      </w:r>
    </w:p>
    <w:p w14:paraId="0D40BFEB"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lastRenderedPageBreak/>
        <w:t>存货＝营业成本总额÷存货周转率</w:t>
      </w:r>
    </w:p>
    <w:p w14:paraId="080F5EEF" w14:textId="77777777" w:rsidR="00CD798F" w:rsidRPr="00E72E9B" w:rsidRDefault="00CD798F" w:rsidP="00CD798F">
      <w:pPr>
        <w:keepNext/>
        <w:jc w:val="right"/>
      </w:pPr>
      <w:r w:rsidRPr="004B1244">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552"/>
        <w:gridCol w:w="1355"/>
        <w:gridCol w:w="1157"/>
        <w:gridCol w:w="1156"/>
        <w:gridCol w:w="1156"/>
        <w:gridCol w:w="1156"/>
        <w:gridCol w:w="1529"/>
      </w:tblGrid>
      <w:tr w:rsidR="00CD798F" w:rsidRPr="00C820D0" w14:paraId="73877BCD" w14:textId="77777777" w:rsidTr="00214723">
        <w:trPr>
          <w:cantSplit/>
          <w:trHeight w:val="454"/>
          <w:tblHeader/>
          <w:jc w:val="center"/>
        </w:trPr>
        <w:tc>
          <w:tcPr>
            <w:tcW w:w="856" w:type="pct"/>
            <w:noWrap/>
            <w:vAlign w:val="center"/>
            <w:hideMark/>
          </w:tcPr>
          <w:p w14:paraId="50B9B204"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项目</w:t>
            </w:r>
          </w:p>
        </w:tc>
        <w:tc>
          <w:tcPr>
            <w:tcW w:w="747" w:type="pct"/>
            <w:noWrap/>
            <w:vAlign w:val="center"/>
            <w:hideMark/>
          </w:tcPr>
          <w:p w14:paraId="7EEF3052"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2025</w:t>
            </w:r>
            <w:r w:rsidRPr="00C820D0">
              <w:rPr>
                <w:rFonts w:ascii="Times New Roman" w:hAnsi="Times New Roman"/>
                <w:b/>
                <w:color w:val="000000"/>
              </w:rPr>
              <w:t>全年</w:t>
            </w:r>
          </w:p>
        </w:tc>
        <w:tc>
          <w:tcPr>
            <w:tcW w:w="638" w:type="pct"/>
            <w:noWrap/>
            <w:vAlign w:val="center"/>
            <w:hideMark/>
          </w:tcPr>
          <w:p w14:paraId="391DB712"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2026</w:t>
            </w:r>
            <w:r w:rsidRPr="00C820D0">
              <w:rPr>
                <w:rFonts w:ascii="Times New Roman" w:hAnsi="Times New Roman"/>
                <w:b/>
                <w:color w:val="000000"/>
              </w:rPr>
              <w:t>年</w:t>
            </w:r>
          </w:p>
        </w:tc>
        <w:tc>
          <w:tcPr>
            <w:tcW w:w="638" w:type="pct"/>
            <w:noWrap/>
            <w:vAlign w:val="center"/>
            <w:hideMark/>
          </w:tcPr>
          <w:p w14:paraId="4404FBFD"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2027</w:t>
            </w:r>
            <w:r w:rsidRPr="00C820D0">
              <w:rPr>
                <w:rFonts w:ascii="Times New Roman" w:hAnsi="Times New Roman"/>
                <w:b/>
                <w:color w:val="000000"/>
              </w:rPr>
              <w:t>年</w:t>
            </w:r>
          </w:p>
        </w:tc>
        <w:tc>
          <w:tcPr>
            <w:tcW w:w="638" w:type="pct"/>
            <w:noWrap/>
            <w:vAlign w:val="center"/>
            <w:hideMark/>
          </w:tcPr>
          <w:p w14:paraId="0E43F992"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2028</w:t>
            </w:r>
            <w:r w:rsidRPr="00C820D0">
              <w:rPr>
                <w:rFonts w:ascii="Times New Roman" w:hAnsi="Times New Roman"/>
                <w:b/>
                <w:color w:val="000000"/>
              </w:rPr>
              <w:t>年</w:t>
            </w:r>
          </w:p>
        </w:tc>
        <w:tc>
          <w:tcPr>
            <w:tcW w:w="638" w:type="pct"/>
            <w:noWrap/>
            <w:vAlign w:val="center"/>
            <w:hideMark/>
          </w:tcPr>
          <w:p w14:paraId="60CA15A7"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2029</w:t>
            </w:r>
            <w:r w:rsidRPr="00C820D0">
              <w:rPr>
                <w:rFonts w:ascii="Times New Roman" w:hAnsi="Times New Roman"/>
                <w:b/>
                <w:color w:val="000000"/>
              </w:rPr>
              <w:t>年</w:t>
            </w:r>
          </w:p>
        </w:tc>
        <w:tc>
          <w:tcPr>
            <w:tcW w:w="844" w:type="pct"/>
            <w:noWrap/>
            <w:vAlign w:val="center"/>
            <w:hideMark/>
          </w:tcPr>
          <w:p w14:paraId="43AD89AD"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2030</w:t>
            </w:r>
            <w:r w:rsidRPr="00C820D0">
              <w:rPr>
                <w:rFonts w:ascii="Times New Roman" w:hAnsi="Times New Roman"/>
                <w:b/>
                <w:color w:val="000000"/>
              </w:rPr>
              <w:t>年及以后</w:t>
            </w:r>
          </w:p>
        </w:tc>
      </w:tr>
      <w:tr w:rsidR="00CD798F" w:rsidRPr="00C820D0" w14:paraId="2AD30005" w14:textId="77777777" w:rsidTr="00214723">
        <w:trPr>
          <w:cantSplit/>
          <w:trHeight w:val="454"/>
          <w:jc w:val="center"/>
        </w:trPr>
        <w:tc>
          <w:tcPr>
            <w:tcW w:w="856" w:type="pct"/>
            <w:noWrap/>
            <w:vAlign w:val="center"/>
            <w:hideMark/>
          </w:tcPr>
          <w:p w14:paraId="2FA54C07" w14:textId="77777777" w:rsidR="00CD798F" w:rsidRPr="00C820D0" w:rsidRDefault="00CD798F" w:rsidP="00214723">
            <w:pPr>
              <w:jc w:val="center"/>
              <w:rPr>
                <w:rFonts w:ascii="Times New Roman" w:hAnsi="Times New Roman"/>
                <w:color w:val="000000"/>
                <w:szCs w:val="20"/>
              </w:rPr>
            </w:pPr>
            <w:r w:rsidRPr="00C820D0">
              <w:rPr>
                <w:rFonts w:ascii="Times New Roman" w:hAnsi="Times New Roman"/>
                <w:color w:val="000000"/>
                <w:szCs w:val="20"/>
              </w:rPr>
              <w:t>存货</w:t>
            </w:r>
          </w:p>
        </w:tc>
        <w:tc>
          <w:tcPr>
            <w:tcW w:w="747" w:type="pct"/>
            <w:noWrap/>
            <w:vAlign w:val="center"/>
            <w:hideMark/>
          </w:tcPr>
          <w:p w14:paraId="73627963" w14:textId="77777777" w:rsidR="00CD798F" w:rsidRPr="00C820D0" w:rsidRDefault="00CD798F" w:rsidP="00214723">
            <w:pPr>
              <w:jc w:val="center"/>
              <w:rPr>
                <w:rFonts w:ascii="Times New Roman" w:hAnsi="Times New Roman"/>
                <w:color w:val="000000"/>
              </w:rPr>
            </w:pPr>
            <w:r w:rsidRPr="00C820D0">
              <w:rPr>
                <w:rFonts w:ascii="Times New Roman" w:hAnsi="Times New Roman"/>
                <w:color w:val="000000"/>
              </w:rPr>
              <w:t>1,376.37</w:t>
            </w:r>
          </w:p>
        </w:tc>
        <w:tc>
          <w:tcPr>
            <w:tcW w:w="638" w:type="pct"/>
            <w:noWrap/>
            <w:vAlign w:val="center"/>
            <w:hideMark/>
          </w:tcPr>
          <w:p w14:paraId="23D7CACB" w14:textId="77777777" w:rsidR="00CD798F" w:rsidRPr="00C820D0" w:rsidRDefault="00CD798F" w:rsidP="00214723">
            <w:pPr>
              <w:jc w:val="center"/>
              <w:rPr>
                <w:rFonts w:ascii="Times New Roman" w:hAnsi="Times New Roman"/>
                <w:color w:val="000000"/>
              </w:rPr>
            </w:pPr>
            <w:r w:rsidRPr="00C820D0">
              <w:rPr>
                <w:rFonts w:ascii="Times New Roman" w:hAnsi="Times New Roman"/>
                <w:color w:val="000000"/>
              </w:rPr>
              <w:t>1,484.14</w:t>
            </w:r>
          </w:p>
        </w:tc>
        <w:tc>
          <w:tcPr>
            <w:tcW w:w="638" w:type="pct"/>
            <w:noWrap/>
            <w:vAlign w:val="center"/>
            <w:hideMark/>
          </w:tcPr>
          <w:p w14:paraId="288BA317" w14:textId="77777777" w:rsidR="00CD798F" w:rsidRPr="00C820D0" w:rsidRDefault="00CD798F" w:rsidP="00214723">
            <w:pPr>
              <w:jc w:val="center"/>
              <w:rPr>
                <w:rFonts w:ascii="Times New Roman" w:hAnsi="Times New Roman"/>
                <w:color w:val="000000"/>
              </w:rPr>
            </w:pPr>
            <w:r w:rsidRPr="00C820D0">
              <w:rPr>
                <w:rFonts w:ascii="Times New Roman" w:hAnsi="Times New Roman"/>
                <w:color w:val="000000"/>
              </w:rPr>
              <w:t>1,569.33</w:t>
            </w:r>
          </w:p>
        </w:tc>
        <w:tc>
          <w:tcPr>
            <w:tcW w:w="638" w:type="pct"/>
            <w:noWrap/>
            <w:vAlign w:val="center"/>
            <w:hideMark/>
          </w:tcPr>
          <w:p w14:paraId="0FFC7EED" w14:textId="77777777" w:rsidR="00CD798F" w:rsidRPr="00C820D0" w:rsidRDefault="00CD798F" w:rsidP="00214723">
            <w:pPr>
              <w:jc w:val="center"/>
              <w:rPr>
                <w:rFonts w:ascii="Times New Roman" w:hAnsi="Times New Roman"/>
                <w:color w:val="000000"/>
              </w:rPr>
            </w:pPr>
            <w:r w:rsidRPr="00C820D0">
              <w:rPr>
                <w:rFonts w:ascii="Times New Roman" w:hAnsi="Times New Roman"/>
                <w:color w:val="000000"/>
              </w:rPr>
              <w:t>1,639.97</w:t>
            </w:r>
          </w:p>
        </w:tc>
        <w:tc>
          <w:tcPr>
            <w:tcW w:w="638" w:type="pct"/>
            <w:noWrap/>
            <w:vAlign w:val="center"/>
            <w:hideMark/>
          </w:tcPr>
          <w:p w14:paraId="649E0E35" w14:textId="77777777" w:rsidR="00CD798F" w:rsidRPr="00C820D0" w:rsidRDefault="00CD798F" w:rsidP="00214723">
            <w:pPr>
              <w:jc w:val="center"/>
              <w:rPr>
                <w:rFonts w:ascii="Times New Roman" w:hAnsi="Times New Roman"/>
                <w:color w:val="000000"/>
              </w:rPr>
            </w:pPr>
            <w:r w:rsidRPr="00C820D0">
              <w:rPr>
                <w:rFonts w:ascii="Times New Roman" w:hAnsi="Times New Roman"/>
                <w:color w:val="000000"/>
              </w:rPr>
              <w:t>1,700.52</w:t>
            </w:r>
          </w:p>
        </w:tc>
        <w:tc>
          <w:tcPr>
            <w:tcW w:w="844" w:type="pct"/>
            <w:noWrap/>
            <w:vAlign w:val="center"/>
            <w:hideMark/>
          </w:tcPr>
          <w:p w14:paraId="1E93E55E" w14:textId="77777777" w:rsidR="00CD798F" w:rsidRPr="00C820D0" w:rsidRDefault="00CD798F" w:rsidP="00214723">
            <w:pPr>
              <w:jc w:val="center"/>
              <w:rPr>
                <w:rFonts w:ascii="Times New Roman" w:hAnsi="Times New Roman"/>
                <w:color w:val="000000"/>
              </w:rPr>
            </w:pPr>
            <w:r w:rsidRPr="00C820D0">
              <w:rPr>
                <w:rFonts w:ascii="Times New Roman" w:hAnsi="Times New Roman"/>
                <w:color w:val="000000"/>
              </w:rPr>
              <w:t>1,700.52</w:t>
            </w:r>
          </w:p>
        </w:tc>
      </w:tr>
    </w:tbl>
    <w:p w14:paraId="7BB4947B"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综上得出预测期内各期末营运资本金额。根据上述预测数据，测算得到预测期内各期末营运资本金额如下：</w:t>
      </w:r>
    </w:p>
    <w:p w14:paraId="59B13CA0" w14:textId="77777777" w:rsidR="00CD798F" w:rsidRPr="00E72E9B" w:rsidRDefault="00CD798F" w:rsidP="00CD798F">
      <w:pPr>
        <w:keepNext/>
        <w:jc w:val="right"/>
      </w:pPr>
      <w:r w:rsidRPr="004B1244">
        <w:t>单位：万元</w:t>
      </w:r>
    </w:p>
    <w:tbl>
      <w:tblPr>
        <w:tblW w:w="5057"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24"/>
        <w:gridCol w:w="1420"/>
        <w:gridCol w:w="1061"/>
        <w:gridCol w:w="916"/>
        <w:gridCol w:w="1016"/>
        <w:gridCol w:w="1009"/>
        <w:gridCol w:w="1009"/>
        <w:gridCol w:w="1462"/>
      </w:tblGrid>
      <w:tr w:rsidR="00CD798F" w:rsidRPr="003149FE" w14:paraId="2B3CF406" w14:textId="77777777" w:rsidTr="00214723">
        <w:trPr>
          <w:cantSplit/>
          <w:trHeight w:val="454"/>
          <w:tblHeader/>
          <w:jc w:val="center"/>
        </w:trPr>
        <w:tc>
          <w:tcPr>
            <w:tcW w:w="1195" w:type="pct"/>
            <w:noWrap/>
            <w:vAlign w:val="center"/>
            <w:hideMark/>
          </w:tcPr>
          <w:p w14:paraId="7F6FAF65"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项目</w:t>
            </w:r>
            <w:r w:rsidRPr="003149FE">
              <w:rPr>
                <w:rFonts w:ascii="Times New Roman" w:hAnsi="Times New Roman"/>
                <w:b/>
                <w:color w:val="000000"/>
                <w:sz w:val="20"/>
              </w:rPr>
              <w:t>\</w:t>
            </w:r>
            <w:r w:rsidRPr="003149FE">
              <w:rPr>
                <w:rFonts w:ascii="Times New Roman" w:hAnsi="Times New Roman"/>
                <w:b/>
                <w:color w:val="000000"/>
                <w:sz w:val="20"/>
              </w:rPr>
              <w:t>年份</w:t>
            </w:r>
          </w:p>
        </w:tc>
        <w:tc>
          <w:tcPr>
            <w:tcW w:w="671" w:type="pct"/>
            <w:noWrap/>
            <w:vAlign w:val="center"/>
            <w:hideMark/>
          </w:tcPr>
          <w:p w14:paraId="7AA8BDC2"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2025</w:t>
            </w:r>
            <w:r w:rsidRPr="003149FE">
              <w:rPr>
                <w:rFonts w:ascii="Times New Roman" w:hAnsi="Times New Roman"/>
                <w:b/>
                <w:color w:val="000000"/>
                <w:sz w:val="20"/>
              </w:rPr>
              <w:t>年</w:t>
            </w:r>
            <w:r w:rsidRPr="003149FE">
              <w:rPr>
                <w:rFonts w:ascii="Times New Roman" w:hAnsi="Times New Roman"/>
                <w:b/>
                <w:color w:val="000000"/>
                <w:sz w:val="20"/>
              </w:rPr>
              <w:t>1-6</w:t>
            </w:r>
            <w:r w:rsidRPr="003149FE">
              <w:rPr>
                <w:rFonts w:ascii="Times New Roman" w:hAnsi="Times New Roman"/>
                <w:b/>
                <w:color w:val="000000"/>
                <w:sz w:val="20"/>
              </w:rPr>
              <w:t>月</w:t>
            </w:r>
          </w:p>
        </w:tc>
        <w:tc>
          <w:tcPr>
            <w:tcW w:w="507" w:type="pct"/>
            <w:noWrap/>
            <w:vAlign w:val="center"/>
            <w:hideMark/>
          </w:tcPr>
          <w:p w14:paraId="3684B649"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2025</w:t>
            </w:r>
            <w:r w:rsidRPr="003149FE">
              <w:rPr>
                <w:rFonts w:ascii="Times New Roman" w:hAnsi="Times New Roman"/>
                <w:b/>
                <w:color w:val="000000"/>
                <w:sz w:val="20"/>
              </w:rPr>
              <w:t>全年</w:t>
            </w:r>
          </w:p>
        </w:tc>
        <w:tc>
          <w:tcPr>
            <w:tcW w:w="495" w:type="pct"/>
            <w:noWrap/>
            <w:vAlign w:val="center"/>
            <w:hideMark/>
          </w:tcPr>
          <w:p w14:paraId="1C51DD46"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2026</w:t>
            </w:r>
            <w:r w:rsidRPr="003149FE">
              <w:rPr>
                <w:rFonts w:ascii="Times New Roman" w:hAnsi="Times New Roman"/>
                <w:b/>
                <w:color w:val="000000"/>
                <w:sz w:val="20"/>
              </w:rPr>
              <w:t>年</w:t>
            </w:r>
          </w:p>
        </w:tc>
        <w:tc>
          <w:tcPr>
            <w:tcW w:w="484" w:type="pct"/>
            <w:noWrap/>
            <w:vAlign w:val="center"/>
            <w:hideMark/>
          </w:tcPr>
          <w:p w14:paraId="0BA2763D"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2027</w:t>
            </w:r>
            <w:r w:rsidRPr="003149FE">
              <w:rPr>
                <w:rFonts w:ascii="Times New Roman" w:hAnsi="Times New Roman"/>
                <w:b/>
                <w:color w:val="000000"/>
                <w:sz w:val="20"/>
              </w:rPr>
              <w:t>年</w:t>
            </w:r>
          </w:p>
        </w:tc>
        <w:tc>
          <w:tcPr>
            <w:tcW w:w="484" w:type="pct"/>
            <w:noWrap/>
            <w:vAlign w:val="center"/>
            <w:hideMark/>
          </w:tcPr>
          <w:p w14:paraId="729EB14A"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2028</w:t>
            </w:r>
            <w:r w:rsidRPr="003149FE">
              <w:rPr>
                <w:rFonts w:ascii="Times New Roman" w:hAnsi="Times New Roman"/>
                <w:b/>
                <w:color w:val="000000"/>
                <w:sz w:val="20"/>
              </w:rPr>
              <w:t>年</w:t>
            </w:r>
          </w:p>
        </w:tc>
        <w:tc>
          <w:tcPr>
            <w:tcW w:w="481" w:type="pct"/>
            <w:noWrap/>
            <w:vAlign w:val="center"/>
            <w:hideMark/>
          </w:tcPr>
          <w:p w14:paraId="4D044763"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2029</w:t>
            </w:r>
            <w:r w:rsidRPr="003149FE">
              <w:rPr>
                <w:rFonts w:ascii="Times New Roman" w:hAnsi="Times New Roman"/>
                <w:b/>
                <w:color w:val="000000"/>
                <w:sz w:val="20"/>
              </w:rPr>
              <w:t>年</w:t>
            </w:r>
          </w:p>
        </w:tc>
        <w:tc>
          <w:tcPr>
            <w:tcW w:w="685" w:type="pct"/>
            <w:noWrap/>
            <w:vAlign w:val="center"/>
            <w:hideMark/>
          </w:tcPr>
          <w:p w14:paraId="38338332" w14:textId="77777777" w:rsidR="00CD798F" w:rsidRPr="003149FE" w:rsidRDefault="00CD798F" w:rsidP="00214723">
            <w:pPr>
              <w:keepNext/>
              <w:jc w:val="center"/>
              <w:rPr>
                <w:rFonts w:ascii="Times New Roman" w:hAnsi="Times New Roman"/>
                <w:b/>
                <w:color w:val="000000"/>
                <w:sz w:val="20"/>
              </w:rPr>
            </w:pPr>
            <w:r w:rsidRPr="003149FE">
              <w:rPr>
                <w:rFonts w:ascii="Times New Roman" w:hAnsi="Times New Roman"/>
                <w:b/>
                <w:color w:val="000000"/>
                <w:sz w:val="20"/>
              </w:rPr>
              <w:t>2030</w:t>
            </w:r>
            <w:r w:rsidRPr="003149FE">
              <w:rPr>
                <w:rFonts w:ascii="Times New Roman" w:hAnsi="Times New Roman"/>
                <w:b/>
                <w:color w:val="000000"/>
                <w:sz w:val="20"/>
              </w:rPr>
              <w:t>年及以后</w:t>
            </w:r>
          </w:p>
        </w:tc>
      </w:tr>
      <w:tr w:rsidR="00CD798F" w:rsidRPr="003149FE" w14:paraId="627F7DEA" w14:textId="77777777" w:rsidTr="00214723">
        <w:trPr>
          <w:cantSplit/>
          <w:trHeight w:val="454"/>
          <w:jc w:val="center"/>
        </w:trPr>
        <w:tc>
          <w:tcPr>
            <w:tcW w:w="1195" w:type="pct"/>
            <w:noWrap/>
            <w:vAlign w:val="center"/>
            <w:hideMark/>
          </w:tcPr>
          <w:p w14:paraId="5C6A625E" w14:textId="77777777" w:rsidR="00CD798F" w:rsidRPr="003149FE" w:rsidRDefault="00CD798F" w:rsidP="00214723">
            <w:pPr>
              <w:rPr>
                <w:rFonts w:ascii="Times New Roman" w:hAnsi="Times New Roman"/>
                <w:color w:val="000000"/>
                <w:sz w:val="20"/>
              </w:rPr>
            </w:pPr>
            <w:r w:rsidRPr="003149FE">
              <w:rPr>
                <w:rFonts w:ascii="Times New Roman" w:hAnsi="Times New Roman"/>
                <w:color w:val="000000"/>
                <w:sz w:val="20"/>
              </w:rPr>
              <w:t>最佳货币资金保有量</w:t>
            </w:r>
          </w:p>
        </w:tc>
        <w:tc>
          <w:tcPr>
            <w:tcW w:w="671" w:type="pct"/>
            <w:noWrap/>
            <w:vAlign w:val="center"/>
            <w:hideMark/>
          </w:tcPr>
          <w:p w14:paraId="784CA855"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3,026.77</w:t>
            </w:r>
          </w:p>
        </w:tc>
        <w:tc>
          <w:tcPr>
            <w:tcW w:w="507" w:type="pct"/>
            <w:noWrap/>
            <w:vAlign w:val="center"/>
            <w:hideMark/>
          </w:tcPr>
          <w:p w14:paraId="2FE2AC35"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3,310.32</w:t>
            </w:r>
          </w:p>
        </w:tc>
        <w:tc>
          <w:tcPr>
            <w:tcW w:w="495" w:type="pct"/>
            <w:noWrap/>
            <w:vAlign w:val="center"/>
            <w:hideMark/>
          </w:tcPr>
          <w:p w14:paraId="25F53350"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3,565.55</w:t>
            </w:r>
          </w:p>
        </w:tc>
        <w:tc>
          <w:tcPr>
            <w:tcW w:w="484" w:type="pct"/>
            <w:noWrap/>
            <w:vAlign w:val="center"/>
            <w:hideMark/>
          </w:tcPr>
          <w:p w14:paraId="4ABE5788"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3,808.52</w:t>
            </w:r>
          </w:p>
        </w:tc>
        <w:tc>
          <w:tcPr>
            <w:tcW w:w="484" w:type="pct"/>
            <w:noWrap/>
            <w:vAlign w:val="center"/>
            <w:hideMark/>
          </w:tcPr>
          <w:p w14:paraId="0330E396"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4,023.58</w:t>
            </w:r>
          </w:p>
        </w:tc>
        <w:tc>
          <w:tcPr>
            <w:tcW w:w="481" w:type="pct"/>
            <w:noWrap/>
            <w:vAlign w:val="center"/>
            <w:hideMark/>
          </w:tcPr>
          <w:p w14:paraId="0597A98B"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4,172.44</w:t>
            </w:r>
          </w:p>
        </w:tc>
        <w:tc>
          <w:tcPr>
            <w:tcW w:w="685" w:type="pct"/>
            <w:noWrap/>
            <w:vAlign w:val="center"/>
            <w:hideMark/>
          </w:tcPr>
          <w:p w14:paraId="264FE7E2"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4,172.44</w:t>
            </w:r>
          </w:p>
        </w:tc>
      </w:tr>
      <w:tr w:rsidR="00CD798F" w:rsidRPr="003149FE" w14:paraId="2BCB36E9" w14:textId="77777777" w:rsidTr="00214723">
        <w:trPr>
          <w:cantSplit/>
          <w:trHeight w:val="454"/>
          <w:jc w:val="center"/>
        </w:trPr>
        <w:tc>
          <w:tcPr>
            <w:tcW w:w="1195" w:type="pct"/>
            <w:noWrap/>
            <w:vAlign w:val="center"/>
            <w:hideMark/>
          </w:tcPr>
          <w:p w14:paraId="500E6D22" w14:textId="77777777" w:rsidR="00CD798F" w:rsidRPr="003149FE" w:rsidRDefault="00CD798F" w:rsidP="00214723">
            <w:pPr>
              <w:rPr>
                <w:rFonts w:ascii="Times New Roman" w:hAnsi="Times New Roman"/>
                <w:color w:val="000000"/>
                <w:sz w:val="20"/>
              </w:rPr>
            </w:pPr>
            <w:r w:rsidRPr="003149FE">
              <w:rPr>
                <w:rFonts w:ascii="Times New Roman" w:hAnsi="Times New Roman"/>
                <w:color w:val="000000"/>
                <w:sz w:val="20"/>
              </w:rPr>
              <w:t>存货</w:t>
            </w:r>
          </w:p>
        </w:tc>
        <w:tc>
          <w:tcPr>
            <w:tcW w:w="671" w:type="pct"/>
            <w:noWrap/>
            <w:vAlign w:val="center"/>
            <w:hideMark/>
          </w:tcPr>
          <w:p w14:paraId="547DA1E5"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1,526.99</w:t>
            </w:r>
          </w:p>
        </w:tc>
        <w:tc>
          <w:tcPr>
            <w:tcW w:w="507" w:type="pct"/>
            <w:noWrap/>
            <w:vAlign w:val="center"/>
            <w:hideMark/>
          </w:tcPr>
          <w:p w14:paraId="72B8A149"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1,376.37</w:t>
            </w:r>
          </w:p>
        </w:tc>
        <w:tc>
          <w:tcPr>
            <w:tcW w:w="495" w:type="pct"/>
            <w:noWrap/>
            <w:vAlign w:val="center"/>
            <w:hideMark/>
          </w:tcPr>
          <w:p w14:paraId="30105838"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1,484.14</w:t>
            </w:r>
          </w:p>
        </w:tc>
        <w:tc>
          <w:tcPr>
            <w:tcW w:w="484" w:type="pct"/>
            <w:noWrap/>
            <w:vAlign w:val="center"/>
            <w:hideMark/>
          </w:tcPr>
          <w:p w14:paraId="7E1528FE"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1,569.33</w:t>
            </w:r>
          </w:p>
        </w:tc>
        <w:tc>
          <w:tcPr>
            <w:tcW w:w="484" w:type="pct"/>
            <w:noWrap/>
            <w:vAlign w:val="center"/>
            <w:hideMark/>
          </w:tcPr>
          <w:p w14:paraId="0CD29183"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1,639.97</w:t>
            </w:r>
          </w:p>
        </w:tc>
        <w:tc>
          <w:tcPr>
            <w:tcW w:w="481" w:type="pct"/>
            <w:noWrap/>
            <w:vAlign w:val="center"/>
            <w:hideMark/>
          </w:tcPr>
          <w:p w14:paraId="0524FE2C"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1,700.52</w:t>
            </w:r>
          </w:p>
        </w:tc>
        <w:tc>
          <w:tcPr>
            <w:tcW w:w="685" w:type="pct"/>
            <w:noWrap/>
            <w:vAlign w:val="center"/>
            <w:hideMark/>
          </w:tcPr>
          <w:p w14:paraId="77379E92"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1,700.52</w:t>
            </w:r>
          </w:p>
        </w:tc>
      </w:tr>
      <w:tr w:rsidR="00CD798F" w:rsidRPr="003149FE" w14:paraId="1E07BF93" w14:textId="77777777" w:rsidTr="00214723">
        <w:trPr>
          <w:cantSplit/>
          <w:trHeight w:val="454"/>
          <w:jc w:val="center"/>
        </w:trPr>
        <w:tc>
          <w:tcPr>
            <w:tcW w:w="1195" w:type="pct"/>
            <w:noWrap/>
            <w:vAlign w:val="center"/>
            <w:hideMark/>
          </w:tcPr>
          <w:p w14:paraId="2E064377" w14:textId="77777777" w:rsidR="00CD798F" w:rsidRPr="003149FE" w:rsidRDefault="00CD798F" w:rsidP="00214723">
            <w:pPr>
              <w:rPr>
                <w:rFonts w:ascii="Times New Roman" w:hAnsi="Times New Roman"/>
                <w:color w:val="000000"/>
                <w:sz w:val="20"/>
              </w:rPr>
            </w:pPr>
            <w:r w:rsidRPr="003149FE">
              <w:rPr>
                <w:rFonts w:ascii="Times New Roman" w:hAnsi="Times New Roman"/>
                <w:color w:val="000000"/>
                <w:sz w:val="20"/>
              </w:rPr>
              <w:t>应收款项合计</w:t>
            </w:r>
          </w:p>
        </w:tc>
        <w:tc>
          <w:tcPr>
            <w:tcW w:w="671" w:type="pct"/>
            <w:noWrap/>
            <w:vAlign w:val="center"/>
            <w:hideMark/>
          </w:tcPr>
          <w:p w14:paraId="4156F643"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3,553.50</w:t>
            </w:r>
          </w:p>
        </w:tc>
        <w:tc>
          <w:tcPr>
            <w:tcW w:w="507" w:type="pct"/>
            <w:noWrap/>
            <w:vAlign w:val="center"/>
            <w:hideMark/>
          </w:tcPr>
          <w:p w14:paraId="40322D80"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4,434.18</w:t>
            </w:r>
          </w:p>
        </w:tc>
        <w:tc>
          <w:tcPr>
            <w:tcW w:w="495" w:type="pct"/>
            <w:noWrap/>
            <w:vAlign w:val="center"/>
            <w:hideMark/>
          </w:tcPr>
          <w:p w14:paraId="60085413"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4,551.27</w:t>
            </w:r>
          </w:p>
        </w:tc>
        <w:tc>
          <w:tcPr>
            <w:tcW w:w="484" w:type="pct"/>
            <w:noWrap/>
            <w:vAlign w:val="center"/>
            <w:hideMark/>
          </w:tcPr>
          <w:p w14:paraId="3A8E4F2B"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4,657.79</w:t>
            </w:r>
          </w:p>
        </w:tc>
        <w:tc>
          <w:tcPr>
            <w:tcW w:w="484" w:type="pct"/>
            <w:noWrap/>
            <w:vAlign w:val="center"/>
            <w:hideMark/>
          </w:tcPr>
          <w:p w14:paraId="007FFE8A"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4,750.02</w:t>
            </w:r>
          </w:p>
        </w:tc>
        <w:tc>
          <w:tcPr>
            <w:tcW w:w="481" w:type="pct"/>
            <w:noWrap/>
            <w:vAlign w:val="center"/>
            <w:hideMark/>
          </w:tcPr>
          <w:p w14:paraId="4954A669"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4,830.54</w:t>
            </w:r>
          </w:p>
        </w:tc>
        <w:tc>
          <w:tcPr>
            <w:tcW w:w="685" w:type="pct"/>
            <w:noWrap/>
            <w:vAlign w:val="center"/>
            <w:hideMark/>
          </w:tcPr>
          <w:p w14:paraId="4F80DF6A"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4,830.54</w:t>
            </w:r>
          </w:p>
        </w:tc>
      </w:tr>
      <w:tr w:rsidR="00CD798F" w:rsidRPr="003149FE" w14:paraId="32104377" w14:textId="77777777" w:rsidTr="00214723">
        <w:trPr>
          <w:cantSplit/>
          <w:trHeight w:val="454"/>
          <w:jc w:val="center"/>
        </w:trPr>
        <w:tc>
          <w:tcPr>
            <w:tcW w:w="1195" w:type="pct"/>
            <w:noWrap/>
            <w:vAlign w:val="center"/>
            <w:hideMark/>
          </w:tcPr>
          <w:p w14:paraId="2A4D2A9E" w14:textId="77777777" w:rsidR="00CD798F" w:rsidRPr="003149FE" w:rsidRDefault="00CD798F" w:rsidP="00214723">
            <w:pPr>
              <w:rPr>
                <w:rFonts w:ascii="Times New Roman" w:hAnsi="Times New Roman"/>
                <w:color w:val="000000"/>
                <w:sz w:val="20"/>
              </w:rPr>
            </w:pPr>
            <w:r w:rsidRPr="003149FE">
              <w:rPr>
                <w:rFonts w:ascii="Times New Roman" w:hAnsi="Times New Roman"/>
                <w:color w:val="000000"/>
                <w:sz w:val="20"/>
              </w:rPr>
              <w:t>应付款项合计</w:t>
            </w:r>
          </w:p>
        </w:tc>
        <w:tc>
          <w:tcPr>
            <w:tcW w:w="671" w:type="pct"/>
            <w:noWrap/>
            <w:vAlign w:val="center"/>
            <w:hideMark/>
          </w:tcPr>
          <w:p w14:paraId="6D68BC6C"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8,042.93</w:t>
            </w:r>
          </w:p>
        </w:tc>
        <w:tc>
          <w:tcPr>
            <w:tcW w:w="507" w:type="pct"/>
            <w:noWrap/>
            <w:vAlign w:val="center"/>
            <w:hideMark/>
          </w:tcPr>
          <w:p w14:paraId="661170F2"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9,182.13</w:t>
            </w:r>
          </w:p>
        </w:tc>
        <w:tc>
          <w:tcPr>
            <w:tcW w:w="495" w:type="pct"/>
            <w:noWrap/>
            <w:vAlign w:val="center"/>
            <w:hideMark/>
          </w:tcPr>
          <w:p w14:paraId="4626DB8A"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9,928.02</w:t>
            </w:r>
          </w:p>
        </w:tc>
        <w:tc>
          <w:tcPr>
            <w:tcW w:w="484" w:type="pct"/>
            <w:noWrap/>
            <w:vAlign w:val="center"/>
            <w:hideMark/>
          </w:tcPr>
          <w:p w14:paraId="5BC11EFD"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10,643.40</w:t>
            </w:r>
          </w:p>
        </w:tc>
        <w:tc>
          <w:tcPr>
            <w:tcW w:w="484" w:type="pct"/>
            <w:noWrap/>
            <w:vAlign w:val="center"/>
            <w:hideMark/>
          </w:tcPr>
          <w:p w14:paraId="1ACEB24B"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11,267.43</w:t>
            </w:r>
          </w:p>
        </w:tc>
        <w:tc>
          <w:tcPr>
            <w:tcW w:w="481" w:type="pct"/>
            <w:noWrap/>
            <w:vAlign w:val="center"/>
            <w:hideMark/>
          </w:tcPr>
          <w:p w14:paraId="069AADAF"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11,714.73</w:t>
            </w:r>
          </w:p>
        </w:tc>
        <w:tc>
          <w:tcPr>
            <w:tcW w:w="685" w:type="pct"/>
            <w:noWrap/>
            <w:vAlign w:val="center"/>
            <w:hideMark/>
          </w:tcPr>
          <w:p w14:paraId="7705BC28" w14:textId="77777777" w:rsidR="00CD798F" w:rsidRPr="003149FE" w:rsidRDefault="00CD798F" w:rsidP="00214723">
            <w:pPr>
              <w:jc w:val="right"/>
              <w:rPr>
                <w:rFonts w:ascii="Times New Roman" w:hAnsi="Times New Roman"/>
                <w:color w:val="000000"/>
                <w:sz w:val="20"/>
              </w:rPr>
            </w:pPr>
            <w:r w:rsidRPr="003149FE">
              <w:rPr>
                <w:rFonts w:ascii="Times New Roman" w:hAnsi="Times New Roman"/>
                <w:color w:val="000000"/>
                <w:sz w:val="20"/>
              </w:rPr>
              <w:t>11,714.73</w:t>
            </w:r>
          </w:p>
        </w:tc>
      </w:tr>
      <w:tr w:rsidR="00CD798F" w:rsidRPr="003149FE" w14:paraId="05F7C3F5" w14:textId="77777777" w:rsidTr="00214723">
        <w:trPr>
          <w:cantSplit/>
          <w:trHeight w:val="454"/>
          <w:jc w:val="center"/>
        </w:trPr>
        <w:tc>
          <w:tcPr>
            <w:tcW w:w="1195" w:type="pct"/>
            <w:noWrap/>
            <w:vAlign w:val="center"/>
            <w:hideMark/>
          </w:tcPr>
          <w:p w14:paraId="34F90CAA" w14:textId="77777777" w:rsidR="00CD798F" w:rsidRPr="003149FE" w:rsidRDefault="00CD798F" w:rsidP="00214723">
            <w:pPr>
              <w:rPr>
                <w:rFonts w:ascii="Times New Roman" w:hAnsi="Times New Roman"/>
                <w:b/>
                <w:bCs/>
                <w:color w:val="000000"/>
                <w:sz w:val="20"/>
              </w:rPr>
            </w:pPr>
            <w:r w:rsidRPr="003149FE">
              <w:rPr>
                <w:rFonts w:ascii="Times New Roman" w:hAnsi="Times New Roman"/>
                <w:b/>
                <w:bCs/>
                <w:color w:val="000000"/>
                <w:sz w:val="20"/>
              </w:rPr>
              <w:t>期末经营性营运资本</w:t>
            </w:r>
          </w:p>
        </w:tc>
        <w:tc>
          <w:tcPr>
            <w:tcW w:w="671" w:type="pct"/>
            <w:noWrap/>
            <w:vAlign w:val="center"/>
            <w:hideMark/>
          </w:tcPr>
          <w:p w14:paraId="5167A6D4"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216.65</w:t>
            </w:r>
          </w:p>
        </w:tc>
        <w:tc>
          <w:tcPr>
            <w:tcW w:w="507" w:type="pct"/>
            <w:noWrap/>
            <w:vAlign w:val="center"/>
            <w:hideMark/>
          </w:tcPr>
          <w:p w14:paraId="10780163"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-61.25</w:t>
            </w:r>
          </w:p>
        </w:tc>
        <w:tc>
          <w:tcPr>
            <w:tcW w:w="495" w:type="pct"/>
            <w:noWrap/>
            <w:vAlign w:val="center"/>
            <w:hideMark/>
          </w:tcPr>
          <w:p w14:paraId="66D9FBCB"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-327.05</w:t>
            </w:r>
          </w:p>
        </w:tc>
        <w:tc>
          <w:tcPr>
            <w:tcW w:w="484" w:type="pct"/>
            <w:noWrap/>
            <w:vAlign w:val="center"/>
            <w:hideMark/>
          </w:tcPr>
          <w:p w14:paraId="539D89DD"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-607.76</w:t>
            </w:r>
          </w:p>
        </w:tc>
        <w:tc>
          <w:tcPr>
            <w:tcW w:w="484" w:type="pct"/>
            <w:noWrap/>
            <w:vAlign w:val="center"/>
            <w:hideMark/>
          </w:tcPr>
          <w:p w14:paraId="5DBECB6F"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-853.86</w:t>
            </w:r>
          </w:p>
        </w:tc>
        <w:tc>
          <w:tcPr>
            <w:tcW w:w="481" w:type="pct"/>
            <w:noWrap/>
            <w:vAlign w:val="center"/>
            <w:hideMark/>
          </w:tcPr>
          <w:p w14:paraId="7B8F4D98"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-1,011.22</w:t>
            </w:r>
          </w:p>
        </w:tc>
        <w:tc>
          <w:tcPr>
            <w:tcW w:w="685" w:type="pct"/>
            <w:noWrap/>
            <w:vAlign w:val="center"/>
            <w:hideMark/>
          </w:tcPr>
          <w:p w14:paraId="43A0AC1E"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-1,011.22</w:t>
            </w:r>
          </w:p>
        </w:tc>
      </w:tr>
      <w:tr w:rsidR="00CD798F" w:rsidRPr="003149FE" w14:paraId="24FD8279" w14:textId="77777777" w:rsidTr="00214723">
        <w:trPr>
          <w:cantSplit/>
          <w:trHeight w:val="454"/>
          <w:jc w:val="center"/>
        </w:trPr>
        <w:tc>
          <w:tcPr>
            <w:tcW w:w="1195" w:type="pct"/>
            <w:noWrap/>
            <w:vAlign w:val="center"/>
            <w:hideMark/>
          </w:tcPr>
          <w:p w14:paraId="0D25454E" w14:textId="77777777" w:rsidR="00CD798F" w:rsidRPr="003149FE" w:rsidRDefault="00CD798F" w:rsidP="00214723">
            <w:pPr>
              <w:rPr>
                <w:rFonts w:ascii="Times New Roman" w:hAnsi="Times New Roman"/>
                <w:b/>
                <w:bCs/>
                <w:color w:val="000000"/>
                <w:sz w:val="20"/>
              </w:rPr>
            </w:pPr>
            <w:r w:rsidRPr="003149FE">
              <w:rPr>
                <w:rFonts w:ascii="Times New Roman" w:hAnsi="Times New Roman"/>
                <w:b/>
                <w:bCs/>
                <w:color w:val="000000"/>
                <w:sz w:val="20"/>
              </w:rPr>
              <w:t>营运资本增加额</w:t>
            </w:r>
          </w:p>
        </w:tc>
        <w:tc>
          <w:tcPr>
            <w:tcW w:w="671" w:type="pct"/>
            <w:noWrap/>
            <w:vAlign w:val="center"/>
            <w:hideMark/>
          </w:tcPr>
          <w:p w14:paraId="69E076C2" w14:textId="77777777" w:rsidR="00CD798F" w:rsidRPr="003149FE" w:rsidRDefault="00CD798F" w:rsidP="00214723">
            <w:pPr>
              <w:rPr>
                <w:rFonts w:ascii="Times New Roman" w:hAnsi="Times New Roman"/>
                <w:b/>
                <w:bCs/>
                <w:color w:val="000000"/>
                <w:sz w:val="20"/>
              </w:rPr>
            </w:pPr>
          </w:p>
        </w:tc>
        <w:tc>
          <w:tcPr>
            <w:tcW w:w="507" w:type="pct"/>
            <w:noWrap/>
            <w:vAlign w:val="center"/>
            <w:hideMark/>
          </w:tcPr>
          <w:p w14:paraId="6338DDDF"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-277.90</w:t>
            </w:r>
          </w:p>
        </w:tc>
        <w:tc>
          <w:tcPr>
            <w:tcW w:w="495" w:type="pct"/>
            <w:noWrap/>
            <w:vAlign w:val="center"/>
            <w:hideMark/>
          </w:tcPr>
          <w:p w14:paraId="17A49559"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-265.80</w:t>
            </w:r>
          </w:p>
        </w:tc>
        <w:tc>
          <w:tcPr>
            <w:tcW w:w="484" w:type="pct"/>
            <w:noWrap/>
            <w:vAlign w:val="center"/>
            <w:hideMark/>
          </w:tcPr>
          <w:p w14:paraId="200228F0"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-280.71</w:t>
            </w:r>
          </w:p>
        </w:tc>
        <w:tc>
          <w:tcPr>
            <w:tcW w:w="484" w:type="pct"/>
            <w:noWrap/>
            <w:vAlign w:val="center"/>
            <w:hideMark/>
          </w:tcPr>
          <w:p w14:paraId="0DE93C1C"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-246.10</w:t>
            </w:r>
          </w:p>
        </w:tc>
        <w:tc>
          <w:tcPr>
            <w:tcW w:w="481" w:type="pct"/>
            <w:noWrap/>
            <w:vAlign w:val="center"/>
            <w:hideMark/>
          </w:tcPr>
          <w:p w14:paraId="47B3A522"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-157.36</w:t>
            </w:r>
          </w:p>
        </w:tc>
        <w:tc>
          <w:tcPr>
            <w:tcW w:w="685" w:type="pct"/>
            <w:noWrap/>
            <w:vAlign w:val="center"/>
            <w:hideMark/>
          </w:tcPr>
          <w:p w14:paraId="51D2F493" w14:textId="77777777" w:rsidR="00CD798F" w:rsidRPr="003149FE" w:rsidRDefault="00CD798F" w:rsidP="00214723">
            <w:pPr>
              <w:jc w:val="right"/>
              <w:rPr>
                <w:rFonts w:ascii="Times New Roman" w:hAnsi="Times New Roman"/>
                <w:b/>
                <w:bCs/>
                <w:color w:val="000000"/>
                <w:sz w:val="20"/>
              </w:rPr>
            </w:pPr>
            <w:r w:rsidRPr="003149FE">
              <w:rPr>
                <w:rFonts w:ascii="Times New Roman" w:hAnsi="Times New Roman"/>
                <w:b/>
                <w:bCs/>
                <w:color w:val="000000"/>
                <w:sz w:val="20"/>
              </w:rPr>
              <w:t>0.00</w:t>
            </w:r>
          </w:p>
        </w:tc>
      </w:tr>
    </w:tbl>
    <w:p w14:paraId="2C8311FB" w14:textId="77777777" w:rsidR="00CD798F" w:rsidRDefault="00CD798F" w:rsidP="00CD798F">
      <w:pPr>
        <w:pStyle w:val="003"/>
        <w:spacing w:before="120" w:after="120"/>
        <w:ind w:firstLineChars="0" w:firstLine="0"/>
      </w:pPr>
      <w:r>
        <w:rPr>
          <w:rFonts w:hint="eastAsia"/>
        </w:rPr>
        <w:t>（三）</w:t>
      </w:r>
      <w:r w:rsidRPr="00007D24">
        <w:rPr>
          <w:rFonts w:hint="eastAsia"/>
        </w:rPr>
        <w:t>折旧与摊销、资本性支出金额呈下降趋势的合理性</w:t>
      </w:r>
    </w:p>
    <w:p w14:paraId="3B55A299" w14:textId="77777777" w:rsidR="00CD798F" w:rsidRDefault="00CD798F" w:rsidP="00CD798F">
      <w:pPr>
        <w:pStyle w:val="004"/>
        <w:spacing w:before="120" w:after="120"/>
        <w:ind w:firstLine="482"/>
        <w:outlineLvl w:val="4"/>
      </w:pPr>
      <w:r>
        <w:rPr>
          <w:rFonts w:hint="eastAsia"/>
        </w:rPr>
        <w:t>（</w:t>
      </w:r>
      <w:r>
        <w:rPr>
          <w:rFonts w:hint="eastAsia"/>
        </w:rPr>
        <w:t>1</w:t>
      </w:r>
      <w:r>
        <w:rPr>
          <w:rFonts w:hint="eastAsia"/>
        </w:rPr>
        <w:t>）折旧与摊销</w:t>
      </w:r>
    </w:p>
    <w:p w14:paraId="5F4BAE4F"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本次预测期内各期的折旧摊销金额如下：</w:t>
      </w:r>
    </w:p>
    <w:p w14:paraId="756AE7A9" w14:textId="77777777" w:rsidR="00CD798F" w:rsidRPr="00E72E9B" w:rsidRDefault="00CD798F" w:rsidP="00CD798F">
      <w:pPr>
        <w:pStyle w:val="005"/>
        <w:spacing w:before="120" w:after="120"/>
        <w:ind w:firstLine="480"/>
        <w:jc w:val="right"/>
        <w:rPr>
          <w:sz w:val="21"/>
        </w:rPr>
      </w:pPr>
      <w:r w:rsidRPr="00C820D0">
        <w:rPr>
          <w:rFonts w:ascii="宋体" w:hAnsi="宋体"/>
        </w:rPr>
        <w:t>单位：万元</w:t>
      </w:r>
    </w:p>
    <w:tbl>
      <w:tblPr>
        <w:tblW w:w="5132"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06"/>
        <w:gridCol w:w="1608"/>
        <w:gridCol w:w="1190"/>
        <w:gridCol w:w="952"/>
        <w:gridCol w:w="952"/>
        <w:gridCol w:w="952"/>
        <w:gridCol w:w="1540"/>
      </w:tblGrid>
      <w:tr w:rsidR="00CD798F" w:rsidRPr="00C820D0" w14:paraId="3D4A6856" w14:textId="77777777" w:rsidTr="00214723">
        <w:trPr>
          <w:cantSplit/>
          <w:trHeight w:val="454"/>
          <w:tblHeader/>
          <w:jc w:val="center"/>
        </w:trPr>
        <w:tc>
          <w:tcPr>
            <w:tcW w:w="1040" w:type="pct"/>
            <w:noWrap/>
            <w:vAlign w:val="center"/>
            <w:hideMark/>
          </w:tcPr>
          <w:p w14:paraId="21462BDE"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科目</w:t>
            </w:r>
          </w:p>
        </w:tc>
        <w:tc>
          <w:tcPr>
            <w:tcW w:w="880" w:type="pct"/>
            <w:noWrap/>
            <w:vAlign w:val="center"/>
            <w:hideMark/>
          </w:tcPr>
          <w:p w14:paraId="1C0DA5AA"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2025</w:t>
            </w:r>
            <w:r w:rsidRPr="00C820D0">
              <w:rPr>
                <w:rFonts w:ascii="Times New Roman" w:hAnsi="Times New Roman"/>
                <w:b/>
                <w:color w:val="000000"/>
              </w:rPr>
              <w:t>年</w:t>
            </w:r>
            <w:r w:rsidRPr="00C820D0">
              <w:rPr>
                <w:rFonts w:ascii="Times New Roman" w:hAnsi="Times New Roman"/>
                <w:b/>
                <w:color w:val="000000"/>
              </w:rPr>
              <w:t>7-12</w:t>
            </w:r>
            <w:r w:rsidRPr="00C820D0">
              <w:rPr>
                <w:rFonts w:ascii="Times New Roman" w:hAnsi="Times New Roman"/>
                <w:b/>
                <w:color w:val="000000"/>
              </w:rPr>
              <w:t>月</w:t>
            </w:r>
          </w:p>
        </w:tc>
        <w:tc>
          <w:tcPr>
            <w:tcW w:w="655" w:type="pct"/>
            <w:noWrap/>
            <w:vAlign w:val="center"/>
            <w:hideMark/>
          </w:tcPr>
          <w:p w14:paraId="52991F35"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2026</w:t>
            </w:r>
            <w:r w:rsidRPr="00C820D0">
              <w:rPr>
                <w:rFonts w:ascii="Times New Roman" w:hAnsi="Times New Roman"/>
                <w:b/>
                <w:color w:val="000000"/>
              </w:rPr>
              <w:t>年</w:t>
            </w:r>
          </w:p>
        </w:tc>
        <w:tc>
          <w:tcPr>
            <w:tcW w:w="527" w:type="pct"/>
            <w:noWrap/>
            <w:vAlign w:val="center"/>
            <w:hideMark/>
          </w:tcPr>
          <w:p w14:paraId="574F13C9"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2027</w:t>
            </w:r>
            <w:r w:rsidRPr="00C820D0">
              <w:rPr>
                <w:rFonts w:ascii="Times New Roman" w:hAnsi="Times New Roman"/>
                <w:b/>
                <w:color w:val="000000"/>
              </w:rPr>
              <w:t>年</w:t>
            </w:r>
          </w:p>
        </w:tc>
        <w:tc>
          <w:tcPr>
            <w:tcW w:w="527" w:type="pct"/>
            <w:noWrap/>
            <w:vAlign w:val="center"/>
            <w:hideMark/>
          </w:tcPr>
          <w:p w14:paraId="0FB6F691"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2028</w:t>
            </w:r>
            <w:r w:rsidRPr="00C820D0">
              <w:rPr>
                <w:rFonts w:ascii="Times New Roman" w:hAnsi="Times New Roman"/>
                <w:b/>
                <w:color w:val="000000"/>
              </w:rPr>
              <w:t>年</w:t>
            </w:r>
          </w:p>
        </w:tc>
        <w:tc>
          <w:tcPr>
            <w:tcW w:w="527" w:type="pct"/>
            <w:noWrap/>
            <w:vAlign w:val="center"/>
            <w:hideMark/>
          </w:tcPr>
          <w:p w14:paraId="791DC568"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2029</w:t>
            </w:r>
            <w:r w:rsidRPr="00C820D0">
              <w:rPr>
                <w:rFonts w:ascii="Times New Roman" w:hAnsi="Times New Roman"/>
                <w:b/>
                <w:color w:val="000000"/>
              </w:rPr>
              <w:t>年</w:t>
            </w:r>
          </w:p>
        </w:tc>
        <w:tc>
          <w:tcPr>
            <w:tcW w:w="843" w:type="pct"/>
            <w:noWrap/>
            <w:vAlign w:val="center"/>
            <w:hideMark/>
          </w:tcPr>
          <w:p w14:paraId="062B117C"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2030</w:t>
            </w:r>
            <w:r w:rsidRPr="00C820D0">
              <w:rPr>
                <w:rFonts w:ascii="Times New Roman" w:hAnsi="Times New Roman"/>
                <w:b/>
                <w:color w:val="000000"/>
              </w:rPr>
              <w:t>年及以后</w:t>
            </w:r>
          </w:p>
        </w:tc>
      </w:tr>
      <w:tr w:rsidR="00CD798F" w:rsidRPr="00C820D0" w14:paraId="22BFC148" w14:textId="77777777" w:rsidTr="00214723">
        <w:trPr>
          <w:cantSplit/>
          <w:trHeight w:val="454"/>
          <w:jc w:val="center"/>
        </w:trPr>
        <w:tc>
          <w:tcPr>
            <w:tcW w:w="1040" w:type="pct"/>
            <w:noWrap/>
            <w:vAlign w:val="center"/>
            <w:hideMark/>
          </w:tcPr>
          <w:p w14:paraId="6A917E1C"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折旧与摊销金额合计</w:t>
            </w:r>
          </w:p>
        </w:tc>
        <w:tc>
          <w:tcPr>
            <w:tcW w:w="880" w:type="pct"/>
            <w:noWrap/>
            <w:vAlign w:val="center"/>
            <w:hideMark/>
          </w:tcPr>
          <w:p w14:paraId="6A9FF453"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534.95</w:t>
            </w:r>
          </w:p>
        </w:tc>
        <w:tc>
          <w:tcPr>
            <w:tcW w:w="655" w:type="pct"/>
            <w:noWrap/>
            <w:vAlign w:val="center"/>
            <w:hideMark/>
          </w:tcPr>
          <w:p w14:paraId="156D1389"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1,088.84</w:t>
            </w:r>
          </w:p>
        </w:tc>
        <w:tc>
          <w:tcPr>
            <w:tcW w:w="527" w:type="pct"/>
            <w:noWrap/>
            <w:vAlign w:val="center"/>
            <w:hideMark/>
          </w:tcPr>
          <w:p w14:paraId="14931A28"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1,107.84</w:t>
            </w:r>
          </w:p>
        </w:tc>
        <w:tc>
          <w:tcPr>
            <w:tcW w:w="527" w:type="pct"/>
            <w:noWrap/>
            <w:vAlign w:val="center"/>
            <w:hideMark/>
          </w:tcPr>
          <w:p w14:paraId="6A5F2A86"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1,107.84</w:t>
            </w:r>
          </w:p>
        </w:tc>
        <w:tc>
          <w:tcPr>
            <w:tcW w:w="527" w:type="pct"/>
            <w:noWrap/>
            <w:vAlign w:val="center"/>
            <w:hideMark/>
          </w:tcPr>
          <w:p w14:paraId="5FEF4725"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1,107.84</w:t>
            </w:r>
          </w:p>
        </w:tc>
        <w:tc>
          <w:tcPr>
            <w:tcW w:w="843" w:type="pct"/>
            <w:noWrap/>
            <w:vAlign w:val="center"/>
            <w:hideMark/>
          </w:tcPr>
          <w:p w14:paraId="798948EE"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1,107.84</w:t>
            </w:r>
          </w:p>
        </w:tc>
      </w:tr>
    </w:tbl>
    <w:p w14:paraId="3166B382" w14:textId="77777777" w:rsidR="00CD798F" w:rsidRPr="00C820D0" w:rsidRDefault="00CD798F" w:rsidP="00CD798F">
      <w:pPr>
        <w:pStyle w:val="005"/>
        <w:spacing w:before="120" w:after="120"/>
        <w:ind w:firstLine="480"/>
      </w:pPr>
      <w:r w:rsidRPr="00C820D0">
        <w:t>2026</w:t>
      </w:r>
      <w:r w:rsidRPr="00C820D0">
        <w:t>年度和</w:t>
      </w:r>
      <w:r w:rsidRPr="00C820D0">
        <w:t>2027</w:t>
      </w:r>
      <w:r w:rsidRPr="00C820D0">
        <w:t>年度折旧与摊销金额有所波动，主要系由于本次评估预测期内增加了部分扩张性设备投入导致原值增加进而折旧有所增长所致，</w:t>
      </w:r>
      <w:r w:rsidRPr="00C820D0">
        <w:t>2027</w:t>
      </w:r>
      <w:r w:rsidRPr="00C820D0">
        <w:t>年及以后年度均保持同样的水平未发生金额下降，因此预测期内折旧与摊销金额呈下降趋势具备合理性。</w:t>
      </w:r>
    </w:p>
    <w:p w14:paraId="4C015F96" w14:textId="77777777" w:rsidR="00CD798F" w:rsidRPr="004D0FA7" w:rsidRDefault="00CD798F" w:rsidP="00CD798F">
      <w:pPr>
        <w:pStyle w:val="004"/>
        <w:spacing w:before="120" w:after="120"/>
        <w:ind w:firstLine="482"/>
        <w:outlineLvl w:val="4"/>
      </w:pPr>
      <w:r>
        <w:rPr>
          <w:rFonts w:hint="eastAsia"/>
        </w:rPr>
        <w:lastRenderedPageBreak/>
        <w:t>（</w:t>
      </w:r>
      <w:r>
        <w:rPr>
          <w:rFonts w:hint="eastAsia"/>
        </w:rPr>
        <w:t>2</w:t>
      </w:r>
      <w:r>
        <w:rPr>
          <w:rFonts w:hint="eastAsia"/>
        </w:rPr>
        <w:t>）资本性支出</w:t>
      </w:r>
    </w:p>
    <w:p w14:paraId="6BBCE3C4"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本次预测期内各期的资本性支出金额如下：</w:t>
      </w:r>
    </w:p>
    <w:p w14:paraId="487AD415"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rPr>
        <w:t>单位：万元</w:t>
      </w:r>
    </w:p>
    <w:tbl>
      <w:tblPr>
        <w:tblW w:w="5075"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157"/>
        <w:gridCol w:w="1641"/>
        <w:gridCol w:w="1059"/>
        <w:gridCol w:w="923"/>
        <w:gridCol w:w="923"/>
        <w:gridCol w:w="923"/>
        <w:gridCol w:w="1571"/>
      </w:tblGrid>
      <w:tr w:rsidR="00CD798F" w:rsidRPr="00C820D0" w14:paraId="571B8819" w14:textId="77777777" w:rsidTr="00214723">
        <w:trPr>
          <w:cantSplit/>
          <w:trHeight w:val="454"/>
          <w:tblHeader/>
          <w:jc w:val="center"/>
        </w:trPr>
        <w:tc>
          <w:tcPr>
            <w:tcW w:w="1172" w:type="pct"/>
            <w:noWrap/>
            <w:vAlign w:val="center"/>
            <w:hideMark/>
          </w:tcPr>
          <w:p w14:paraId="2B270977"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科目</w:t>
            </w:r>
          </w:p>
        </w:tc>
        <w:tc>
          <w:tcPr>
            <w:tcW w:w="892" w:type="pct"/>
            <w:noWrap/>
            <w:vAlign w:val="center"/>
            <w:hideMark/>
          </w:tcPr>
          <w:p w14:paraId="13A2D9EC"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2025</w:t>
            </w:r>
            <w:r w:rsidRPr="00C820D0">
              <w:rPr>
                <w:rFonts w:ascii="Times New Roman" w:hAnsi="Times New Roman"/>
                <w:b/>
                <w:color w:val="000000"/>
              </w:rPr>
              <w:t>年</w:t>
            </w:r>
            <w:r w:rsidRPr="00C820D0">
              <w:rPr>
                <w:rFonts w:ascii="Times New Roman" w:hAnsi="Times New Roman"/>
                <w:b/>
                <w:color w:val="000000"/>
              </w:rPr>
              <w:t>7-12</w:t>
            </w:r>
            <w:r w:rsidRPr="00C820D0">
              <w:rPr>
                <w:rFonts w:ascii="Times New Roman" w:hAnsi="Times New Roman"/>
                <w:b/>
                <w:color w:val="000000"/>
              </w:rPr>
              <w:t>月</w:t>
            </w:r>
          </w:p>
        </w:tc>
        <w:tc>
          <w:tcPr>
            <w:tcW w:w="576" w:type="pct"/>
            <w:noWrap/>
            <w:vAlign w:val="center"/>
            <w:hideMark/>
          </w:tcPr>
          <w:p w14:paraId="698EF558"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2026</w:t>
            </w:r>
            <w:r w:rsidRPr="00C820D0">
              <w:rPr>
                <w:rFonts w:ascii="Times New Roman" w:hAnsi="Times New Roman"/>
                <w:b/>
                <w:color w:val="000000"/>
              </w:rPr>
              <w:t>年</w:t>
            </w:r>
          </w:p>
        </w:tc>
        <w:tc>
          <w:tcPr>
            <w:tcW w:w="502" w:type="pct"/>
            <w:noWrap/>
            <w:vAlign w:val="center"/>
            <w:hideMark/>
          </w:tcPr>
          <w:p w14:paraId="2C671D2B"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2027</w:t>
            </w:r>
            <w:r w:rsidRPr="00C820D0">
              <w:rPr>
                <w:rFonts w:ascii="Times New Roman" w:hAnsi="Times New Roman"/>
                <w:b/>
                <w:color w:val="000000"/>
              </w:rPr>
              <w:t>年</w:t>
            </w:r>
          </w:p>
        </w:tc>
        <w:tc>
          <w:tcPr>
            <w:tcW w:w="502" w:type="pct"/>
            <w:noWrap/>
            <w:vAlign w:val="center"/>
            <w:hideMark/>
          </w:tcPr>
          <w:p w14:paraId="0AD6B931"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2028</w:t>
            </w:r>
            <w:r w:rsidRPr="00C820D0">
              <w:rPr>
                <w:rFonts w:ascii="Times New Roman" w:hAnsi="Times New Roman"/>
                <w:b/>
                <w:color w:val="000000"/>
              </w:rPr>
              <w:t>年</w:t>
            </w:r>
          </w:p>
        </w:tc>
        <w:tc>
          <w:tcPr>
            <w:tcW w:w="502" w:type="pct"/>
            <w:noWrap/>
            <w:vAlign w:val="center"/>
            <w:hideMark/>
          </w:tcPr>
          <w:p w14:paraId="6A8B339D"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2029</w:t>
            </w:r>
            <w:r w:rsidRPr="00C820D0">
              <w:rPr>
                <w:rFonts w:ascii="Times New Roman" w:hAnsi="Times New Roman"/>
                <w:b/>
                <w:color w:val="000000"/>
              </w:rPr>
              <w:t>年</w:t>
            </w:r>
          </w:p>
        </w:tc>
        <w:tc>
          <w:tcPr>
            <w:tcW w:w="854" w:type="pct"/>
            <w:noWrap/>
            <w:vAlign w:val="center"/>
            <w:hideMark/>
          </w:tcPr>
          <w:p w14:paraId="7947EB51" w14:textId="77777777" w:rsidR="00CD798F" w:rsidRPr="00C820D0" w:rsidRDefault="00CD798F" w:rsidP="00214723">
            <w:pPr>
              <w:keepNext/>
              <w:jc w:val="center"/>
              <w:rPr>
                <w:rFonts w:ascii="Times New Roman" w:hAnsi="Times New Roman"/>
                <w:b/>
                <w:color w:val="000000"/>
              </w:rPr>
            </w:pPr>
            <w:r w:rsidRPr="00C820D0">
              <w:rPr>
                <w:rFonts w:ascii="Times New Roman" w:hAnsi="Times New Roman"/>
                <w:b/>
                <w:color w:val="000000"/>
              </w:rPr>
              <w:t>2030</w:t>
            </w:r>
            <w:r w:rsidRPr="00C820D0">
              <w:rPr>
                <w:rFonts w:ascii="Times New Roman" w:hAnsi="Times New Roman"/>
                <w:b/>
                <w:color w:val="000000"/>
              </w:rPr>
              <w:t>年及以后</w:t>
            </w:r>
          </w:p>
        </w:tc>
      </w:tr>
      <w:tr w:rsidR="00CD798F" w:rsidRPr="00C820D0" w14:paraId="364CB4D0" w14:textId="77777777" w:rsidTr="00214723">
        <w:trPr>
          <w:cantSplit/>
          <w:trHeight w:val="454"/>
          <w:jc w:val="center"/>
        </w:trPr>
        <w:tc>
          <w:tcPr>
            <w:tcW w:w="1172" w:type="pct"/>
            <w:noWrap/>
            <w:vAlign w:val="center"/>
          </w:tcPr>
          <w:p w14:paraId="564102B8" w14:textId="77777777" w:rsidR="00CD798F" w:rsidRPr="00C820D0" w:rsidRDefault="00CD798F" w:rsidP="00214723">
            <w:pPr>
              <w:rPr>
                <w:rFonts w:ascii="Times New Roman" w:hAnsi="Times New Roman"/>
                <w:color w:val="000000"/>
              </w:rPr>
            </w:pPr>
            <w:r w:rsidRPr="00C820D0">
              <w:rPr>
                <w:rFonts w:ascii="Times New Roman" w:hAnsi="Times New Roman"/>
                <w:color w:val="000000"/>
              </w:rPr>
              <w:t>资本性支出金额合计</w:t>
            </w:r>
          </w:p>
        </w:tc>
        <w:tc>
          <w:tcPr>
            <w:tcW w:w="892" w:type="pct"/>
            <w:noWrap/>
            <w:vAlign w:val="center"/>
          </w:tcPr>
          <w:p w14:paraId="17122C4E"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368.90</w:t>
            </w:r>
          </w:p>
        </w:tc>
        <w:tc>
          <w:tcPr>
            <w:tcW w:w="576" w:type="pct"/>
            <w:noWrap/>
            <w:vAlign w:val="center"/>
          </w:tcPr>
          <w:p w14:paraId="2F3A6F8C"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847.26</w:t>
            </w:r>
          </w:p>
        </w:tc>
        <w:tc>
          <w:tcPr>
            <w:tcW w:w="502" w:type="pct"/>
            <w:noWrap/>
            <w:vAlign w:val="center"/>
          </w:tcPr>
          <w:p w14:paraId="6FD62513"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856.76</w:t>
            </w:r>
          </w:p>
        </w:tc>
        <w:tc>
          <w:tcPr>
            <w:tcW w:w="502" w:type="pct"/>
            <w:noWrap/>
            <w:vAlign w:val="center"/>
          </w:tcPr>
          <w:p w14:paraId="0559343B"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756.76</w:t>
            </w:r>
          </w:p>
        </w:tc>
        <w:tc>
          <w:tcPr>
            <w:tcW w:w="502" w:type="pct"/>
            <w:noWrap/>
            <w:vAlign w:val="center"/>
          </w:tcPr>
          <w:p w14:paraId="4A356551"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756.76</w:t>
            </w:r>
          </w:p>
        </w:tc>
        <w:tc>
          <w:tcPr>
            <w:tcW w:w="854" w:type="pct"/>
            <w:noWrap/>
            <w:vAlign w:val="center"/>
          </w:tcPr>
          <w:p w14:paraId="7D7CC2DE" w14:textId="77777777" w:rsidR="00CD798F" w:rsidRPr="00C820D0" w:rsidRDefault="00CD798F" w:rsidP="00214723">
            <w:pPr>
              <w:jc w:val="right"/>
              <w:rPr>
                <w:rFonts w:ascii="Times New Roman" w:hAnsi="Times New Roman"/>
                <w:color w:val="000000"/>
              </w:rPr>
            </w:pPr>
            <w:r w:rsidRPr="00C820D0">
              <w:rPr>
                <w:rFonts w:ascii="Times New Roman" w:hAnsi="Times New Roman"/>
                <w:color w:val="000000"/>
              </w:rPr>
              <w:t>1,107.84</w:t>
            </w:r>
          </w:p>
        </w:tc>
      </w:tr>
    </w:tbl>
    <w:p w14:paraId="37C15446" w14:textId="77777777" w:rsidR="00CD798F" w:rsidRPr="002F5FE5" w:rsidRDefault="00CD798F" w:rsidP="00CD798F">
      <w:pPr>
        <w:pStyle w:val="005"/>
        <w:spacing w:before="120" w:after="120"/>
        <w:ind w:firstLine="480"/>
      </w:pPr>
      <w:r w:rsidRPr="002F5FE5">
        <w:t>2026</w:t>
      </w:r>
      <w:r w:rsidRPr="002F5FE5">
        <w:t>年度和</w:t>
      </w:r>
      <w:r w:rsidRPr="002F5FE5">
        <w:t>2027</w:t>
      </w:r>
      <w:r w:rsidRPr="002F5FE5">
        <w:t>年度资本性支出金额在</w:t>
      </w:r>
      <w:r w:rsidRPr="002F5FE5">
        <w:t>850</w:t>
      </w:r>
      <w:r w:rsidRPr="002F5FE5">
        <w:t>万元</w:t>
      </w:r>
      <w:r w:rsidRPr="002F5FE5">
        <w:t>/</w:t>
      </w:r>
      <w:r w:rsidRPr="002F5FE5">
        <w:t>年左右，其中</w:t>
      </w:r>
      <w:r w:rsidRPr="002F5FE5">
        <w:t>100</w:t>
      </w:r>
      <w:r w:rsidRPr="002F5FE5">
        <w:t>万元是预测的</w:t>
      </w:r>
      <w:r w:rsidRPr="002F5FE5">
        <w:t>2026</w:t>
      </w:r>
      <w:r w:rsidRPr="002F5FE5">
        <w:t>度和</w:t>
      </w:r>
      <w:r w:rsidRPr="002F5FE5">
        <w:t>2027</w:t>
      </w:r>
      <w:r w:rsidRPr="002F5FE5">
        <w:t>年的扩张性资本性支出，用于新增员工和经营规模扩大增购的电子设备需要，属于非持续性影响。永续期全额按折旧摊销金额预测资本性支出是为了考虑持续经营假设下，未来会需要一次性更换大量长期资产的需要，以资本性支出金额覆盖折旧，即可保证长期资产在永续期内可靠持续的按预测期最后一年的状况持续运营，以满足持续经营假设，因此预测期内资本性支出金额呈下降趋势具备合理性。</w:t>
      </w:r>
    </w:p>
    <w:p w14:paraId="0ECACA90" w14:textId="77777777" w:rsidR="00CD798F" w:rsidRPr="00C820D0" w:rsidRDefault="00CD798F" w:rsidP="00CD798F">
      <w:pPr>
        <w:pStyle w:val="005"/>
        <w:spacing w:before="120" w:after="120"/>
        <w:ind w:firstLine="480"/>
        <w:rPr>
          <w:rFonts w:ascii="宋体" w:hAnsi="宋体" w:hint="eastAsia"/>
        </w:rPr>
      </w:pPr>
      <w:r w:rsidRPr="00C820D0">
        <w:rPr>
          <w:rFonts w:ascii="宋体" w:hAnsi="宋体" w:hint="eastAsia"/>
        </w:rPr>
        <w:t>综上，折旧与摊销、资本性支出金额呈下降趋势具备合理性。</w:t>
      </w:r>
    </w:p>
    <w:p w14:paraId="14C9B495" w14:textId="77777777" w:rsidR="00CD798F" w:rsidRDefault="00CD798F" w:rsidP="00CD798F">
      <w:pPr>
        <w:pStyle w:val="003"/>
        <w:spacing w:before="120" w:after="120"/>
        <w:ind w:firstLine="482"/>
      </w:pPr>
      <w:r>
        <w:rPr>
          <w:rFonts w:hint="eastAsia"/>
        </w:rPr>
        <w:t>（三）</w:t>
      </w:r>
      <w:r w:rsidRPr="00F702E2">
        <w:rPr>
          <w:rFonts w:hint="eastAsia"/>
        </w:rPr>
        <w:t>营运资本增加额均为负值的合理性</w:t>
      </w:r>
      <w:r>
        <w:rPr>
          <w:rFonts w:hint="eastAsia"/>
        </w:rPr>
        <w:t>，</w:t>
      </w:r>
      <w:r w:rsidRPr="00D70F82">
        <w:rPr>
          <w:rFonts w:hint="eastAsia"/>
        </w:rPr>
        <w:t>与预测销售规模是否匹配</w:t>
      </w:r>
    </w:p>
    <w:p w14:paraId="1921696F" w14:textId="77777777" w:rsidR="00CD798F" w:rsidRPr="00F702E2" w:rsidRDefault="00CD798F" w:rsidP="00CD798F">
      <w:pPr>
        <w:pStyle w:val="005"/>
        <w:spacing w:before="120" w:after="120"/>
        <w:ind w:firstLine="480"/>
      </w:pPr>
      <w:r w:rsidRPr="00B8616A">
        <w:rPr>
          <w:rFonts w:hint="eastAsia"/>
        </w:rPr>
        <w:t>在预测期及各历史年度末，公司营运资本均为负值，主要源于其业务模式具有较快的应收款项周转效率，现金流状况良好。随着业务规模的持续扩大，各预测期末营运资本的负值会逐年增大。根据“营运资本增加额</w:t>
      </w:r>
      <w:r w:rsidRPr="00B8616A">
        <w:rPr>
          <w:rFonts w:hint="eastAsia"/>
        </w:rPr>
        <w:t>=</w:t>
      </w:r>
      <w:r w:rsidRPr="00B8616A">
        <w:rPr>
          <w:rFonts w:hint="eastAsia"/>
        </w:rPr>
        <w:t>当期营运资本－上期营运资本”的计算方式，预测期内各年度营运资本增加额亦将呈现负值，符合公司业务发展趋势与财务结构特点。</w:t>
      </w:r>
    </w:p>
    <w:p w14:paraId="31D68EBB" w14:textId="77777777" w:rsidR="00CD798F" w:rsidRDefault="00CD798F" w:rsidP="00CD798F">
      <w:pPr>
        <w:pStyle w:val="005"/>
        <w:spacing w:before="120" w:after="120"/>
        <w:ind w:firstLine="480"/>
      </w:pPr>
      <w:r>
        <w:rPr>
          <w:rFonts w:hint="eastAsia"/>
        </w:rPr>
        <w:t>综上</w:t>
      </w:r>
      <w:r w:rsidRPr="00D70F82">
        <w:rPr>
          <w:rFonts w:hint="eastAsia"/>
        </w:rPr>
        <w:t>，结合标的公司的预测、周转率和企业经营特点，营运资本增加额为负值</w:t>
      </w:r>
      <w:r>
        <w:rPr>
          <w:rFonts w:hint="eastAsia"/>
        </w:rPr>
        <w:t>与企业实际经营情况相符。结合企业的经营特点，企业整体未来销售规模增长对配套营运资金增加的依赖很小，且其在营运资本现金优势下产生负增加</w:t>
      </w:r>
      <w:r w:rsidRPr="00D70F82">
        <w:rPr>
          <w:rFonts w:hint="eastAsia"/>
        </w:rPr>
        <w:t>，</w:t>
      </w:r>
      <w:r>
        <w:rPr>
          <w:rFonts w:hint="eastAsia"/>
        </w:rPr>
        <w:t>测算</w:t>
      </w:r>
      <w:r w:rsidRPr="00D70F82">
        <w:rPr>
          <w:rFonts w:hint="eastAsia"/>
        </w:rPr>
        <w:t>具备合理性。</w:t>
      </w:r>
    </w:p>
    <w:p w14:paraId="0F2E79BF" w14:textId="77777777" w:rsidR="00CD798F" w:rsidRPr="00D03E0C" w:rsidRDefault="00CD798F" w:rsidP="00CD798F">
      <w:pPr>
        <w:pStyle w:val="005"/>
        <w:spacing w:before="120" w:after="120"/>
        <w:ind w:firstLine="480"/>
        <w:rPr>
          <w:rFonts w:ascii="宋体" w:hAnsi="宋体" w:hint="eastAsia"/>
        </w:rPr>
      </w:pPr>
      <w:r w:rsidRPr="00D03E0C">
        <w:rPr>
          <w:rFonts w:hint="eastAsia"/>
        </w:rPr>
        <w:t>上述内容已在</w:t>
      </w:r>
      <w:r>
        <w:rPr>
          <w:rFonts w:hint="eastAsia"/>
        </w:rPr>
        <w:t>《重组报告书》</w:t>
      </w:r>
      <w:r w:rsidRPr="00D03E0C">
        <w:rPr>
          <w:rFonts w:hint="eastAsia"/>
        </w:rPr>
        <w:t>“第六节</w:t>
      </w:r>
      <w:r w:rsidRPr="00D03E0C">
        <w:rPr>
          <w:rFonts w:hint="eastAsia"/>
        </w:rPr>
        <w:t xml:space="preserve"> </w:t>
      </w:r>
      <w:r w:rsidRPr="00D03E0C">
        <w:rPr>
          <w:rFonts w:hint="eastAsia"/>
        </w:rPr>
        <w:t>交易标的评估情况”之“二、标的公司评估基本情况”之“（三）收益法的评估情况及分析”之“</w:t>
      </w:r>
      <w:r w:rsidRPr="00D03E0C">
        <w:rPr>
          <w:rFonts w:hint="eastAsia"/>
        </w:rPr>
        <w:t>4</w:t>
      </w:r>
      <w:r w:rsidRPr="00D03E0C">
        <w:rPr>
          <w:rFonts w:hint="eastAsia"/>
        </w:rPr>
        <w:t>、未来收益预测”</w:t>
      </w:r>
      <w:r w:rsidRPr="00D03E0C">
        <w:rPr>
          <w:rFonts w:ascii="宋体" w:hAnsi="宋体" w:hint="eastAsia"/>
        </w:rPr>
        <w:t>补充披露。</w:t>
      </w:r>
    </w:p>
    <w:p w14:paraId="050157C0" w14:textId="77777777" w:rsidR="00CD798F" w:rsidRDefault="00CD798F" w:rsidP="00CD798F">
      <w:pPr>
        <w:pStyle w:val="002"/>
        <w:spacing w:before="120" w:after="120"/>
        <w:ind w:firstLine="482"/>
      </w:pPr>
      <w:r>
        <w:rPr>
          <w:rFonts w:hint="eastAsia"/>
        </w:rPr>
        <w:lastRenderedPageBreak/>
        <w:t>七</w:t>
      </w:r>
      <w:r>
        <w:t>、</w:t>
      </w:r>
      <w:r w:rsidRPr="008D2128">
        <w:rPr>
          <w:rFonts w:hint="eastAsia"/>
        </w:rPr>
        <w:t>补充披露折现率确定过程中可比上市公司的选取情况及合理性，贝塔系数的具体确定过程，折现率的预测是否合理、谨慎</w:t>
      </w:r>
    </w:p>
    <w:p w14:paraId="1F901F8B" w14:textId="77777777" w:rsidR="00CD798F" w:rsidRPr="008D2128" w:rsidRDefault="00CD798F" w:rsidP="00CD798F">
      <w:pPr>
        <w:pStyle w:val="003"/>
        <w:spacing w:before="120" w:after="120"/>
        <w:ind w:firstLine="482"/>
      </w:pPr>
      <w:r>
        <w:rPr>
          <w:rFonts w:hint="eastAsia"/>
        </w:rPr>
        <w:t>（一）</w:t>
      </w:r>
      <w:r w:rsidRPr="008D2128">
        <w:rPr>
          <w:rFonts w:hint="eastAsia"/>
        </w:rPr>
        <w:t>可比上市公司的选取情况及合理性</w:t>
      </w:r>
    </w:p>
    <w:p w14:paraId="7716D336" w14:textId="77777777" w:rsidR="00CD798F" w:rsidRDefault="00CD798F" w:rsidP="00CD798F">
      <w:pPr>
        <w:pStyle w:val="005"/>
        <w:spacing w:before="120" w:after="120"/>
        <w:ind w:firstLine="480"/>
      </w:pPr>
      <w:r w:rsidRPr="008D2128">
        <w:rPr>
          <w:rFonts w:hint="eastAsia"/>
        </w:rPr>
        <w:t>本次折现率</w:t>
      </w:r>
      <w:r>
        <w:rPr>
          <w:rFonts w:hint="eastAsia"/>
        </w:rPr>
        <w:t>选取</w:t>
      </w:r>
      <w:r w:rsidRPr="002F5FE5">
        <w:rPr>
          <w:rFonts w:hint="eastAsia"/>
        </w:rPr>
        <w:t>方式主要通过公开信息查询</w:t>
      </w:r>
      <w:r w:rsidRPr="002F5FE5">
        <w:rPr>
          <w:rFonts w:hint="eastAsia"/>
        </w:rPr>
        <w:t>SaaS</w:t>
      </w:r>
      <w:r w:rsidRPr="002F5FE5">
        <w:rPr>
          <w:rFonts w:hint="eastAsia"/>
        </w:rPr>
        <w:t>行业相关的上市公司，其次筛选业务类型包含“</w:t>
      </w:r>
      <w:r w:rsidRPr="002F5FE5">
        <w:rPr>
          <w:rFonts w:hint="eastAsia"/>
        </w:rPr>
        <w:t>IoT+SaaS</w:t>
      </w:r>
      <w:r w:rsidRPr="002F5FE5">
        <w:rPr>
          <w:rFonts w:hint="eastAsia"/>
        </w:rPr>
        <w:t>”模式的上市公司，最终得到</w:t>
      </w:r>
      <w:r w:rsidRPr="002F5FE5">
        <w:rPr>
          <w:rFonts w:hint="eastAsia"/>
        </w:rPr>
        <w:t>26</w:t>
      </w:r>
      <w:r w:rsidRPr="002F5FE5">
        <w:rPr>
          <w:rFonts w:hint="eastAsia"/>
        </w:rPr>
        <w:t>家可比上市公司，选取方式具备合理性。</w:t>
      </w:r>
      <w:r w:rsidRPr="002F5FE5">
        <w:rPr>
          <w:rFonts w:hint="eastAsia"/>
        </w:rPr>
        <w:t>26</w:t>
      </w:r>
      <w:r w:rsidRPr="002F5FE5">
        <w:rPr>
          <w:rFonts w:hint="eastAsia"/>
        </w:rPr>
        <w:t>家可比</w:t>
      </w:r>
      <w:r>
        <w:rPr>
          <w:rFonts w:hint="eastAsia"/>
        </w:rPr>
        <w:t>上市公司情况如下：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17"/>
        <w:gridCol w:w="3691"/>
        <w:gridCol w:w="3353"/>
      </w:tblGrid>
      <w:tr w:rsidR="00CD798F" w:rsidRPr="002F5FE5" w14:paraId="1256BD93" w14:textId="77777777" w:rsidTr="00214723">
        <w:trPr>
          <w:cantSplit/>
          <w:trHeight w:val="454"/>
          <w:tblHeader/>
          <w:jc w:val="center"/>
        </w:trPr>
        <w:tc>
          <w:tcPr>
            <w:tcW w:w="1113" w:type="pct"/>
            <w:vAlign w:val="center"/>
          </w:tcPr>
          <w:p w14:paraId="41B1B5E7"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序号</w:t>
            </w:r>
          </w:p>
        </w:tc>
        <w:tc>
          <w:tcPr>
            <w:tcW w:w="2037" w:type="pct"/>
            <w:noWrap/>
            <w:vAlign w:val="center"/>
            <w:hideMark/>
          </w:tcPr>
          <w:p w14:paraId="599C3F59"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证券代码</w:t>
            </w:r>
          </w:p>
        </w:tc>
        <w:tc>
          <w:tcPr>
            <w:tcW w:w="1850" w:type="pct"/>
            <w:noWrap/>
            <w:vAlign w:val="center"/>
            <w:hideMark/>
          </w:tcPr>
          <w:p w14:paraId="5A3730C4"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证券简称</w:t>
            </w:r>
          </w:p>
        </w:tc>
      </w:tr>
      <w:tr w:rsidR="00CD798F" w:rsidRPr="002F5FE5" w14:paraId="3E1E40C9" w14:textId="77777777" w:rsidTr="00214723">
        <w:trPr>
          <w:cantSplit/>
          <w:trHeight w:val="454"/>
          <w:jc w:val="center"/>
        </w:trPr>
        <w:tc>
          <w:tcPr>
            <w:tcW w:w="1113" w:type="pct"/>
            <w:vAlign w:val="center"/>
          </w:tcPr>
          <w:p w14:paraId="24B3793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w:t>
            </w:r>
          </w:p>
        </w:tc>
        <w:tc>
          <w:tcPr>
            <w:tcW w:w="2037" w:type="pct"/>
            <w:noWrap/>
            <w:vAlign w:val="center"/>
            <w:hideMark/>
          </w:tcPr>
          <w:p w14:paraId="143EBB8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002063.SZ</w:t>
            </w:r>
          </w:p>
        </w:tc>
        <w:tc>
          <w:tcPr>
            <w:tcW w:w="1850" w:type="pct"/>
            <w:noWrap/>
            <w:vAlign w:val="center"/>
            <w:hideMark/>
          </w:tcPr>
          <w:p w14:paraId="45ADF85F"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远光软件</w:t>
            </w:r>
          </w:p>
        </w:tc>
      </w:tr>
      <w:tr w:rsidR="00CD798F" w:rsidRPr="002F5FE5" w14:paraId="426D50F3" w14:textId="77777777" w:rsidTr="00214723">
        <w:trPr>
          <w:cantSplit/>
          <w:trHeight w:val="454"/>
          <w:jc w:val="center"/>
        </w:trPr>
        <w:tc>
          <w:tcPr>
            <w:tcW w:w="1113" w:type="pct"/>
            <w:vAlign w:val="center"/>
          </w:tcPr>
          <w:p w14:paraId="29A8248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w:t>
            </w:r>
          </w:p>
        </w:tc>
        <w:tc>
          <w:tcPr>
            <w:tcW w:w="2037" w:type="pct"/>
            <w:noWrap/>
            <w:vAlign w:val="center"/>
            <w:hideMark/>
          </w:tcPr>
          <w:p w14:paraId="328F24A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002153.SZ</w:t>
            </w:r>
          </w:p>
        </w:tc>
        <w:tc>
          <w:tcPr>
            <w:tcW w:w="1850" w:type="pct"/>
            <w:noWrap/>
            <w:vAlign w:val="center"/>
            <w:hideMark/>
          </w:tcPr>
          <w:p w14:paraId="387D853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石基信息</w:t>
            </w:r>
          </w:p>
        </w:tc>
      </w:tr>
      <w:tr w:rsidR="00CD798F" w:rsidRPr="002F5FE5" w14:paraId="62B38D29" w14:textId="77777777" w:rsidTr="00214723">
        <w:trPr>
          <w:cantSplit/>
          <w:trHeight w:val="454"/>
          <w:jc w:val="center"/>
        </w:trPr>
        <w:tc>
          <w:tcPr>
            <w:tcW w:w="1113" w:type="pct"/>
            <w:vAlign w:val="center"/>
          </w:tcPr>
          <w:p w14:paraId="76C7414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w:t>
            </w:r>
          </w:p>
        </w:tc>
        <w:tc>
          <w:tcPr>
            <w:tcW w:w="2037" w:type="pct"/>
            <w:noWrap/>
            <w:vAlign w:val="center"/>
            <w:hideMark/>
          </w:tcPr>
          <w:p w14:paraId="5521550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002331.SZ</w:t>
            </w:r>
          </w:p>
        </w:tc>
        <w:tc>
          <w:tcPr>
            <w:tcW w:w="1850" w:type="pct"/>
            <w:noWrap/>
            <w:vAlign w:val="center"/>
            <w:hideMark/>
          </w:tcPr>
          <w:p w14:paraId="7AC7EBF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皖通科技</w:t>
            </w:r>
          </w:p>
        </w:tc>
      </w:tr>
      <w:tr w:rsidR="00CD798F" w:rsidRPr="002F5FE5" w14:paraId="2EDFAD7B" w14:textId="77777777" w:rsidTr="00214723">
        <w:trPr>
          <w:cantSplit/>
          <w:trHeight w:val="454"/>
          <w:jc w:val="center"/>
        </w:trPr>
        <w:tc>
          <w:tcPr>
            <w:tcW w:w="1113" w:type="pct"/>
            <w:vAlign w:val="center"/>
          </w:tcPr>
          <w:p w14:paraId="1D3B4D9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4</w:t>
            </w:r>
          </w:p>
        </w:tc>
        <w:tc>
          <w:tcPr>
            <w:tcW w:w="2037" w:type="pct"/>
            <w:noWrap/>
            <w:vAlign w:val="center"/>
            <w:hideMark/>
          </w:tcPr>
          <w:p w14:paraId="071D533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002410.SZ</w:t>
            </w:r>
          </w:p>
        </w:tc>
        <w:tc>
          <w:tcPr>
            <w:tcW w:w="1850" w:type="pct"/>
            <w:noWrap/>
            <w:vAlign w:val="center"/>
            <w:hideMark/>
          </w:tcPr>
          <w:p w14:paraId="0B0DE38F"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广联达</w:t>
            </w:r>
          </w:p>
        </w:tc>
      </w:tr>
      <w:tr w:rsidR="00CD798F" w:rsidRPr="002F5FE5" w14:paraId="1DE00160" w14:textId="77777777" w:rsidTr="00214723">
        <w:trPr>
          <w:cantSplit/>
          <w:trHeight w:val="454"/>
          <w:jc w:val="center"/>
        </w:trPr>
        <w:tc>
          <w:tcPr>
            <w:tcW w:w="1113" w:type="pct"/>
            <w:vAlign w:val="center"/>
          </w:tcPr>
          <w:p w14:paraId="560F1AE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5</w:t>
            </w:r>
          </w:p>
        </w:tc>
        <w:tc>
          <w:tcPr>
            <w:tcW w:w="2037" w:type="pct"/>
            <w:noWrap/>
            <w:vAlign w:val="center"/>
            <w:hideMark/>
          </w:tcPr>
          <w:p w14:paraId="1C88EEB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002467.SZ</w:t>
            </w:r>
          </w:p>
        </w:tc>
        <w:tc>
          <w:tcPr>
            <w:tcW w:w="1850" w:type="pct"/>
            <w:noWrap/>
            <w:vAlign w:val="center"/>
            <w:hideMark/>
          </w:tcPr>
          <w:p w14:paraId="4C3B66B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二六三</w:t>
            </w:r>
          </w:p>
        </w:tc>
      </w:tr>
      <w:tr w:rsidR="00CD798F" w:rsidRPr="002F5FE5" w14:paraId="0022D62B" w14:textId="77777777" w:rsidTr="00214723">
        <w:trPr>
          <w:cantSplit/>
          <w:trHeight w:val="454"/>
          <w:jc w:val="center"/>
        </w:trPr>
        <w:tc>
          <w:tcPr>
            <w:tcW w:w="1113" w:type="pct"/>
            <w:vAlign w:val="center"/>
          </w:tcPr>
          <w:p w14:paraId="35A18EA0"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w:t>
            </w:r>
          </w:p>
        </w:tc>
        <w:tc>
          <w:tcPr>
            <w:tcW w:w="2037" w:type="pct"/>
            <w:noWrap/>
            <w:vAlign w:val="center"/>
            <w:hideMark/>
          </w:tcPr>
          <w:p w14:paraId="11E9664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002995.SZ</w:t>
            </w:r>
          </w:p>
        </w:tc>
        <w:tc>
          <w:tcPr>
            <w:tcW w:w="1850" w:type="pct"/>
            <w:noWrap/>
            <w:vAlign w:val="center"/>
            <w:hideMark/>
          </w:tcPr>
          <w:p w14:paraId="420620B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天地在线</w:t>
            </w:r>
          </w:p>
        </w:tc>
      </w:tr>
      <w:tr w:rsidR="00CD798F" w:rsidRPr="002F5FE5" w14:paraId="663930F7" w14:textId="77777777" w:rsidTr="00214723">
        <w:trPr>
          <w:cantSplit/>
          <w:trHeight w:val="454"/>
          <w:jc w:val="center"/>
        </w:trPr>
        <w:tc>
          <w:tcPr>
            <w:tcW w:w="1113" w:type="pct"/>
            <w:vAlign w:val="center"/>
          </w:tcPr>
          <w:p w14:paraId="537EEB7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7</w:t>
            </w:r>
          </w:p>
        </w:tc>
        <w:tc>
          <w:tcPr>
            <w:tcW w:w="2037" w:type="pct"/>
            <w:noWrap/>
            <w:vAlign w:val="center"/>
            <w:hideMark/>
          </w:tcPr>
          <w:p w14:paraId="471CF94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003007.SZ</w:t>
            </w:r>
          </w:p>
        </w:tc>
        <w:tc>
          <w:tcPr>
            <w:tcW w:w="1850" w:type="pct"/>
            <w:noWrap/>
            <w:vAlign w:val="center"/>
            <w:hideMark/>
          </w:tcPr>
          <w:p w14:paraId="3D93B2A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直真科技</w:t>
            </w:r>
          </w:p>
        </w:tc>
      </w:tr>
      <w:tr w:rsidR="00CD798F" w:rsidRPr="002F5FE5" w14:paraId="0C7B5AE2" w14:textId="77777777" w:rsidTr="00214723">
        <w:trPr>
          <w:cantSplit/>
          <w:trHeight w:val="454"/>
          <w:jc w:val="center"/>
        </w:trPr>
        <w:tc>
          <w:tcPr>
            <w:tcW w:w="1113" w:type="pct"/>
            <w:vAlign w:val="center"/>
          </w:tcPr>
          <w:p w14:paraId="3B18697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8</w:t>
            </w:r>
          </w:p>
        </w:tc>
        <w:tc>
          <w:tcPr>
            <w:tcW w:w="2037" w:type="pct"/>
            <w:noWrap/>
            <w:vAlign w:val="center"/>
            <w:hideMark/>
          </w:tcPr>
          <w:p w14:paraId="3291FB9A"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300271.SZ</w:t>
            </w:r>
          </w:p>
        </w:tc>
        <w:tc>
          <w:tcPr>
            <w:tcW w:w="1850" w:type="pct"/>
            <w:noWrap/>
            <w:vAlign w:val="center"/>
            <w:hideMark/>
          </w:tcPr>
          <w:p w14:paraId="256E1DD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华宇软件</w:t>
            </w:r>
          </w:p>
        </w:tc>
      </w:tr>
      <w:tr w:rsidR="00CD798F" w:rsidRPr="002F5FE5" w14:paraId="70AB9F97" w14:textId="77777777" w:rsidTr="00214723">
        <w:trPr>
          <w:cantSplit/>
          <w:trHeight w:val="454"/>
          <w:jc w:val="center"/>
        </w:trPr>
        <w:tc>
          <w:tcPr>
            <w:tcW w:w="1113" w:type="pct"/>
            <w:vAlign w:val="center"/>
          </w:tcPr>
          <w:p w14:paraId="735A562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9</w:t>
            </w:r>
          </w:p>
        </w:tc>
        <w:tc>
          <w:tcPr>
            <w:tcW w:w="2037" w:type="pct"/>
            <w:noWrap/>
            <w:vAlign w:val="center"/>
            <w:hideMark/>
          </w:tcPr>
          <w:p w14:paraId="6BA8365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300339.SZ</w:t>
            </w:r>
          </w:p>
        </w:tc>
        <w:tc>
          <w:tcPr>
            <w:tcW w:w="1850" w:type="pct"/>
            <w:noWrap/>
            <w:vAlign w:val="center"/>
            <w:hideMark/>
          </w:tcPr>
          <w:p w14:paraId="2F3A751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润和软件</w:t>
            </w:r>
          </w:p>
        </w:tc>
      </w:tr>
      <w:tr w:rsidR="00CD798F" w:rsidRPr="002F5FE5" w14:paraId="545C316F" w14:textId="77777777" w:rsidTr="00214723">
        <w:trPr>
          <w:cantSplit/>
          <w:trHeight w:val="454"/>
          <w:jc w:val="center"/>
        </w:trPr>
        <w:tc>
          <w:tcPr>
            <w:tcW w:w="1113" w:type="pct"/>
            <w:vAlign w:val="center"/>
          </w:tcPr>
          <w:p w14:paraId="03165DB1"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10</w:t>
            </w:r>
          </w:p>
        </w:tc>
        <w:tc>
          <w:tcPr>
            <w:tcW w:w="2037" w:type="pct"/>
            <w:noWrap/>
            <w:vAlign w:val="center"/>
            <w:hideMark/>
          </w:tcPr>
          <w:p w14:paraId="0C15104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300378.SZ</w:t>
            </w:r>
          </w:p>
        </w:tc>
        <w:tc>
          <w:tcPr>
            <w:tcW w:w="1850" w:type="pct"/>
            <w:noWrap/>
            <w:vAlign w:val="center"/>
            <w:hideMark/>
          </w:tcPr>
          <w:p w14:paraId="1F1DC6B1"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鼎捷数智</w:t>
            </w:r>
          </w:p>
        </w:tc>
      </w:tr>
      <w:tr w:rsidR="00CD798F" w:rsidRPr="002F5FE5" w14:paraId="277099ED" w14:textId="77777777" w:rsidTr="00214723">
        <w:trPr>
          <w:cantSplit/>
          <w:trHeight w:val="454"/>
          <w:jc w:val="center"/>
        </w:trPr>
        <w:tc>
          <w:tcPr>
            <w:tcW w:w="1113" w:type="pct"/>
            <w:vAlign w:val="center"/>
          </w:tcPr>
          <w:p w14:paraId="6FE1424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11</w:t>
            </w:r>
          </w:p>
        </w:tc>
        <w:tc>
          <w:tcPr>
            <w:tcW w:w="2037" w:type="pct"/>
            <w:noWrap/>
            <w:vAlign w:val="center"/>
            <w:hideMark/>
          </w:tcPr>
          <w:p w14:paraId="2FB99DBA"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300578.SZ</w:t>
            </w:r>
          </w:p>
        </w:tc>
        <w:tc>
          <w:tcPr>
            <w:tcW w:w="1850" w:type="pct"/>
            <w:noWrap/>
            <w:vAlign w:val="center"/>
            <w:hideMark/>
          </w:tcPr>
          <w:p w14:paraId="7EE4B7EA"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会畅通讯</w:t>
            </w:r>
          </w:p>
        </w:tc>
      </w:tr>
      <w:tr w:rsidR="00CD798F" w:rsidRPr="002F5FE5" w14:paraId="10F315B8" w14:textId="77777777" w:rsidTr="00214723">
        <w:trPr>
          <w:cantSplit/>
          <w:trHeight w:val="454"/>
          <w:jc w:val="center"/>
        </w:trPr>
        <w:tc>
          <w:tcPr>
            <w:tcW w:w="1113" w:type="pct"/>
            <w:vAlign w:val="center"/>
          </w:tcPr>
          <w:p w14:paraId="25CDCDC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12</w:t>
            </w:r>
          </w:p>
        </w:tc>
        <w:tc>
          <w:tcPr>
            <w:tcW w:w="2037" w:type="pct"/>
            <w:noWrap/>
            <w:vAlign w:val="center"/>
            <w:hideMark/>
          </w:tcPr>
          <w:p w14:paraId="635BF301"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300773.SZ</w:t>
            </w:r>
          </w:p>
        </w:tc>
        <w:tc>
          <w:tcPr>
            <w:tcW w:w="1850" w:type="pct"/>
            <w:noWrap/>
            <w:vAlign w:val="center"/>
            <w:hideMark/>
          </w:tcPr>
          <w:p w14:paraId="5986518B"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拉卡拉</w:t>
            </w:r>
          </w:p>
        </w:tc>
      </w:tr>
      <w:tr w:rsidR="00CD798F" w:rsidRPr="002F5FE5" w14:paraId="7B6E213B" w14:textId="77777777" w:rsidTr="00214723">
        <w:trPr>
          <w:cantSplit/>
          <w:trHeight w:val="454"/>
          <w:jc w:val="center"/>
        </w:trPr>
        <w:tc>
          <w:tcPr>
            <w:tcW w:w="1113" w:type="pct"/>
            <w:vAlign w:val="center"/>
          </w:tcPr>
          <w:p w14:paraId="5894ED9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13</w:t>
            </w:r>
          </w:p>
        </w:tc>
        <w:tc>
          <w:tcPr>
            <w:tcW w:w="2037" w:type="pct"/>
            <w:noWrap/>
            <w:vAlign w:val="center"/>
            <w:hideMark/>
          </w:tcPr>
          <w:p w14:paraId="646C7B9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301185.SZ</w:t>
            </w:r>
          </w:p>
        </w:tc>
        <w:tc>
          <w:tcPr>
            <w:tcW w:w="1850" w:type="pct"/>
            <w:noWrap/>
            <w:vAlign w:val="center"/>
            <w:hideMark/>
          </w:tcPr>
          <w:p w14:paraId="30CE751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鸥玛软件</w:t>
            </w:r>
          </w:p>
        </w:tc>
      </w:tr>
      <w:tr w:rsidR="00CD798F" w:rsidRPr="002F5FE5" w14:paraId="6BF49C90" w14:textId="77777777" w:rsidTr="00214723">
        <w:trPr>
          <w:cantSplit/>
          <w:trHeight w:val="454"/>
          <w:jc w:val="center"/>
        </w:trPr>
        <w:tc>
          <w:tcPr>
            <w:tcW w:w="1113" w:type="pct"/>
            <w:vAlign w:val="center"/>
          </w:tcPr>
          <w:p w14:paraId="4AFDD1A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14</w:t>
            </w:r>
          </w:p>
        </w:tc>
        <w:tc>
          <w:tcPr>
            <w:tcW w:w="2037" w:type="pct"/>
            <w:noWrap/>
            <w:vAlign w:val="center"/>
            <w:hideMark/>
          </w:tcPr>
          <w:p w14:paraId="0660482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600588.SH</w:t>
            </w:r>
          </w:p>
        </w:tc>
        <w:tc>
          <w:tcPr>
            <w:tcW w:w="1850" w:type="pct"/>
            <w:noWrap/>
            <w:vAlign w:val="center"/>
            <w:hideMark/>
          </w:tcPr>
          <w:p w14:paraId="36BC2C19"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用友网络</w:t>
            </w:r>
          </w:p>
        </w:tc>
      </w:tr>
      <w:tr w:rsidR="00CD798F" w:rsidRPr="002F5FE5" w14:paraId="0282A703" w14:textId="77777777" w:rsidTr="00214723">
        <w:trPr>
          <w:cantSplit/>
          <w:trHeight w:val="454"/>
          <w:jc w:val="center"/>
        </w:trPr>
        <w:tc>
          <w:tcPr>
            <w:tcW w:w="1113" w:type="pct"/>
            <w:vAlign w:val="center"/>
          </w:tcPr>
          <w:p w14:paraId="2227263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15</w:t>
            </w:r>
          </w:p>
        </w:tc>
        <w:tc>
          <w:tcPr>
            <w:tcW w:w="2037" w:type="pct"/>
            <w:noWrap/>
            <w:vAlign w:val="center"/>
            <w:hideMark/>
          </w:tcPr>
          <w:p w14:paraId="52F1E70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600756.SH</w:t>
            </w:r>
          </w:p>
        </w:tc>
        <w:tc>
          <w:tcPr>
            <w:tcW w:w="1850" w:type="pct"/>
            <w:noWrap/>
            <w:vAlign w:val="center"/>
            <w:hideMark/>
          </w:tcPr>
          <w:p w14:paraId="253878E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浪潮软件</w:t>
            </w:r>
          </w:p>
        </w:tc>
      </w:tr>
      <w:tr w:rsidR="00CD798F" w:rsidRPr="002F5FE5" w14:paraId="43059486" w14:textId="77777777" w:rsidTr="00214723">
        <w:trPr>
          <w:cantSplit/>
          <w:trHeight w:val="454"/>
          <w:jc w:val="center"/>
        </w:trPr>
        <w:tc>
          <w:tcPr>
            <w:tcW w:w="1113" w:type="pct"/>
            <w:vAlign w:val="center"/>
          </w:tcPr>
          <w:p w14:paraId="694DCBF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16</w:t>
            </w:r>
          </w:p>
        </w:tc>
        <w:tc>
          <w:tcPr>
            <w:tcW w:w="2037" w:type="pct"/>
            <w:noWrap/>
            <w:vAlign w:val="center"/>
            <w:hideMark/>
          </w:tcPr>
          <w:p w14:paraId="6895E30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601360.SH</w:t>
            </w:r>
          </w:p>
        </w:tc>
        <w:tc>
          <w:tcPr>
            <w:tcW w:w="1850" w:type="pct"/>
            <w:noWrap/>
            <w:vAlign w:val="center"/>
            <w:hideMark/>
          </w:tcPr>
          <w:p w14:paraId="593435E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三六零</w:t>
            </w:r>
          </w:p>
        </w:tc>
      </w:tr>
      <w:tr w:rsidR="00CD798F" w:rsidRPr="002F5FE5" w14:paraId="5788B058" w14:textId="77777777" w:rsidTr="00214723">
        <w:trPr>
          <w:cantSplit/>
          <w:trHeight w:val="454"/>
          <w:jc w:val="center"/>
        </w:trPr>
        <w:tc>
          <w:tcPr>
            <w:tcW w:w="1113" w:type="pct"/>
            <w:vAlign w:val="center"/>
          </w:tcPr>
          <w:p w14:paraId="481FA0D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17</w:t>
            </w:r>
          </w:p>
        </w:tc>
        <w:tc>
          <w:tcPr>
            <w:tcW w:w="2037" w:type="pct"/>
            <w:noWrap/>
            <w:vAlign w:val="center"/>
            <w:hideMark/>
          </w:tcPr>
          <w:p w14:paraId="006A088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603039.SH</w:t>
            </w:r>
          </w:p>
        </w:tc>
        <w:tc>
          <w:tcPr>
            <w:tcW w:w="1850" w:type="pct"/>
            <w:noWrap/>
            <w:vAlign w:val="center"/>
            <w:hideMark/>
          </w:tcPr>
          <w:p w14:paraId="7ED54A19"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泛微网络</w:t>
            </w:r>
          </w:p>
        </w:tc>
      </w:tr>
      <w:tr w:rsidR="00CD798F" w:rsidRPr="002F5FE5" w14:paraId="62E99A65" w14:textId="77777777" w:rsidTr="00214723">
        <w:trPr>
          <w:cantSplit/>
          <w:trHeight w:val="454"/>
          <w:jc w:val="center"/>
        </w:trPr>
        <w:tc>
          <w:tcPr>
            <w:tcW w:w="1113" w:type="pct"/>
            <w:vAlign w:val="center"/>
          </w:tcPr>
          <w:p w14:paraId="31E2139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18</w:t>
            </w:r>
          </w:p>
        </w:tc>
        <w:tc>
          <w:tcPr>
            <w:tcW w:w="2037" w:type="pct"/>
            <w:noWrap/>
            <w:vAlign w:val="center"/>
            <w:hideMark/>
          </w:tcPr>
          <w:p w14:paraId="49161F6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603106.SH</w:t>
            </w:r>
          </w:p>
        </w:tc>
        <w:tc>
          <w:tcPr>
            <w:tcW w:w="1850" w:type="pct"/>
            <w:noWrap/>
            <w:vAlign w:val="center"/>
            <w:hideMark/>
          </w:tcPr>
          <w:p w14:paraId="70BECDC9"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恒银科技</w:t>
            </w:r>
          </w:p>
        </w:tc>
      </w:tr>
      <w:tr w:rsidR="00CD798F" w:rsidRPr="002F5FE5" w14:paraId="1920E9F0" w14:textId="77777777" w:rsidTr="00214723">
        <w:trPr>
          <w:cantSplit/>
          <w:trHeight w:val="454"/>
          <w:jc w:val="center"/>
        </w:trPr>
        <w:tc>
          <w:tcPr>
            <w:tcW w:w="1113" w:type="pct"/>
            <w:vAlign w:val="center"/>
          </w:tcPr>
          <w:p w14:paraId="36D4F0A1"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lastRenderedPageBreak/>
              <w:t>19</w:t>
            </w:r>
          </w:p>
        </w:tc>
        <w:tc>
          <w:tcPr>
            <w:tcW w:w="2037" w:type="pct"/>
            <w:noWrap/>
            <w:vAlign w:val="center"/>
            <w:hideMark/>
          </w:tcPr>
          <w:p w14:paraId="2220257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603171.SH</w:t>
            </w:r>
          </w:p>
        </w:tc>
        <w:tc>
          <w:tcPr>
            <w:tcW w:w="1850" w:type="pct"/>
            <w:noWrap/>
            <w:vAlign w:val="center"/>
            <w:hideMark/>
          </w:tcPr>
          <w:p w14:paraId="4649D29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税友股份</w:t>
            </w:r>
          </w:p>
        </w:tc>
      </w:tr>
      <w:tr w:rsidR="00CD798F" w:rsidRPr="002F5FE5" w14:paraId="50BAA069" w14:textId="77777777" w:rsidTr="00214723">
        <w:trPr>
          <w:cantSplit/>
          <w:trHeight w:val="454"/>
          <w:jc w:val="center"/>
        </w:trPr>
        <w:tc>
          <w:tcPr>
            <w:tcW w:w="1113" w:type="pct"/>
            <w:vAlign w:val="center"/>
          </w:tcPr>
          <w:p w14:paraId="1EBB5210"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20</w:t>
            </w:r>
          </w:p>
        </w:tc>
        <w:tc>
          <w:tcPr>
            <w:tcW w:w="2037" w:type="pct"/>
            <w:noWrap/>
            <w:vAlign w:val="center"/>
            <w:hideMark/>
          </w:tcPr>
          <w:p w14:paraId="1347FA4B"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603189.SH</w:t>
            </w:r>
          </w:p>
        </w:tc>
        <w:tc>
          <w:tcPr>
            <w:tcW w:w="1850" w:type="pct"/>
            <w:noWrap/>
            <w:vAlign w:val="center"/>
            <w:hideMark/>
          </w:tcPr>
          <w:p w14:paraId="4B59D7DA"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网达软件</w:t>
            </w:r>
          </w:p>
        </w:tc>
      </w:tr>
      <w:tr w:rsidR="00CD798F" w:rsidRPr="002F5FE5" w14:paraId="1DD8C9E5" w14:textId="77777777" w:rsidTr="00214723">
        <w:trPr>
          <w:cantSplit/>
          <w:trHeight w:val="454"/>
          <w:jc w:val="center"/>
        </w:trPr>
        <w:tc>
          <w:tcPr>
            <w:tcW w:w="1113" w:type="pct"/>
            <w:vAlign w:val="center"/>
          </w:tcPr>
          <w:p w14:paraId="22A8AA4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21</w:t>
            </w:r>
          </w:p>
        </w:tc>
        <w:tc>
          <w:tcPr>
            <w:tcW w:w="2037" w:type="pct"/>
            <w:noWrap/>
            <w:vAlign w:val="center"/>
            <w:hideMark/>
          </w:tcPr>
          <w:p w14:paraId="3B99EA6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688095.SH</w:t>
            </w:r>
          </w:p>
        </w:tc>
        <w:tc>
          <w:tcPr>
            <w:tcW w:w="1850" w:type="pct"/>
            <w:noWrap/>
            <w:vAlign w:val="center"/>
            <w:hideMark/>
          </w:tcPr>
          <w:p w14:paraId="1AC1F4CB"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福昕软件</w:t>
            </w:r>
          </w:p>
        </w:tc>
      </w:tr>
      <w:tr w:rsidR="00CD798F" w:rsidRPr="002F5FE5" w14:paraId="5E627F12" w14:textId="77777777" w:rsidTr="00214723">
        <w:trPr>
          <w:cantSplit/>
          <w:trHeight w:val="454"/>
          <w:jc w:val="center"/>
        </w:trPr>
        <w:tc>
          <w:tcPr>
            <w:tcW w:w="1113" w:type="pct"/>
            <w:vAlign w:val="center"/>
          </w:tcPr>
          <w:p w14:paraId="20C607DF"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22</w:t>
            </w:r>
          </w:p>
        </w:tc>
        <w:tc>
          <w:tcPr>
            <w:tcW w:w="2037" w:type="pct"/>
            <w:noWrap/>
            <w:vAlign w:val="center"/>
            <w:hideMark/>
          </w:tcPr>
          <w:p w14:paraId="6828B9E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688111.SH</w:t>
            </w:r>
          </w:p>
        </w:tc>
        <w:tc>
          <w:tcPr>
            <w:tcW w:w="1850" w:type="pct"/>
            <w:noWrap/>
            <w:vAlign w:val="center"/>
            <w:hideMark/>
          </w:tcPr>
          <w:p w14:paraId="7D7075C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金山办公</w:t>
            </w:r>
          </w:p>
        </w:tc>
      </w:tr>
      <w:tr w:rsidR="00CD798F" w:rsidRPr="002F5FE5" w14:paraId="56328747" w14:textId="77777777" w:rsidTr="00214723">
        <w:trPr>
          <w:cantSplit/>
          <w:trHeight w:val="454"/>
          <w:jc w:val="center"/>
        </w:trPr>
        <w:tc>
          <w:tcPr>
            <w:tcW w:w="1113" w:type="pct"/>
            <w:vAlign w:val="center"/>
          </w:tcPr>
          <w:p w14:paraId="03B1CF7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23</w:t>
            </w:r>
          </w:p>
        </w:tc>
        <w:tc>
          <w:tcPr>
            <w:tcW w:w="2037" w:type="pct"/>
            <w:noWrap/>
            <w:vAlign w:val="center"/>
            <w:hideMark/>
          </w:tcPr>
          <w:p w14:paraId="5770368F"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688316.SH</w:t>
            </w:r>
          </w:p>
        </w:tc>
        <w:tc>
          <w:tcPr>
            <w:tcW w:w="1850" w:type="pct"/>
            <w:noWrap/>
            <w:vAlign w:val="center"/>
            <w:hideMark/>
          </w:tcPr>
          <w:p w14:paraId="06E9E63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青云科技</w:t>
            </w:r>
          </w:p>
        </w:tc>
      </w:tr>
      <w:tr w:rsidR="00CD798F" w:rsidRPr="002F5FE5" w14:paraId="345D5A32" w14:textId="77777777" w:rsidTr="00214723">
        <w:trPr>
          <w:cantSplit/>
          <w:trHeight w:val="454"/>
          <w:jc w:val="center"/>
        </w:trPr>
        <w:tc>
          <w:tcPr>
            <w:tcW w:w="1113" w:type="pct"/>
            <w:vAlign w:val="center"/>
          </w:tcPr>
          <w:p w14:paraId="6B7C95D1"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24</w:t>
            </w:r>
          </w:p>
        </w:tc>
        <w:tc>
          <w:tcPr>
            <w:tcW w:w="2037" w:type="pct"/>
            <w:noWrap/>
            <w:vAlign w:val="center"/>
            <w:hideMark/>
          </w:tcPr>
          <w:p w14:paraId="258C69C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688365.SH</w:t>
            </w:r>
          </w:p>
        </w:tc>
        <w:tc>
          <w:tcPr>
            <w:tcW w:w="1850" w:type="pct"/>
            <w:noWrap/>
            <w:vAlign w:val="center"/>
            <w:hideMark/>
          </w:tcPr>
          <w:p w14:paraId="16C23AFB"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光云科技</w:t>
            </w:r>
          </w:p>
        </w:tc>
      </w:tr>
      <w:tr w:rsidR="00CD798F" w:rsidRPr="002F5FE5" w14:paraId="07E4C8FA" w14:textId="77777777" w:rsidTr="00214723">
        <w:trPr>
          <w:cantSplit/>
          <w:trHeight w:val="454"/>
          <w:jc w:val="center"/>
        </w:trPr>
        <w:tc>
          <w:tcPr>
            <w:tcW w:w="1113" w:type="pct"/>
            <w:vAlign w:val="center"/>
          </w:tcPr>
          <w:p w14:paraId="7C59EDA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25</w:t>
            </w:r>
          </w:p>
        </w:tc>
        <w:tc>
          <w:tcPr>
            <w:tcW w:w="2037" w:type="pct"/>
            <w:noWrap/>
            <w:vAlign w:val="center"/>
            <w:hideMark/>
          </w:tcPr>
          <w:p w14:paraId="21000AE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688369.SH</w:t>
            </w:r>
          </w:p>
        </w:tc>
        <w:tc>
          <w:tcPr>
            <w:tcW w:w="1850" w:type="pct"/>
            <w:noWrap/>
            <w:vAlign w:val="center"/>
            <w:hideMark/>
          </w:tcPr>
          <w:p w14:paraId="19AFC9F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致远互联</w:t>
            </w:r>
          </w:p>
        </w:tc>
      </w:tr>
      <w:tr w:rsidR="00CD798F" w:rsidRPr="002F5FE5" w14:paraId="2AC3F98E" w14:textId="77777777" w:rsidTr="00214723">
        <w:trPr>
          <w:cantSplit/>
          <w:trHeight w:val="454"/>
          <w:jc w:val="center"/>
        </w:trPr>
        <w:tc>
          <w:tcPr>
            <w:tcW w:w="1113" w:type="pct"/>
            <w:vAlign w:val="center"/>
          </w:tcPr>
          <w:p w14:paraId="6EFEDF0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26</w:t>
            </w:r>
          </w:p>
        </w:tc>
        <w:tc>
          <w:tcPr>
            <w:tcW w:w="2037" w:type="pct"/>
            <w:noWrap/>
            <w:vAlign w:val="center"/>
            <w:hideMark/>
          </w:tcPr>
          <w:p w14:paraId="42BF294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688080.SH</w:t>
            </w:r>
          </w:p>
        </w:tc>
        <w:tc>
          <w:tcPr>
            <w:tcW w:w="1850" w:type="pct"/>
            <w:noWrap/>
            <w:vAlign w:val="center"/>
            <w:hideMark/>
          </w:tcPr>
          <w:p w14:paraId="3AA017F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映翰通</w:t>
            </w:r>
          </w:p>
        </w:tc>
      </w:tr>
    </w:tbl>
    <w:p w14:paraId="3B499779" w14:textId="77777777" w:rsidR="00CD798F" w:rsidRPr="008D2128" w:rsidRDefault="00CD798F" w:rsidP="00CD798F">
      <w:pPr>
        <w:pStyle w:val="003"/>
        <w:spacing w:before="120" w:after="120"/>
        <w:ind w:firstLine="482"/>
      </w:pPr>
      <w:r>
        <w:rPr>
          <w:rFonts w:hint="eastAsia"/>
        </w:rPr>
        <w:t>（二）</w:t>
      </w:r>
      <w:r w:rsidRPr="008D2128">
        <w:rPr>
          <w:rFonts w:hint="eastAsia"/>
        </w:rPr>
        <w:t>贝塔系数的具体确定过程，折现率的预测是否合理、谨慎</w:t>
      </w:r>
    </w:p>
    <w:p w14:paraId="1144E376" w14:textId="77777777" w:rsidR="00CD798F" w:rsidRDefault="00CD798F" w:rsidP="00CD798F">
      <w:pPr>
        <w:pStyle w:val="005"/>
        <w:spacing w:before="120" w:after="120"/>
        <w:ind w:firstLine="480"/>
      </w:pPr>
      <w:r w:rsidRPr="008D2128">
        <w:rPr>
          <w:rFonts w:hint="eastAsia"/>
        </w:rPr>
        <w:t>本次贝塔系数</w:t>
      </w:r>
      <w:r w:rsidRPr="009555F3">
        <w:rPr>
          <w:rFonts w:hint="eastAsia"/>
        </w:rPr>
        <w:t>（</w:t>
      </w:r>
      <w:r w:rsidRPr="002F5FE5">
        <w:rPr>
          <w:rFonts w:hint="eastAsia"/>
        </w:rPr>
        <w:t>β</w:t>
      </w:r>
      <w:r w:rsidRPr="009555F3">
        <w:rPr>
          <w:rFonts w:hint="eastAsia"/>
        </w:rPr>
        <w:t>系数）</w:t>
      </w:r>
      <w:r w:rsidRPr="008D2128">
        <w:rPr>
          <w:rFonts w:hint="eastAsia"/>
        </w:rPr>
        <w:t>确定过程如下</w:t>
      </w:r>
      <w:r>
        <w:rPr>
          <w:rFonts w:hint="eastAsia"/>
        </w:rPr>
        <w:t>：</w:t>
      </w:r>
    </w:p>
    <w:p w14:paraId="1AD6EBEE" w14:textId="77777777" w:rsidR="00CD798F" w:rsidRPr="008D2128" w:rsidRDefault="00CD798F" w:rsidP="00CD798F">
      <w:pPr>
        <w:pStyle w:val="005"/>
        <w:spacing w:before="120" w:after="120"/>
        <w:ind w:firstLine="480"/>
      </w:pPr>
      <w:r w:rsidRPr="002F5FE5">
        <w:rPr>
          <w:rFonts w:hint="eastAsia"/>
        </w:rPr>
        <w:t>首先通过公开信息查询了上述</w:t>
      </w:r>
      <w:r w:rsidRPr="002F5FE5">
        <w:rPr>
          <w:rFonts w:hint="eastAsia"/>
        </w:rPr>
        <w:t>26</w:t>
      </w:r>
      <w:r w:rsidRPr="002F5FE5">
        <w:rPr>
          <w:rFonts w:hint="eastAsia"/>
        </w:rPr>
        <w:t>家可比上市公司的含财务杠杆</w:t>
      </w:r>
      <w:r w:rsidRPr="002F5FE5">
        <w:rPr>
          <w:rFonts w:hint="eastAsia"/>
        </w:rPr>
        <w:t>beta</w:t>
      </w:r>
      <w:r w:rsidRPr="002F5FE5">
        <w:rPr>
          <w:rFonts w:hint="eastAsia"/>
        </w:rPr>
        <w:t>数据。时间范围自</w:t>
      </w:r>
      <w:r w:rsidRPr="002F5FE5">
        <w:rPr>
          <w:rFonts w:hint="eastAsia"/>
        </w:rPr>
        <w:t>2022</w:t>
      </w:r>
      <w:r w:rsidRPr="002F5FE5">
        <w:rPr>
          <w:rFonts w:hint="eastAsia"/>
        </w:rPr>
        <w:t>年</w:t>
      </w:r>
      <w:r w:rsidRPr="002F5FE5">
        <w:rPr>
          <w:rFonts w:hint="eastAsia"/>
        </w:rPr>
        <w:t>6</w:t>
      </w:r>
      <w:r w:rsidRPr="002F5FE5">
        <w:rPr>
          <w:rFonts w:hint="eastAsia"/>
        </w:rPr>
        <w:t>月</w:t>
      </w:r>
      <w:r w:rsidRPr="002F5FE5">
        <w:rPr>
          <w:rFonts w:hint="eastAsia"/>
        </w:rPr>
        <w:t>-2025</w:t>
      </w:r>
      <w:r w:rsidRPr="002F5FE5">
        <w:rPr>
          <w:rFonts w:hint="eastAsia"/>
        </w:rPr>
        <w:t>年</w:t>
      </w:r>
      <w:r w:rsidRPr="002F5FE5">
        <w:rPr>
          <w:rFonts w:hint="eastAsia"/>
        </w:rPr>
        <w:t>6</w:t>
      </w:r>
      <w:r w:rsidRPr="002F5FE5">
        <w:rPr>
          <w:rFonts w:hint="eastAsia"/>
        </w:rPr>
        <w:t>月共计</w:t>
      </w:r>
      <w:r w:rsidRPr="002F5FE5">
        <w:rPr>
          <w:rFonts w:hint="eastAsia"/>
        </w:rPr>
        <w:t>48</w:t>
      </w:r>
      <w:r w:rsidRPr="002F5FE5">
        <w:rPr>
          <w:rFonts w:hint="eastAsia"/>
        </w:rPr>
        <w:t>个月</w:t>
      </w:r>
      <w:r w:rsidRPr="008D2128">
        <w:rPr>
          <w:rFonts w:hint="eastAsia"/>
        </w:rPr>
        <w:t>。</w:t>
      </w:r>
    </w:p>
    <w:p w14:paraId="4225B691" w14:textId="77777777" w:rsidR="00CD798F" w:rsidRPr="003149FE" w:rsidRDefault="00CD798F" w:rsidP="00CD798F">
      <w:pPr>
        <w:pStyle w:val="005"/>
        <w:spacing w:before="120" w:after="120"/>
        <w:ind w:firstLine="480"/>
      </w:pPr>
      <w:r w:rsidRPr="003149FE">
        <w:t>将可比上市公司带财务杠杆的</w:t>
      </w:r>
      <w:r w:rsidRPr="003149FE">
        <w:t>β</w:t>
      </w:r>
      <w:r w:rsidRPr="003149FE">
        <w:t>系数（</w:t>
      </w:r>
      <w:r w:rsidRPr="003149FE">
        <w:rPr>
          <w:rFonts w:ascii="Cambria Math" w:hAnsi="Cambria Math" w:cs="Cambria Math"/>
        </w:rPr>
        <w:t>𝛽𝐿</w:t>
      </w:r>
      <w:r w:rsidRPr="003149FE">
        <w:t>）调整为不带财务杠杆的</w:t>
      </w:r>
      <w:r w:rsidRPr="003149FE">
        <w:t>β</w:t>
      </w:r>
      <w:r w:rsidRPr="003149FE">
        <w:t>系数（</w:t>
      </w:r>
      <w:r w:rsidRPr="003149FE">
        <w:rPr>
          <w:rFonts w:ascii="Cambria Math" w:hAnsi="Cambria Math" w:cs="Cambria Math"/>
        </w:rPr>
        <w:t>𝛽</w:t>
      </w:r>
      <w:r w:rsidRPr="003149FE">
        <w:t>U</w:t>
      </w:r>
      <w:r w:rsidRPr="003149FE">
        <w:t>），在此基础上通过取平均值等方法得到评估对象不带财务杠杆的</w:t>
      </w:r>
      <w:r w:rsidRPr="003149FE">
        <w:t>β</w:t>
      </w:r>
      <w:r w:rsidRPr="003149FE">
        <w:t>系数（</w:t>
      </w:r>
      <w:r w:rsidRPr="003149FE">
        <w:rPr>
          <w:rFonts w:ascii="Cambria Math" w:hAnsi="Cambria Math" w:cs="Cambria Math"/>
        </w:rPr>
        <w:t>𝛽</w:t>
      </w:r>
      <w:r w:rsidRPr="003149FE">
        <w:t>U</w:t>
      </w:r>
      <w:r w:rsidRPr="003149FE">
        <w:t>），最后考虑评估对象适用的资本结构得到其带财务杠杆的</w:t>
      </w:r>
      <w:r w:rsidRPr="003149FE">
        <w:t>β</w:t>
      </w:r>
      <w:r w:rsidRPr="003149FE">
        <w:t>系数（</w:t>
      </w:r>
      <w:r w:rsidRPr="003149FE">
        <w:rPr>
          <w:rFonts w:ascii="Cambria Math" w:hAnsi="Cambria Math" w:cs="Cambria Math"/>
        </w:rPr>
        <w:t>𝛽𝐿</w:t>
      </w:r>
      <w:r w:rsidRPr="003149FE">
        <w:t>），计算公式如下：</w:t>
      </w:r>
    </w:p>
    <w:p w14:paraId="3BD9BFDA" w14:textId="77777777" w:rsidR="00CD798F" w:rsidRPr="003149FE" w:rsidRDefault="00000000" w:rsidP="00CD798F">
      <w:pPr>
        <w:spacing w:before="120" w:after="120"/>
        <w:ind w:firstLine="480"/>
        <w:rPr>
          <w:rFonts w:ascii="Times New Roman" w:hAnsi="Times New Roman"/>
        </w:rPr>
      </w:pPr>
      <m:oMathPara>
        <m:oMath>
          <m:sSub>
            <m:sSubPr>
              <m:ctrlPr>
                <w:rPr>
                  <w:rFonts w:ascii="Cambria Math" w:hAnsi="Cambria Math"/>
                </w:rPr>
              </m:ctrlPr>
            </m:sSubPr>
            <m:e>
              <m:r>
                <w:rPr>
                  <w:rFonts w:ascii="Cambria Math" w:hAnsi="Cambria Math"/>
                </w:rPr>
                <m:t>β</m:t>
              </m:r>
            </m:e>
            <m:sub>
              <m:r>
                <w:rPr>
                  <w:rFonts w:ascii="Cambria Math" w:hAnsi="Cambria Math"/>
                </w:rPr>
                <m:t>L</m:t>
              </m:r>
            </m:sub>
          </m:sSub>
          <m:r>
            <m:rPr>
              <m:sty m:val="p"/>
            </m:rPr>
            <w:rPr>
              <w:rFonts w:ascii="Cambria Math" w:hAnsi="Cambria Math"/>
            </w:rPr>
            <m:t>=</m:t>
          </m:r>
          <m:sSub>
            <m:sSubPr>
              <m:ctrlPr>
                <w:rPr>
                  <w:rFonts w:ascii="Cambria Math" w:hAnsi="Cambria Math"/>
                </w:rPr>
              </m:ctrlPr>
            </m:sSubPr>
            <m:e>
              <m:r>
                <w:rPr>
                  <w:rFonts w:ascii="Cambria Math" w:hAnsi="Cambria Math"/>
                </w:rPr>
                <m:t>β</m:t>
              </m:r>
            </m:e>
            <m:sub>
              <m:r>
                <w:rPr>
                  <w:rFonts w:ascii="Cambria Math" w:hAnsi="Cambria Math"/>
                </w:rPr>
                <m:t>U</m:t>
              </m:r>
            </m:sub>
          </m:sSub>
          <m:r>
            <m:rPr>
              <m:sty m:val="p"/>
            </m:rPr>
            <w:rPr>
              <w:rFonts w:ascii="Cambria Math" w:hAnsi="Cambria Math"/>
            </w:rPr>
            <m:t>×</m:t>
          </m:r>
          <m:d>
            <m:dPr>
              <m:begChr m:val="["/>
              <m:endChr m:val="]"/>
              <m:ctrlPr>
                <w:rPr>
                  <w:rFonts w:ascii="Cambria Math" w:hAnsi="Cambria Math"/>
                </w:rPr>
              </m:ctrlPr>
            </m:dPr>
            <m:e>
              <m:r>
                <m:rPr>
                  <m:sty m:val="p"/>
                </m:rPr>
                <w:rPr>
                  <w:rFonts w:ascii="Cambria Math" w:hAnsi="Cambria Math"/>
                </w:rPr>
                <m:t>1+(1-</m:t>
              </m:r>
              <m:r>
                <w:rPr>
                  <w:rFonts w:ascii="Cambria Math" w:hAnsi="Cambria Math"/>
                </w:rPr>
                <m:t>T</m:t>
              </m:r>
              <m:r>
                <m:rPr>
                  <m:sty m:val="p"/>
                </m:rPr>
                <w:rPr>
                  <w:rFonts w:ascii="Cambria Math" w:hAnsi="Cambria Math"/>
                </w:rPr>
                <m:t>)×</m:t>
              </m:r>
              <m:f>
                <m:fPr>
                  <m:ctrlPr>
                    <w:rPr>
                      <w:rFonts w:ascii="Cambria Math" w:hAnsi="Cambria Math"/>
                    </w:rPr>
                  </m:ctrlPr>
                </m:fPr>
                <m:num>
                  <m:r>
                    <w:rPr>
                      <w:rFonts w:ascii="Cambria Math" w:hAnsi="Cambria Math"/>
                    </w:rPr>
                    <m:t>D</m:t>
                  </m:r>
                </m:num>
                <m:den>
                  <m:r>
                    <w:rPr>
                      <w:rFonts w:ascii="Cambria Math" w:hAnsi="Cambria Math"/>
                    </w:rPr>
                    <m:t>E</m:t>
                  </m:r>
                </m:den>
              </m:f>
            </m:e>
          </m:d>
        </m:oMath>
      </m:oMathPara>
    </w:p>
    <w:p w14:paraId="2BA1EC9B" w14:textId="77777777" w:rsidR="00CD798F" w:rsidRPr="003149FE" w:rsidRDefault="00CD798F" w:rsidP="00CD798F">
      <w:pPr>
        <w:pStyle w:val="005"/>
        <w:spacing w:before="120" w:after="120"/>
        <w:ind w:firstLine="480"/>
      </w:pPr>
      <w:r w:rsidRPr="003149FE">
        <w:t>式中：</w:t>
      </w:r>
      <w:r w:rsidRPr="003149FE">
        <w:t>βL—</w:t>
      </w:r>
      <w:r w:rsidRPr="003149FE">
        <w:t>带财务杠杆的</w:t>
      </w:r>
      <w:r w:rsidRPr="003149FE">
        <w:t>β</w:t>
      </w:r>
      <w:r w:rsidRPr="003149FE">
        <w:t>系数；</w:t>
      </w:r>
    </w:p>
    <w:p w14:paraId="7DFECB0D" w14:textId="77777777" w:rsidR="00CD798F" w:rsidRPr="003149FE" w:rsidRDefault="00CD798F" w:rsidP="00CD798F">
      <w:pPr>
        <w:pStyle w:val="005"/>
        <w:spacing w:before="120" w:after="120"/>
        <w:ind w:firstLine="480"/>
      </w:pPr>
      <w:r w:rsidRPr="003149FE">
        <w:t>βU—</w:t>
      </w:r>
      <w:r w:rsidRPr="003149FE">
        <w:t>不带财务杠杆的</w:t>
      </w:r>
      <w:r w:rsidRPr="003149FE">
        <w:t>β</w:t>
      </w:r>
      <w:r w:rsidRPr="003149FE">
        <w:t>系数；</w:t>
      </w:r>
    </w:p>
    <w:p w14:paraId="32C09C46" w14:textId="77777777" w:rsidR="00CD798F" w:rsidRPr="003149FE" w:rsidRDefault="00CD798F" w:rsidP="00CD798F">
      <w:pPr>
        <w:pStyle w:val="005"/>
        <w:spacing w:before="120" w:after="120"/>
        <w:ind w:firstLine="480"/>
      </w:pPr>
      <w:r w:rsidRPr="003149FE">
        <w:t>T—</w:t>
      </w:r>
      <w:r w:rsidRPr="003149FE">
        <w:t>企业所得税税率；</w:t>
      </w:r>
    </w:p>
    <w:p w14:paraId="2237E84C" w14:textId="77777777" w:rsidR="00CD798F" w:rsidRPr="003149FE" w:rsidRDefault="00CD798F" w:rsidP="00CD798F">
      <w:pPr>
        <w:pStyle w:val="005"/>
        <w:spacing w:before="120" w:after="120"/>
        <w:ind w:firstLine="480"/>
      </w:pPr>
      <w:r w:rsidRPr="003149FE">
        <w:t>D/E—</w:t>
      </w:r>
      <w:r w:rsidRPr="003149FE">
        <w:t>付息债务与权益资本价值的比率。</w:t>
      </w:r>
    </w:p>
    <w:p w14:paraId="55D76E4B" w14:textId="77777777" w:rsidR="00CD798F" w:rsidRPr="002F5FE5" w:rsidRDefault="00CD798F" w:rsidP="00CD798F">
      <w:pPr>
        <w:pStyle w:val="005"/>
        <w:spacing w:before="120" w:after="120"/>
        <w:ind w:firstLine="480"/>
      </w:pPr>
      <w:r w:rsidRPr="002F5FE5">
        <w:rPr>
          <w:rFonts w:hint="eastAsia"/>
        </w:rPr>
        <w:t>其中所得税率数据</w:t>
      </w:r>
      <w:r w:rsidRPr="002F5FE5">
        <w:rPr>
          <w:rFonts w:hint="eastAsia"/>
        </w:rPr>
        <w:t>T</w:t>
      </w:r>
      <w:r w:rsidRPr="002F5FE5">
        <w:rPr>
          <w:rFonts w:hint="eastAsia"/>
        </w:rPr>
        <w:t>查询自各上市公司公布的</w:t>
      </w:r>
      <w:r w:rsidRPr="002F5FE5">
        <w:rPr>
          <w:rFonts w:hint="eastAsia"/>
        </w:rPr>
        <w:t>2024</w:t>
      </w:r>
      <w:r w:rsidRPr="002F5FE5">
        <w:rPr>
          <w:rFonts w:hint="eastAsia"/>
        </w:rPr>
        <w:t>年年报数据；</w:t>
      </w:r>
      <w:r w:rsidRPr="002F5FE5">
        <w:rPr>
          <w:rFonts w:hint="eastAsia"/>
        </w:rPr>
        <w:t>D/E</w:t>
      </w:r>
      <w:r w:rsidRPr="002F5FE5">
        <w:rPr>
          <w:rFonts w:hint="eastAsia"/>
        </w:rPr>
        <w:t>数据，则根据基准日可比上市公司的收盘价、总股本、少数股权数据计算股东全部权益价值</w:t>
      </w:r>
      <w:r w:rsidRPr="002F5FE5">
        <w:rPr>
          <w:rFonts w:hint="eastAsia"/>
        </w:rPr>
        <w:t>E</w:t>
      </w:r>
      <w:r w:rsidRPr="002F5FE5">
        <w:rPr>
          <w:rFonts w:hint="eastAsia"/>
        </w:rPr>
        <w:t>；查</w:t>
      </w:r>
      <w:r w:rsidRPr="002F5FE5">
        <w:rPr>
          <w:rFonts w:hint="eastAsia"/>
        </w:rPr>
        <w:lastRenderedPageBreak/>
        <w:t>询可比上市公司半年数据获得短期借款、长期借款等带息债务的数据，最终计算出可比上市公司于基准日的付息债务价值</w:t>
      </w:r>
      <w:r w:rsidRPr="002F5FE5">
        <w:rPr>
          <w:rFonts w:hint="eastAsia"/>
        </w:rPr>
        <w:t>D</w:t>
      </w:r>
      <w:r w:rsidRPr="002F5FE5">
        <w:rPr>
          <w:rFonts w:hint="eastAsia"/>
        </w:rPr>
        <w:t>，最终计算出</w:t>
      </w:r>
      <w:r w:rsidRPr="002F5FE5">
        <w:rPr>
          <w:rFonts w:hint="eastAsia"/>
        </w:rPr>
        <w:t>D/E</w:t>
      </w:r>
      <w:r w:rsidRPr="002F5FE5">
        <w:rPr>
          <w:rFonts w:hint="eastAsia"/>
        </w:rPr>
        <w:t>的数据。</w:t>
      </w:r>
    </w:p>
    <w:p w14:paraId="44AF2669" w14:textId="77777777" w:rsidR="00CD798F" w:rsidRPr="002F5FE5" w:rsidRDefault="00CD798F" w:rsidP="00CD798F">
      <w:pPr>
        <w:pStyle w:val="005"/>
        <w:spacing w:before="120" w:after="120"/>
        <w:ind w:firstLine="480"/>
      </w:pPr>
      <w:r w:rsidRPr="002F5FE5">
        <w:rPr>
          <w:rFonts w:hint="eastAsia"/>
        </w:rPr>
        <w:t>根据上述过程，</w:t>
      </w:r>
      <w:r w:rsidRPr="002F5FE5">
        <w:rPr>
          <w:rFonts w:hint="eastAsia"/>
        </w:rPr>
        <w:t>beta</w:t>
      </w:r>
      <w:r w:rsidRPr="002F5FE5">
        <w:rPr>
          <w:rFonts w:hint="eastAsia"/>
        </w:rPr>
        <w:t>系数测算结果如下：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648"/>
        <w:gridCol w:w="4413"/>
      </w:tblGrid>
      <w:tr w:rsidR="00CD798F" w:rsidRPr="002F5FE5" w14:paraId="1BB59191" w14:textId="77777777" w:rsidTr="00214723">
        <w:trPr>
          <w:cantSplit/>
          <w:trHeight w:val="454"/>
          <w:tblHeader/>
          <w:jc w:val="center"/>
        </w:trPr>
        <w:tc>
          <w:tcPr>
            <w:tcW w:w="2565" w:type="pct"/>
            <w:noWrap/>
            <w:vAlign w:val="center"/>
            <w:hideMark/>
          </w:tcPr>
          <w:p w14:paraId="0E616AF5"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项目</w:t>
            </w:r>
          </w:p>
        </w:tc>
        <w:tc>
          <w:tcPr>
            <w:tcW w:w="2435" w:type="pct"/>
            <w:noWrap/>
            <w:vAlign w:val="center"/>
            <w:hideMark/>
          </w:tcPr>
          <w:p w14:paraId="4A50E031"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剔除财务杠杆调整后</w:t>
            </w:r>
          </w:p>
        </w:tc>
      </w:tr>
      <w:tr w:rsidR="00CD798F" w:rsidRPr="002F5FE5" w14:paraId="7160E399" w14:textId="77777777" w:rsidTr="00214723">
        <w:trPr>
          <w:cantSplit/>
          <w:trHeight w:val="454"/>
          <w:jc w:val="center"/>
        </w:trPr>
        <w:tc>
          <w:tcPr>
            <w:tcW w:w="2565" w:type="pct"/>
            <w:noWrap/>
            <w:vAlign w:val="center"/>
            <w:hideMark/>
          </w:tcPr>
          <w:p w14:paraId="1F9E3262" w14:textId="77777777" w:rsidR="00CD798F" w:rsidRPr="002F5FE5" w:rsidRDefault="00CD798F" w:rsidP="00214723">
            <w:pPr>
              <w:jc w:val="center"/>
              <w:rPr>
                <w:rFonts w:ascii="Times New Roman" w:hAnsi="Times New Roman"/>
                <w:b/>
                <w:bCs/>
                <w:color w:val="000000"/>
              </w:rPr>
            </w:pPr>
            <w:r w:rsidRPr="002F5FE5">
              <w:rPr>
                <w:rFonts w:ascii="Times New Roman" w:hAnsi="Times New Roman"/>
                <w:b/>
                <w:bCs/>
                <w:color w:val="000000"/>
              </w:rPr>
              <w:t>26</w:t>
            </w:r>
            <w:r w:rsidRPr="002F5FE5">
              <w:rPr>
                <w:rFonts w:ascii="Times New Roman" w:hAnsi="Times New Roman"/>
                <w:b/>
                <w:bCs/>
                <w:color w:val="000000"/>
              </w:rPr>
              <w:t>家上市公司均值</w:t>
            </w:r>
          </w:p>
        </w:tc>
        <w:tc>
          <w:tcPr>
            <w:tcW w:w="2435" w:type="pct"/>
            <w:noWrap/>
            <w:vAlign w:val="center"/>
            <w:hideMark/>
          </w:tcPr>
          <w:p w14:paraId="12FF90C0" w14:textId="77777777" w:rsidR="00CD798F" w:rsidRPr="002F5FE5" w:rsidRDefault="00CD798F" w:rsidP="00214723">
            <w:pPr>
              <w:jc w:val="center"/>
              <w:rPr>
                <w:rFonts w:ascii="Times New Roman" w:hAnsi="Times New Roman"/>
                <w:b/>
                <w:bCs/>
                <w:color w:val="000000"/>
              </w:rPr>
            </w:pPr>
            <w:r w:rsidRPr="002F5FE5">
              <w:rPr>
                <w:rFonts w:ascii="Times New Roman" w:hAnsi="Times New Roman"/>
                <w:b/>
                <w:bCs/>
                <w:color w:val="000000"/>
              </w:rPr>
              <w:t>1.158</w:t>
            </w:r>
          </w:p>
        </w:tc>
      </w:tr>
    </w:tbl>
    <w:p w14:paraId="2D085A39" w14:textId="77777777" w:rsidR="00CD798F" w:rsidRPr="0088129F" w:rsidRDefault="00CD798F" w:rsidP="00CD798F">
      <w:pPr>
        <w:pStyle w:val="003"/>
        <w:spacing w:before="120" w:after="120"/>
        <w:ind w:firstLine="482"/>
      </w:pPr>
      <w:r>
        <w:rPr>
          <w:rFonts w:hint="eastAsia"/>
        </w:rPr>
        <w:t>（三）</w:t>
      </w:r>
      <w:r w:rsidRPr="008D2128">
        <w:rPr>
          <w:rFonts w:hint="eastAsia"/>
        </w:rPr>
        <w:t>折现率的预测是否合理、谨慎</w:t>
      </w:r>
    </w:p>
    <w:p w14:paraId="3479F714" w14:textId="77777777" w:rsidR="00CD798F" w:rsidRPr="002F5FE5" w:rsidRDefault="00CD798F" w:rsidP="00CD798F">
      <w:pPr>
        <w:pStyle w:val="005"/>
        <w:spacing w:before="120" w:after="120"/>
        <w:ind w:firstLine="480"/>
      </w:pPr>
      <w:r w:rsidRPr="002F5FE5">
        <w:rPr>
          <w:rFonts w:hint="eastAsia"/>
        </w:rPr>
        <w:t>经过上述过程测算得出本次预测期内选取的折现率数据为</w:t>
      </w:r>
      <w:r w:rsidRPr="002F5FE5">
        <w:rPr>
          <w:rFonts w:hint="eastAsia"/>
        </w:rPr>
        <w:t>11.7%</w:t>
      </w:r>
      <w:r w:rsidRPr="002F5FE5">
        <w:rPr>
          <w:rFonts w:hint="eastAsia"/>
        </w:rPr>
        <w:t>。经查询最近</w:t>
      </w:r>
      <w:r w:rsidRPr="002F5FE5">
        <w:rPr>
          <w:rFonts w:hint="eastAsia"/>
        </w:rPr>
        <w:t>2</w:t>
      </w:r>
      <w:r w:rsidRPr="002F5FE5">
        <w:rPr>
          <w:rFonts w:hint="eastAsia"/>
        </w:rPr>
        <w:t>年过会的沪深主板及创业板重组项目中采用收益法作为主结论的过会案例折现率分布于</w:t>
      </w:r>
      <w:r w:rsidRPr="002F5FE5">
        <w:rPr>
          <w:rFonts w:hint="eastAsia"/>
        </w:rPr>
        <w:t>6.93%~14.63%</w:t>
      </w:r>
      <w:r w:rsidRPr="002F5FE5">
        <w:rPr>
          <w:rFonts w:hint="eastAsia"/>
        </w:rPr>
        <w:t>。不考虑内蒙华电和甘肃能源等涉及能源电力行业的极低偏离值，均值为</w:t>
      </w:r>
      <w:r w:rsidRPr="002F5FE5">
        <w:rPr>
          <w:rFonts w:hint="eastAsia"/>
        </w:rPr>
        <w:t>11.02%</w:t>
      </w:r>
      <w:r w:rsidRPr="002F5FE5">
        <w:rPr>
          <w:rFonts w:hint="eastAsia"/>
        </w:rPr>
        <w:t>，中位数为</w:t>
      </w:r>
      <w:r w:rsidRPr="002F5FE5">
        <w:rPr>
          <w:rFonts w:hint="eastAsia"/>
        </w:rPr>
        <w:t>11.13%</w:t>
      </w:r>
      <w:r w:rsidRPr="002F5FE5">
        <w:rPr>
          <w:rFonts w:hint="eastAsia"/>
        </w:rPr>
        <w:t>，本次折现率</w:t>
      </w:r>
      <w:r w:rsidRPr="002F5FE5">
        <w:rPr>
          <w:rFonts w:hint="eastAsia"/>
        </w:rPr>
        <w:t>11.7%</w:t>
      </w:r>
      <w:r w:rsidRPr="002F5FE5">
        <w:rPr>
          <w:rFonts w:hint="eastAsia"/>
        </w:rPr>
        <w:t>高于近年过会案例平均和中位数水平，因此预测期折现率具备谨慎性和合理性。</w:t>
      </w:r>
    </w:p>
    <w:p w14:paraId="460880D9" w14:textId="77777777" w:rsidR="00CD798F" w:rsidRDefault="00CD798F" w:rsidP="00CD798F">
      <w:pPr>
        <w:pStyle w:val="005"/>
        <w:spacing w:before="120" w:after="120"/>
        <w:ind w:firstLine="480"/>
      </w:pPr>
      <w:r w:rsidRPr="0088129F">
        <w:rPr>
          <w:rFonts w:hint="eastAsia"/>
        </w:rPr>
        <w:t>重组案例</w:t>
      </w:r>
      <w:r>
        <w:rPr>
          <w:rFonts w:hint="eastAsia"/>
        </w:rPr>
        <w:t>具体情况如下：</w:t>
      </w:r>
    </w:p>
    <w:tbl>
      <w:tblPr>
        <w:tblW w:w="5857"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4"/>
        <w:gridCol w:w="1085"/>
        <w:gridCol w:w="1180"/>
        <w:gridCol w:w="1089"/>
        <w:gridCol w:w="1615"/>
        <w:gridCol w:w="1766"/>
        <w:gridCol w:w="945"/>
        <w:gridCol w:w="1700"/>
      </w:tblGrid>
      <w:tr w:rsidR="00CD798F" w:rsidRPr="00316E63" w14:paraId="3C0681F4" w14:textId="77777777" w:rsidTr="00214723">
        <w:trPr>
          <w:cantSplit/>
          <w:trHeight w:val="454"/>
          <w:tblHeader/>
          <w:jc w:val="center"/>
        </w:trPr>
        <w:tc>
          <w:tcPr>
            <w:tcW w:w="581" w:type="pct"/>
            <w:vAlign w:val="center"/>
            <w:hideMark/>
          </w:tcPr>
          <w:p w14:paraId="4F43E2B7"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过会时间</w:t>
            </w:r>
          </w:p>
        </w:tc>
        <w:tc>
          <w:tcPr>
            <w:tcW w:w="511" w:type="pct"/>
            <w:vAlign w:val="center"/>
            <w:hideMark/>
          </w:tcPr>
          <w:p w14:paraId="7A5D772B"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股票简称</w:t>
            </w:r>
          </w:p>
        </w:tc>
        <w:tc>
          <w:tcPr>
            <w:tcW w:w="556" w:type="pct"/>
            <w:vAlign w:val="center"/>
            <w:hideMark/>
          </w:tcPr>
          <w:p w14:paraId="6EB1B40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股票代码</w:t>
            </w:r>
          </w:p>
        </w:tc>
        <w:tc>
          <w:tcPr>
            <w:tcW w:w="513" w:type="pct"/>
            <w:vAlign w:val="center"/>
            <w:hideMark/>
          </w:tcPr>
          <w:p w14:paraId="3253DFFC"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所属板块</w:t>
            </w:r>
          </w:p>
        </w:tc>
        <w:tc>
          <w:tcPr>
            <w:tcW w:w="761" w:type="pct"/>
            <w:vAlign w:val="center"/>
            <w:hideMark/>
          </w:tcPr>
          <w:p w14:paraId="56C49AFD"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收购标的</w:t>
            </w:r>
          </w:p>
        </w:tc>
        <w:tc>
          <w:tcPr>
            <w:tcW w:w="832" w:type="pct"/>
            <w:vAlign w:val="center"/>
          </w:tcPr>
          <w:p w14:paraId="4F7AD0F3"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所属行业</w:t>
            </w:r>
          </w:p>
        </w:tc>
        <w:tc>
          <w:tcPr>
            <w:tcW w:w="445" w:type="pct"/>
            <w:vAlign w:val="center"/>
            <w:hideMark/>
          </w:tcPr>
          <w:p w14:paraId="35AEC97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主结论</w:t>
            </w:r>
          </w:p>
        </w:tc>
        <w:tc>
          <w:tcPr>
            <w:tcW w:w="802" w:type="pct"/>
            <w:vAlign w:val="center"/>
            <w:hideMark/>
          </w:tcPr>
          <w:p w14:paraId="0D7426F0"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折现率</w:t>
            </w:r>
          </w:p>
        </w:tc>
      </w:tr>
      <w:tr w:rsidR="00CD798F" w:rsidRPr="00316E63" w14:paraId="73FC35AC" w14:textId="77777777" w:rsidTr="00214723">
        <w:trPr>
          <w:cantSplit/>
          <w:trHeight w:val="454"/>
          <w:jc w:val="center"/>
        </w:trPr>
        <w:tc>
          <w:tcPr>
            <w:tcW w:w="581" w:type="pct"/>
            <w:noWrap/>
            <w:vAlign w:val="center"/>
            <w:hideMark/>
          </w:tcPr>
          <w:p w14:paraId="60B45364"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2024-03-27</w:t>
            </w:r>
          </w:p>
        </w:tc>
        <w:tc>
          <w:tcPr>
            <w:tcW w:w="511" w:type="pct"/>
            <w:noWrap/>
            <w:vAlign w:val="center"/>
            <w:hideMark/>
          </w:tcPr>
          <w:p w14:paraId="00F016C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昊华科技</w:t>
            </w:r>
          </w:p>
        </w:tc>
        <w:tc>
          <w:tcPr>
            <w:tcW w:w="556" w:type="pct"/>
            <w:noWrap/>
            <w:vAlign w:val="center"/>
            <w:hideMark/>
          </w:tcPr>
          <w:p w14:paraId="15A7401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600378.SH</w:t>
            </w:r>
          </w:p>
        </w:tc>
        <w:tc>
          <w:tcPr>
            <w:tcW w:w="513" w:type="pct"/>
            <w:noWrap/>
            <w:vAlign w:val="center"/>
            <w:hideMark/>
          </w:tcPr>
          <w:p w14:paraId="4C51893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vAlign w:val="center"/>
            <w:hideMark/>
          </w:tcPr>
          <w:p w14:paraId="6F0AF64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中化蓝天</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1297401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化学原料和化学制品制造业</w:t>
            </w:r>
          </w:p>
        </w:tc>
        <w:tc>
          <w:tcPr>
            <w:tcW w:w="445" w:type="pct"/>
            <w:noWrap/>
            <w:vAlign w:val="center"/>
            <w:hideMark/>
          </w:tcPr>
          <w:p w14:paraId="4F835A1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7D24487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11.12%</w:t>
            </w:r>
          </w:p>
        </w:tc>
      </w:tr>
      <w:tr w:rsidR="00CD798F" w:rsidRPr="00316E63" w14:paraId="3032FA86" w14:textId="77777777" w:rsidTr="00214723">
        <w:trPr>
          <w:cantSplit/>
          <w:trHeight w:val="454"/>
          <w:jc w:val="center"/>
        </w:trPr>
        <w:tc>
          <w:tcPr>
            <w:tcW w:w="581" w:type="pct"/>
            <w:noWrap/>
            <w:vAlign w:val="center"/>
            <w:hideMark/>
          </w:tcPr>
          <w:p w14:paraId="2DA3F5DB"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2024-06-07</w:t>
            </w:r>
          </w:p>
        </w:tc>
        <w:tc>
          <w:tcPr>
            <w:tcW w:w="511" w:type="pct"/>
            <w:noWrap/>
            <w:vAlign w:val="center"/>
            <w:hideMark/>
          </w:tcPr>
          <w:p w14:paraId="061B9B7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军信股份</w:t>
            </w:r>
          </w:p>
        </w:tc>
        <w:tc>
          <w:tcPr>
            <w:tcW w:w="556" w:type="pct"/>
            <w:noWrap/>
            <w:vAlign w:val="center"/>
            <w:hideMark/>
          </w:tcPr>
          <w:p w14:paraId="6C27F3F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301109.SZ</w:t>
            </w:r>
          </w:p>
        </w:tc>
        <w:tc>
          <w:tcPr>
            <w:tcW w:w="513" w:type="pct"/>
            <w:noWrap/>
            <w:vAlign w:val="center"/>
            <w:hideMark/>
          </w:tcPr>
          <w:p w14:paraId="53C6BBA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创业板</w:t>
            </w:r>
          </w:p>
        </w:tc>
        <w:tc>
          <w:tcPr>
            <w:tcW w:w="761" w:type="pct"/>
            <w:vAlign w:val="center"/>
            <w:hideMark/>
          </w:tcPr>
          <w:p w14:paraId="0A1A7BD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仁和环境</w:t>
            </w:r>
            <w:r w:rsidRPr="00E72DA1">
              <w:rPr>
                <w:rFonts w:ascii="Times New Roman" w:hAnsi="Times New Roman"/>
                <w:color w:val="000000"/>
                <w:szCs w:val="21"/>
              </w:rPr>
              <w:t>63%</w:t>
            </w:r>
            <w:r w:rsidRPr="00E72DA1">
              <w:rPr>
                <w:rFonts w:ascii="Times New Roman" w:hAnsi="Times New Roman" w:hint="eastAsia"/>
                <w:color w:val="000000"/>
                <w:szCs w:val="21"/>
              </w:rPr>
              <w:t>股权</w:t>
            </w:r>
          </w:p>
        </w:tc>
        <w:tc>
          <w:tcPr>
            <w:tcW w:w="832" w:type="pct"/>
            <w:vAlign w:val="center"/>
          </w:tcPr>
          <w:p w14:paraId="350DD67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生态保护和环境治理业</w:t>
            </w:r>
          </w:p>
        </w:tc>
        <w:tc>
          <w:tcPr>
            <w:tcW w:w="445" w:type="pct"/>
            <w:noWrap/>
            <w:vAlign w:val="center"/>
            <w:hideMark/>
          </w:tcPr>
          <w:p w14:paraId="6EE8D07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74926B8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11.40%</w:t>
            </w:r>
          </w:p>
        </w:tc>
      </w:tr>
      <w:tr w:rsidR="00CD798F" w:rsidRPr="00316E63" w14:paraId="357B51A9" w14:textId="77777777" w:rsidTr="00214723">
        <w:trPr>
          <w:cantSplit/>
          <w:trHeight w:val="454"/>
          <w:jc w:val="center"/>
        </w:trPr>
        <w:tc>
          <w:tcPr>
            <w:tcW w:w="581" w:type="pct"/>
            <w:noWrap/>
            <w:vAlign w:val="center"/>
            <w:hideMark/>
          </w:tcPr>
          <w:p w14:paraId="2EC1A53F"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2024-08-02</w:t>
            </w:r>
          </w:p>
        </w:tc>
        <w:tc>
          <w:tcPr>
            <w:tcW w:w="511" w:type="pct"/>
            <w:noWrap/>
            <w:vAlign w:val="center"/>
            <w:hideMark/>
          </w:tcPr>
          <w:p w14:paraId="55ED2F1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华亚智能</w:t>
            </w:r>
          </w:p>
        </w:tc>
        <w:tc>
          <w:tcPr>
            <w:tcW w:w="556" w:type="pct"/>
            <w:noWrap/>
            <w:vAlign w:val="center"/>
            <w:hideMark/>
          </w:tcPr>
          <w:p w14:paraId="0733561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003043.SZ</w:t>
            </w:r>
          </w:p>
        </w:tc>
        <w:tc>
          <w:tcPr>
            <w:tcW w:w="513" w:type="pct"/>
            <w:noWrap/>
            <w:vAlign w:val="center"/>
            <w:hideMark/>
          </w:tcPr>
          <w:p w14:paraId="577ADC6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深主板</w:t>
            </w:r>
          </w:p>
        </w:tc>
        <w:tc>
          <w:tcPr>
            <w:tcW w:w="761" w:type="pct"/>
            <w:vAlign w:val="center"/>
            <w:hideMark/>
          </w:tcPr>
          <w:p w14:paraId="1F65C3F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冠鸿智能</w:t>
            </w:r>
            <w:r w:rsidRPr="00E72DA1">
              <w:rPr>
                <w:rFonts w:ascii="Times New Roman" w:hAnsi="Times New Roman"/>
                <w:color w:val="000000"/>
                <w:szCs w:val="21"/>
              </w:rPr>
              <w:t>51%</w:t>
            </w:r>
            <w:r w:rsidRPr="00E72DA1">
              <w:rPr>
                <w:rFonts w:ascii="Times New Roman" w:hAnsi="Times New Roman" w:hint="eastAsia"/>
                <w:color w:val="000000"/>
                <w:szCs w:val="21"/>
              </w:rPr>
              <w:t>股权</w:t>
            </w:r>
          </w:p>
        </w:tc>
        <w:tc>
          <w:tcPr>
            <w:tcW w:w="832" w:type="pct"/>
            <w:vAlign w:val="center"/>
          </w:tcPr>
          <w:p w14:paraId="1E1BBA3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金属制品业</w:t>
            </w:r>
          </w:p>
        </w:tc>
        <w:tc>
          <w:tcPr>
            <w:tcW w:w="445" w:type="pct"/>
            <w:noWrap/>
            <w:vAlign w:val="center"/>
            <w:hideMark/>
          </w:tcPr>
          <w:p w14:paraId="28C2AD0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4F74234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11.04%</w:t>
            </w:r>
            <w:r w:rsidRPr="00E72DA1">
              <w:rPr>
                <w:rFonts w:ascii="Times New Roman" w:hAnsi="Times New Roman" w:hint="eastAsia"/>
                <w:color w:val="000000"/>
                <w:szCs w:val="21"/>
              </w:rPr>
              <w:t>、</w:t>
            </w:r>
            <w:r w:rsidRPr="00E72DA1">
              <w:rPr>
                <w:rFonts w:ascii="Times New Roman" w:hAnsi="Times New Roman"/>
                <w:color w:val="000000"/>
                <w:szCs w:val="21"/>
              </w:rPr>
              <w:t>11.16%</w:t>
            </w:r>
          </w:p>
        </w:tc>
      </w:tr>
      <w:tr w:rsidR="00CD798F" w:rsidRPr="00316E63" w14:paraId="7E92983C" w14:textId="77777777" w:rsidTr="00214723">
        <w:trPr>
          <w:cantSplit/>
          <w:trHeight w:val="454"/>
          <w:jc w:val="center"/>
        </w:trPr>
        <w:tc>
          <w:tcPr>
            <w:tcW w:w="581" w:type="pct"/>
            <w:noWrap/>
            <w:vAlign w:val="center"/>
            <w:hideMark/>
          </w:tcPr>
          <w:p w14:paraId="56F89091"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2024-08-09</w:t>
            </w:r>
          </w:p>
        </w:tc>
        <w:tc>
          <w:tcPr>
            <w:tcW w:w="511" w:type="pct"/>
            <w:noWrap/>
            <w:vAlign w:val="center"/>
            <w:hideMark/>
          </w:tcPr>
          <w:p w14:paraId="18CEF22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中文传媒</w:t>
            </w:r>
          </w:p>
        </w:tc>
        <w:tc>
          <w:tcPr>
            <w:tcW w:w="556" w:type="pct"/>
            <w:noWrap/>
            <w:vAlign w:val="center"/>
            <w:hideMark/>
          </w:tcPr>
          <w:p w14:paraId="562C961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600373.SH</w:t>
            </w:r>
          </w:p>
        </w:tc>
        <w:tc>
          <w:tcPr>
            <w:tcW w:w="513" w:type="pct"/>
            <w:noWrap/>
            <w:vAlign w:val="center"/>
            <w:hideMark/>
          </w:tcPr>
          <w:p w14:paraId="0786B49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vAlign w:val="center"/>
            <w:hideMark/>
          </w:tcPr>
          <w:p w14:paraId="55CBD715"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江教传媒</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080717A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新闻和出版业</w:t>
            </w:r>
          </w:p>
        </w:tc>
        <w:tc>
          <w:tcPr>
            <w:tcW w:w="445" w:type="pct"/>
            <w:noWrap/>
            <w:vAlign w:val="center"/>
            <w:hideMark/>
          </w:tcPr>
          <w:p w14:paraId="1322042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1B07354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11.13%</w:t>
            </w:r>
          </w:p>
        </w:tc>
      </w:tr>
      <w:tr w:rsidR="00CD798F" w:rsidRPr="00316E63" w14:paraId="6B2BAF37" w14:textId="77777777" w:rsidTr="00214723">
        <w:trPr>
          <w:cantSplit/>
          <w:trHeight w:val="454"/>
          <w:jc w:val="center"/>
        </w:trPr>
        <w:tc>
          <w:tcPr>
            <w:tcW w:w="581" w:type="pct"/>
            <w:noWrap/>
            <w:vAlign w:val="center"/>
            <w:hideMark/>
          </w:tcPr>
          <w:p w14:paraId="58E73AA5"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2024-10-14</w:t>
            </w:r>
          </w:p>
        </w:tc>
        <w:tc>
          <w:tcPr>
            <w:tcW w:w="511" w:type="pct"/>
            <w:noWrap/>
            <w:vAlign w:val="center"/>
            <w:hideMark/>
          </w:tcPr>
          <w:p w14:paraId="39C1A7B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甘肃能源</w:t>
            </w:r>
          </w:p>
        </w:tc>
        <w:tc>
          <w:tcPr>
            <w:tcW w:w="556" w:type="pct"/>
            <w:noWrap/>
            <w:vAlign w:val="center"/>
            <w:hideMark/>
          </w:tcPr>
          <w:p w14:paraId="554C77F7"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000791.SZ</w:t>
            </w:r>
          </w:p>
        </w:tc>
        <w:tc>
          <w:tcPr>
            <w:tcW w:w="513" w:type="pct"/>
            <w:noWrap/>
            <w:vAlign w:val="center"/>
            <w:hideMark/>
          </w:tcPr>
          <w:p w14:paraId="71A3200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深主板</w:t>
            </w:r>
          </w:p>
        </w:tc>
        <w:tc>
          <w:tcPr>
            <w:tcW w:w="761" w:type="pct"/>
            <w:noWrap/>
            <w:vAlign w:val="center"/>
            <w:hideMark/>
          </w:tcPr>
          <w:p w14:paraId="1A11DDC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常乐公司</w:t>
            </w:r>
            <w:r w:rsidRPr="00E72DA1">
              <w:rPr>
                <w:rFonts w:ascii="Times New Roman" w:hAnsi="Times New Roman"/>
                <w:color w:val="000000"/>
                <w:szCs w:val="21"/>
              </w:rPr>
              <w:t>66.00%</w:t>
            </w:r>
            <w:r w:rsidRPr="00E72DA1">
              <w:rPr>
                <w:rFonts w:ascii="Times New Roman" w:hAnsi="Times New Roman" w:hint="eastAsia"/>
                <w:color w:val="000000"/>
                <w:szCs w:val="21"/>
              </w:rPr>
              <w:t>股权</w:t>
            </w:r>
          </w:p>
        </w:tc>
        <w:tc>
          <w:tcPr>
            <w:tcW w:w="832" w:type="pct"/>
            <w:vAlign w:val="center"/>
          </w:tcPr>
          <w:p w14:paraId="3A75FEB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电力、热力生产和供应业</w:t>
            </w:r>
          </w:p>
        </w:tc>
        <w:tc>
          <w:tcPr>
            <w:tcW w:w="445" w:type="pct"/>
            <w:noWrap/>
            <w:vAlign w:val="center"/>
            <w:hideMark/>
          </w:tcPr>
          <w:p w14:paraId="5BB9DA7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vAlign w:val="center"/>
            <w:hideMark/>
          </w:tcPr>
          <w:p w14:paraId="03FF109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7.80%</w:t>
            </w:r>
          </w:p>
        </w:tc>
      </w:tr>
      <w:tr w:rsidR="00CD798F" w:rsidRPr="00316E63" w14:paraId="50BBCC09" w14:textId="77777777" w:rsidTr="00214723">
        <w:trPr>
          <w:cantSplit/>
          <w:trHeight w:val="454"/>
          <w:jc w:val="center"/>
        </w:trPr>
        <w:tc>
          <w:tcPr>
            <w:tcW w:w="581" w:type="pct"/>
            <w:noWrap/>
            <w:vAlign w:val="center"/>
            <w:hideMark/>
          </w:tcPr>
          <w:p w14:paraId="05EDCCB1"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2024/11/7</w:t>
            </w:r>
          </w:p>
        </w:tc>
        <w:tc>
          <w:tcPr>
            <w:tcW w:w="511" w:type="pct"/>
            <w:noWrap/>
            <w:vAlign w:val="center"/>
            <w:hideMark/>
          </w:tcPr>
          <w:p w14:paraId="0ED25195"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麦捷科技</w:t>
            </w:r>
          </w:p>
        </w:tc>
        <w:tc>
          <w:tcPr>
            <w:tcW w:w="556" w:type="pct"/>
            <w:noWrap/>
            <w:vAlign w:val="center"/>
            <w:hideMark/>
          </w:tcPr>
          <w:p w14:paraId="35908C35"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300319.SZ</w:t>
            </w:r>
          </w:p>
        </w:tc>
        <w:tc>
          <w:tcPr>
            <w:tcW w:w="513" w:type="pct"/>
            <w:noWrap/>
            <w:vAlign w:val="center"/>
            <w:hideMark/>
          </w:tcPr>
          <w:p w14:paraId="055FA73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创业板</w:t>
            </w:r>
          </w:p>
        </w:tc>
        <w:tc>
          <w:tcPr>
            <w:tcW w:w="761" w:type="pct"/>
            <w:noWrap/>
            <w:vAlign w:val="center"/>
            <w:hideMark/>
          </w:tcPr>
          <w:p w14:paraId="419FD52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安可远</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2BC04A8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计算机、通信和其他电子设备制造业</w:t>
            </w:r>
          </w:p>
        </w:tc>
        <w:tc>
          <w:tcPr>
            <w:tcW w:w="445" w:type="pct"/>
            <w:noWrap/>
            <w:vAlign w:val="center"/>
            <w:hideMark/>
          </w:tcPr>
          <w:p w14:paraId="0AF6DF7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vAlign w:val="center"/>
            <w:hideMark/>
          </w:tcPr>
          <w:p w14:paraId="3BE8100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11.57%</w:t>
            </w:r>
          </w:p>
        </w:tc>
      </w:tr>
      <w:tr w:rsidR="00CD798F" w:rsidRPr="00316E63" w14:paraId="7AE867EB" w14:textId="77777777" w:rsidTr="00214723">
        <w:trPr>
          <w:cantSplit/>
          <w:trHeight w:val="454"/>
          <w:jc w:val="center"/>
        </w:trPr>
        <w:tc>
          <w:tcPr>
            <w:tcW w:w="581" w:type="pct"/>
            <w:noWrap/>
            <w:vAlign w:val="center"/>
            <w:hideMark/>
          </w:tcPr>
          <w:p w14:paraId="4F8F59E6"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2024-12-23</w:t>
            </w:r>
          </w:p>
        </w:tc>
        <w:tc>
          <w:tcPr>
            <w:tcW w:w="511" w:type="pct"/>
            <w:noWrap/>
            <w:vAlign w:val="center"/>
            <w:hideMark/>
          </w:tcPr>
          <w:p w14:paraId="4978A43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朗新集团</w:t>
            </w:r>
          </w:p>
        </w:tc>
        <w:tc>
          <w:tcPr>
            <w:tcW w:w="556" w:type="pct"/>
            <w:noWrap/>
            <w:vAlign w:val="center"/>
            <w:hideMark/>
          </w:tcPr>
          <w:p w14:paraId="3440E61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300682.SZ</w:t>
            </w:r>
          </w:p>
        </w:tc>
        <w:tc>
          <w:tcPr>
            <w:tcW w:w="513" w:type="pct"/>
            <w:noWrap/>
            <w:vAlign w:val="center"/>
            <w:hideMark/>
          </w:tcPr>
          <w:p w14:paraId="38C8C45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创业板</w:t>
            </w:r>
          </w:p>
        </w:tc>
        <w:tc>
          <w:tcPr>
            <w:tcW w:w="761" w:type="pct"/>
            <w:noWrap/>
            <w:vAlign w:val="center"/>
            <w:hideMark/>
          </w:tcPr>
          <w:p w14:paraId="09214DB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邦道科技</w:t>
            </w:r>
            <w:r w:rsidRPr="00E72DA1">
              <w:rPr>
                <w:rFonts w:ascii="Times New Roman" w:hAnsi="Times New Roman"/>
                <w:color w:val="000000"/>
                <w:szCs w:val="21"/>
              </w:rPr>
              <w:t>10%</w:t>
            </w:r>
            <w:r w:rsidRPr="00E72DA1">
              <w:rPr>
                <w:rFonts w:ascii="Times New Roman" w:hAnsi="Times New Roman" w:hint="eastAsia"/>
                <w:color w:val="000000"/>
                <w:szCs w:val="21"/>
              </w:rPr>
              <w:t>股权</w:t>
            </w:r>
          </w:p>
        </w:tc>
        <w:tc>
          <w:tcPr>
            <w:tcW w:w="832" w:type="pct"/>
            <w:vAlign w:val="center"/>
          </w:tcPr>
          <w:p w14:paraId="5DAE647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软件和信息技术服务业</w:t>
            </w:r>
          </w:p>
        </w:tc>
        <w:tc>
          <w:tcPr>
            <w:tcW w:w="445" w:type="pct"/>
            <w:noWrap/>
            <w:vAlign w:val="center"/>
            <w:hideMark/>
          </w:tcPr>
          <w:p w14:paraId="0650983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vAlign w:val="center"/>
            <w:hideMark/>
          </w:tcPr>
          <w:p w14:paraId="5CEC93A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14.63%</w:t>
            </w:r>
          </w:p>
        </w:tc>
      </w:tr>
      <w:tr w:rsidR="00CD798F" w:rsidRPr="00316E63" w14:paraId="76A95E5F" w14:textId="77777777" w:rsidTr="00214723">
        <w:trPr>
          <w:cantSplit/>
          <w:trHeight w:val="454"/>
          <w:jc w:val="center"/>
        </w:trPr>
        <w:tc>
          <w:tcPr>
            <w:tcW w:w="581" w:type="pct"/>
            <w:noWrap/>
            <w:vAlign w:val="center"/>
            <w:hideMark/>
          </w:tcPr>
          <w:p w14:paraId="40E799CF"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2025/1/14</w:t>
            </w:r>
          </w:p>
        </w:tc>
        <w:tc>
          <w:tcPr>
            <w:tcW w:w="511" w:type="pct"/>
            <w:noWrap/>
            <w:vAlign w:val="center"/>
            <w:hideMark/>
          </w:tcPr>
          <w:p w14:paraId="1004625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华达科技</w:t>
            </w:r>
          </w:p>
        </w:tc>
        <w:tc>
          <w:tcPr>
            <w:tcW w:w="556" w:type="pct"/>
            <w:noWrap/>
            <w:vAlign w:val="center"/>
            <w:hideMark/>
          </w:tcPr>
          <w:p w14:paraId="133E13D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603358.SH</w:t>
            </w:r>
          </w:p>
        </w:tc>
        <w:tc>
          <w:tcPr>
            <w:tcW w:w="513" w:type="pct"/>
            <w:noWrap/>
            <w:vAlign w:val="center"/>
            <w:hideMark/>
          </w:tcPr>
          <w:p w14:paraId="4F8B6C87"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noWrap/>
            <w:vAlign w:val="center"/>
            <w:hideMark/>
          </w:tcPr>
          <w:p w14:paraId="32CF5FF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江苏恒义</w:t>
            </w:r>
            <w:r w:rsidRPr="00E72DA1">
              <w:rPr>
                <w:rFonts w:ascii="Times New Roman" w:hAnsi="Times New Roman"/>
                <w:color w:val="000000"/>
                <w:szCs w:val="21"/>
              </w:rPr>
              <w:t>44%</w:t>
            </w:r>
            <w:r w:rsidRPr="00E72DA1">
              <w:rPr>
                <w:rFonts w:ascii="Times New Roman" w:hAnsi="Times New Roman" w:hint="eastAsia"/>
                <w:color w:val="000000"/>
                <w:szCs w:val="21"/>
              </w:rPr>
              <w:t>股权</w:t>
            </w:r>
          </w:p>
        </w:tc>
        <w:tc>
          <w:tcPr>
            <w:tcW w:w="832" w:type="pct"/>
            <w:vAlign w:val="center"/>
          </w:tcPr>
          <w:p w14:paraId="58A085C7"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汽车制造业</w:t>
            </w:r>
          </w:p>
        </w:tc>
        <w:tc>
          <w:tcPr>
            <w:tcW w:w="445" w:type="pct"/>
            <w:noWrap/>
            <w:vAlign w:val="center"/>
            <w:hideMark/>
          </w:tcPr>
          <w:p w14:paraId="21390C5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249B58C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10.55%</w:t>
            </w:r>
          </w:p>
        </w:tc>
      </w:tr>
      <w:tr w:rsidR="00CD798F" w:rsidRPr="00316E63" w14:paraId="7414B797" w14:textId="77777777" w:rsidTr="00214723">
        <w:trPr>
          <w:cantSplit/>
          <w:trHeight w:val="454"/>
          <w:jc w:val="center"/>
        </w:trPr>
        <w:tc>
          <w:tcPr>
            <w:tcW w:w="581" w:type="pct"/>
            <w:noWrap/>
            <w:vAlign w:val="center"/>
            <w:hideMark/>
          </w:tcPr>
          <w:p w14:paraId="5A96566D"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lastRenderedPageBreak/>
              <w:t>2025/3/13</w:t>
            </w:r>
          </w:p>
        </w:tc>
        <w:tc>
          <w:tcPr>
            <w:tcW w:w="511" w:type="pct"/>
            <w:noWrap/>
            <w:vAlign w:val="center"/>
            <w:hideMark/>
          </w:tcPr>
          <w:p w14:paraId="547E6D7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宁波精达</w:t>
            </w:r>
          </w:p>
        </w:tc>
        <w:tc>
          <w:tcPr>
            <w:tcW w:w="556" w:type="pct"/>
            <w:noWrap/>
            <w:vAlign w:val="center"/>
            <w:hideMark/>
          </w:tcPr>
          <w:p w14:paraId="1139335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603088.SH</w:t>
            </w:r>
          </w:p>
        </w:tc>
        <w:tc>
          <w:tcPr>
            <w:tcW w:w="513" w:type="pct"/>
            <w:noWrap/>
            <w:vAlign w:val="center"/>
            <w:hideMark/>
          </w:tcPr>
          <w:p w14:paraId="5A7429C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noWrap/>
            <w:vAlign w:val="center"/>
            <w:hideMark/>
          </w:tcPr>
          <w:p w14:paraId="3574DEC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无锡微研</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5F93B72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通用设备制造业</w:t>
            </w:r>
          </w:p>
        </w:tc>
        <w:tc>
          <w:tcPr>
            <w:tcW w:w="445" w:type="pct"/>
            <w:noWrap/>
            <w:vAlign w:val="center"/>
            <w:hideMark/>
          </w:tcPr>
          <w:p w14:paraId="40E585B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4046B82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w:t>
            </w:r>
          </w:p>
        </w:tc>
      </w:tr>
      <w:tr w:rsidR="00CD798F" w:rsidRPr="00316E63" w14:paraId="6D117A1A" w14:textId="77777777" w:rsidTr="00214723">
        <w:trPr>
          <w:cantSplit/>
          <w:trHeight w:val="454"/>
          <w:jc w:val="center"/>
        </w:trPr>
        <w:tc>
          <w:tcPr>
            <w:tcW w:w="581" w:type="pct"/>
            <w:noWrap/>
            <w:vAlign w:val="center"/>
            <w:hideMark/>
          </w:tcPr>
          <w:p w14:paraId="59D417DC"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2025/3/28</w:t>
            </w:r>
          </w:p>
        </w:tc>
        <w:tc>
          <w:tcPr>
            <w:tcW w:w="511" w:type="pct"/>
            <w:noWrap/>
            <w:vAlign w:val="center"/>
            <w:hideMark/>
          </w:tcPr>
          <w:p w14:paraId="38A4447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沈阳机床</w:t>
            </w:r>
          </w:p>
        </w:tc>
        <w:tc>
          <w:tcPr>
            <w:tcW w:w="556" w:type="pct"/>
            <w:noWrap/>
            <w:vAlign w:val="center"/>
            <w:hideMark/>
          </w:tcPr>
          <w:p w14:paraId="10E25DA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000410.SZ</w:t>
            </w:r>
          </w:p>
        </w:tc>
        <w:tc>
          <w:tcPr>
            <w:tcW w:w="513" w:type="pct"/>
            <w:noWrap/>
            <w:vAlign w:val="center"/>
            <w:hideMark/>
          </w:tcPr>
          <w:p w14:paraId="572F5E6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深主板</w:t>
            </w:r>
          </w:p>
        </w:tc>
        <w:tc>
          <w:tcPr>
            <w:tcW w:w="761" w:type="pct"/>
            <w:noWrap/>
            <w:vAlign w:val="center"/>
            <w:hideMark/>
          </w:tcPr>
          <w:p w14:paraId="4F46737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中捷航空航天</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5CC9278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通用设备制造业</w:t>
            </w:r>
          </w:p>
        </w:tc>
        <w:tc>
          <w:tcPr>
            <w:tcW w:w="445" w:type="pct"/>
            <w:noWrap/>
            <w:vAlign w:val="center"/>
            <w:hideMark/>
          </w:tcPr>
          <w:p w14:paraId="2BFD2FF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2B26081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10.31%</w:t>
            </w:r>
          </w:p>
        </w:tc>
      </w:tr>
      <w:tr w:rsidR="00CD798F" w:rsidRPr="00316E63" w14:paraId="3EAD8BCA" w14:textId="77777777" w:rsidTr="00214723">
        <w:trPr>
          <w:cantSplit/>
          <w:trHeight w:val="454"/>
          <w:jc w:val="center"/>
        </w:trPr>
        <w:tc>
          <w:tcPr>
            <w:tcW w:w="581" w:type="pct"/>
            <w:noWrap/>
            <w:vAlign w:val="center"/>
            <w:hideMark/>
          </w:tcPr>
          <w:p w14:paraId="52861B2D"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2025/05/29</w:t>
            </w:r>
          </w:p>
        </w:tc>
        <w:tc>
          <w:tcPr>
            <w:tcW w:w="511" w:type="pct"/>
            <w:noWrap/>
            <w:vAlign w:val="center"/>
            <w:hideMark/>
          </w:tcPr>
          <w:p w14:paraId="7DCD5E3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富乐德</w:t>
            </w:r>
          </w:p>
        </w:tc>
        <w:tc>
          <w:tcPr>
            <w:tcW w:w="556" w:type="pct"/>
            <w:noWrap/>
            <w:vAlign w:val="center"/>
            <w:hideMark/>
          </w:tcPr>
          <w:p w14:paraId="4AA37DA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301297.SZ</w:t>
            </w:r>
          </w:p>
        </w:tc>
        <w:tc>
          <w:tcPr>
            <w:tcW w:w="513" w:type="pct"/>
            <w:noWrap/>
            <w:vAlign w:val="center"/>
            <w:hideMark/>
          </w:tcPr>
          <w:p w14:paraId="7D175ED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创业板</w:t>
            </w:r>
          </w:p>
        </w:tc>
        <w:tc>
          <w:tcPr>
            <w:tcW w:w="761" w:type="pct"/>
            <w:noWrap/>
            <w:vAlign w:val="center"/>
            <w:hideMark/>
          </w:tcPr>
          <w:p w14:paraId="049DE6F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富乐华</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38B1BC8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专业技术服务业</w:t>
            </w:r>
          </w:p>
        </w:tc>
        <w:tc>
          <w:tcPr>
            <w:tcW w:w="445" w:type="pct"/>
            <w:noWrap/>
            <w:vAlign w:val="center"/>
            <w:hideMark/>
          </w:tcPr>
          <w:p w14:paraId="159ABFD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6CBD8BE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9.62%</w:t>
            </w:r>
          </w:p>
        </w:tc>
      </w:tr>
      <w:tr w:rsidR="00CD798F" w:rsidRPr="00316E63" w14:paraId="3C0DF1E7" w14:textId="77777777" w:rsidTr="00214723">
        <w:trPr>
          <w:cantSplit/>
          <w:trHeight w:val="454"/>
          <w:jc w:val="center"/>
        </w:trPr>
        <w:tc>
          <w:tcPr>
            <w:tcW w:w="581" w:type="pct"/>
            <w:noWrap/>
            <w:vAlign w:val="center"/>
            <w:hideMark/>
          </w:tcPr>
          <w:p w14:paraId="22D8A0EC"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2025/08/08</w:t>
            </w:r>
          </w:p>
        </w:tc>
        <w:tc>
          <w:tcPr>
            <w:tcW w:w="511" w:type="pct"/>
            <w:noWrap/>
            <w:vAlign w:val="center"/>
            <w:hideMark/>
          </w:tcPr>
          <w:p w14:paraId="6BA23DB9"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领益智造</w:t>
            </w:r>
          </w:p>
        </w:tc>
        <w:tc>
          <w:tcPr>
            <w:tcW w:w="556" w:type="pct"/>
            <w:noWrap/>
            <w:vAlign w:val="center"/>
            <w:hideMark/>
          </w:tcPr>
          <w:p w14:paraId="4A26C0B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002600.SZ</w:t>
            </w:r>
          </w:p>
        </w:tc>
        <w:tc>
          <w:tcPr>
            <w:tcW w:w="513" w:type="pct"/>
            <w:noWrap/>
            <w:vAlign w:val="center"/>
            <w:hideMark/>
          </w:tcPr>
          <w:p w14:paraId="4BBB221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深主板</w:t>
            </w:r>
          </w:p>
        </w:tc>
        <w:tc>
          <w:tcPr>
            <w:tcW w:w="761" w:type="pct"/>
            <w:noWrap/>
            <w:vAlign w:val="center"/>
            <w:hideMark/>
          </w:tcPr>
          <w:p w14:paraId="6517936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江苏科达</w:t>
            </w:r>
            <w:r w:rsidRPr="00E72DA1">
              <w:rPr>
                <w:rFonts w:ascii="Times New Roman" w:hAnsi="Times New Roman"/>
                <w:color w:val="000000"/>
                <w:szCs w:val="21"/>
              </w:rPr>
              <w:t>66.46%</w:t>
            </w:r>
            <w:r w:rsidRPr="00E72DA1">
              <w:rPr>
                <w:rFonts w:ascii="Times New Roman" w:hAnsi="Times New Roman" w:hint="eastAsia"/>
                <w:color w:val="000000"/>
                <w:szCs w:val="21"/>
              </w:rPr>
              <w:t>股权</w:t>
            </w:r>
          </w:p>
        </w:tc>
        <w:tc>
          <w:tcPr>
            <w:tcW w:w="832" w:type="pct"/>
            <w:vAlign w:val="center"/>
          </w:tcPr>
          <w:p w14:paraId="547E1E4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计算机、通信和其他电子设备制造业</w:t>
            </w:r>
          </w:p>
        </w:tc>
        <w:tc>
          <w:tcPr>
            <w:tcW w:w="445" w:type="pct"/>
            <w:noWrap/>
            <w:vAlign w:val="center"/>
            <w:hideMark/>
          </w:tcPr>
          <w:p w14:paraId="055D219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60DDE7A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r>
      <w:tr w:rsidR="00CD798F" w:rsidRPr="00316E63" w14:paraId="47194A16" w14:textId="77777777" w:rsidTr="00214723">
        <w:trPr>
          <w:cantSplit/>
          <w:trHeight w:val="454"/>
          <w:jc w:val="center"/>
        </w:trPr>
        <w:tc>
          <w:tcPr>
            <w:tcW w:w="581" w:type="pct"/>
            <w:noWrap/>
            <w:vAlign w:val="center"/>
            <w:hideMark/>
          </w:tcPr>
          <w:p w14:paraId="7E05EFC6"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2025/08/18</w:t>
            </w:r>
          </w:p>
        </w:tc>
        <w:tc>
          <w:tcPr>
            <w:tcW w:w="511" w:type="pct"/>
            <w:noWrap/>
            <w:vAlign w:val="center"/>
            <w:hideMark/>
          </w:tcPr>
          <w:p w14:paraId="44CC7C5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千金药业</w:t>
            </w:r>
          </w:p>
        </w:tc>
        <w:tc>
          <w:tcPr>
            <w:tcW w:w="556" w:type="pct"/>
            <w:noWrap/>
            <w:vAlign w:val="center"/>
            <w:hideMark/>
          </w:tcPr>
          <w:p w14:paraId="73CBB1F5"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600479.SH</w:t>
            </w:r>
          </w:p>
        </w:tc>
        <w:tc>
          <w:tcPr>
            <w:tcW w:w="513" w:type="pct"/>
            <w:noWrap/>
            <w:vAlign w:val="center"/>
            <w:hideMark/>
          </w:tcPr>
          <w:p w14:paraId="6876EA5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noWrap/>
            <w:vAlign w:val="center"/>
            <w:hideMark/>
          </w:tcPr>
          <w:p w14:paraId="350983B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千金湘江药业</w:t>
            </w:r>
            <w:r w:rsidRPr="00E72DA1">
              <w:rPr>
                <w:rFonts w:ascii="Times New Roman" w:hAnsi="Times New Roman"/>
                <w:color w:val="000000"/>
                <w:szCs w:val="21"/>
              </w:rPr>
              <w:t>28.92%</w:t>
            </w:r>
            <w:r w:rsidRPr="00E72DA1">
              <w:rPr>
                <w:rFonts w:ascii="Times New Roman" w:hAnsi="Times New Roman" w:hint="eastAsia"/>
                <w:color w:val="000000"/>
                <w:szCs w:val="21"/>
              </w:rPr>
              <w:t>股权</w:t>
            </w:r>
          </w:p>
        </w:tc>
        <w:tc>
          <w:tcPr>
            <w:tcW w:w="832" w:type="pct"/>
            <w:vAlign w:val="center"/>
          </w:tcPr>
          <w:p w14:paraId="490E06F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医药制造业</w:t>
            </w:r>
          </w:p>
        </w:tc>
        <w:tc>
          <w:tcPr>
            <w:tcW w:w="445" w:type="pct"/>
            <w:noWrap/>
            <w:vAlign w:val="center"/>
            <w:hideMark/>
          </w:tcPr>
          <w:p w14:paraId="3A2D767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7D267311"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10.05%</w:t>
            </w:r>
          </w:p>
        </w:tc>
      </w:tr>
      <w:tr w:rsidR="00CD798F" w:rsidRPr="00316E63" w14:paraId="5FD15DC1" w14:textId="77777777" w:rsidTr="00214723">
        <w:trPr>
          <w:cantSplit/>
          <w:trHeight w:val="454"/>
          <w:jc w:val="center"/>
        </w:trPr>
        <w:tc>
          <w:tcPr>
            <w:tcW w:w="581" w:type="pct"/>
            <w:noWrap/>
            <w:vAlign w:val="center"/>
            <w:hideMark/>
          </w:tcPr>
          <w:p w14:paraId="303C1206"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2025/08/25</w:t>
            </w:r>
          </w:p>
        </w:tc>
        <w:tc>
          <w:tcPr>
            <w:tcW w:w="511" w:type="pct"/>
            <w:noWrap/>
            <w:vAlign w:val="center"/>
            <w:hideMark/>
          </w:tcPr>
          <w:p w14:paraId="0B8C3677"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爱柯迪</w:t>
            </w:r>
          </w:p>
        </w:tc>
        <w:tc>
          <w:tcPr>
            <w:tcW w:w="556" w:type="pct"/>
            <w:noWrap/>
            <w:vAlign w:val="center"/>
            <w:hideMark/>
          </w:tcPr>
          <w:p w14:paraId="1D12353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600933.SH</w:t>
            </w:r>
          </w:p>
        </w:tc>
        <w:tc>
          <w:tcPr>
            <w:tcW w:w="513" w:type="pct"/>
            <w:noWrap/>
            <w:vAlign w:val="center"/>
            <w:hideMark/>
          </w:tcPr>
          <w:p w14:paraId="5E91665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noWrap/>
            <w:vAlign w:val="center"/>
            <w:hideMark/>
          </w:tcPr>
          <w:p w14:paraId="0B0FD0C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卓尔博</w:t>
            </w:r>
            <w:r w:rsidRPr="00E72DA1">
              <w:rPr>
                <w:rFonts w:ascii="Times New Roman" w:hAnsi="Times New Roman"/>
                <w:color w:val="000000"/>
                <w:szCs w:val="21"/>
              </w:rPr>
              <w:t>71%</w:t>
            </w:r>
            <w:r w:rsidRPr="00E72DA1">
              <w:rPr>
                <w:rFonts w:ascii="Times New Roman" w:hAnsi="Times New Roman" w:hint="eastAsia"/>
                <w:color w:val="000000"/>
                <w:szCs w:val="21"/>
              </w:rPr>
              <w:t>股权</w:t>
            </w:r>
          </w:p>
        </w:tc>
        <w:tc>
          <w:tcPr>
            <w:tcW w:w="832" w:type="pct"/>
            <w:vAlign w:val="center"/>
          </w:tcPr>
          <w:p w14:paraId="78C92C7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汽车制造业</w:t>
            </w:r>
          </w:p>
        </w:tc>
        <w:tc>
          <w:tcPr>
            <w:tcW w:w="445" w:type="pct"/>
            <w:noWrap/>
            <w:vAlign w:val="center"/>
            <w:hideMark/>
          </w:tcPr>
          <w:p w14:paraId="58BBF10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3D1B6A7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11.30%</w:t>
            </w:r>
            <w:r w:rsidRPr="00E72DA1">
              <w:rPr>
                <w:rFonts w:ascii="Times New Roman" w:hAnsi="Times New Roman" w:hint="eastAsia"/>
                <w:color w:val="000000"/>
                <w:szCs w:val="21"/>
              </w:rPr>
              <w:t>、</w:t>
            </w:r>
            <w:r w:rsidRPr="00E72DA1">
              <w:rPr>
                <w:rFonts w:ascii="Times New Roman" w:hAnsi="Times New Roman"/>
                <w:color w:val="000000"/>
                <w:szCs w:val="21"/>
              </w:rPr>
              <w:t>11.20%</w:t>
            </w:r>
          </w:p>
        </w:tc>
      </w:tr>
      <w:tr w:rsidR="00CD798F" w:rsidRPr="00316E63" w14:paraId="11DFAA78" w14:textId="77777777" w:rsidTr="00214723">
        <w:trPr>
          <w:cantSplit/>
          <w:trHeight w:val="454"/>
          <w:jc w:val="center"/>
        </w:trPr>
        <w:tc>
          <w:tcPr>
            <w:tcW w:w="581" w:type="pct"/>
            <w:noWrap/>
            <w:vAlign w:val="center"/>
            <w:hideMark/>
          </w:tcPr>
          <w:p w14:paraId="7E06AA39"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2025/11/07</w:t>
            </w:r>
          </w:p>
        </w:tc>
        <w:tc>
          <w:tcPr>
            <w:tcW w:w="511" w:type="pct"/>
            <w:noWrap/>
            <w:vAlign w:val="center"/>
            <w:hideMark/>
          </w:tcPr>
          <w:p w14:paraId="60BD493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德尔股份</w:t>
            </w:r>
          </w:p>
        </w:tc>
        <w:tc>
          <w:tcPr>
            <w:tcW w:w="556" w:type="pct"/>
            <w:noWrap/>
            <w:vAlign w:val="center"/>
            <w:hideMark/>
          </w:tcPr>
          <w:p w14:paraId="58AF7EC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300473.SZ</w:t>
            </w:r>
          </w:p>
        </w:tc>
        <w:tc>
          <w:tcPr>
            <w:tcW w:w="513" w:type="pct"/>
            <w:noWrap/>
            <w:vAlign w:val="center"/>
            <w:hideMark/>
          </w:tcPr>
          <w:p w14:paraId="5FA06FE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创业板</w:t>
            </w:r>
          </w:p>
        </w:tc>
        <w:tc>
          <w:tcPr>
            <w:tcW w:w="761" w:type="pct"/>
            <w:noWrap/>
            <w:vAlign w:val="center"/>
            <w:hideMark/>
          </w:tcPr>
          <w:p w14:paraId="28F23E00"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爱卓科技</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70413F3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汽车制造业</w:t>
            </w:r>
          </w:p>
        </w:tc>
        <w:tc>
          <w:tcPr>
            <w:tcW w:w="445" w:type="pct"/>
            <w:noWrap/>
            <w:vAlign w:val="center"/>
            <w:hideMark/>
          </w:tcPr>
          <w:p w14:paraId="1224250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0FAD995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r>
      <w:tr w:rsidR="00CD798F" w:rsidRPr="00316E63" w14:paraId="05601D71" w14:textId="77777777" w:rsidTr="00214723">
        <w:trPr>
          <w:cantSplit/>
          <w:trHeight w:val="454"/>
          <w:jc w:val="center"/>
        </w:trPr>
        <w:tc>
          <w:tcPr>
            <w:tcW w:w="581" w:type="pct"/>
            <w:noWrap/>
            <w:vAlign w:val="center"/>
            <w:hideMark/>
          </w:tcPr>
          <w:p w14:paraId="4C9B829A"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2025/12/10</w:t>
            </w:r>
          </w:p>
        </w:tc>
        <w:tc>
          <w:tcPr>
            <w:tcW w:w="511" w:type="pct"/>
            <w:vAlign w:val="center"/>
            <w:hideMark/>
          </w:tcPr>
          <w:p w14:paraId="04EE32F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日播时尚</w:t>
            </w:r>
          </w:p>
        </w:tc>
        <w:tc>
          <w:tcPr>
            <w:tcW w:w="556" w:type="pct"/>
            <w:noWrap/>
            <w:vAlign w:val="center"/>
            <w:hideMark/>
          </w:tcPr>
          <w:p w14:paraId="4125686C"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603196.SH</w:t>
            </w:r>
          </w:p>
        </w:tc>
        <w:tc>
          <w:tcPr>
            <w:tcW w:w="513" w:type="pct"/>
            <w:noWrap/>
            <w:vAlign w:val="center"/>
            <w:hideMark/>
          </w:tcPr>
          <w:p w14:paraId="5323D06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noWrap/>
            <w:vAlign w:val="center"/>
            <w:hideMark/>
          </w:tcPr>
          <w:p w14:paraId="1FFEB8B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茵地乐</w:t>
            </w:r>
            <w:r w:rsidRPr="00E72DA1">
              <w:rPr>
                <w:rFonts w:ascii="Times New Roman" w:hAnsi="Times New Roman"/>
                <w:color w:val="000000"/>
                <w:szCs w:val="21"/>
              </w:rPr>
              <w:t>71%</w:t>
            </w:r>
            <w:r w:rsidRPr="00E72DA1">
              <w:rPr>
                <w:rFonts w:ascii="Times New Roman" w:hAnsi="Times New Roman" w:hint="eastAsia"/>
                <w:color w:val="000000"/>
                <w:szCs w:val="21"/>
              </w:rPr>
              <w:t>股权</w:t>
            </w:r>
          </w:p>
        </w:tc>
        <w:tc>
          <w:tcPr>
            <w:tcW w:w="832" w:type="pct"/>
            <w:vAlign w:val="center"/>
          </w:tcPr>
          <w:p w14:paraId="0A0202C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纺织服装、服饰业</w:t>
            </w:r>
          </w:p>
        </w:tc>
        <w:tc>
          <w:tcPr>
            <w:tcW w:w="445" w:type="pct"/>
            <w:noWrap/>
            <w:vAlign w:val="center"/>
            <w:hideMark/>
          </w:tcPr>
          <w:p w14:paraId="0A315726"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21E911E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11.20%</w:t>
            </w:r>
          </w:p>
        </w:tc>
      </w:tr>
      <w:tr w:rsidR="00CD798F" w:rsidRPr="00316E63" w14:paraId="0F5B74D0" w14:textId="77777777" w:rsidTr="00214723">
        <w:trPr>
          <w:cantSplit/>
          <w:trHeight w:val="454"/>
          <w:jc w:val="center"/>
        </w:trPr>
        <w:tc>
          <w:tcPr>
            <w:tcW w:w="581" w:type="pct"/>
            <w:noWrap/>
            <w:vAlign w:val="center"/>
            <w:hideMark/>
          </w:tcPr>
          <w:p w14:paraId="535621B6"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2025/12/11</w:t>
            </w:r>
          </w:p>
        </w:tc>
        <w:tc>
          <w:tcPr>
            <w:tcW w:w="511" w:type="pct"/>
            <w:noWrap/>
            <w:vAlign w:val="center"/>
            <w:hideMark/>
          </w:tcPr>
          <w:p w14:paraId="2A581CA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内蒙华电</w:t>
            </w:r>
          </w:p>
        </w:tc>
        <w:tc>
          <w:tcPr>
            <w:tcW w:w="556" w:type="pct"/>
            <w:noWrap/>
            <w:vAlign w:val="center"/>
            <w:hideMark/>
          </w:tcPr>
          <w:p w14:paraId="11503532"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600863.SH</w:t>
            </w:r>
          </w:p>
        </w:tc>
        <w:tc>
          <w:tcPr>
            <w:tcW w:w="513" w:type="pct"/>
            <w:noWrap/>
            <w:vAlign w:val="center"/>
            <w:hideMark/>
          </w:tcPr>
          <w:p w14:paraId="4D1582A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沪主板</w:t>
            </w:r>
          </w:p>
        </w:tc>
        <w:tc>
          <w:tcPr>
            <w:tcW w:w="761" w:type="pct"/>
            <w:noWrap/>
            <w:vAlign w:val="center"/>
            <w:hideMark/>
          </w:tcPr>
          <w:p w14:paraId="4D42F39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正蓝旗风电</w:t>
            </w:r>
            <w:r w:rsidRPr="00E72DA1">
              <w:rPr>
                <w:rFonts w:ascii="Times New Roman" w:hAnsi="Times New Roman"/>
                <w:color w:val="000000"/>
                <w:szCs w:val="21"/>
              </w:rPr>
              <w:t>70%</w:t>
            </w:r>
            <w:r w:rsidRPr="00E72DA1">
              <w:rPr>
                <w:rFonts w:ascii="Times New Roman" w:hAnsi="Times New Roman" w:hint="eastAsia"/>
                <w:color w:val="000000"/>
                <w:szCs w:val="21"/>
              </w:rPr>
              <w:t>股权</w:t>
            </w:r>
          </w:p>
        </w:tc>
        <w:tc>
          <w:tcPr>
            <w:tcW w:w="832" w:type="pct"/>
            <w:vAlign w:val="center"/>
          </w:tcPr>
          <w:p w14:paraId="1C87283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电力、热力生产和供应业</w:t>
            </w:r>
          </w:p>
        </w:tc>
        <w:tc>
          <w:tcPr>
            <w:tcW w:w="445" w:type="pct"/>
            <w:noWrap/>
            <w:vAlign w:val="center"/>
            <w:hideMark/>
          </w:tcPr>
          <w:p w14:paraId="081FA433"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40EAEB8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7.44%</w:t>
            </w:r>
            <w:r w:rsidRPr="00E72DA1">
              <w:rPr>
                <w:rFonts w:ascii="Times New Roman" w:hAnsi="Times New Roman" w:hint="eastAsia"/>
                <w:color w:val="000000"/>
                <w:szCs w:val="21"/>
              </w:rPr>
              <w:t>、</w:t>
            </w:r>
            <w:r w:rsidRPr="00E72DA1">
              <w:rPr>
                <w:rFonts w:ascii="Times New Roman" w:hAnsi="Times New Roman"/>
                <w:color w:val="000000"/>
                <w:szCs w:val="21"/>
              </w:rPr>
              <w:t>7.22%</w:t>
            </w:r>
            <w:r w:rsidRPr="00E72DA1">
              <w:rPr>
                <w:rFonts w:ascii="Times New Roman" w:hAnsi="Times New Roman" w:hint="eastAsia"/>
                <w:color w:val="000000"/>
                <w:szCs w:val="21"/>
              </w:rPr>
              <w:t>、</w:t>
            </w:r>
            <w:r w:rsidRPr="00E72DA1">
              <w:rPr>
                <w:rFonts w:ascii="Times New Roman" w:hAnsi="Times New Roman"/>
                <w:color w:val="000000"/>
                <w:szCs w:val="21"/>
              </w:rPr>
              <w:t>6.93%</w:t>
            </w:r>
          </w:p>
        </w:tc>
      </w:tr>
      <w:tr w:rsidR="00CD798F" w:rsidRPr="00316E63" w14:paraId="6AB34469" w14:textId="77777777" w:rsidTr="00214723">
        <w:trPr>
          <w:cantSplit/>
          <w:trHeight w:val="454"/>
          <w:jc w:val="center"/>
        </w:trPr>
        <w:tc>
          <w:tcPr>
            <w:tcW w:w="581" w:type="pct"/>
            <w:noWrap/>
            <w:vAlign w:val="center"/>
            <w:hideMark/>
          </w:tcPr>
          <w:p w14:paraId="429D1B51"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2025/12/11</w:t>
            </w:r>
          </w:p>
        </w:tc>
        <w:tc>
          <w:tcPr>
            <w:tcW w:w="511" w:type="pct"/>
            <w:noWrap/>
            <w:vAlign w:val="center"/>
            <w:hideMark/>
          </w:tcPr>
          <w:p w14:paraId="202DBE68"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地铁设计</w:t>
            </w:r>
          </w:p>
        </w:tc>
        <w:tc>
          <w:tcPr>
            <w:tcW w:w="556" w:type="pct"/>
            <w:noWrap/>
            <w:vAlign w:val="center"/>
            <w:hideMark/>
          </w:tcPr>
          <w:p w14:paraId="15EE564E"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003013.SZ</w:t>
            </w:r>
          </w:p>
        </w:tc>
        <w:tc>
          <w:tcPr>
            <w:tcW w:w="513" w:type="pct"/>
            <w:noWrap/>
            <w:vAlign w:val="center"/>
            <w:hideMark/>
          </w:tcPr>
          <w:p w14:paraId="73719C7D"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深主板</w:t>
            </w:r>
          </w:p>
        </w:tc>
        <w:tc>
          <w:tcPr>
            <w:tcW w:w="761" w:type="pct"/>
            <w:noWrap/>
            <w:vAlign w:val="center"/>
            <w:hideMark/>
          </w:tcPr>
          <w:p w14:paraId="688D636A"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工程咨询公司</w:t>
            </w:r>
            <w:r w:rsidRPr="00E72DA1">
              <w:rPr>
                <w:rFonts w:ascii="Times New Roman" w:hAnsi="Times New Roman"/>
                <w:color w:val="000000"/>
                <w:szCs w:val="21"/>
              </w:rPr>
              <w:t>100%</w:t>
            </w:r>
            <w:r w:rsidRPr="00E72DA1">
              <w:rPr>
                <w:rFonts w:ascii="Times New Roman" w:hAnsi="Times New Roman" w:hint="eastAsia"/>
                <w:color w:val="000000"/>
                <w:szCs w:val="21"/>
              </w:rPr>
              <w:t>股权</w:t>
            </w:r>
          </w:p>
        </w:tc>
        <w:tc>
          <w:tcPr>
            <w:tcW w:w="832" w:type="pct"/>
            <w:vAlign w:val="center"/>
          </w:tcPr>
          <w:p w14:paraId="132BCB07"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专业技术服务业</w:t>
            </w:r>
          </w:p>
        </w:tc>
        <w:tc>
          <w:tcPr>
            <w:tcW w:w="445" w:type="pct"/>
            <w:noWrap/>
            <w:vAlign w:val="center"/>
            <w:hideMark/>
          </w:tcPr>
          <w:p w14:paraId="1218862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hint="eastAsia"/>
                <w:color w:val="000000"/>
                <w:szCs w:val="21"/>
              </w:rPr>
              <w:t>收益法</w:t>
            </w:r>
          </w:p>
        </w:tc>
        <w:tc>
          <w:tcPr>
            <w:tcW w:w="802" w:type="pct"/>
            <w:noWrap/>
            <w:vAlign w:val="center"/>
            <w:hideMark/>
          </w:tcPr>
          <w:p w14:paraId="51DEC834"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10.00%</w:t>
            </w:r>
          </w:p>
        </w:tc>
      </w:tr>
    </w:tbl>
    <w:p w14:paraId="7A5461F5" w14:textId="77777777" w:rsidR="00CD798F" w:rsidRPr="008D2128" w:rsidRDefault="00CD798F" w:rsidP="00CD798F">
      <w:pPr>
        <w:pStyle w:val="005"/>
        <w:spacing w:before="120" w:after="120"/>
        <w:ind w:firstLine="480"/>
      </w:pPr>
      <w:r w:rsidRPr="00D03E0C">
        <w:rPr>
          <w:rFonts w:hint="eastAsia"/>
        </w:rPr>
        <w:t>上述内容已在《重组报告书》“第六节</w:t>
      </w:r>
      <w:r w:rsidRPr="00D03E0C">
        <w:rPr>
          <w:rFonts w:hint="eastAsia"/>
        </w:rPr>
        <w:t xml:space="preserve"> </w:t>
      </w:r>
      <w:r w:rsidRPr="00D03E0C">
        <w:rPr>
          <w:rFonts w:hint="eastAsia"/>
        </w:rPr>
        <w:t>交易标的评估情况”之“二、标的公司评估基本情况”之“（三）收益法的评估情况及分析”之“</w:t>
      </w:r>
      <w:r w:rsidRPr="002F5FE5">
        <w:rPr>
          <w:rFonts w:hint="eastAsia"/>
        </w:rPr>
        <w:t>6</w:t>
      </w:r>
      <w:r w:rsidRPr="002F5FE5">
        <w:rPr>
          <w:rFonts w:hint="eastAsia"/>
        </w:rPr>
        <w:t>、折现率的</w:t>
      </w:r>
      <w:r w:rsidRPr="00D03E0C">
        <w:rPr>
          <w:rFonts w:hint="eastAsia"/>
        </w:rPr>
        <w:t>确定”补充披露。</w:t>
      </w:r>
    </w:p>
    <w:p w14:paraId="123EF0D6" w14:textId="77777777" w:rsidR="00CD798F" w:rsidRDefault="00CD798F" w:rsidP="00CD798F">
      <w:pPr>
        <w:pStyle w:val="002"/>
        <w:spacing w:before="120" w:after="120"/>
        <w:ind w:firstLine="482"/>
      </w:pPr>
      <w:r>
        <w:rPr>
          <w:rFonts w:hint="eastAsia"/>
        </w:rPr>
        <w:t>八</w:t>
      </w:r>
      <w:r>
        <w:t>、</w:t>
      </w:r>
      <w:r w:rsidRPr="008D2128">
        <w:rPr>
          <w:rFonts w:hint="eastAsia"/>
        </w:rPr>
        <w:t>补充披露长期股权投资的具体测算过程及测算依据；湖南小充的实际经营情况、资产负债情况及截至回函日的注销进展，以净资产与股比计算股权价值是否合理、公允</w:t>
      </w:r>
    </w:p>
    <w:p w14:paraId="13AA0CE6" w14:textId="77777777" w:rsidR="00CD798F" w:rsidRDefault="00CD798F" w:rsidP="00CD798F">
      <w:pPr>
        <w:pStyle w:val="003"/>
        <w:spacing w:before="120" w:after="120"/>
        <w:ind w:firstLine="482"/>
      </w:pPr>
      <w:r>
        <w:rPr>
          <w:rFonts w:hint="eastAsia"/>
        </w:rPr>
        <w:t>（一）</w:t>
      </w:r>
      <w:r w:rsidRPr="008E62DB">
        <w:rPr>
          <w:rFonts w:hint="eastAsia"/>
        </w:rPr>
        <w:t>长期股权投资的具体测算过程及测算依据</w:t>
      </w:r>
    </w:p>
    <w:p w14:paraId="7DBD8E25" w14:textId="77777777" w:rsidR="00CD798F" w:rsidRDefault="00CD798F" w:rsidP="00CD798F">
      <w:pPr>
        <w:pStyle w:val="005"/>
        <w:spacing w:before="120" w:after="120"/>
        <w:ind w:firstLine="480"/>
      </w:pPr>
      <w:r w:rsidRPr="008D2128">
        <w:rPr>
          <w:rFonts w:hint="eastAsia"/>
        </w:rPr>
        <w:t>本次</w:t>
      </w:r>
      <w:r>
        <w:rPr>
          <w:rFonts w:hint="eastAsia"/>
        </w:rPr>
        <w:t>评估标的公司的</w:t>
      </w:r>
      <w:r w:rsidRPr="008D2128">
        <w:rPr>
          <w:rFonts w:hint="eastAsia"/>
        </w:rPr>
        <w:t>长期股权投资账面构成如下：</w:t>
      </w:r>
    </w:p>
    <w:tbl>
      <w:tblPr>
        <w:tblW w:w="5038"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126"/>
        <w:gridCol w:w="2562"/>
        <w:gridCol w:w="2023"/>
        <w:gridCol w:w="676"/>
        <w:gridCol w:w="743"/>
      </w:tblGrid>
      <w:tr w:rsidR="00CD798F" w:rsidRPr="00316E63" w14:paraId="13F1659F" w14:textId="77777777" w:rsidTr="00214723">
        <w:trPr>
          <w:cantSplit/>
          <w:trHeight w:val="454"/>
          <w:tblHeader/>
          <w:jc w:val="center"/>
        </w:trPr>
        <w:tc>
          <w:tcPr>
            <w:tcW w:w="1712" w:type="pct"/>
            <w:vMerge w:val="restart"/>
            <w:vAlign w:val="center"/>
          </w:tcPr>
          <w:p w14:paraId="6C03234A"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企业名称</w:t>
            </w:r>
          </w:p>
        </w:tc>
        <w:tc>
          <w:tcPr>
            <w:tcW w:w="1403" w:type="pct"/>
            <w:vMerge w:val="restart"/>
            <w:vAlign w:val="center"/>
          </w:tcPr>
          <w:p w14:paraId="4F6DC5D8"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主营业务</w:t>
            </w:r>
          </w:p>
        </w:tc>
        <w:tc>
          <w:tcPr>
            <w:tcW w:w="1108" w:type="pct"/>
            <w:vMerge w:val="restart"/>
            <w:vAlign w:val="center"/>
          </w:tcPr>
          <w:p w14:paraId="414BC1F7"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账面价值（元）</w:t>
            </w:r>
          </w:p>
        </w:tc>
        <w:tc>
          <w:tcPr>
            <w:tcW w:w="777" w:type="pct"/>
            <w:gridSpan w:val="2"/>
            <w:vAlign w:val="center"/>
          </w:tcPr>
          <w:p w14:paraId="125CFA0C"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持股比例</w:t>
            </w:r>
          </w:p>
        </w:tc>
      </w:tr>
      <w:tr w:rsidR="00CD798F" w:rsidRPr="00316E63" w14:paraId="2A760EEC" w14:textId="77777777" w:rsidTr="00214723">
        <w:trPr>
          <w:cantSplit/>
          <w:trHeight w:val="454"/>
          <w:tblHeader/>
          <w:jc w:val="center"/>
        </w:trPr>
        <w:tc>
          <w:tcPr>
            <w:tcW w:w="1712" w:type="pct"/>
            <w:vMerge/>
            <w:vAlign w:val="center"/>
          </w:tcPr>
          <w:p w14:paraId="2ED42E46" w14:textId="77777777" w:rsidR="00CD798F" w:rsidRPr="00E72DA1" w:rsidRDefault="00CD798F" w:rsidP="00214723">
            <w:pPr>
              <w:keepNext/>
              <w:jc w:val="center"/>
              <w:rPr>
                <w:rFonts w:ascii="Times New Roman" w:hAnsi="Times New Roman"/>
                <w:b/>
                <w:color w:val="000000"/>
                <w:szCs w:val="21"/>
              </w:rPr>
            </w:pPr>
          </w:p>
        </w:tc>
        <w:tc>
          <w:tcPr>
            <w:tcW w:w="1403" w:type="pct"/>
            <w:vMerge/>
            <w:vAlign w:val="center"/>
          </w:tcPr>
          <w:p w14:paraId="1CFFFF09" w14:textId="77777777" w:rsidR="00CD798F" w:rsidRPr="00E72DA1" w:rsidRDefault="00CD798F" w:rsidP="00214723">
            <w:pPr>
              <w:keepNext/>
              <w:jc w:val="center"/>
              <w:rPr>
                <w:rFonts w:ascii="Times New Roman" w:hAnsi="Times New Roman"/>
                <w:b/>
                <w:color w:val="000000"/>
                <w:szCs w:val="21"/>
              </w:rPr>
            </w:pPr>
          </w:p>
        </w:tc>
        <w:tc>
          <w:tcPr>
            <w:tcW w:w="1108" w:type="pct"/>
            <w:vMerge/>
            <w:vAlign w:val="center"/>
          </w:tcPr>
          <w:p w14:paraId="23E7BA50" w14:textId="77777777" w:rsidR="00CD798F" w:rsidRPr="00E72DA1" w:rsidRDefault="00CD798F" w:rsidP="00214723">
            <w:pPr>
              <w:keepNext/>
              <w:jc w:val="center"/>
              <w:rPr>
                <w:rFonts w:ascii="Times New Roman" w:hAnsi="Times New Roman"/>
                <w:b/>
                <w:color w:val="000000"/>
                <w:szCs w:val="21"/>
              </w:rPr>
            </w:pPr>
          </w:p>
        </w:tc>
        <w:tc>
          <w:tcPr>
            <w:tcW w:w="370" w:type="pct"/>
            <w:vAlign w:val="center"/>
          </w:tcPr>
          <w:p w14:paraId="0BE351D4"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直接</w:t>
            </w:r>
          </w:p>
        </w:tc>
        <w:tc>
          <w:tcPr>
            <w:tcW w:w="407" w:type="pct"/>
            <w:vAlign w:val="center"/>
          </w:tcPr>
          <w:p w14:paraId="2AC6DF6C" w14:textId="77777777" w:rsidR="00CD798F" w:rsidRPr="00E72DA1" w:rsidRDefault="00CD798F" w:rsidP="00214723">
            <w:pPr>
              <w:keepNext/>
              <w:jc w:val="center"/>
              <w:rPr>
                <w:rFonts w:ascii="Times New Roman" w:hAnsi="Times New Roman"/>
                <w:b/>
                <w:color w:val="000000"/>
                <w:szCs w:val="21"/>
              </w:rPr>
            </w:pPr>
            <w:r w:rsidRPr="00E72DA1">
              <w:rPr>
                <w:rFonts w:ascii="Times New Roman" w:hAnsi="Times New Roman" w:hint="eastAsia"/>
                <w:b/>
                <w:color w:val="000000"/>
                <w:szCs w:val="21"/>
              </w:rPr>
              <w:t>间接</w:t>
            </w:r>
          </w:p>
        </w:tc>
      </w:tr>
      <w:tr w:rsidR="00CD798F" w:rsidRPr="00316E63" w14:paraId="6A1D2BF8" w14:textId="77777777" w:rsidTr="00214723">
        <w:trPr>
          <w:cantSplit/>
          <w:trHeight w:val="454"/>
          <w:jc w:val="center"/>
        </w:trPr>
        <w:tc>
          <w:tcPr>
            <w:tcW w:w="1712" w:type="pct"/>
            <w:vAlign w:val="center"/>
          </w:tcPr>
          <w:p w14:paraId="0E2741AA"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台州市乐哈智能科技有限公司</w:t>
            </w:r>
          </w:p>
        </w:tc>
        <w:tc>
          <w:tcPr>
            <w:tcW w:w="1403" w:type="pct"/>
            <w:vAlign w:val="center"/>
          </w:tcPr>
          <w:p w14:paraId="130EC6A4"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IoT</w:t>
            </w:r>
            <w:r w:rsidRPr="00E72DA1">
              <w:rPr>
                <w:rFonts w:ascii="Times New Roman" w:hAnsi="Times New Roman" w:hint="eastAsia"/>
                <w:color w:val="000000"/>
                <w:szCs w:val="21"/>
              </w:rPr>
              <w:t>硬件销售</w:t>
            </w:r>
          </w:p>
        </w:tc>
        <w:tc>
          <w:tcPr>
            <w:tcW w:w="1108" w:type="pct"/>
            <w:vAlign w:val="center"/>
          </w:tcPr>
          <w:p w14:paraId="38E737AD"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198,287.23</w:t>
            </w:r>
          </w:p>
        </w:tc>
        <w:tc>
          <w:tcPr>
            <w:tcW w:w="370" w:type="pct"/>
            <w:vAlign w:val="center"/>
          </w:tcPr>
          <w:p w14:paraId="194FC73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50%</w:t>
            </w:r>
          </w:p>
        </w:tc>
        <w:tc>
          <w:tcPr>
            <w:tcW w:w="407" w:type="pct"/>
            <w:vAlign w:val="center"/>
          </w:tcPr>
          <w:p w14:paraId="249B050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w:t>
            </w:r>
          </w:p>
        </w:tc>
      </w:tr>
      <w:tr w:rsidR="00CD798F" w:rsidRPr="00316E63" w14:paraId="58F6D15A" w14:textId="77777777" w:rsidTr="00214723">
        <w:trPr>
          <w:cantSplit/>
          <w:trHeight w:val="454"/>
          <w:jc w:val="center"/>
        </w:trPr>
        <w:tc>
          <w:tcPr>
            <w:tcW w:w="1712" w:type="pct"/>
            <w:vAlign w:val="center"/>
          </w:tcPr>
          <w:p w14:paraId="7C2CB30A"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lastRenderedPageBreak/>
              <w:t>郑州兴科电子技术有限公司</w:t>
            </w:r>
          </w:p>
        </w:tc>
        <w:tc>
          <w:tcPr>
            <w:tcW w:w="1403" w:type="pct"/>
            <w:vAlign w:val="center"/>
          </w:tcPr>
          <w:p w14:paraId="59DD80B1"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IoT</w:t>
            </w:r>
            <w:r w:rsidRPr="00E72DA1">
              <w:rPr>
                <w:rFonts w:ascii="Times New Roman" w:hAnsi="Times New Roman" w:hint="eastAsia"/>
                <w:color w:val="000000"/>
                <w:szCs w:val="21"/>
              </w:rPr>
              <w:t>硬件销售、</w:t>
            </w:r>
            <w:r w:rsidRPr="00E72DA1">
              <w:rPr>
                <w:rFonts w:ascii="Times New Roman" w:hAnsi="Times New Roman"/>
                <w:color w:val="000000"/>
                <w:szCs w:val="21"/>
              </w:rPr>
              <w:t>SaaS</w:t>
            </w:r>
            <w:r w:rsidRPr="00E72DA1">
              <w:rPr>
                <w:rFonts w:ascii="Times New Roman" w:hAnsi="Times New Roman" w:hint="eastAsia"/>
                <w:color w:val="000000"/>
                <w:szCs w:val="21"/>
              </w:rPr>
              <w:t>系统服务</w:t>
            </w:r>
          </w:p>
        </w:tc>
        <w:tc>
          <w:tcPr>
            <w:tcW w:w="1108" w:type="pct"/>
            <w:vAlign w:val="center"/>
          </w:tcPr>
          <w:p w14:paraId="219EDC19"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10,532,869.79</w:t>
            </w:r>
          </w:p>
        </w:tc>
        <w:tc>
          <w:tcPr>
            <w:tcW w:w="370" w:type="pct"/>
            <w:vAlign w:val="center"/>
          </w:tcPr>
          <w:p w14:paraId="666E5DBB"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20%</w:t>
            </w:r>
          </w:p>
        </w:tc>
        <w:tc>
          <w:tcPr>
            <w:tcW w:w="407" w:type="pct"/>
            <w:vAlign w:val="center"/>
          </w:tcPr>
          <w:p w14:paraId="330EC70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w:t>
            </w:r>
          </w:p>
        </w:tc>
      </w:tr>
      <w:tr w:rsidR="00CD798F" w:rsidRPr="00316E63" w14:paraId="1DF60496" w14:textId="77777777" w:rsidTr="00214723">
        <w:trPr>
          <w:cantSplit/>
          <w:trHeight w:val="454"/>
          <w:jc w:val="center"/>
        </w:trPr>
        <w:tc>
          <w:tcPr>
            <w:tcW w:w="1712" w:type="pct"/>
            <w:vAlign w:val="center"/>
          </w:tcPr>
          <w:p w14:paraId="0FCA5A2A"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广州有乐礼品有限公司</w:t>
            </w:r>
          </w:p>
        </w:tc>
        <w:tc>
          <w:tcPr>
            <w:tcW w:w="1403" w:type="pct"/>
            <w:vAlign w:val="center"/>
          </w:tcPr>
          <w:p w14:paraId="60F1C962"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娱乐类礼品销售</w:t>
            </w:r>
          </w:p>
        </w:tc>
        <w:tc>
          <w:tcPr>
            <w:tcW w:w="1108" w:type="pct"/>
            <w:vAlign w:val="center"/>
          </w:tcPr>
          <w:p w14:paraId="36C7A36C"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1,482,631.78</w:t>
            </w:r>
          </w:p>
        </w:tc>
        <w:tc>
          <w:tcPr>
            <w:tcW w:w="370" w:type="pct"/>
            <w:vAlign w:val="center"/>
          </w:tcPr>
          <w:p w14:paraId="23D53283"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12%</w:t>
            </w:r>
          </w:p>
        </w:tc>
        <w:tc>
          <w:tcPr>
            <w:tcW w:w="407" w:type="pct"/>
            <w:vAlign w:val="center"/>
          </w:tcPr>
          <w:p w14:paraId="44FFA1FB"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w:t>
            </w:r>
          </w:p>
        </w:tc>
      </w:tr>
      <w:tr w:rsidR="00CD798F" w:rsidRPr="00316E63" w14:paraId="7D959B66" w14:textId="77777777" w:rsidTr="00214723">
        <w:trPr>
          <w:cantSplit/>
          <w:trHeight w:val="454"/>
          <w:jc w:val="center"/>
        </w:trPr>
        <w:tc>
          <w:tcPr>
            <w:tcW w:w="1712" w:type="pct"/>
            <w:vAlign w:val="center"/>
          </w:tcPr>
          <w:p w14:paraId="021A9F46"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江西七曜星熠科技有限公司</w:t>
            </w:r>
          </w:p>
        </w:tc>
        <w:tc>
          <w:tcPr>
            <w:tcW w:w="1403" w:type="pct"/>
            <w:vAlign w:val="center"/>
          </w:tcPr>
          <w:p w14:paraId="525CFD6C" w14:textId="77777777" w:rsidR="00CD798F" w:rsidRPr="00E72DA1" w:rsidRDefault="00CD798F" w:rsidP="00214723">
            <w:pPr>
              <w:rPr>
                <w:rFonts w:ascii="Times New Roman" w:hAnsi="Times New Roman"/>
                <w:color w:val="000000"/>
                <w:szCs w:val="21"/>
              </w:rPr>
            </w:pPr>
            <w:r w:rsidRPr="00E72DA1">
              <w:rPr>
                <w:rFonts w:ascii="Times New Roman" w:hAnsi="Times New Roman" w:hint="eastAsia"/>
                <w:color w:val="000000"/>
                <w:szCs w:val="21"/>
              </w:rPr>
              <w:t>无业务</w:t>
            </w:r>
          </w:p>
        </w:tc>
        <w:tc>
          <w:tcPr>
            <w:tcW w:w="1108" w:type="pct"/>
            <w:vAlign w:val="center"/>
          </w:tcPr>
          <w:p w14:paraId="5472EC88" w14:textId="77777777" w:rsidR="00CD798F" w:rsidRPr="00E72DA1" w:rsidRDefault="00CD798F" w:rsidP="00214723">
            <w:pPr>
              <w:jc w:val="right"/>
              <w:rPr>
                <w:rFonts w:ascii="Times New Roman" w:hAnsi="Times New Roman"/>
                <w:color w:val="000000"/>
                <w:szCs w:val="21"/>
              </w:rPr>
            </w:pPr>
            <w:r w:rsidRPr="00E72DA1">
              <w:rPr>
                <w:rFonts w:ascii="Times New Roman" w:hAnsi="Times New Roman"/>
                <w:color w:val="000000"/>
                <w:szCs w:val="21"/>
              </w:rPr>
              <w:t>-</w:t>
            </w:r>
          </w:p>
        </w:tc>
        <w:tc>
          <w:tcPr>
            <w:tcW w:w="370" w:type="pct"/>
            <w:vAlign w:val="center"/>
          </w:tcPr>
          <w:p w14:paraId="57E8F525" w14:textId="77777777" w:rsidR="00CD798F" w:rsidRPr="00E72DA1" w:rsidRDefault="00CD798F" w:rsidP="00214723">
            <w:pPr>
              <w:rPr>
                <w:rFonts w:ascii="Times New Roman" w:hAnsi="Times New Roman"/>
                <w:color w:val="000000"/>
                <w:szCs w:val="21"/>
              </w:rPr>
            </w:pPr>
            <w:r w:rsidRPr="00E72DA1">
              <w:rPr>
                <w:rFonts w:ascii="Times New Roman" w:hAnsi="Times New Roman"/>
                <w:color w:val="000000"/>
                <w:szCs w:val="21"/>
              </w:rPr>
              <w:t>-</w:t>
            </w:r>
          </w:p>
        </w:tc>
        <w:tc>
          <w:tcPr>
            <w:tcW w:w="407" w:type="pct"/>
            <w:vAlign w:val="center"/>
          </w:tcPr>
          <w:p w14:paraId="1F11812F" w14:textId="77777777" w:rsidR="00CD798F" w:rsidRPr="00E72DA1" w:rsidRDefault="00CD798F" w:rsidP="00214723">
            <w:pPr>
              <w:jc w:val="center"/>
              <w:rPr>
                <w:rFonts w:ascii="Times New Roman" w:hAnsi="Times New Roman"/>
                <w:color w:val="000000"/>
                <w:szCs w:val="21"/>
              </w:rPr>
            </w:pPr>
            <w:r w:rsidRPr="00E72DA1">
              <w:rPr>
                <w:rFonts w:ascii="Times New Roman" w:hAnsi="Times New Roman"/>
                <w:color w:val="000000"/>
                <w:szCs w:val="21"/>
              </w:rPr>
              <w:t>20%</w:t>
            </w:r>
          </w:p>
        </w:tc>
      </w:tr>
    </w:tbl>
    <w:p w14:paraId="6F778227" w14:textId="77777777" w:rsidR="00CD798F" w:rsidRDefault="00CD798F" w:rsidP="00CD798F">
      <w:pPr>
        <w:pStyle w:val="004"/>
        <w:spacing w:before="120" w:after="120"/>
        <w:ind w:firstLine="482"/>
      </w:pPr>
      <w:r>
        <w:rPr>
          <w:rFonts w:hint="eastAsia"/>
        </w:rPr>
        <w:t>1</w:t>
      </w:r>
      <w:r>
        <w:rPr>
          <w:rFonts w:hint="eastAsia"/>
        </w:rPr>
        <w:t>、</w:t>
      </w:r>
      <w:r w:rsidRPr="00D73CE9">
        <w:rPr>
          <w:rFonts w:hint="eastAsia"/>
        </w:rPr>
        <w:t>台州市乐哈智能科技有限公司、广州有乐礼品有限公司</w:t>
      </w:r>
    </w:p>
    <w:p w14:paraId="56C8F3CC" w14:textId="77777777" w:rsidR="00CD798F" w:rsidRDefault="00CD798F" w:rsidP="00CD798F">
      <w:pPr>
        <w:pStyle w:val="005"/>
        <w:spacing w:before="120" w:after="120"/>
        <w:ind w:firstLine="480"/>
      </w:pPr>
      <w:r>
        <w:rPr>
          <w:rFonts w:hint="eastAsia"/>
        </w:rPr>
        <w:t>由于台州市乐哈智能科技有限公司、广州有乐礼品有限公司经审计后账面金额不大，且标的公司对其投资仅作为财务投资，不参与实际经营，故本次评估经综合判断后对上述长期股权投资按账面值确认评估值；</w:t>
      </w:r>
    </w:p>
    <w:p w14:paraId="763DCD05" w14:textId="77777777" w:rsidR="00CD798F" w:rsidRPr="00D73CE9" w:rsidRDefault="00CD798F" w:rsidP="00CD798F">
      <w:pPr>
        <w:pStyle w:val="004"/>
        <w:spacing w:before="120" w:after="120"/>
        <w:ind w:firstLine="482"/>
      </w:pPr>
      <w:r>
        <w:rPr>
          <w:rFonts w:hint="eastAsia"/>
        </w:rPr>
        <w:t>2</w:t>
      </w:r>
      <w:r>
        <w:rPr>
          <w:rFonts w:hint="eastAsia"/>
        </w:rPr>
        <w:t>、</w:t>
      </w:r>
      <w:r w:rsidRPr="00D73CE9">
        <w:rPr>
          <w:rFonts w:hint="eastAsia"/>
        </w:rPr>
        <w:t>郑州兴科电子技术有限公司</w:t>
      </w:r>
    </w:p>
    <w:p w14:paraId="3BEF38F2" w14:textId="77777777" w:rsidR="00CD798F" w:rsidRPr="002F5FE5" w:rsidRDefault="00CD798F" w:rsidP="00CD798F">
      <w:pPr>
        <w:pStyle w:val="005"/>
        <w:spacing w:before="120" w:after="120"/>
        <w:ind w:firstLine="480"/>
      </w:pPr>
      <w:r w:rsidRPr="002F5FE5">
        <w:rPr>
          <w:rFonts w:hint="eastAsia"/>
        </w:rPr>
        <w:t>对郑州兴科电子技术有限公司账面值列示为</w:t>
      </w:r>
      <w:r w:rsidRPr="002F5FE5">
        <w:rPr>
          <w:rFonts w:hint="eastAsia"/>
        </w:rPr>
        <w:t>10,532,869.79</w:t>
      </w:r>
      <w:r w:rsidRPr="002F5FE5">
        <w:rPr>
          <w:rFonts w:hint="eastAsia"/>
        </w:rPr>
        <w:t>元，持股比例为</w:t>
      </w:r>
      <w:r w:rsidRPr="002F5FE5">
        <w:rPr>
          <w:rFonts w:hint="eastAsia"/>
        </w:rPr>
        <w:t>20%</w:t>
      </w:r>
      <w:r w:rsidRPr="002F5FE5">
        <w:rPr>
          <w:rFonts w:hint="eastAsia"/>
        </w:rPr>
        <w:t>。由于该长期股权投资金额构成较大，本次评估获取了郑州兴科电子技术有限公司近年审计报告，并采用市场法</w:t>
      </w:r>
      <w:r w:rsidRPr="002F5FE5">
        <w:rPr>
          <w:rFonts w:hint="eastAsia"/>
        </w:rPr>
        <w:t>-</w:t>
      </w:r>
      <w:r w:rsidRPr="002F5FE5">
        <w:rPr>
          <w:rFonts w:hint="eastAsia"/>
        </w:rPr>
        <w:t>市盈率法对该公司股权价值重新进行了估算，具体过程如下：</w:t>
      </w:r>
    </w:p>
    <w:p w14:paraId="636866C4" w14:textId="77777777" w:rsidR="00CD798F" w:rsidRPr="002F5FE5" w:rsidRDefault="00CD798F" w:rsidP="00CD798F">
      <w:pPr>
        <w:pStyle w:val="005"/>
        <w:spacing w:before="120" w:after="120"/>
        <w:ind w:firstLine="480"/>
      </w:pPr>
      <w:r w:rsidRPr="002F5FE5">
        <w:rPr>
          <w:rFonts w:hint="eastAsia"/>
        </w:rPr>
        <w:t>采用静态</w:t>
      </w:r>
      <w:r w:rsidRPr="002F5FE5">
        <w:rPr>
          <w:rFonts w:hint="eastAsia"/>
        </w:rPr>
        <w:t>P/E</w:t>
      </w:r>
      <w:r w:rsidRPr="002F5FE5">
        <w:rPr>
          <w:rFonts w:hint="eastAsia"/>
        </w:rPr>
        <w:t>计算郑州兴科电子技术有限公司股权价值的过程和结果如下表所示：</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045"/>
        <w:gridCol w:w="2287"/>
        <w:gridCol w:w="1147"/>
        <w:gridCol w:w="1147"/>
        <w:gridCol w:w="1435"/>
      </w:tblGrid>
      <w:tr w:rsidR="00CD798F" w:rsidRPr="003149FE" w14:paraId="11C23934" w14:textId="77777777" w:rsidTr="00214723">
        <w:trPr>
          <w:cantSplit/>
          <w:trHeight w:val="454"/>
          <w:tblHeader/>
          <w:jc w:val="center"/>
        </w:trPr>
        <w:tc>
          <w:tcPr>
            <w:tcW w:w="1680" w:type="pct"/>
            <w:noWrap/>
            <w:vAlign w:val="center"/>
          </w:tcPr>
          <w:p w14:paraId="373B58A7"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项目</w:t>
            </w:r>
          </w:p>
        </w:tc>
        <w:tc>
          <w:tcPr>
            <w:tcW w:w="1262" w:type="pct"/>
            <w:vAlign w:val="center"/>
          </w:tcPr>
          <w:p w14:paraId="7AC4C446"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字母或计算公式</w:t>
            </w:r>
          </w:p>
        </w:tc>
        <w:tc>
          <w:tcPr>
            <w:tcW w:w="633" w:type="pct"/>
            <w:noWrap/>
            <w:vAlign w:val="center"/>
          </w:tcPr>
          <w:p w14:paraId="69AAA7D0"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科士达</w:t>
            </w:r>
          </w:p>
        </w:tc>
        <w:tc>
          <w:tcPr>
            <w:tcW w:w="633" w:type="pct"/>
            <w:noWrap/>
            <w:vAlign w:val="center"/>
          </w:tcPr>
          <w:p w14:paraId="52F4D677"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特锐德</w:t>
            </w:r>
          </w:p>
        </w:tc>
        <w:tc>
          <w:tcPr>
            <w:tcW w:w="792" w:type="pct"/>
            <w:vAlign w:val="center"/>
          </w:tcPr>
          <w:p w14:paraId="15D46F65"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双杰电气</w:t>
            </w:r>
          </w:p>
        </w:tc>
      </w:tr>
      <w:tr w:rsidR="00CD798F" w:rsidRPr="003149FE" w14:paraId="33EB9E80" w14:textId="77777777" w:rsidTr="00214723">
        <w:trPr>
          <w:cantSplit/>
          <w:trHeight w:val="454"/>
          <w:jc w:val="center"/>
        </w:trPr>
        <w:tc>
          <w:tcPr>
            <w:tcW w:w="1680" w:type="pct"/>
            <w:noWrap/>
            <w:vAlign w:val="center"/>
          </w:tcPr>
          <w:p w14:paraId="63194C9E"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修正后静态</w:t>
            </w:r>
            <w:r w:rsidRPr="003149FE">
              <w:rPr>
                <w:rFonts w:ascii="Times New Roman" w:hAnsi="Times New Roman"/>
                <w:color w:val="000000"/>
              </w:rPr>
              <w:t>P/E</w:t>
            </w:r>
          </w:p>
        </w:tc>
        <w:tc>
          <w:tcPr>
            <w:tcW w:w="1262" w:type="pct"/>
            <w:vAlign w:val="center"/>
          </w:tcPr>
          <w:p w14:paraId="5C9D233C"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A</w:t>
            </w:r>
          </w:p>
        </w:tc>
        <w:tc>
          <w:tcPr>
            <w:tcW w:w="633" w:type="pct"/>
            <w:noWrap/>
            <w:vAlign w:val="center"/>
          </w:tcPr>
          <w:p w14:paraId="135DACD6"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22.8x</w:t>
            </w:r>
          </w:p>
        </w:tc>
        <w:tc>
          <w:tcPr>
            <w:tcW w:w="633" w:type="pct"/>
            <w:noWrap/>
            <w:vAlign w:val="center"/>
          </w:tcPr>
          <w:p w14:paraId="0BBC40C6"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17.4x</w:t>
            </w:r>
          </w:p>
        </w:tc>
        <w:tc>
          <w:tcPr>
            <w:tcW w:w="792" w:type="pct"/>
            <w:vAlign w:val="center"/>
          </w:tcPr>
          <w:p w14:paraId="500D93CA"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49.9x</w:t>
            </w:r>
          </w:p>
        </w:tc>
      </w:tr>
      <w:tr w:rsidR="00CD798F" w:rsidRPr="003149FE" w14:paraId="0C0DF610" w14:textId="77777777" w:rsidTr="00214723">
        <w:trPr>
          <w:cantSplit/>
          <w:trHeight w:val="454"/>
          <w:jc w:val="center"/>
        </w:trPr>
        <w:tc>
          <w:tcPr>
            <w:tcW w:w="1680" w:type="pct"/>
            <w:noWrap/>
            <w:vAlign w:val="center"/>
          </w:tcPr>
          <w:p w14:paraId="712C607A"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权重</w:t>
            </w:r>
          </w:p>
        </w:tc>
        <w:tc>
          <w:tcPr>
            <w:tcW w:w="1262" w:type="pct"/>
            <w:vAlign w:val="center"/>
          </w:tcPr>
          <w:p w14:paraId="4E7E0934"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B</w:t>
            </w:r>
          </w:p>
        </w:tc>
        <w:tc>
          <w:tcPr>
            <w:tcW w:w="633" w:type="pct"/>
            <w:noWrap/>
            <w:vAlign w:val="center"/>
          </w:tcPr>
          <w:p w14:paraId="5433E47C"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1/3</w:t>
            </w:r>
          </w:p>
        </w:tc>
        <w:tc>
          <w:tcPr>
            <w:tcW w:w="633" w:type="pct"/>
            <w:noWrap/>
            <w:vAlign w:val="center"/>
          </w:tcPr>
          <w:p w14:paraId="65D145A8"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1/3</w:t>
            </w:r>
          </w:p>
        </w:tc>
        <w:tc>
          <w:tcPr>
            <w:tcW w:w="792" w:type="pct"/>
            <w:vAlign w:val="center"/>
          </w:tcPr>
          <w:p w14:paraId="286A2B5A"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1/3</w:t>
            </w:r>
          </w:p>
        </w:tc>
      </w:tr>
      <w:tr w:rsidR="00CD798F" w:rsidRPr="003149FE" w14:paraId="1189C635" w14:textId="77777777" w:rsidTr="00214723">
        <w:trPr>
          <w:cantSplit/>
          <w:trHeight w:val="454"/>
          <w:jc w:val="center"/>
        </w:trPr>
        <w:tc>
          <w:tcPr>
            <w:tcW w:w="1680" w:type="pct"/>
            <w:noWrap/>
            <w:vAlign w:val="center"/>
          </w:tcPr>
          <w:p w14:paraId="0EA5798A"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加权修正后的静态</w:t>
            </w:r>
            <w:r w:rsidRPr="003149FE">
              <w:rPr>
                <w:rFonts w:ascii="Times New Roman" w:hAnsi="Times New Roman"/>
                <w:color w:val="000000"/>
              </w:rPr>
              <w:t>P/E</w:t>
            </w:r>
          </w:p>
        </w:tc>
        <w:tc>
          <w:tcPr>
            <w:tcW w:w="1262" w:type="pct"/>
            <w:vAlign w:val="center"/>
          </w:tcPr>
          <w:p w14:paraId="7D345FAC"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C=ΣA×B</w:t>
            </w:r>
          </w:p>
        </w:tc>
        <w:tc>
          <w:tcPr>
            <w:tcW w:w="2059" w:type="pct"/>
            <w:gridSpan w:val="3"/>
            <w:noWrap/>
            <w:vAlign w:val="center"/>
          </w:tcPr>
          <w:p w14:paraId="5D4740B2" w14:textId="77777777" w:rsidR="00CD798F" w:rsidRPr="003149FE" w:rsidRDefault="00CD798F" w:rsidP="00214723">
            <w:pPr>
              <w:jc w:val="center"/>
              <w:rPr>
                <w:rFonts w:ascii="Times New Roman" w:hAnsi="Times New Roman"/>
                <w:color w:val="000000"/>
              </w:rPr>
            </w:pPr>
            <w:r w:rsidRPr="003149FE">
              <w:rPr>
                <w:rFonts w:ascii="Times New Roman" w:hAnsi="Times New Roman"/>
                <w:color w:val="000000"/>
              </w:rPr>
              <w:t>30.0x</w:t>
            </w:r>
          </w:p>
        </w:tc>
      </w:tr>
    </w:tbl>
    <w:p w14:paraId="6D85950D" w14:textId="77777777" w:rsidR="00CD798F" w:rsidRDefault="00CD798F" w:rsidP="00CD798F">
      <w:pPr>
        <w:pStyle w:val="005"/>
        <w:spacing w:before="120" w:after="120"/>
        <w:ind w:firstLine="480"/>
      </w:pPr>
      <w:r w:rsidRPr="00D73CE9">
        <w:rPr>
          <w:rFonts w:hint="eastAsia"/>
        </w:rPr>
        <w:t>股权价值</w:t>
      </w:r>
      <w:r>
        <w:rPr>
          <w:rFonts w:hint="eastAsia"/>
        </w:rPr>
        <w:t>计算过程如下：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5210"/>
        <w:gridCol w:w="2465"/>
        <w:gridCol w:w="1386"/>
      </w:tblGrid>
      <w:tr w:rsidR="00CD798F" w:rsidRPr="003149FE" w14:paraId="410AD4B2" w14:textId="77777777" w:rsidTr="00214723">
        <w:trPr>
          <w:cantSplit/>
          <w:trHeight w:val="454"/>
          <w:tblHeader/>
          <w:jc w:val="center"/>
        </w:trPr>
        <w:tc>
          <w:tcPr>
            <w:tcW w:w="2875" w:type="pct"/>
            <w:noWrap/>
            <w:vAlign w:val="center"/>
          </w:tcPr>
          <w:p w14:paraId="38B3FD99"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项目</w:t>
            </w:r>
          </w:p>
        </w:tc>
        <w:tc>
          <w:tcPr>
            <w:tcW w:w="1360" w:type="pct"/>
            <w:vAlign w:val="center"/>
          </w:tcPr>
          <w:p w14:paraId="6C14A362"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字母或计算公式</w:t>
            </w:r>
          </w:p>
        </w:tc>
        <w:tc>
          <w:tcPr>
            <w:tcW w:w="765" w:type="pct"/>
            <w:noWrap/>
            <w:vAlign w:val="center"/>
          </w:tcPr>
          <w:p w14:paraId="6ECCC768"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数值</w:t>
            </w:r>
          </w:p>
        </w:tc>
      </w:tr>
      <w:tr w:rsidR="00CD798F" w:rsidRPr="003149FE" w14:paraId="1C7DB81F" w14:textId="77777777" w:rsidTr="00214723">
        <w:trPr>
          <w:cantSplit/>
          <w:trHeight w:val="454"/>
          <w:jc w:val="center"/>
        </w:trPr>
        <w:tc>
          <w:tcPr>
            <w:tcW w:w="2875" w:type="pct"/>
            <w:noWrap/>
            <w:vAlign w:val="center"/>
          </w:tcPr>
          <w:p w14:paraId="578E8A81"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静态</w:t>
            </w:r>
            <w:r w:rsidRPr="003149FE">
              <w:rPr>
                <w:rFonts w:ascii="Times New Roman" w:hAnsi="Times New Roman"/>
                <w:color w:val="000000"/>
              </w:rPr>
              <w:t>P/E</w:t>
            </w:r>
          </w:p>
        </w:tc>
        <w:tc>
          <w:tcPr>
            <w:tcW w:w="1360" w:type="pct"/>
            <w:vAlign w:val="center"/>
          </w:tcPr>
          <w:p w14:paraId="1264488A"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A</w:t>
            </w:r>
          </w:p>
        </w:tc>
        <w:tc>
          <w:tcPr>
            <w:tcW w:w="765" w:type="pct"/>
            <w:noWrap/>
            <w:vAlign w:val="center"/>
          </w:tcPr>
          <w:p w14:paraId="2C3F8929"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30.0x</w:t>
            </w:r>
          </w:p>
        </w:tc>
      </w:tr>
      <w:tr w:rsidR="00CD798F" w:rsidRPr="003149FE" w14:paraId="6EDF590F" w14:textId="77777777" w:rsidTr="00214723">
        <w:trPr>
          <w:cantSplit/>
          <w:trHeight w:val="454"/>
          <w:jc w:val="center"/>
        </w:trPr>
        <w:tc>
          <w:tcPr>
            <w:tcW w:w="2875" w:type="pct"/>
            <w:noWrap/>
            <w:vAlign w:val="center"/>
          </w:tcPr>
          <w:p w14:paraId="1E0D4904"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净利润</w:t>
            </w:r>
            <w:r w:rsidRPr="003149FE">
              <w:rPr>
                <w:rFonts w:ascii="Times New Roman" w:hAnsi="Times New Roman"/>
                <w:color w:val="000000"/>
              </w:rPr>
              <w:t>(2024)</w:t>
            </w:r>
          </w:p>
        </w:tc>
        <w:tc>
          <w:tcPr>
            <w:tcW w:w="1360" w:type="pct"/>
            <w:vAlign w:val="center"/>
          </w:tcPr>
          <w:p w14:paraId="7EB6EA6D"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B</w:t>
            </w:r>
          </w:p>
        </w:tc>
        <w:tc>
          <w:tcPr>
            <w:tcW w:w="765" w:type="pct"/>
            <w:noWrap/>
            <w:vAlign w:val="center"/>
          </w:tcPr>
          <w:p w14:paraId="4A4C5ED8"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211.06</w:t>
            </w:r>
          </w:p>
        </w:tc>
      </w:tr>
      <w:tr w:rsidR="00CD798F" w:rsidRPr="003149FE" w14:paraId="0D07325E" w14:textId="77777777" w:rsidTr="00214723">
        <w:trPr>
          <w:cantSplit/>
          <w:trHeight w:val="454"/>
          <w:jc w:val="center"/>
        </w:trPr>
        <w:tc>
          <w:tcPr>
            <w:tcW w:w="2875" w:type="pct"/>
            <w:noWrap/>
            <w:vAlign w:val="center"/>
          </w:tcPr>
          <w:p w14:paraId="0968976D"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非经营性资产、负债及溢余资产价值</w:t>
            </w:r>
          </w:p>
        </w:tc>
        <w:tc>
          <w:tcPr>
            <w:tcW w:w="1360" w:type="pct"/>
            <w:vAlign w:val="center"/>
          </w:tcPr>
          <w:p w14:paraId="0C85F78F"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C</w:t>
            </w:r>
          </w:p>
        </w:tc>
        <w:tc>
          <w:tcPr>
            <w:tcW w:w="765" w:type="pct"/>
            <w:noWrap/>
            <w:vAlign w:val="center"/>
          </w:tcPr>
          <w:p w14:paraId="0A76DCF4"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0.00</w:t>
            </w:r>
          </w:p>
        </w:tc>
      </w:tr>
      <w:tr w:rsidR="00CD798F" w:rsidRPr="003149FE" w14:paraId="5127E642" w14:textId="77777777" w:rsidTr="00214723">
        <w:trPr>
          <w:cantSplit/>
          <w:trHeight w:val="454"/>
          <w:jc w:val="center"/>
        </w:trPr>
        <w:tc>
          <w:tcPr>
            <w:tcW w:w="2875" w:type="pct"/>
            <w:noWrap/>
            <w:vAlign w:val="center"/>
          </w:tcPr>
          <w:p w14:paraId="6823FCB0" w14:textId="77777777" w:rsidR="00CD798F" w:rsidRPr="003149FE" w:rsidRDefault="00CD798F" w:rsidP="00214723">
            <w:pPr>
              <w:rPr>
                <w:rFonts w:ascii="Times New Roman" w:hAnsi="Times New Roman"/>
                <w:color w:val="000000"/>
              </w:rPr>
            </w:pPr>
            <w:r w:rsidRPr="003149FE">
              <w:rPr>
                <w:rFonts w:ascii="Times New Roman" w:hAnsi="Times New Roman"/>
                <w:color w:val="000000"/>
              </w:rPr>
              <w:lastRenderedPageBreak/>
              <w:t>股权价值（取整）</w:t>
            </w:r>
          </w:p>
        </w:tc>
        <w:tc>
          <w:tcPr>
            <w:tcW w:w="1360" w:type="pct"/>
            <w:vAlign w:val="center"/>
          </w:tcPr>
          <w:p w14:paraId="47A1E326"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D</w:t>
            </w:r>
            <w:r w:rsidRPr="003149FE">
              <w:rPr>
                <w:rFonts w:ascii="Times New Roman" w:hAnsi="Times New Roman"/>
                <w:color w:val="000000"/>
              </w:rPr>
              <w:t>＝</w:t>
            </w:r>
            <w:r w:rsidRPr="003149FE">
              <w:rPr>
                <w:rFonts w:ascii="Times New Roman" w:hAnsi="Times New Roman"/>
                <w:color w:val="000000"/>
              </w:rPr>
              <w:t>A×B</w:t>
            </w:r>
            <w:r w:rsidRPr="003149FE">
              <w:rPr>
                <w:rFonts w:ascii="Times New Roman" w:hAnsi="Times New Roman"/>
                <w:color w:val="000000"/>
              </w:rPr>
              <w:t>＋</w:t>
            </w:r>
            <w:r w:rsidRPr="003149FE">
              <w:rPr>
                <w:rFonts w:ascii="Times New Roman" w:hAnsi="Times New Roman"/>
                <w:color w:val="000000"/>
              </w:rPr>
              <w:t>C</w:t>
            </w:r>
          </w:p>
        </w:tc>
        <w:tc>
          <w:tcPr>
            <w:tcW w:w="765" w:type="pct"/>
            <w:noWrap/>
            <w:vAlign w:val="center"/>
          </w:tcPr>
          <w:p w14:paraId="28940245"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6,300.00</w:t>
            </w:r>
          </w:p>
        </w:tc>
      </w:tr>
      <w:tr w:rsidR="00CD798F" w:rsidRPr="003149FE" w14:paraId="677A5C3A" w14:textId="77777777" w:rsidTr="00214723">
        <w:trPr>
          <w:cantSplit/>
          <w:trHeight w:val="454"/>
          <w:jc w:val="center"/>
        </w:trPr>
        <w:tc>
          <w:tcPr>
            <w:tcW w:w="2875" w:type="pct"/>
            <w:noWrap/>
            <w:vAlign w:val="center"/>
          </w:tcPr>
          <w:p w14:paraId="02B95FFA"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委估</w:t>
            </w:r>
            <w:r w:rsidRPr="003149FE">
              <w:rPr>
                <w:rFonts w:ascii="Times New Roman" w:hAnsi="Times New Roman"/>
                <w:color w:val="000000"/>
              </w:rPr>
              <w:t>20%</w:t>
            </w:r>
            <w:r w:rsidRPr="003149FE">
              <w:rPr>
                <w:rFonts w:ascii="Times New Roman" w:hAnsi="Times New Roman"/>
                <w:color w:val="000000"/>
              </w:rPr>
              <w:t>股权价值</w:t>
            </w:r>
          </w:p>
        </w:tc>
        <w:tc>
          <w:tcPr>
            <w:tcW w:w="1360" w:type="pct"/>
            <w:vAlign w:val="center"/>
          </w:tcPr>
          <w:p w14:paraId="1CA39FD0"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E</w:t>
            </w:r>
            <w:r w:rsidRPr="003149FE">
              <w:rPr>
                <w:rFonts w:ascii="Times New Roman" w:hAnsi="Times New Roman"/>
                <w:color w:val="000000"/>
              </w:rPr>
              <w:t>＝</w:t>
            </w:r>
            <w:r w:rsidRPr="003149FE">
              <w:rPr>
                <w:rFonts w:ascii="Times New Roman" w:hAnsi="Times New Roman"/>
                <w:color w:val="000000"/>
              </w:rPr>
              <w:t>D×20%</w:t>
            </w:r>
          </w:p>
        </w:tc>
        <w:tc>
          <w:tcPr>
            <w:tcW w:w="765" w:type="pct"/>
            <w:noWrap/>
            <w:vAlign w:val="center"/>
          </w:tcPr>
          <w:p w14:paraId="4C36A590"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1,260.00</w:t>
            </w:r>
          </w:p>
        </w:tc>
      </w:tr>
    </w:tbl>
    <w:p w14:paraId="5C3111E2" w14:textId="77777777" w:rsidR="00CD798F" w:rsidRPr="00D73CE9" w:rsidRDefault="00CD798F" w:rsidP="00CD798F">
      <w:pPr>
        <w:pStyle w:val="004"/>
        <w:spacing w:before="120" w:after="120"/>
        <w:ind w:firstLine="482"/>
      </w:pPr>
      <w:r>
        <w:rPr>
          <w:rFonts w:hint="eastAsia"/>
        </w:rPr>
        <w:t>3</w:t>
      </w:r>
      <w:r>
        <w:rPr>
          <w:rFonts w:hint="eastAsia"/>
        </w:rPr>
        <w:t>、</w:t>
      </w:r>
      <w:r w:rsidRPr="00D73CE9">
        <w:rPr>
          <w:rFonts w:hint="eastAsia"/>
        </w:rPr>
        <w:t>江西七曜星熠科技有限公司</w:t>
      </w:r>
    </w:p>
    <w:p w14:paraId="6187EBC2" w14:textId="77777777" w:rsidR="00CD798F" w:rsidRPr="00D73CE9" w:rsidRDefault="00CD798F" w:rsidP="00CD798F">
      <w:pPr>
        <w:pStyle w:val="005"/>
        <w:spacing w:before="120" w:after="120"/>
        <w:ind w:firstLine="480"/>
      </w:pPr>
      <w:r>
        <w:rPr>
          <w:rFonts w:hint="eastAsia"/>
        </w:rPr>
        <w:t>对于江西七曜星熠科技有限公司，由于其目前尚未开展业务，故按零值评估。</w:t>
      </w:r>
    </w:p>
    <w:p w14:paraId="366C5774" w14:textId="77777777" w:rsidR="00CD798F" w:rsidRDefault="00CD798F" w:rsidP="00CD798F">
      <w:pPr>
        <w:pStyle w:val="005"/>
        <w:spacing w:before="120" w:after="120"/>
        <w:ind w:firstLine="480"/>
      </w:pPr>
      <w:r w:rsidRPr="008D2128">
        <w:rPr>
          <w:rFonts w:hint="eastAsia"/>
        </w:rPr>
        <w:t>综上</w:t>
      </w:r>
      <w:r>
        <w:rPr>
          <w:rFonts w:hint="eastAsia"/>
        </w:rPr>
        <w:t>，</w:t>
      </w:r>
      <w:r w:rsidRPr="00D73CE9">
        <w:rPr>
          <w:rFonts w:hint="eastAsia"/>
        </w:rPr>
        <w:t>长期股权投资的</w:t>
      </w:r>
      <w:r>
        <w:rPr>
          <w:rFonts w:hint="eastAsia"/>
        </w:rPr>
        <w:t>评估值</w:t>
      </w:r>
      <w:r w:rsidRPr="008D2128">
        <w:rPr>
          <w:rFonts w:hint="eastAsia"/>
        </w:rPr>
        <w:t>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607"/>
        <w:gridCol w:w="2227"/>
        <w:gridCol w:w="2227"/>
      </w:tblGrid>
      <w:tr w:rsidR="00CD798F" w:rsidRPr="003149FE" w14:paraId="7D768C79" w14:textId="77777777" w:rsidTr="00214723">
        <w:trPr>
          <w:cantSplit/>
          <w:trHeight w:val="454"/>
          <w:tblHeader/>
          <w:jc w:val="center"/>
        </w:trPr>
        <w:tc>
          <w:tcPr>
            <w:tcW w:w="2542" w:type="pct"/>
            <w:noWrap/>
            <w:vAlign w:val="center"/>
            <w:hideMark/>
          </w:tcPr>
          <w:p w14:paraId="7563DF25"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被投资单位</w:t>
            </w:r>
          </w:p>
        </w:tc>
        <w:tc>
          <w:tcPr>
            <w:tcW w:w="1229" w:type="pct"/>
            <w:noWrap/>
            <w:vAlign w:val="center"/>
            <w:hideMark/>
          </w:tcPr>
          <w:p w14:paraId="13747EC3"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账面值</w:t>
            </w:r>
          </w:p>
        </w:tc>
        <w:tc>
          <w:tcPr>
            <w:tcW w:w="1229" w:type="pct"/>
            <w:noWrap/>
            <w:vAlign w:val="center"/>
            <w:hideMark/>
          </w:tcPr>
          <w:p w14:paraId="772FBD1A"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评估值</w:t>
            </w:r>
          </w:p>
        </w:tc>
      </w:tr>
      <w:tr w:rsidR="00CD798F" w:rsidRPr="003149FE" w14:paraId="2DEA32D1" w14:textId="77777777" w:rsidTr="00214723">
        <w:trPr>
          <w:cantSplit/>
          <w:trHeight w:val="454"/>
          <w:jc w:val="center"/>
        </w:trPr>
        <w:tc>
          <w:tcPr>
            <w:tcW w:w="2542" w:type="pct"/>
            <w:noWrap/>
            <w:vAlign w:val="center"/>
            <w:hideMark/>
          </w:tcPr>
          <w:p w14:paraId="47F7EBE0"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广州有乐礼品有限公司</w:t>
            </w:r>
          </w:p>
        </w:tc>
        <w:tc>
          <w:tcPr>
            <w:tcW w:w="1229" w:type="pct"/>
            <w:noWrap/>
            <w:vAlign w:val="center"/>
            <w:hideMark/>
          </w:tcPr>
          <w:p w14:paraId="0D20DC33"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1,482,606.38</w:t>
            </w:r>
          </w:p>
        </w:tc>
        <w:tc>
          <w:tcPr>
            <w:tcW w:w="1229" w:type="pct"/>
            <w:noWrap/>
            <w:vAlign w:val="center"/>
            <w:hideMark/>
          </w:tcPr>
          <w:p w14:paraId="40AC529D"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1,482,606.38</w:t>
            </w:r>
          </w:p>
        </w:tc>
      </w:tr>
      <w:tr w:rsidR="00CD798F" w:rsidRPr="003149FE" w14:paraId="5E5A9CAF" w14:textId="77777777" w:rsidTr="00214723">
        <w:trPr>
          <w:cantSplit/>
          <w:trHeight w:val="454"/>
          <w:jc w:val="center"/>
        </w:trPr>
        <w:tc>
          <w:tcPr>
            <w:tcW w:w="2542" w:type="pct"/>
            <w:noWrap/>
            <w:vAlign w:val="center"/>
            <w:hideMark/>
          </w:tcPr>
          <w:p w14:paraId="0CAC5757"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台州市乐哈智能科技有限公司</w:t>
            </w:r>
          </w:p>
        </w:tc>
        <w:tc>
          <w:tcPr>
            <w:tcW w:w="1229" w:type="pct"/>
            <w:noWrap/>
            <w:vAlign w:val="center"/>
            <w:hideMark/>
          </w:tcPr>
          <w:p w14:paraId="4A9F6F29"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198,287.23</w:t>
            </w:r>
          </w:p>
        </w:tc>
        <w:tc>
          <w:tcPr>
            <w:tcW w:w="1229" w:type="pct"/>
            <w:noWrap/>
            <w:vAlign w:val="center"/>
            <w:hideMark/>
          </w:tcPr>
          <w:p w14:paraId="61784777"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198,287.23</w:t>
            </w:r>
          </w:p>
        </w:tc>
      </w:tr>
      <w:tr w:rsidR="00CD798F" w:rsidRPr="003149FE" w14:paraId="00D3E1E0" w14:textId="77777777" w:rsidTr="00214723">
        <w:trPr>
          <w:cantSplit/>
          <w:trHeight w:val="454"/>
          <w:jc w:val="center"/>
        </w:trPr>
        <w:tc>
          <w:tcPr>
            <w:tcW w:w="2542" w:type="pct"/>
            <w:noWrap/>
            <w:vAlign w:val="center"/>
            <w:hideMark/>
          </w:tcPr>
          <w:p w14:paraId="5539DA76"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郑州兴科电子技术有限公司</w:t>
            </w:r>
          </w:p>
        </w:tc>
        <w:tc>
          <w:tcPr>
            <w:tcW w:w="1229" w:type="pct"/>
            <w:noWrap/>
            <w:vAlign w:val="center"/>
            <w:hideMark/>
          </w:tcPr>
          <w:p w14:paraId="277EC87F"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10,532,869.79</w:t>
            </w:r>
          </w:p>
        </w:tc>
        <w:tc>
          <w:tcPr>
            <w:tcW w:w="1229" w:type="pct"/>
            <w:noWrap/>
            <w:vAlign w:val="center"/>
            <w:hideMark/>
          </w:tcPr>
          <w:p w14:paraId="45DE6BA1"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12,600,000.00</w:t>
            </w:r>
          </w:p>
        </w:tc>
      </w:tr>
      <w:tr w:rsidR="00CD798F" w:rsidRPr="003149FE" w14:paraId="33913C8E" w14:textId="77777777" w:rsidTr="00214723">
        <w:trPr>
          <w:cantSplit/>
          <w:trHeight w:val="454"/>
          <w:jc w:val="center"/>
        </w:trPr>
        <w:tc>
          <w:tcPr>
            <w:tcW w:w="2542" w:type="pct"/>
            <w:noWrap/>
            <w:vAlign w:val="center"/>
            <w:hideMark/>
          </w:tcPr>
          <w:p w14:paraId="5B8CEE71"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江西七曜星熠科技有限公司</w:t>
            </w:r>
          </w:p>
        </w:tc>
        <w:tc>
          <w:tcPr>
            <w:tcW w:w="1229" w:type="pct"/>
            <w:noWrap/>
            <w:vAlign w:val="center"/>
            <w:hideMark/>
          </w:tcPr>
          <w:p w14:paraId="48A45B5D"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w:t>
            </w:r>
          </w:p>
        </w:tc>
        <w:tc>
          <w:tcPr>
            <w:tcW w:w="1229" w:type="pct"/>
            <w:noWrap/>
            <w:vAlign w:val="center"/>
            <w:hideMark/>
          </w:tcPr>
          <w:p w14:paraId="6451DCD1"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w:t>
            </w:r>
          </w:p>
        </w:tc>
      </w:tr>
      <w:tr w:rsidR="00CD798F" w:rsidRPr="003149FE" w14:paraId="0B55A3E5" w14:textId="77777777" w:rsidTr="00214723">
        <w:trPr>
          <w:cantSplit/>
          <w:trHeight w:val="454"/>
          <w:jc w:val="center"/>
        </w:trPr>
        <w:tc>
          <w:tcPr>
            <w:tcW w:w="2542" w:type="pct"/>
            <w:noWrap/>
            <w:vAlign w:val="center"/>
            <w:hideMark/>
          </w:tcPr>
          <w:p w14:paraId="65CCEC60" w14:textId="77777777" w:rsidR="00CD798F" w:rsidRPr="003149FE" w:rsidRDefault="00CD798F" w:rsidP="00214723">
            <w:pPr>
              <w:jc w:val="center"/>
              <w:rPr>
                <w:rFonts w:ascii="Times New Roman" w:hAnsi="Times New Roman"/>
                <w:b/>
                <w:color w:val="000000"/>
              </w:rPr>
            </w:pPr>
            <w:r w:rsidRPr="003149FE">
              <w:rPr>
                <w:rFonts w:ascii="Times New Roman" w:hAnsi="Times New Roman"/>
                <w:b/>
                <w:color w:val="000000"/>
              </w:rPr>
              <w:t>合计</w:t>
            </w:r>
          </w:p>
        </w:tc>
        <w:tc>
          <w:tcPr>
            <w:tcW w:w="1229" w:type="pct"/>
            <w:noWrap/>
            <w:vAlign w:val="center"/>
            <w:hideMark/>
          </w:tcPr>
          <w:p w14:paraId="01950216" w14:textId="77777777" w:rsidR="00CD798F" w:rsidRPr="003149FE" w:rsidRDefault="00CD798F" w:rsidP="00214723">
            <w:pPr>
              <w:jc w:val="right"/>
              <w:rPr>
                <w:rFonts w:ascii="Times New Roman" w:hAnsi="Times New Roman"/>
                <w:b/>
                <w:color w:val="000000"/>
              </w:rPr>
            </w:pPr>
            <w:r w:rsidRPr="003149FE">
              <w:rPr>
                <w:rFonts w:ascii="Times New Roman" w:hAnsi="Times New Roman"/>
                <w:b/>
                <w:color w:val="000000"/>
              </w:rPr>
              <w:t>12,213,763.40</w:t>
            </w:r>
          </w:p>
        </w:tc>
        <w:tc>
          <w:tcPr>
            <w:tcW w:w="1229" w:type="pct"/>
            <w:noWrap/>
            <w:vAlign w:val="center"/>
            <w:hideMark/>
          </w:tcPr>
          <w:p w14:paraId="4C7DA5FC" w14:textId="77777777" w:rsidR="00CD798F" w:rsidRPr="003149FE" w:rsidRDefault="00CD798F" w:rsidP="00214723">
            <w:pPr>
              <w:jc w:val="right"/>
              <w:rPr>
                <w:rFonts w:ascii="Times New Roman" w:hAnsi="Times New Roman"/>
                <w:b/>
                <w:color w:val="000000"/>
              </w:rPr>
            </w:pPr>
            <w:r w:rsidRPr="003149FE">
              <w:rPr>
                <w:rFonts w:ascii="Times New Roman" w:hAnsi="Times New Roman"/>
                <w:b/>
                <w:color w:val="000000"/>
              </w:rPr>
              <w:t>14,280,893.61</w:t>
            </w:r>
          </w:p>
        </w:tc>
      </w:tr>
    </w:tbl>
    <w:p w14:paraId="6F7D43FB" w14:textId="77777777" w:rsidR="00CD798F" w:rsidRDefault="00CD798F" w:rsidP="00CD798F">
      <w:pPr>
        <w:pStyle w:val="003"/>
        <w:spacing w:before="120" w:after="120"/>
        <w:ind w:firstLine="482"/>
      </w:pPr>
      <w:r>
        <w:rPr>
          <w:rFonts w:hint="eastAsia"/>
        </w:rPr>
        <w:t>（二）</w:t>
      </w:r>
      <w:r w:rsidRPr="00D73CE9">
        <w:rPr>
          <w:rFonts w:hint="eastAsia"/>
        </w:rPr>
        <w:t>湖南小充的实际经营情况、资产负债情况及截至回函日的注销进展，以净资产与股比计算股权价值是否合理、公允</w:t>
      </w:r>
    </w:p>
    <w:p w14:paraId="33A5F270" w14:textId="77777777" w:rsidR="00CD798F" w:rsidRDefault="00CD798F" w:rsidP="00CD798F">
      <w:pPr>
        <w:pStyle w:val="004"/>
        <w:spacing w:before="120" w:after="120"/>
        <w:ind w:firstLine="482"/>
      </w:pPr>
      <w:r>
        <w:rPr>
          <w:rFonts w:hint="eastAsia"/>
        </w:rPr>
        <w:t>1</w:t>
      </w:r>
      <w:r>
        <w:rPr>
          <w:rFonts w:hint="eastAsia"/>
        </w:rPr>
        <w:t>、</w:t>
      </w:r>
      <w:r w:rsidRPr="006A2CAE">
        <w:rPr>
          <w:rFonts w:hint="eastAsia"/>
        </w:rPr>
        <w:t>湖南小充的实际经营情况、资产负债情况及截至回函日的注销进展</w:t>
      </w:r>
    </w:p>
    <w:p w14:paraId="00528F14" w14:textId="77777777" w:rsidR="00CD798F" w:rsidRDefault="00CD798F" w:rsidP="00CD798F">
      <w:pPr>
        <w:pStyle w:val="005"/>
        <w:spacing w:before="120" w:after="120"/>
        <w:ind w:firstLine="480"/>
      </w:pPr>
      <w:r w:rsidRPr="008D2128">
        <w:rPr>
          <w:rFonts w:hint="eastAsia"/>
        </w:rPr>
        <w:t>截止本次评估基准日湖南小充的资产负债情况如下：</w:t>
      </w:r>
    </w:p>
    <w:p w14:paraId="7A47A451" w14:textId="77777777" w:rsidR="00CD798F" w:rsidRPr="002F5FE5" w:rsidRDefault="00CD798F" w:rsidP="00CD798F">
      <w:pPr>
        <w:pStyle w:val="005"/>
        <w:spacing w:before="120" w:after="120"/>
        <w:ind w:firstLine="480"/>
        <w:jc w:val="right"/>
      </w:pPr>
      <w:r w:rsidRPr="002F5FE5">
        <w:t>单位：元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4324"/>
        <w:gridCol w:w="4737"/>
      </w:tblGrid>
      <w:tr w:rsidR="00CD798F" w:rsidRPr="002F5FE5" w14:paraId="7A2ABB7F" w14:textId="77777777" w:rsidTr="00214723">
        <w:trPr>
          <w:cantSplit/>
          <w:trHeight w:val="454"/>
          <w:tblHeader/>
          <w:jc w:val="center"/>
        </w:trPr>
        <w:tc>
          <w:tcPr>
            <w:tcW w:w="2386" w:type="pct"/>
            <w:noWrap/>
            <w:vAlign w:val="center"/>
            <w:hideMark/>
          </w:tcPr>
          <w:p w14:paraId="29779E28"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项目</w:t>
            </w:r>
          </w:p>
        </w:tc>
        <w:tc>
          <w:tcPr>
            <w:tcW w:w="2614" w:type="pct"/>
            <w:noWrap/>
            <w:vAlign w:val="center"/>
            <w:hideMark/>
          </w:tcPr>
          <w:p w14:paraId="6CFB2797"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2025</w:t>
            </w:r>
            <w:r w:rsidRPr="002F5FE5">
              <w:rPr>
                <w:rFonts w:ascii="Times New Roman" w:hAnsi="Times New Roman"/>
                <w:b/>
                <w:color w:val="000000"/>
              </w:rPr>
              <w:t>年</w:t>
            </w:r>
            <w:r w:rsidRPr="002F5FE5">
              <w:rPr>
                <w:rFonts w:ascii="Times New Roman" w:hAnsi="Times New Roman"/>
                <w:b/>
                <w:color w:val="000000"/>
              </w:rPr>
              <w:t>6</w:t>
            </w:r>
            <w:r w:rsidRPr="002F5FE5">
              <w:rPr>
                <w:rFonts w:ascii="Times New Roman" w:hAnsi="Times New Roman"/>
                <w:b/>
                <w:color w:val="000000"/>
              </w:rPr>
              <w:t>月</w:t>
            </w:r>
            <w:r w:rsidRPr="002F5FE5">
              <w:rPr>
                <w:rFonts w:ascii="Times New Roman" w:hAnsi="Times New Roman"/>
                <w:b/>
                <w:color w:val="000000"/>
              </w:rPr>
              <w:t>30</w:t>
            </w:r>
            <w:r w:rsidRPr="002F5FE5">
              <w:rPr>
                <w:rFonts w:ascii="Times New Roman" w:hAnsi="Times New Roman"/>
                <w:b/>
                <w:color w:val="000000"/>
              </w:rPr>
              <w:t>日</w:t>
            </w:r>
          </w:p>
        </w:tc>
      </w:tr>
      <w:tr w:rsidR="00CD798F" w:rsidRPr="002F5FE5" w14:paraId="107A66BD" w14:textId="77777777" w:rsidTr="00214723">
        <w:trPr>
          <w:cantSplit/>
          <w:trHeight w:val="454"/>
          <w:jc w:val="center"/>
        </w:trPr>
        <w:tc>
          <w:tcPr>
            <w:tcW w:w="2386" w:type="pct"/>
            <w:noWrap/>
            <w:vAlign w:val="center"/>
            <w:hideMark/>
          </w:tcPr>
          <w:p w14:paraId="5467E9DA"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流动资产合计</w:t>
            </w:r>
          </w:p>
        </w:tc>
        <w:tc>
          <w:tcPr>
            <w:tcW w:w="2614" w:type="pct"/>
            <w:noWrap/>
            <w:vAlign w:val="center"/>
            <w:hideMark/>
          </w:tcPr>
          <w:p w14:paraId="31832DA2"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825,689.04</w:t>
            </w:r>
          </w:p>
        </w:tc>
      </w:tr>
      <w:tr w:rsidR="00CD798F" w:rsidRPr="002F5FE5" w14:paraId="2E1BA0C2" w14:textId="77777777" w:rsidTr="00214723">
        <w:trPr>
          <w:cantSplit/>
          <w:trHeight w:val="454"/>
          <w:jc w:val="center"/>
        </w:trPr>
        <w:tc>
          <w:tcPr>
            <w:tcW w:w="2386" w:type="pct"/>
            <w:noWrap/>
            <w:vAlign w:val="center"/>
            <w:hideMark/>
          </w:tcPr>
          <w:p w14:paraId="42C40DB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非流动资产合计</w:t>
            </w:r>
          </w:p>
        </w:tc>
        <w:tc>
          <w:tcPr>
            <w:tcW w:w="2614" w:type="pct"/>
            <w:noWrap/>
            <w:vAlign w:val="center"/>
            <w:hideMark/>
          </w:tcPr>
          <w:p w14:paraId="764E1F81"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83,695.12</w:t>
            </w:r>
          </w:p>
        </w:tc>
      </w:tr>
      <w:tr w:rsidR="00CD798F" w:rsidRPr="002F5FE5" w14:paraId="5A623D7E" w14:textId="77777777" w:rsidTr="00214723">
        <w:trPr>
          <w:cantSplit/>
          <w:trHeight w:val="454"/>
          <w:jc w:val="center"/>
        </w:trPr>
        <w:tc>
          <w:tcPr>
            <w:tcW w:w="2386" w:type="pct"/>
            <w:noWrap/>
            <w:vAlign w:val="center"/>
            <w:hideMark/>
          </w:tcPr>
          <w:p w14:paraId="74F306EB" w14:textId="77777777" w:rsidR="00CD798F" w:rsidRPr="002F5FE5" w:rsidRDefault="00CD798F" w:rsidP="00214723">
            <w:pPr>
              <w:rPr>
                <w:rFonts w:ascii="Times New Roman" w:hAnsi="Times New Roman"/>
                <w:b/>
                <w:color w:val="000000"/>
              </w:rPr>
            </w:pPr>
            <w:r w:rsidRPr="002F5FE5">
              <w:rPr>
                <w:rFonts w:ascii="Times New Roman" w:hAnsi="Times New Roman"/>
                <w:b/>
                <w:color w:val="000000"/>
              </w:rPr>
              <w:t>资产总计</w:t>
            </w:r>
          </w:p>
        </w:tc>
        <w:tc>
          <w:tcPr>
            <w:tcW w:w="2614" w:type="pct"/>
            <w:noWrap/>
            <w:vAlign w:val="center"/>
            <w:hideMark/>
          </w:tcPr>
          <w:p w14:paraId="2A5D5A69"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rPr>
              <w:t>909,384.16</w:t>
            </w:r>
          </w:p>
        </w:tc>
      </w:tr>
      <w:tr w:rsidR="00CD798F" w:rsidRPr="002F5FE5" w14:paraId="394DA723" w14:textId="77777777" w:rsidTr="00214723">
        <w:trPr>
          <w:cantSplit/>
          <w:trHeight w:val="454"/>
          <w:jc w:val="center"/>
        </w:trPr>
        <w:tc>
          <w:tcPr>
            <w:tcW w:w="2386" w:type="pct"/>
            <w:noWrap/>
            <w:vAlign w:val="center"/>
            <w:hideMark/>
          </w:tcPr>
          <w:p w14:paraId="05DDF25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流动负债合计</w:t>
            </w:r>
          </w:p>
        </w:tc>
        <w:tc>
          <w:tcPr>
            <w:tcW w:w="2614" w:type="pct"/>
            <w:noWrap/>
            <w:vAlign w:val="center"/>
            <w:hideMark/>
          </w:tcPr>
          <w:p w14:paraId="2EA6350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1,375,560.37</w:t>
            </w:r>
          </w:p>
        </w:tc>
      </w:tr>
      <w:tr w:rsidR="00CD798F" w:rsidRPr="002F5FE5" w14:paraId="407BBA62" w14:textId="77777777" w:rsidTr="00214723">
        <w:trPr>
          <w:cantSplit/>
          <w:trHeight w:val="454"/>
          <w:jc w:val="center"/>
        </w:trPr>
        <w:tc>
          <w:tcPr>
            <w:tcW w:w="2386" w:type="pct"/>
            <w:noWrap/>
            <w:vAlign w:val="center"/>
            <w:hideMark/>
          </w:tcPr>
          <w:p w14:paraId="7311AFC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非流动负债合计</w:t>
            </w:r>
          </w:p>
        </w:tc>
        <w:tc>
          <w:tcPr>
            <w:tcW w:w="2614" w:type="pct"/>
            <w:noWrap/>
            <w:vAlign w:val="center"/>
            <w:hideMark/>
          </w:tcPr>
          <w:p w14:paraId="08911267"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r>
      <w:tr w:rsidR="00CD798F" w:rsidRPr="002F5FE5" w14:paraId="4611E892" w14:textId="77777777" w:rsidTr="00214723">
        <w:trPr>
          <w:cantSplit/>
          <w:trHeight w:val="454"/>
          <w:jc w:val="center"/>
        </w:trPr>
        <w:tc>
          <w:tcPr>
            <w:tcW w:w="2386" w:type="pct"/>
            <w:noWrap/>
            <w:vAlign w:val="center"/>
            <w:hideMark/>
          </w:tcPr>
          <w:p w14:paraId="65AA0795" w14:textId="77777777" w:rsidR="00CD798F" w:rsidRPr="002F5FE5" w:rsidRDefault="00CD798F" w:rsidP="00214723">
            <w:pPr>
              <w:rPr>
                <w:rFonts w:ascii="Times New Roman" w:hAnsi="Times New Roman"/>
                <w:b/>
                <w:color w:val="000000"/>
              </w:rPr>
            </w:pPr>
            <w:r w:rsidRPr="002F5FE5">
              <w:rPr>
                <w:rFonts w:ascii="Times New Roman" w:hAnsi="Times New Roman"/>
                <w:b/>
                <w:color w:val="000000"/>
              </w:rPr>
              <w:lastRenderedPageBreak/>
              <w:t>负债合计</w:t>
            </w:r>
          </w:p>
        </w:tc>
        <w:tc>
          <w:tcPr>
            <w:tcW w:w="2614" w:type="pct"/>
            <w:noWrap/>
            <w:vAlign w:val="center"/>
            <w:hideMark/>
          </w:tcPr>
          <w:p w14:paraId="46F1D1FE"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rPr>
              <w:t>1,375,560.37</w:t>
            </w:r>
          </w:p>
        </w:tc>
      </w:tr>
      <w:tr w:rsidR="00CD798F" w:rsidRPr="002F5FE5" w14:paraId="4DF11669" w14:textId="77777777" w:rsidTr="00214723">
        <w:trPr>
          <w:cantSplit/>
          <w:trHeight w:val="454"/>
          <w:jc w:val="center"/>
        </w:trPr>
        <w:tc>
          <w:tcPr>
            <w:tcW w:w="2386" w:type="pct"/>
            <w:noWrap/>
            <w:vAlign w:val="center"/>
            <w:hideMark/>
          </w:tcPr>
          <w:p w14:paraId="38140713" w14:textId="77777777" w:rsidR="00CD798F" w:rsidRPr="002F5FE5" w:rsidRDefault="00CD798F" w:rsidP="00214723">
            <w:pPr>
              <w:rPr>
                <w:rFonts w:ascii="Times New Roman" w:hAnsi="Times New Roman"/>
                <w:b/>
                <w:color w:val="000000"/>
              </w:rPr>
            </w:pPr>
            <w:r w:rsidRPr="002F5FE5">
              <w:rPr>
                <w:rFonts w:ascii="Times New Roman" w:hAnsi="Times New Roman"/>
                <w:b/>
                <w:color w:val="000000"/>
              </w:rPr>
              <w:t>净资产合计</w:t>
            </w:r>
          </w:p>
        </w:tc>
        <w:tc>
          <w:tcPr>
            <w:tcW w:w="2614" w:type="pct"/>
            <w:noWrap/>
            <w:vAlign w:val="center"/>
            <w:hideMark/>
          </w:tcPr>
          <w:p w14:paraId="73603C2A"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rPr>
              <w:t>-466,176.21</w:t>
            </w:r>
          </w:p>
        </w:tc>
      </w:tr>
    </w:tbl>
    <w:p w14:paraId="34F59D6D" w14:textId="77777777" w:rsidR="00CD798F" w:rsidRDefault="00CD798F" w:rsidP="00CD798F">
      <w:pPr>
        <w:pStyle w:val="005"/>
        <w:spacing w:before="120" w:after="120"/>
        <w:ind w:firstLine="480"/>
      </w:pPr>
      <w:r w:rsidRPr="008D2128">
        <w:rPr>
          <w:rFonts w:hint="eastAsia"/>
        </w:rPr>
        <w:t>截止本次评估基准日湖南小充的经营状况如下：</w:t>
      </w:r>
    </w:p>
    <w:p w14:paraId="4DA52BEC" w14:textId="77777777" w:rsidR="00CD798F" w:rsidRPr="002F5FE5" w:rsidRDefault="00CD798F" w:rsidP="00CD798F">
      <w:pPr>
        <w:pStyle w:val="005"/>
        <w:spacing w:before="120" w:after="120"/>
        <w:ind w:firstLine="480"/>
        <w:jc w:val="right"/>
      </w:pPr>
      <w:r w:rsidRPr="002F5FE5">
        <w:t>单位：元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406"/>
        <w:gridCol w:w="3246"/>
        <w:gridCol w:w="3409"/>
      </w:tblGrid>
      <w:tr w:rsidR="00CD798F" w:rsidRPr="003149FE" w14:paraId="70FFF383" w14:textId="77777777" w:rsidTr="00214723">
        <w:trPr>
          <w:cantSplit/>
          <w:trHeight w:val="454"/>
          <w:tblHeader/>
          <w:jc w:val="center"/>
        </w:trPr>
        <w:tc>
          <w:tcPr>
            <w:tcW w:w="1328" w:type="pct"/>
            <w:noWrap/>
            <w:vAlign w:val="center"/>
            <w:hideMark/>
          </w:tcPr>
          <w:p w14:paraId="5492E7F5"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项目</w:t>
            </w:r>
          </w:p>
        </w:tc>
        <w:tc>
          <w:tcPr>
            <w:tcW w:w="1791" w:type="pct"/>
            <w:vAlign w:val="center"/>
          </w:tcPr>
          <w:p w14:paraId="22D97913"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2024</w:t>
            </w:r>
            <w:r w:rsidRPr="003149FE">
              <w:rPr>
                <w:rFonts w:ascii="Times New Roman" w:hAnsi="Times New Roman"/>
                <w:b/>
                <w:color w:val="000000"/>
              </w:rPr>
              <w:t>年</w:t>
            </w:r>
          </w:p>
        </w:tc>
        <w:tc>
          <w:tcPr>
            <w:tcW w:w="1881" w:type="pct"/>
            <w:noWrap/>
            <w:vAlign w:val="center"/>
            <w:hideMark/>
          </w:tcPr>
          <w:p w14:paraId="0C0683EE" w14:textId="77777777" w:rsidR="00CD798F" w:rsidRPr="003149FE" w:rsidRDefault="00CD798F" w:rsidP="00214723">
            <w:pPr>
              <w:keepNext/>
              <w:jc w:val="center"/>
              <w:rPr>
                <w:rFonts w:ascii="Times New Roman" w:hAnsi="Times New Roman"/>
                <w:b/>
                <w:color w:val="000000"/>
              </w:rPr>
            </w:pPr>
            <w:r w:rsidRPr="003149FE">
              <w:rPr>
                <w:rFonts w:ascii="Times New Roman" w:hAnsi="Times New Roman"/>
                <w:b/>
                <w:color w:val="000000"/>
              </w:rPr>
              <w:t>2025</w:t>
            </w:r>
            <w:r w:rsidRPr="003149FE">
              <w:rPr>
                <w:rFonts w:ascii="Times New Roman" w:hAnsi="Times New Roman"/>
                <w:b/>
                <w:color w:val="000000"/>
              </w:rPr>
              <w:t>年</w:t>
            </w:r>
            <w:r w:rsidRPr="003149FE">
              <w:rPr>
                <w:rFonts w:ascii="Times New Roman" w:hAnsi="Times New Roman"/>
                <w:b/>
                <w:color w:val="000000"/>
              </w:rPr>
              <w:t>1-6</w:t>
            </w:r>
            <w:r w:rsidRPr="003149FE">
              <w:rPr>
                <w:rFonts w:ascii="Times New Roman" w:hAnsi="Times New Roman"/>
                <w:b/>
                <w:color w:val="000000"/>
              </w:rPr>
              <w:t>月</w:t>
            </w:r>
          </w:p>
        </w:tc>
      </w:tr>
      <w:tr w:rsidR="00CD798F" w:rsidRPr="003149FE" w14:paraId="632E4483" w14:textId="77777777" w:rsidTr="00214723">
        <w:trPr>
          <w:cantSplit/>
          <w:trHeight w:val="454"/>
          <w:jc w:val="center"/>
        </w:trPr>
        <w:tc>
          <w:tcPr>
            <w:tcW w:w="1328" w:type="pct"/>
            <w:noWrap/>
            <w:vAlign w:val="center"/>
            <w:hideMark/>
          </w:tcPr>
          <w:p w14:paraId="262DCF52"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营业收入</w:t>
            </w:r>
          </w:p>
        </w:tc>
        <w:tc>
          <w:tcPr>
            <w:tcW w:w="1791" w:type="pct"/>
            <w:vAlign w:val="center"/>
          </w:tcPr>
          <w:p w14:paraId="46773177"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11,114,424.31</w:t>
            </w:r>
          </w:p>
        </w:tc>
        <w:tc>
          <w:tcPr>
            <w:tcW w:w="1881" w:type="pct"/>
            <w:noWrap/>
            <w:vAlign w:val="center"/>
            <w:hideMark/>
          </w:tcPr>
          <w:p w14:paraId="65B1704E"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987,112.19</w:t>
            </w:r>
          </w:p>
        </w:tc>
      </w:tr>
      <w:tr w:rsidR="00CD798F" w:rsidRPr="003149FE" w14:paraId="594E0CDC" w14:textId="77777777" w:rsidTr="00214723">
        <w:trPr>
          <w:cantSplit/>
          <w:trHeight w:val="454"/>
          <w:jc w:val="center"/>
        </w:trPr>
        <w:tc>
          <w:tcPr>
            <w:tcW w:w="1328" w:type="pct"/>
            <w:noWrap/>
            <w:vAlign w:val="center"/>
            <w:hideMark/>
          </w:tcPr>
          <w:p w14:paraId="0107502D"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利润总额</w:t>
            </w:r>
          </w:p>
        </w:tc>
        <w:tc>
          <w:tcPr>
            <w:tcW w:w="1791" w:type="pct"/>
            <w:vAlign w:val="center"/>
          </w:tcPr>
          <w:p w14:paraId="109B881F"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-2,748,526.81</w:t>
            </w:r>
          </w:p>
        </w:tc>
        <w:tc>
          <w:tcPr>
            <w:tcW w:w="1881" w:type="pct"/>
            <w:noWrap/>
            <w:vAlign w:val="center"/>
            <w:hideMark/>
          </w:tcPr>
          <w:p w14:paraId="39C1C276"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-168,092.01</w:t>
            </w:r>
          </w:p>
        </w:tc>
      </w:tr>
      <w:tr w:rsidR="00CD798F" w:rsidRPr="003149FE" w14:paraId="59037E37" w14:textId="77777777" w:rsidTr="00214723">
        <w:trPr>
          <w:cantSplit/>
          <w:trHeight w:val="454"/>
          <w:jc w:val="center"/>
        </w:trPr>
        <w:tc>
          <w:tcPr>
            <w:tcW w:w="1328" w:type="pct"/>
            <w:noWrap/>
            <w:vAlign w:val="center"/>
            <w:hideMark/>
          </w:tcPr>
          <w:p w14:paraId="225029F1" w14:textId="77777777" w:rsidR="00CD798F" w:rsidRPr="003149FE" w:rsidRDefault="00CD798F" w:rsidP="00214723">
            <w:pPr>
              <w:rPr>
                <w:rFonts w:ascii="Times New Roman" w:hAnsi="Times New Roman"/>
                <w:color w:val="000000"/>
              </w:rPr>
            </w:pPr>
            <w:r w:rsidRPr="003149FE">
              <w:rPr>
                <w:rFonts w:ascii="Times New Roman" w:hAnsi="Times New Roman"/>
                <w:color w:val="000000"/>
              </w:rPr>
              <w:t>净利润</w:t>
            </w:r>
          </w:p>
        </w:tc>
        <w:tc>
          <w:tcPr>
            <w:tcW w:w="1791" w:type="pct"/>
            <w:vAlign w:val="center"/>
          </w:tcPr>
          <w:p w14:paraId="7865CA1B"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-2,726,487.48</w:t>
            </w:r>
          </w:p>
        </w:tc>
        <w:tc>
          <w:tcPr>
            <w:tcW w:w="1881" w:type="pct"/>
            <w:noWrap/>
            <w:vAlign w:val="center"/>
            <w:hideMark/>
          </w:tcPr>
          <w:p w14:paraId="7407598D" w14:textId="77777777" w:rsidR="00CD798F" w:rsidRPr="003149FE" w:rsidRDefault="00CD798F" w:rsidP="00214723">
            <w:pPr>
              <w:jc w:val="right"/>
              <w:rPr>
                <w:rFonts w:ascii="Times New Roman" w:hAnsi="Times New Roman"/>
                <w:color w:val="000000"/>
              </w:rPr>
            </w:pPr>
            <w:r w:rsidRPr="003149FE">
              <w:rPr>
                <w:rFonts w:ascii="Times New Roman" w:hAnsi="Times New Roman"/>
                <w:color w:val="000000"/>
              </w:rPr>
              <w:t>186,987.29</w:t>
            </w:r>
          </w:p>
        </w:tc>
      </w:tr>
    </w:tbl>
    <w:p w14:paraId="760DF7E4" w14:textId="77777777" w:rsidR="00CD798F" w:rsidRPr="008D2128" w:rsidRDefault="00CD798F" w:rsidP="00CD798F">
      <w:pPr>
        <w:pStyle w:val="005"/>
        <w:spacing w:before="120" w:after="120"/>
        <w:ind w:firstLine="480"/>
      </w:pPr>
      <w:r w:rsidRPr="008D2128">
        <w:rPr>
          <w:rFonts w:hint="eastAsia"/>
        </w:rPr>
        <w:t>其中流动资产主要包括：货币资金、应收账款、预付账款、其他应收款等；非流动资产主要为固定资产。</w:t>
      </w:r>
    </w:p>
    <w:p w14:paraId="10EBE5F5" w14:textId="77777777" w:rsidR="00CD798F" w:rsidRPr="008D2128" w:rsidRDefault="00CD798F" w:rsidP="00CD798F">
      <w:pPr>
        <w:pStyle w:val="005"/>
        <w:spacing w:before="120" w:after="120"/>
        <w:ind w:firstLine="480"/>
      </w:pPr>
      <w:r w:rsidRPr="008D2128">
        <w:rPr>
          <w:rFonts w:hint="eastAsia"/>
        </w:rPr>
        <w:t>流动负债主要包括：应付账款、合同负债、应交税费、其他应付款等。</w:t>
      </w:r>
    </w:p>
    <w:p w14:paraId="44E1B2DB" w14:textId="77777777" w:rsidR="00CD798F" w:rsidRDefault="00CD798F" w:rsidP="00CD798F">
      <w:pPr>
        <w:pStyle w:val="005"/>
        <w:spacing w:before="120" w:after="120"/>
        <w:ind w:firstLine="480"/>
      </w:pPr>
      <w:r w:rsidRPr="00D73CE9">
        <w:rPr>
          <w:rFonts w:hint="eastAsia"/>
        </w:rPr>
        <w:t>截至本回复出具之日，湖南小充已无开展经营活动，正在进行工商注销备案。</w:t>
      </w:r>
      <w:r w:rsidRPr="00D73CE9">
        <w:rPr>
          <w:rFonts w:hint="eastAsia"/>
        </w:rPr>
        <w:t>2025</w:t>
      </w:r>
      <w:r w:rsidRPr="00D73CE9">
        <w:rPr>
          <w:rFonts w:hint="eastAsia"/>
        </w:rPr>
        <w:t>年</w:t>
      </w:r>
      <w:r w:rsidRPr="00D73CE9">
        <w:rPr>
          <w:rFonts w:hint="eastAsia"/>
        </w:rPr>
        <w:t>1-6</w:t>
      </w:r>
      <w:r w:rsidRPr="00D73CE9">
        <w:rPr>
          <w:rFonts w:hint="eastAsia"/>
        </w:rPr>
        <w:t>月主要消化库存的存货，并且截止基准日账面存货已消化完毕。截至回函日，湖南小充正在进行工商注销备案。</w:t>
      </w:r>
    </w:p>
    <w:p w14:paraId="21976702" w14:textId="77777777" w:rsidR="00CD798F" w:rsidRPr="006A2CAE" w:rsidRDefault="00CD798F" w:rsidP="00CD798F">
      <w:pPr>
        <w:pStyle w:val="004"/>
        <w:spacing w:before="120" w:after="120"/>
        <w:ind w:firstLine="482"/>
      </w:pPr>
      <w:r>
        <w:rPr>
          <w:rFonts w:hint="eastAsia"/>
        </w:rPr>
        <w:t>2</w:t>
      </w:r>
      <w:r>
        <w:rPr>
          <w:rFonts w:hint="eastAsia"/>
        </w:rPr>
        <w:t>、</w:t>
      </w:r>
      <w:r w:rsidRPr="006A2CAE">
        <w:rPr>
          <w:rFonts w:hint="eastAsia"/>
        </w:rPr>
        <w:t>以净资产与股比计算股权价值是否合理、公允</w:t>
      </w:r>
    </w:p>
    <w:p w14:paraId="48577D56" w14:textId="77777777" w:rsidR="00CD798F" w:rsidRPr="006A2CAE" w:rsidRDefault="00CD798F" w:rsidP="00CD798F">
      <w:pPr>
        <w:pStyle w:val="005"/>
        <w:spacing w:before="120" w:after="120"/>
        <w:ind w:firstLine="480"/>
      </w:pPr>
      <w:r>
        <w:rPr>
          <w:rFonts w:hint="eastAsia"/>
        </w:rPr>
        <w:t>根据</w:t>
      </w:r>
      <w:r w:rsidRPr="006A2CAE">
        <w:rPr>
          <w:rFonts w:hint="eastAsia"/>
        </w:rPr>
        <w:t>湖南小充</w:t>
      </w:r>
      <w:r w:rsidRPr="008D2128">
        <w:rPr>
          <w:rFonts w:hint="eastAsia"/>
        </w:rPr>
        <w:t>基准日资产负债情况</w:t>
      </w:r>
      <w:r>
        <w:rPr>
          <w:rFonts w:hint="eastAsia"/>
        </w:rPr>
        <w:t>来看</w:t>
      </w:r>
      <w:r w:rsidRPr="008D2128">
        <w:rPr>
          <w:rFonts w:hint="eastAsia"/>
        </w:rPr>
        <w:t>，</w:t>
      </w:r>
      <w:r>
        <w:rPr>
          <w:rFonts w:hint="eastAsia"/>
        </w:rPr>
        <w:t>其</w:t>
      </w:r>
      <w:r w:rsidRPr="008D2128">
        <w:rPr>
          <w:rFonts w:hint="eastAsia"/>
        </w:rPr>
        <w:t>流动资产中无存货，均为流动性及变现能力较强的</w:t>
      </w:r>
      <w:r>
        <w:rPr>
          <w:rFonts w:hint="eastAsia"/>
        </w:rPr>
        <w:t>项目</w:t>
      </w:r>
      <w:r w:rsidRPr="008D2128">
        <w:rPr>
          <w:rFonts w:hint="eastAsia"/>
        </w:rPr>
        <w:t>，本次按账面值确认评估值具备合理性；非流动资产主要为少量电脑显示器等一般电子设备</w:t>
      </w:r>
      <w:r>
        <w:rPr>
          <w:rFonts w:hint="eastAsia"/>
        </w:rPr>
        <w:t>，</w:t>
      </w:r>
      <w:r w:rsidRPr="008D2128">
        <w:rPr>
          <w:rFonts w:hint="eastAsia"/>
        </w:rPr>
        <w:t>此类设备折旧年限为</w:t>
      </w:r>
      <w:r w:rsidRPr="008D2128">
        <w:rPr>
          <w:rFonts w:hint="eastAsia"/>
        </w:rPr>
        <w:t>5</w:t>
      </w:r>
      <w:r w:rsidRPr="008D2128">
        <w:rPr>
          <w:rFonts w:hint="eastAsia"/>
        </w:rPr>
        <w:t>年，与评估一般采用的经济耐用寿命年限一致，</w:t>
      </w:r>
      <w:r>
        <w:rPr>
          <w:rFonts w:hint="eastAsia"/>
        </w:rPr>
        <w:t>故本次评估认定其</w:t>
      </w:r>
      <w:r w:rsidRPr="008D2128">
        <w:rPr>
          <w:rFonts w:hint="eastAsia"/>
        </w:rPr>
        <w:t>账面</w:t>
      </w:r>
      <w:r>
        <w:rPr>
          <w:rFonts w:hint="eastAsia"/>
        </w:rPr>
        <w:t>价值</w:t>
      </w:r>
      <w:r w:rsidRPr="008D2128">
        <w:rPr>
          <w:rFonts w:hint="eastAsia"/>
        </w:rPr>
        <w:t>与评估市场价值差异</w:t>
      </w:r>
      <w:r>
        <w:rPr>
          <w:rFonts w:hint="eastAsia"/>
        </w:rPr>
        <w:t>不显著</w:t>
      </w:r>
      <w:r w:rsidRPr="008D2128">
        <w:rPr>
          <w:rFonts w:hint="eastAsia"/>
        </w:rPr>
        <w:t>，可按账面</w:t>
      </w:r>
      <w:r>
        <w:rPr>
          <w:rFonts w:hint="eastAsia"/>
        </w:rPr>
        <w:t>价值</w:t>
      </w:r>
      <w:r w:rsidRPr="008D2128">
        <w:rPr>
          <w:rFonts w:hint="eastAsia"/>
        </w:rPr>
        <w:t>确认评估值；流动负债主要为应付账款等，系湖南小充应承担及支付的债务，</w:t>
      </w:r>
      <w:r>
        <w:rPr>
          <w:rFonts w:hint="eastAsia"/>
        </w:rPr>
        <w:t>因此本次评估</w:t>
      </w:r>
      <w:r w:rsidRPr="008D2128">
        <w:rPr>
          <w:rFonts w:hint="eastAsia"/>
        </w:rPr>
        <w:t>按</w:t>
      </w:r>
      <w:r>
        <w:rPr>
          <w:rFonts w:hint="eastAsia"/>
        </w:rPr>
        <w:t>其</w:t>
      </w:r>
      <w:r w:rsidRPr="008D2128">
        <w:rPr>
          <w:rFonts w:hint="eastAsia"/>
        </w:rPr>
        <w:t>账面</w:t>
      </w:r>
      <w:r>
        <w:rPr>
          <w:rFonts w:hint="eastAsia"/>
        </w:rPr>
        <w:t>价值</w:t>
      </w:r>
      <w:r w:rsidRPr="008D2128">
        <w:rPr>
          <w:rFonts w:hint="eastAsia"/>
        </w:rPr>
        <w:t>确认评估值。</w:t>
      </w:r>
    </w:p>
    <w:p w14:paraId="5F701C44" w14:textId="77777777" w:rsidR="00CD798F" w:rsidRDefault="00CD798F" w:rsidP="00CD798F">
      <w:pPr>
        <w:pStyle w:val="005"/>
        <w:spacing w:before="120" w:after="120"/>
        <w:ind w:firstLine="480"/>
      </w:pPr>
      <w:r w:rsidRPr="008D2128">
        <w:rPr>
          <w:rFonts w:hint="eastAsia"/>
        </w:rPr>
        <w:t>综上，本次</w:t>
      </w:r>
      <w:r>
        <w:rPr>
          <w:rFonts w:hint="eastAsia"/>
        </w:rPr>
        <w:t>评估按</w:t>
      </w:r>
      <w:r w:rsidRPr="006A2CAE">
        <w:rPr>
          <w:rFonts w:hint="eastAsia"/>
        </w:rPr>
        <w:t>净资产与股比计算</w:t>
      </w:r>
      <w:r>
        <w:rPr>
          <w:rFonts w:hint="eastAsia"/>
        </w:rPr>
        <w:t>湖南小充</w:t>
      </w:r>
      <w:r w:rsidRPr="006A2CAE">
        <w:rPr>
          <w:rFonts w:hint="eastAsia"/>
        </w:rPr>
        <w:t>股权价值</w:t>
      </w:r>
      <w:r>
        <w:rPr>
          <w:rFonts w:hint="eastAsia"/>
        </w:rPr>
        <w:t>具备合理性和公允性</w:t>
      </w:r>
      <w:r w:rsidRPr="008D2128">
        <w:rPr>
          <w:rFonts w:hint="eastAsia"/>
        </w:rPr>
        <w:t>。</w:t>
      </w:r>
    </w:p>
    <w:p w14:paraId="6AF9363D" w14:textId="77777777" w:rsidR="00CD798F" w:rsidRPr="00D03E0C" w:rsidRDefault="00CD798F" w:rsidP="00CD798F">
      <w:pPr>
        <w:pStyle w:val="005"/>
        <w:spacing w:before="120" w:after="120"/>
        <w:ind w:firstLine="480"/>
      </w:pPr>
      <w:r w:rsidRPr="00D03E0C">
        <w:rPr>
          <w:rFonts w:hint="eastAsia"/>
        </w:rPr>
        <w:lastRenderedPageBreak/>
        <w:t>上述内容已在《重组报告书》“第六节</w:t>
      </w:r>
      <w:r w:rsidRPr="00D03E0C">
        <w:rPr>
          <w:rFonts w:hint="eastAsia"/>
        </w:rPr>
        <w:t xml:space="preserve"> </w:t>
      </w:r>
      <w:r w:rsidRPr="00D03E0C">
        <w:rPr>
          <w:rFonts w:hint="eastAsia"/>
        </w:rPr>
        <w:t>交易标的评估情况”之“二、标的公司评估基本情况”之“（三）收益法的评估情况及分析”之“</w:t>
      </w:r>
      <w:r w:rsidRPr="00D03E0C">
        <w:rPr>
          <w:rFonts w:hint="eastAsia"/>
        </w:rPr>
        <w:t>9</w:t>
      </w:r>
      <w:r w:rsidRPr="00D03E0C">
        <w:rPr>
          <w:rFonts w:hint="eastAsia"/>
        </w:rPr>
        <w:t>、非经营性资产、负债的计算”和“</w:t>
      </w:r>
      <w:r w:rsidRPr="00D03E0C">
        <w:rPr>
          <w:rFonts w:hint="eastAsia"/>
        </w:rPr>
        <w:t>11</w:t>
      </w:r>
      <w:r w:rsidRPr="00D03E0C">
        <w:rPr>
          <w:rFonts w:hint="eastAsia"/>
        </w:rPr>
        <w:t>、少数股东权益价值的评估”补充披露。</w:t>
      </w:r>
    </w:p>
    <w:p w14:paraId="75A2C4AF" w14:textId="77777777" w:rsidR="00CD798F" w:rsidRDefault="00CD798F" w:rsidP="00CD798F">
      <w:pPr>
        <w:pStyle w:val="002"/>
        <w:spacing w:before="120" w:after="120"/>
        <w:ind w:firstLine="482"/>
      </w:pPr>
      <w:r>
        <w:rPr>
          <w:rFonts w:hint="eastAsia"/>
        </w:rPr>
        <w:t>九</w:t>
      </w:r>
      <w:r>
        <w:t>、</w:t>
      </w:r>
      <w:r w:rsidRPr="001173A7">
        <w:rPr>
          <w:rFonts w:hint="eastAsia"/>
        </w:rPr>
        <w:t>补充说明标的资产市净率高于可比上市公司的原因及合理性；可比上市公司、可比交易案例估值水平存在差异的原因，能否合理反映行业估值水平，与标的资产是否具有可比性</w:t>
      </w:r>
    </w:p>
    <w:p w14:paraId="0060579A" w14:textId="77777777" w:rsidR="00CD798F" w:rsidRPr="00FE111E" w:rsidRDefault="00CD798F" w:rsidP="00CD798F">
      <w:pPr>
        <w:pStyle w:val="003"/>
        <w:spacing w:before="120" w:after="120"/>
        <w:ind w:firstLine="482"/>
      </w:pPr>
      <w:r w:rsidRPr="001173A7">
        <w:rPr>
          <w:rFonts w:hint="eastAsia"/>
        </w:rPr>
        <w:t>（</w:t>
      </w:r>
      <w:r>
        <w:rPr>
          <w:rFonts w:hint="eastAsia"/>
        </w:rPr>
        <w:t>一</w:t>
      </w:r>
      <w:r w:rsidRPr="001173A7">
        <w:rPr>
          <w:rFonts w:hint="eastAsia"/>
        </w:rPr>
        <w:t>）</w:t>
      </w:r>
      <w:r w:rsidRPr="008E62DB">
        <w:rPr>
          <w:rFonts w:hint="eastAsia"/>
        </w:rPr>
        <w:t>标的资产市净率高于可比上市公司的原因及合理性</w:t>
      </w:r>
    </w:p>
    <w:p w14:paraId="0B0D6353" w14:textId="77777777" w:rsidR="00CD798F" w:rsidRDefault="00CD798F" w:rsidP="00CD798F">
      <w:pPr>
        <w:pStyle w:val="005"/>
        <w:spacing w:before="120" w:after="120"/>
        <w:ind w:firstLine="480"/>
      </w:pPr>
      <w:r w:rsidRPr="00865068">
        <w:rPr>
          <w:rFonts w:hint="eastAsia"/>
        </w:rPr>
        <w:t>同行业可比上市公司的市净率</w:t>
      </w:r>
      <w:r>
        <w:rPr>
          <w:rFonts w:hint="eastAsia"/>
        </w:rPr>
        <w:t>平均数和</w:t>
      </w:r>
      <w:r w:rsidRPr="00865068">
        <w:rPr>
          <w:rFonts w:hint="eastAsia"/>
        </w:rPr>
        <w:t>中位数低于本次交易</w:t>
      </w:r>
      <w:r>
        <w:rPr>
          <w:rFonts w:hint="eastAsia"/>
        </w:rPr>
        <w:t>，主要系受</w:t>
      </w:r>
      <w:r w:rsidRPr="00865068">
        <w:rPr>
          <w:rFonts w:hint="eastAsia"/>
        </w:rPr>
        <w:t>星云开物经营模式及</w:t>
      </w:r>
      <w:r>
        <w:rPr>
          <w:rFonts w:hint="eastAsia"/>
        </w:rPr>
        <w:t>报告期内</w:t>
      </w:r>
      <w:r w:rsidRPr="00865068">
        <w:rPr>
          <w:rFonts w:hint="eastAsia"/>
        </w:rPr>
        <w:t>股份回购影响</w:t>
      </w:r>
      <w:r>
        <w:rPr>
          <w:rFonts w:hint="eastAsia"/>
        </w:rPr>
        <w:t>。</w:t>
      </w:r>
    </w:p>
    <w:p w14:paraId="1BA8195C" w14:textId="77777777" w:rsidR="00CD798F" w:rsidRDefault="00CD798F" w:rsidP="00CD798F">
      <w:pPr>
        <w:pStyle w:val="004"/>
        <w:spacing w:before="120" w:after="120"/>
        <w:ind w:firstLine="482"/>
      </w:pPr>
      <w:r>
        <w:rPr>
          <w:rFonts w:hint="eastAsia"/>
        </w:rPr>
        <w:t>1</w:t>
      </w:r>
      <w:r>
        <w:rPr>
          <w:rFonts w:hint="eastAsia"/>
        </w:rPr>
        <w:t>、</w:t>
      </w:r>
      <w:r w:rsidRPr="00865068">
        <w:rPr>
          <w:rFonts w:hint="eastAsia"/>
        </w:rPr>
        <w:t>经营模式</w:t>
      </w:r>
    </w:p>
    <w:p w14:paraId="1AE194BD" w14:textId="77777777" w:rsidR="00CD798F" w:rsidRDefault="00CD798F" w:rsidP="00CD798F">
      <w:pPr>
        <w:pStyle w:val="005"/>
        <w:spacing w:before="120" w:after="120"/>
        <w:ind w:firstLine="480"/>
      </w:pPr>
      <w:r w:rsidRPr="00C30DDC">
        <w:rPr>
          <w:rFonts w:hint="eastAsia"/>
        </w:rPr>
        <w:t>星云开物是一家专注于提供智能物联网硬件与</w:t>
      </w:r>
      <w:r>
        <w:rPr>
          <w:rFonts w:hint="eastAsia"/>
        </w:rPr>
        <w:t>SaaS</w:t>
      </w:r>
      <w:r w:rsidRPr="00C30DDC">
        <w:rPr>
          <w:rFonts w:hint="eastAsia"/>
        </w:rPr>
        <w:t>系统一体化解决方案的高新技术企业。在经营模式上，星云开物主要通过外协加工模式生产智能物联网硬件，销售予下游客户后部署于本地自动化设备，再通过提供</w:t>
      </w:r>
      <w:r w:rsidRPr="00C30DDC">
        <w:rPr>
          <w:rFonts w:hint="eastAsia"/>
        </w:rPr>
        <w:t>IoT</w:t>
      </w:r>
      <w:r w:rsidRPr="00C30DDC">
        <w:rPr>
          <w:rFonts w:hint="eastAsia"/>
        </w:rPr>
        <w:t>物联网</w:t>
      </w:r>
      <w:r w:rsidRPr="00C30DDC">
        <w:rPr>
          <w:rFonts w:hint="eastAsia"/>
        </w:rPr>
        <w:t>+</w:t>
      </w:r>
      <w:r>
        <w:rPr>
          <w:rFonts w:hint="eastAsia"/>
        </w:rPr>
        <w:t>SaaS</w:t>
      </w:r>
      <w:r w:rsidRPr="00C30DDC">
        <w:rPr>
          <w:rFonts w:hint="eastAsia"/>
        </w:rPr>
        <w:t>云平台服务，系一家轻资产经营模式的企业，无自有建筑，</w:t>
      </w:r>
      <w:r>
        <w:rPr>
          <w:rFonts w:hint="eastAsia"/>
        </w:rPr>
        <w:t>报告期内</w:t>
      </w:r>
      <w:r w:rsidRPr="00C30DDC">
        <w:rPr>
          <w:rFonts w:hint="eastAsia"/>
        </w:rPr>
        <w:t>固定资产金额</w:t>
      </w:r>
      <w:r>
        <w:rPr>
          <w:rFonts w:hint="eastAsia"/>
        </w:rPr>
        <w:t>分别为</w:t>
      </w:r>
      <w:r w:rsidRPr="00672920">
        <w:t>1,075.14</w:t>
      </w:r>
      <w:r>
        <w:rPr>
          <w:rFonts w:hint="eastAsia"/>
        </w:rPr>
        <w:t>万元、</w:t>
      </w:r>
      <w:r w:rsidRPr="00672920">
        <w:t>1,026.86</w:t>
      </w:r>
      <w:r>
        <w:rPr>
          <w:rFonts w:hint="eastAsia"/>
        </w:rPr>
        <w:t>万元和</w:t>
      </w:r>
      <w:r w:rsidRPr="00672920">
        <w:t>924.92</w:t>
      </w:r>
      <w:r>
        <w:rPr>
          <w:rFonts w:hint="eastAsia"/>
        </w:rPr>
        <w:t>万元</w:t>
      </w:r>
      <w:r w:rsidRPr="00C30DDC">
        <w:rPr>
          <w:rFonts w:hint="eastAsia"/>
        </w:rPr>
        <w:t>，</w:t>
      </w:r>
      <w:r>
        <w:rPr>
          <w:rFonts w:hint="eastAsia"/>
        </w:rPr>
        <w:t>占净资产比例分别为</w:t>
      </w:r>
      <w:r w:rsidRPr="00BD732E">
        <w:t>2.48%</w:t>
      </w:r>
      <w:r>
        <w:rPr>
          <w:rFonts w:hint="eastAsia"/>
        </w:rPr>
        <w:t>、</w:t>
      </w:r>
      <w:r w:rsidRPr="00BD732E">
        <w:t>6.00%</w:t>
      </w:r>
      <w:r>
        <w:rPr>
          <w:rFonts w:hint="eastAsia"/>
        </w:rPr>
        <w:t>和</w:t>
      </w:r>
      <w:r w:rsidRPr="00BD732E">
        <w:t>4.94%</w:t>
      </w:r>
      <w:r>
        <w:rPr>
          <w:rFonts w:hint="eastAsia"/>
        </w:rPr>
        <w:t>，使得</w:t>
      </w:r>
      <w:r w:rsidRPr="00C30DDC">
        <w:rPr>
          <w:rFonts w:hint="eastAsia"/>
        </w:rPr>
        <w:t>市净率水平偏高。</w:t>
      </w:r>
    </w:p>
    <w:p w14:paraId="5B13D556" w14:textId="77777777" w:rsidR="00CD798F" w:rsidRDefault="00CD798F" w:rsidP="00CD798F">
      <w:pPr>
        <w:pStyle w:val="005"/>
        <w:spacing w:before="120" w:after="120"/>
        <w:ind w:firstLine="480"/>
      </w:pPr>
      <w:r w:rsidRPr="00C30DDC">
        <w:rPr>
          <w:rFonts w:hint="eastAsia"/>
        </w:rPr>
        <w:t>可比公司</w:t>
      </w:r>
      <w:r>
        <w:rPr>
          <w:rFonts w:hint="eastAsia"/>
        </w:rPr>
        <w:t>固定资产情况如下：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1"/>
        <w:gridCol w:w="1959"/>
        <w:gridCol w:w="1506"/>
        <w:gridCol w:w="1356"/>
        <w:gridCol w:w="1356"/>
        <w:gridCol w:w="1263"/>
      </w:tblGrid>
      <w:tr w:rsidR="00CD798F" w:rsidRPr="002F5FE5" w14:paraId="0BE4E9D5" w14:textId="77777777" w:rsidTr="00214723">
        <w:trPr>
          <w:cantSplit/>
          <w:trHeight w:val="454"/>
          <w:tblHeader/>
          <w:jc w:val="center"/>
        </w:trPr>
        <w:tc>
          <w:tcPr>
            <w:tcW w:w="895" w:type="pct"/>
            <w:noWrap/>
            <w:vAlign w:val="center"/>
            <w:hideMark/>
          </w:tcPr>
          <w:p w14:paraId="22EC2F0E"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项目</w:t>
            </w:r>
          </w:p>
        </w:tc>
        <w:tc>
          <w:tcPr>
            <w:tcW w:w="1081" w:type="pct"/>
            <w:noWrap/>
            <w:vAlign w:val="center"/>
            <w:hideMark/>
          </w:tcPr>
          <w:p w14:paraId="59D5EFF8"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年度</w:t>
            </w:r>
          </w:p>
        </w:tc>
        <w:tc>
          <w:tcPr>
            <w:tcW w:w="831" w:type="pct"/>
            <w:vAlign w:val="center"/>
          </w:tcPr>
          <w:p w14:paraId="7F63ECA9"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星云开物</w:t>
            </w:r>
          </w:p>
        </w:tc>
        <w:tc>
          <w:tcPr>
            <w:tcW w:w="748" w:type="pct"/>
            <w:noWrap/>
            <w:vAlign w:val="center"/>
            <w:hideMark/>
          </w:tcPr>
          <w:p w14:paraId="377AFAFE"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映翰通</w:t>
            </w:r>
          </w:p>
        </w:tc>
        <w:tc>
          <w:tcPr>
            <w:tcW w:w="748" w:type="pct"/>
            <w:noWrap/>
            <w:vAlign w:val="center"/>
            <w:hideMark/>
          </w:tcPr>
          <w:p w14:paraId="03FBB5D3"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广联达</w:t>
            </w:r>
          </w:p>
        </w:tc>
        <w:tc>
          <w:tcPr>
            <w:tcW w:w="698" w:type="pct"/>
            <w:noWrap/>
            <w:vAlign w:val="center"/>
            <w:hideMark/>
          </w:tcPr>
          <w:p w14:paraId="6A7B0111"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石基信息</w:t>
            </w:r>
          </w:p>
        </w:tc>
      </w:tr>
      <w:tr w:rsidR="00CD798F" w:rsidRPr="002F5FE5" w14:paraId="739A4EF9" w14:textId="77777777" w:rsidTr="00214723">
        <w:trPr>
          <w:cantSplit/>
          <w:trHeight w:val="454"/>
          <w:jc w:val="center"/>
        </w:trPr>
        <w:tc>
          <w:tcPr>
            <w:tcW w:w="895" w:type="pct"/>
            <w:vMerge w:val="restart"/>
            <w:noWrap/>
            <w:vAlign w:val="center"/>
            <w:hideMark/>
          </w:tcPr>
          <w:p w14:paraId="67EB3F22"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净资产（万元）</w:t>
            </w:r>
          </w:p>
        </w:tc>
        <w:tc>
          <w:tcPr>
            <w:tcW w:w="1081" w:type="pct"/>
            <w:noWrap/>
            <w:vAlign w:val="center"/>
            <w:hideMark/>
          </w:tcPr>
          <w:p w14:paraId="46E1E26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2025</w:t>
            </w:r>
            <w:r w:rsidRPr="002F5FE5">
              <w:rPr>
                <w:rFonts w:ascii="Times New Roman" w:hAnsi="Times New Roman"/>
                <w:color w:val="000000"/>
              </w:rPr>
              <w:t>年</w:t>
            </w:r>
            <w:r w:rsidRPr="002F5FE5">
              <w:rPr>
                <w:rFonts w:ascii="Times New Roman" w:hAnsi="Times New Roman"/>
                <w:color w:val="000000"/>
              </w:rPr>
              <w:t>6</w:t>
            </w:r>
            <w:r w:rsidRPr="002F5FE5">
              <w:rPr>
                <w:rFonts w:ascii="Times New Roman" w:hAnsi="Times New Roman"/>
                <w:color w:val="000000"/>
              </w:rPr>
              <w:t>月末</w:t>
            </w:r>
          </w:p>
        </w:tc>
        <w:tc>
          <w:tcPr>
            <w:tcW w:w="831" w:type="pct"/>
            <w:vAlign w:val="center"/>
          </w:tcPr>
          <w:p w14:paraId="62B673B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18,727.33</w:t>
            </w:r>
          </w:p>
        </w:tc>
        <w:tc>
          <w:tcPr>
            <w:tcW w:w="748" w:type="pct"/>
            <w:noWrap/>
            <w:vAlign w:val="center"/>
            <w:hideMark/>
          </w:tcPr>
          <w:p w14:paraId="0C81EA1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110,865.11</w:t>
            </w:r>
          </w:p>
        </w:tc>
        <w:tc>
          <w:tcPr>
            <w:tcW w:w="748" w:type="pct"/>
            <w:noWrap/>
            <w:vAlign w:val="center"/>
            <w:hideMark/>
          </w:tcPr>
          <w:p w14:paraId="6EFED13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598,785.96</w:t>
            </w:r>
          </w:p>
        </w:tc>
        <w:tc>
          <w:tcPr>
            <w:tcW w:w="698" w:type="pct"/>
            <w:noWrap/>
            <w:vAlign w:val="center"/>
            <w:hideMark/>
          </w:tcPr>
          <w:p w14:paraId="40AE23A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776,217.91</w:t>
            </w:r>
          </w:p>
        </w:tc>
      </w:tr>
      <w:tr w:rsidR="00CD798F" w:rsidRPr="002F5FE5" w14:paraId="4F6A8F91" w14:textId="77777777" w:rsidTr="00214723">
        <w:trPr>
          <w:cantSplit/>
          <w:trHeight w:val="454"/>
          <w:jc w:val="center"/>
        </w:trPr>
        <w:tc>
          <w:tcPr>
            <w:tcW w:w="895" w:type="pct"/>
            <w:vMerge/>
            <w:vAlign w:val="center"/>
            <w:hideMark/>
          </w:tcPr>
          <w:p w14:paraId="01D4A517" w14:textId="77777777" w:rsidR="00CD798F" w:rsidRPr="002F5FE5" w:rsidRDefault="00CD798F" w:rsidP="00214723">
            <w:pPr>
              <w:rPr>
                <w:rFonts w:ascii="Times New Roman" w:hAnsi="Times New Roman"/>
                <w:color w:val="000000"/>
              </w:rPr>
            </w:pPr>
          </w:p>
        </w:tc>
        <w:tc>
          <w:tcPr>
            <w:tcW w:w="1081" w:type="pct"/>
            <w:noWrap/>
            <w:vAlign w:val="center"/>
            <w:hideMark/>
          </w:tcPr>
          <w:p w14:paraId="55CE15E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2024</w:t>
            </w:r>
            <w:r w:rsidRPr="002F5FE5">
              <w:rPr>
                <w:rFonts w:ascii="Times New Roman" w:hAnsi="Times New Roman"/>
                <w:color w:val="000000"/>
              </w:rPr>
              <w:t>年末</w:t>
            </w:r>
          </w:p>
        </w:tc>
        <w:tc>
          <w:tcPr>
            <w:tcW w:w="831" w:type="pct"/>
            <w:vAlign w:val="center"/>
          </w:tcPr>
          <w:p w14:paraId="5E2C3C9A"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17,106.29</w:t>
            </w:r>
          </w:p>
        </w:tc>
        <w:tc>
          <w:tcPr>
            <w:tcW w:w="748" w:type="pct"/>
            <w:noWrap/>
            <w:vAlign w:val="center"/>
            <w:hideMark/>
          </w:tcPr>
          <w:p w14:paraId="621DDB6D"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104,515.48</w:t>
            </w:r>
          </w:p>
        </w:tc>
        <w:tc>
          <w:tcPr>
            <w:tcW w:w="748" w:type="pct"/>
            <w:noWrap/>
            <w:vAlign w:val="center"/>
            <w:hideMark/>
          </w:tcPr>
          <w:p w14:paraId="2E77CBA0"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607,950.83</w:t>
            </w:r>
          </w:p>
        </w:tc>
        <w:tc>
          <w:tcPr>
            <w:tcW w:w="698" w:type="pct"/>
            <w:noWrap/>
            <w:vAlign w:val="center"/>
            <w:hideMark/>
          </w:tcPr>
          <w:p w14:paraId="44CB899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795,828.79</w:t>
            </w:r>
          </w:p>
        </w:tc>
      </w:tr>
      <w:tr w:rsidR="00CD798F" w:rsidRPr="002F5FE5" w14:paraId="7FDBCEEC" w14:textId="77777777" w:rsidTr="00214723">
        <w:trPr>
          <w:cantSplit/>
          <w:trHeight w:val="454"/>
          <w:jc w:val="center"/>
        </w:trPr>
        <w:tc>
          <w:tcPr>
            <w:tcW w:w="895" w:type="pct"/>
            <w:vMerge/>
            <w:vAlign w:val="center"/>
            <w:hideMark/>
          </w:tcPr>
          <w:p w14:paraId="46129779" w14:textId="77777777" w:rsidR="00CD798F" w:rsidRPr="002F5FE5" w:rsidRDefault="00CD798F" w:rsidP="00214723">
            <w:pPr>
              <w:rPr>
                <w:rFonts w:ascii="Times New Roman" w:hAnsi="Times New Roman"/>
                <w:color w:val="000000"/>
              </w:rPr>
            </w:pPr>
          </w:p>
        </w:tc>
        <w:tc>
          <w:tcPr>
            <w:tcW w:w="1081" w:type="pct"/>
            <w:noWrap/>
            <w:vAlign w:val="center"/>
            <w:hideMark/>
          </w:tcPr>
          <w:p w14:paraId="5249E91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2023</w:t>
            </w:r>
            <w:r w:rsidRPr="002F5FE5">
              <w:rPr>
                <w:rFonts w:ascii="Times New Roman" w:hAnsi="Times New Roman"/>
                <w:color w:val="000000"/>
              </w:rPr>
              <w:t>年末</w:t>
            </w:r>
          </w:p>
        </w:tc>
        <w:tc>
          <w:tcPr>
            <w:tcW w:w="831" w:type="pct"/>
            <w:vAlign w:val="center"/>
          </w:tcPr>
          <w:p w14:paraId="787F823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43,345.08</w:t>
            </w:r>
          </w:p>
        </w:tc>
        <w:tc>
          <w:tcPr>
            <w:tcW w:w="748" w:type="pct"/>
            <w:noWrap/>
            <w:vAlign w:val="center"/>
            <w:hideMark/>
          </w:tcPr>
          <w:p w14:paraId="4EB3BC5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91,570.53</w:t>
            </w:r>
          </w:p>
        </w:tc>
        <w:tc>
          <w:tcPr>
            <w:tcW w:w="748" w:type="pct"/>
            <w:noWrap/>
            <w:vAlign w:val="center"/>
            <w:hideMark/>
          </w:tcPr>
          <w:p w14:paraId="604E3F22"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637,860.27</w:t>
            </w:r>
          </w:p>
        </w:tc>
        <w:tc>
          <w:tcPr>
            <w:tcW w:w="698" w:type="pct"/>
            <w:noWrap/>
            <w:vAlign w:val="center"/>
            <w:hideMark/>
          </w:tcPr>
          <w:p w14:paraId="34D8E527"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816,411.87</w:t>
            </w:r>
          </w:p>
        </w:tc>
      </w:tr>
      <w:tr w:rsidR="00CD798F" w:rsidRPr="002F5FE5" w14:paraId="016AE8FF" w14:textId="77777777" w:rsidTr="00214723">
        <w:trPr>
          <w:cantSplit/>
          <w:trHeight w:val="454"/>
          <w:jc w:val="center"/>
        </w:trPr>
        <w:tc>
          <w:tcPr>
            <w:tcW w:w="895" w:type="pct"/>
            <w:vMerge/>
            <w:vAlign w:val="center"/>
            <w:hideMark/>
          </w:tcPr>
          <w:p w14:paraId="2E9E380F" w14:textId="77777777" w:rsidR="00CD798F" w:rsidRPr="002F5FE5" w:rsidRDefault="00CD798F" w:rsidP="00214723">
            <w:pPr>
              <w:rPr>
                <w:rFonts w:ascii="Times New Roman" w:hAnsi="Times New Roman"/>
                <w:color w:val="000000"/>
              </w:rPr>
            </w:pPr>
          </w:p>
        </w:tc>
        <w:tc>
          <w:tcPr>
            <w:tcW w:w="1081" w:type="pct"/>
            <w:noWrap/>
            <w:vAlign w:val="center"/>
            <w:hideMark/>
          </w:tcPr>
          <w:p w14:paraId="06D968E6" w14:textId="77777777" w:rsidR="00CD798F" w:rsidRPr="002F5FE5" w:rsidRDefault="00CD798F" w:rsidP="00214723">
            <w:pPr>
              <w:rPr>
                <w:rFonts w:ascii="Times New Roman" w:hAnsi="Times New Roman"/>
                <w:b/>
                <w:bCs/>
                <w:color w:val="000000"/>
              </w:rPr>
            </w:pPr>
            <w:r w:rsidRPr="002F5FE5">
              <w:rPr>
                <w:rFonts w:ascii="Times New Roman" w:hAnsi="Times New Roman"/>
                <w:b/>
                <w:bCs/>
                <w:color w:val="000000"/>
              </w:rPr>
              <w:t>均值</w:t>
            </w:r>
          </w:p>
        </w:tc>
        <w:tc>
          <w:tcPr>
            <w:tcW w:w="831" w:type="pct"/>
            <w:vAlign w:val="center"/>
          </w:tcPr>
          <w:p w14:paraId="5D9A040A"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rPr>
              <w:t>26,392.90</w:t>
            </w:r>
          </w:p>
        </w:tc>
        <w:tc>
          <w:tcPr>
            <w:tcW w:w="748" w:type="pct"/>
            <w:noWrap/>
            <w:vAlign w:val="center"/>
            <w:hideMark/>
          </w:tcPr>
          <w:p w14:paraId="7899CE38"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102,317.04</w:t>
            </w:r>
          </w:p>
        </w:tc>
        <w:tc>
          <w:tcPr>
            <w:tcW w:w="748" w:type="pct"/>
            <w:noWrap/>
            <w:vAlign w:val="center"/>
            <w:hideMark/>
          </w:tcPr>
          <w:p w14:paraId="3F892B56"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614,865.69</w:t>
            </w:r>
          </w:p>
        </w:tc>
        <w:tc>
          <w:tcPr>
            <w:tcW w:w="698" w:type="pct"/>
            <w:noWrap/>
            <w:vAlign w:val="center"/>
            <w:hideMark/>
          </w:tcPr>
          <w:p w14:paraId="0C5058CA"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796,152.86</w:t>
            </w:r>
          </w:p>
        </w:tc>
      </w:tr>
      <w:tr w:rsidR="00CD798F" w:rsidRPr="002F5FE5" w14:paraId="555D7580" w14:textId="77777777" w:rsidTr="00214723">
        <w:trPr>
          <w:cantSplit/>
          <w:trHeight w:val="454"/>
          <w:jc w:val="center"/>
        </w:trPr>
        <w:tc>
          <w:tcPr>
            <w:tcW w:w="895" w:type="pct"/>
            <w:vMerge w:val="restart"/>
            <w:noWrap/>
            <w:vAlign w:val="center"/>
            <w:hideMark/>
          </w:tcPr>
          <w:p w14:paraId="7D79272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固定资产规模（万元）</w:t>
            </w:r>
          </w:p>
        </w:tc>
        <w:tc>
          <w:tcPr>
            <w:tcW w:w="1081" w:type="pct"/>
            <w:noWrap/>
            <w:vAlign w:val="center"/>
            <w:hideMark/>
          </w:tcPr>
          <w:p w14:paraId="2BE0A717"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2025</w:t>
            </w:r>
            <w:r w:rsidRPr="002F5FE5">
              <w:rPr>
                <w:rFonts w:ascii="Times New Roman" w:hAnsi="Times New Roman"/>
                <w:color w:val="000000"/>
              </w:rPr>
              <w:t>年</w:t>
            </w:r>
            <w:r w:rsidRPr="002F5FE5">
              <w:rPr>
                <w:rFonts w:ascii="Times New Roman" w:hAnsi="Times New Roman"/>
                <w:color w:val="000000"/>
              </w:rPr>
              <w:t>6</w:t>
            </w:r>
            <w:r w:rsidRPr="002F5FE5">
              <w:rPr>
                <w:rFonts w:ascii="Times New Roman" w:hAnsi="Times New Roman"/>
                <w:color w:val="000000"/>
              </w:rPr>
              <w:t>月末</w:t>
            </w:r>
          </w:p>
        </w:tc>
        <w:tc>
          <w:tcPr>
            <w:tcW w:w="831" w:type="pct"/>
            <w:vAlign w:val="center"/>
          </w:tcPr>
          <w:p w14:paraId="6476F62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924.92</w:t>
            </w:r>
          </w:p>
        </w:tc>
        <w:tc>
          <w:tcPr>
            <w:tcW w:w="748" w:type="pct"/>
            <w:noWrap/>
            <w:vAlign w:val="center"/>
            <w:hideMark/>
          </w:tcPr>
          <w:p w14:paraId="42CDCCA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5,223.91</w:t>
            </w:r>
          </w:p>
        </w:tc>
        <w:tc>
          <w:tcPr>
            <w:tcW w:w="748" w:type="pct"/>
            <w:noWrap/>
            <w:vAlign w:val="center"/>
            <w:hideMark/>
          </w:tcPr>
          <w:p w14:paraId="6C30C2A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146,721.47</w:t>
            </w:r>
          </w:p>
        </w:tc>
        <w:tc>
          <w:tcPr>
            <w:tcW w:w="698" w:type="pct"/>
            <w:noWrap/>
            <w:vAlign w:val="center"/>
            <w:hideMark/>
          </w:tcPr>
          <w:p w14:paraId="25A8BCBD"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56,416.34</w:t>
            </w:r>
          </w:p>
        </w:tc>
      </w:tr>
      <w:tr w:rsidR="00CD798F" w:rsidRPr="002F5FE5" w14:paraId="3EF8625A" w14:textId="77777777" w:rsidTr="00214723">
        <w:trPr>
          <w:cantSplit/>
          <w:trHeight w:val="454"/>
          <w:jc w:val="center"/>
        </w:trPr>
        <w:tc>
          <w:tcPr>
            <w:tcW w:w="895" w:type="pct"/>
            <w:vMerge/>
            <w:vAlign w:val="center"/>
            <w:hideMark/>
          </w:tcPr>
          <w:p w14:paraId="7D719D57" w14:textId="77777777" w:rsidR="00CD798F" w:rsidRPr="002F5FE5" w:rsidRDefault="00CD798F" w:rsidP="00214723">
            <w:pPr>
              <w:rPr>
                <w:rFonts w:ascii="Times New Roman" w:hAnsi="Times New Roman"/>
                <w:color w:val="000000"/>
              </w:rPr>
            </w:pPr>
          </w:p>
        </w:tc>
        <w:tc>
          <w:tcPr>
            <w:tcW w:w="1081" w:type="pct"/>
            <w:noWrap/>
            <w:vAlign w:val="center"/>
            <w:hideMark/>
          </w:tcPr>
          <w:p w14:paraId="0AAE1DC0"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2024</w:t>
            </w:r>
            <w:r w:rsidRPr="002F5FE5">
              <w:rPr>
                <w:rFonts w:ascii="Times New Roman" w:hAnsi="Times New Roman"/>
                <w:color w:val="000000"/>
              </w:rPr>
              <w:t>年末</w:t>
            </w:r>
          </w:p>
        </w:tc>
        <w:tc>
          <w:tcPr>
            <w:tcW w:w="831" w:type="pct"/>
            <w:vAlign w:val="center"/>
          </w:tcPr>
          <w:p w14:paraId="54B80E10"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1,026.86</w:t>
            </w:r>
          </w:p>
        </w:tc>
        <w:tc>
          <w:tcPr>
            <w:tcW w:w="748" w:type="pct"/>
            <w:noWrap/>
            <w:vAlign w:val="center"/>
            <w:hideMark/>
          </w:tcPr>
          <w:p w14:paraId="3400684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4,500.65</w:t>
            </w:r>
          </w:p>
        </w:tc>
        <w:tc>
          <w:tcPr>
            <w:tcW w:w="748" w:type="pct"/>
            <w:noWrap/>
            <w:vAlign w:val="center"/>
            <w:hideMark/>
          </w:tcPr>
          <w:p w14:paraId="0EAE7924"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152,566.56</w:t>
            </w:r>
          </w:p>
        </w:tc>
        <w:tc>
          <w:tcPr>
            <w:tcW w:w="698" w:type="pct"/>
            <w:noWrap/>
            <w:vAlign w:val="center"/>
            <w:hideMark/>
          </w:tcPr>
          <w:p w14:paraId="566A16C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58,199.32</w:t>
            </w:r>
          </w:p>
        </w:tc>
      </w:tr>
      <w:tr w:rsidR="00CD798F" w:rsidRPr="002F5FE5" w14:paraId="5F2D83DC" w14:textId="77777777" w:rsidTr="00214723">
        <w:trPr>
          <w:cantSplit/>
          <w:trHeight w:val="454"/>
          <w:jc w:val="center"/>
        </w:trPr>
        <w:tc>
          <w:tcPr>
            <w:tcW w:w="895" w:type="pct"/>
            <w:vMerge/>
            <w:vAlign w:val="center"/>
            <w:hideMark/>
          </w:tcPr>
          <w:p w14:paraId="59E1E7EB" w14:textId="77777777" w:rsidR="00CD798F" w:rsidRPr="002F5FE5" w:rsidRDefault="00CD798F" w:rsidP="00214723">
            <w:pPr>
              <w:rPr>
                <w:rFonts w:ascii="Times New Roman" w:hAnsi="Times New Roman"/>
                <w:color w:val="000000"/>
              </w:rPr>
            </w:pPr>
          </w:p>
        </w:tc>
        <w:tc>
          <w:tcPr>
            <w:tcW w:w="1081" w:type="pct"/>
            <w:noWrap/>
            <w:vAlign w:val="center"/>
            <w:hideMark/>
          </w:tcPr>
          <w:p w14:paraId="4A8AF850"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2023</w:t>
            </w:r>
            <w:r w:rsidRPr="002F5FE5">
              <w:rPr>
                <w:rFonts w:ascii="Times New Roman" w:hAnsi="Times New Roman"/>
                <w:color w:val="000000"/>
              </w:rPr>
              <w:t>年末</w:t>
            </w:r>
          </w:p>
        </w:tc>
        <w:tc>
          <w:tcPr>
            <w:tcW w:w="831" w:type="pct"/>
            <w:vAlign w:val="center"/>
          </w:tcPr>
          <w:p w14:paraId="5064FC03"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1,075.14</w:t>
            </w:r>
          </w:p>
        </w:tc>
        <w:tc>
          <w:tcPr>
            <w:tcW w:w="748" w:type="pct"/>
            <w:noWrap/>
            <w:vAlign w:val="center"/>
            <w:hideMark/>
          </w:tcPr>
          <w:p w14:paraId="4D24EEF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4,669.13</w:t>
            </w:r>
          </w:p>
        </w:tc>
        <w:tc>
          <w:tcPr>
            <w:tcW w:w="748" w:type="pct"/>
            <w:noWrap/>
            <w:vAlign w:val="center"/>
            <w:hideMark/>
          </w:tcPr>
          <w:p w14:paraId="1CF00E1D"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140,060.46</w:t>
            </w:r>
          </w:p>
        </w:tc>
        <w:tc>
          <w:tcPr>
            <w:tcW w:w="698" w:type="pct"/>
            <w:noWrap/>
            <w:vAlign w:val="center"/>
            <w:hideMark/>
          </w:tcPr>
          <w:p w14:paraId="405A319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62,270.98</w:t>
            </w:r>
          </w:p>
        </w:tc>
      </w:tr>
      <w:tr w:rsidR="00CD798F" w:rsidRPr="002F5FE5" w14:paraId="6EF26642" w14:textId="77777777" w:rsidTr="00214723">
        <w:trPr>
          <w:cantSplit/>
          <w:trHeight w:val="454"/>
          <w:jc w:val="center"/>
        </w:trPr>
        <w:tc>
          <w:tcPr>
            <w:tcW w:w="895" w:type="pct"/>
            <w:vMerge/>
            <w:vAlign w:val="center"/>
            <w:hideMark/>
          </w:tcPr>
          <w:p w14:paraId="7028817C" w14:textId="77777777" w:rsidR="00CD798F" w:rsidRPr="002F5FE5" w:rsidRDefault="00CD798F" w:rsidP="00214723">
            <w:pPr>
              <w:rPr>
                <w:rFonts w:ascii="Times New Roman" w:hAnsi="Times New Roman"/>
                <w:color w:val="000000"/>
              </w:rPr>
            </w:pPr>
          </w:p>
        </w:tc>
        <w:tc>
          <w:tcPr>
            <w:tcW w:w="1081" w:type="pct"/>
            <w:noWrap/>
            <w:vAlign w:val="center"/>
            <w:hideMark/>
          </w:tcPr>
          <w:p w14:paraId="5CFC67D5" w14:textId="77777777" w:rsidR="00CD798F" w:rsidRPr="002F5FE5" w:rsidRDefault="00CD798F" w:rsidP="00214723">
            <w:pPr>
              <w:rPr>
                <w:rFonts w:ascii="Times New Roman" w:hAnsi="Times New Roman"/>
                <w:b/>
                <w:bCs/>
                <w:color w:val="000000"/>
              </w:rPr>
            </w:pPr>
            <w:r w:rsidRPr="002F5FE5">
              <w:rPr>
                <w:rFonts w:ascii="Times New Roman" w:hAnsi="Times New Roman"/>
                <w:b/>
                <w:bCs/>
                <w:color w:val="000000"/>
              </w:rPr>
              <w:t>均值</w:t>
            </w:r>
          </w:p>
        </w:tc>
        <w:tc>
          <w:tcPr>
            <w:tcW w:w="831" w:type="pct"/>
            <w:vAlign w:val="center"/>
          </w:tcPr>
          <w:p w14:paraId="5A2844E6"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rPr>
              <w:t>1,008.97</w:t>
            </w:r>
          </w:p>
        </w:tc>
        <w:tc>
          <w:tcPr>
            <w:tcW w:w="748" w:type="pct"/>
            <w:noWrap/>
            <w:vAlign w:val="center"/>
            <w:hideMark/>
          </w:tcPr>
          <w:p w14:paraId="55E80252"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4,797.90</w:t>
            </w:r>
          </w:p>
        </w:tc>
        <w:tc>
          <w:tcPr>
            <w:tcW w:w="748" w:type="pct"/>
            <w:noWrap/>
            <w:vAlign w:val="center"/>
            <w:hideMark/>
          </w:tcPr>
          <w:p w14:paraId="40ADEAAA"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146,449.50</w:t>
            </w:r>
          </w:p>
        </w:tc>
        <w:tc>
          <w:tcPr>
            <w:tcW w:w="698" w:type="pct"/>
            <w:noWrap/>
            <w:vAlign w:val="center"/>
            <w:hideMark/>
          </w:tcPr>
          <w:p w14:paraId="6B1064A8"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58,962.21</w:t>
            </w:r>
          </w:p>
        </w:tc>
      </w:tr>
      <w:tr w:rsidR="00CD798F" w:rsidRPr="002F5FE5" w14:paraId="5264AA93" w14:textId="77777777" w:rsidTr="00214723">
        <w:trPr>
          <w:cantSplit/>
          <w:trHeight w:val="454"/>
          <w:jc w:val="center"/>
        </w:trPr>
        <w:tc>
          <w:tcPr>
            <w:tcW w:w="895" w:type="pct"/>
            <w:vMerge w:val="restart"/>
            <w:noWrap/>
            <w:vAlign w:val="center"/>
            <w:hideMark/>
          </w:tcPr>
          <w:p w14:paraId="6449DB1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其中：房屋建筑物（万元）</w:t>
            </w:r>
          </w:p>
        </w:tc>
        <w:tc>
          <w:tcPr>
            <w:tcW w:w="1081" w:type="pct"/>
            <w:noWrap/>
            <w:vAlign w:val="center"/>
            <w:hideMark/>
          </w:tcPr>
          <w:p w14:paraId="0067484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2025</w:t>
            </w:r>
            <w:r w:rsidRPr="002F5FE5">
              <w:rPr>
                <w:rFonts w:ascii="Times New Roman" w:hAnsi="Times New Roman"/>
                <w:color w:val="000000"/>
              </w:rPr>
              <w:t>年</w:t>
            </w:r>
            <w:r w:rsidRPr="002F5FE5">
              <w:rPr>
                <w:rFonts w:ascii="Times New Roman" w:hAnsi="Times New Roman"/>
                <w:color w:val="000000"/>
              </w:rPr>
              <w:t>6</w:t>
            </w:r>
            <w:r w:rsidRPr="002F5FE5">
              <w:rPr>
                <w:rFonts w:ascii="Times New Roman" w:hAnsi="Times New Roman"/>
                <w:color w:val="000000"/>
              </w:rPr>
              <w:t>月末</w:t>
            </w:r>
          </w:p>
        </w:tc>
        <w:tc>
          <w:tcPr>
            <w:tcW w:w="831" w:type="pct"/>
            <w:vAlign w:val="center"/>
          </w:tcPr>
          <w:p w14:paraId="154D228A"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c>
          <w:tcPr>
            <w:tcW w:w="748" w:type="pct"/>
            <w:noWrap/>
            <w:vAlign w:val="center"/>
            <w:hideMark/>
          </w:tcPr>
          <w:p w14:paraId="4B32D1F0"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4,194.72</w:t>
            </w:r>
          </w:p>
        </w:tc>
        <w:tc>
          <w:tcPr>
            <w:tcW w:w="748" w:type="pct"/>
            <w:noWrap/>
            <w:vAlign w:val="center"/>
            <w:hideMark/>
          </w:tcPr>
          <w:p w14:paraId="77ACC92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127,390.22</w:t>
            </w:r>
          </w:p>
        </w:tc>
        <w:tc>
          <w:tcPr>
            <w:tcW w:w="698" w:type="pct"/>
            <w:noWrap/>
            <w:vAlign w:val="center"/>
            <w:hideMark/>
          </w:tcPr>
          <w:p w14:paraId="3AAE78F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52,365.34</w:t>
            </w:r>
          </w:p>
        </w:tc>
      </w:tr>
      <w:tr w:rsidR="00CD798F" w:rsidRPr="002F5FE5" w14:paraId="32D3B6D5" w14:textId="77777777" w:rsidTr="00214723">
        <w:trPr>
          <w:cantSplit/>
          <w:trHeight w:val="454"/>
          <w:jc w:val="center"/>
        </w:trPr>
        <w:tc>
          <w:tcPr>
            <w:tcW w:w="895" w:type="pct"/>
            <w:vMerge/>
            <w:vAlign w:val="center"/>
            <w:hideMark/>
          </w:tcPr>
          <w:p w14:paraId="7AF09E5E" w14:textId="77777777" w:rsidR="00CD798F" w:rsidRPr="002F5FE5" w:rsidRDefault="00CD798F" w:rsidP="00214723">
            <w:pPr>
              <w:rPr>
                <w:rFonts w:ascii="Times New Roman" w:hAnsi="Times New Roman"/>
                <w:color w:val="000000"/>
              </w:rPr>
            </w:pPr>
          </w:p>
        </w:tc>
        <w:tc>
          <w:tcPr>
            <w:tcW w:w="1081" w:type="pct"/>
            <w:noWrap/>
            <w:vAlign w:val="center"/>
            <w:hideMark/>
          </w:tcPr>
          <w:p w14:paraId="7BF87B9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2024</w:t>
            </w:r>
            <w:r w:rsidRPr="002F5FE5">
              <w:rPr>
                <w:rFonts w:ascii="Times New Roman" w:hAnsi="Times New Roman"/>
                <w:color w:val="000000"/>
              </w:rPr>
              <w:t>年末</w:t>
            </w:r>
          </w:p>
        </w:tc>
        <w:tc>
          <w:tcPr>
            <w:tcW w:w="831" w:type="pct"/>
            <w:vAlign w:val="center"/>
          </w:tcPr>
          <w:p w14:paraId="06AA9BBD"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c>
          <w:tcPr>
            <w:tcW w:w="748" w:type="pct"/>
            <w:noWrap/>
            <w:vAlign w:val="center"/>
            <w:hideMark/>
          </w:tcPr>
          <w:p w14:paraId="5A255E93"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3,863.60</w:t>
            </w:r>
          </w:p>
        </w:tc>
        <w:tc>
          <w:tcPr>
            <w:tcW w:w="748" w:type="pct"/>
            <w:noWrap/>
            <w:vAlign w:val="center"/>
            <w:hideMark/>
          </w:tcPr>
          <w:p w14:paraId="66AA2117"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129,996.86</w:t>
            </w:r>
          </w:p>
        </w:tc>
        <w:tc>
          <w:tcPr>
            <w:tcW w:w="698" w:type="pct"/>
            <w:noWrap/>
            <w:vAlign w:val="center"/>
            <w:hideMark/>
          </w:tcPr>
          <w:p w14:paraId="27C45A94"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2,247.58</w:t>
            </w:r>
          </w:p>
        </w:tc>
      </w:tr>
      <w:tr w:rsidR="00CD798F" w:rsidRPr="002F5FE5" w14:paraId="2643B657" w14:textId="77777777" w:rsidTr="00214723">
        <w:trPr>
          <w:cantSplit/>
          <w:trHeight w:val="454"/>
          <w:jc w:val="center"/>
        </w:trPr>
        <w:tc>
          <w:tcPr>
            <w:tcW w:w="895" w:type="pct"/>
            <w:vMerge/>
            <w:vAlign w:val="center"/>
            <w:hideMark/>
          </w:tcPr>
          <w:p w14:paraId="7F19E5C3" w14:textId="77777777" w:rsidR="00CD798F" w:rsidRPr="002F5FE5" w:rsidRDefault="00CD798F" w:rsidP="00214723">
            <w:pPr>
              <w:rPr>
                <w:rFonts w:ascii="Times New Roman" w:hAnsi="Times New Roman"/>
                <w:color w:val="000000"/>
              </w:rPr>
            </w:pPr>
          </w:p>
        </w:tc>
        <w:tc>
          <w:tcPr>
            <w:tcW w:w="1081" w:type="pct"/>
            <w:noWrap/>
            <w:vAlign w:val="center"/>
            <w:hideMark/>
          </w:tcPr>
          <w:p w14:paraId="1F90689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2023</w:t>
            </w:r>
            <w:r w:rsidRPr="002F5FE5">
              <w:rPr>
                <w:rFonts w:ascii="Times New Roman" w:hAnsi="Times New Roman"/>
                <w:color w:val="000000"/>
              </w:rPr>
              <w:t>年末</w:t>
            </w:r>
          </w:p>
        </w:tc>
        <w:tc>
          <w:tcPr>
            <w:tcW w:w="831" w:type="pct"/>
            <w:vAlign w:val="center"/>
          </w:tcPr>
          <w:p w14:paraId="020A5C21"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c>
          <w:tcPr>
            <w:tcW w:w="748" w:type="pct"/>
            <w:noWrap/>
            <w:vAlign w:val="center"/>
            <w:hideMark/>
          </w:tcPr>
          <w:p w14:paraId="627D129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4,087.54</w:t>
            </w:r>
          </w:p>
        </w:tc>
        <w:tc>
          <w:tcPr>
            <w:tcW w:w="748" w:type="pct"/>
            <w:noWrap/>
            <w:vAlign w:val="center"/>
            <w:hideMark/>
          </w:tcPr>
          <w:p w14:paraId="733EF1F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117,524.72</w:t>
            </w:r>
          </w:p>
        </w:tc>
        <w:tc>
          <w:tcPr>
            <w:tcW w:w="698" w:type="pct"/>
            <w:noWrap/>
            <w:vAlign w:val="center"/>
            <w:hideMark/>
          </w:tcPr>
          <w:p w14:paraId="50D569A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2,412.62</w:t>
            </w:r>
          </w:p>
        </w:tc>
      </w:tr>
      <w:tr w:rsidR="00CD798F" w:rsidRPr="002F5FE5" w14:paraId="25EB4B7D" w14:textId="77777777" w:rsidTr="00214723">
        <w:trPr>
          <w:cantSplit/>
          <w:trHeight w:val="454"/>
          <w:jc w:val="center"/>
        </w:trPr>
        <w:tc>
          <w:tcPr>
            <w:tcW w:w="895" w:type="pct"/>
            <w:vMerge/>
            <w:vAlign w:val="center"/>
            <w:hideMark/>
          </w:tcPr>
          <w:p w14:paraId="0EB6ECB1" w14:textId="77777777" w:rsidR="00CD798F" w:rsidRPr="002F5FE5" w:rsidRDefault="00CD798F" w:rsidP="00214723">
            <w:pPr>
              <w:rPr>
                <w:rFonts w:ascii="Times New Roman" w:hAnsi="Times New Roman"/>
                <w:color w:val="000000"/>
              </w:rPr>
            </w:pPr>
          </w:p>
        </w:tc>
        <w:tc>
          <w:tcPr>
            <w:tcW w:w="1081" w:type="pct"/>
            <w:noWrap/>
            <w:vAlign w:val="center"/>
            <w:hideMark/>
          </w:tcPr>
          <w:p w14:paraId="1AA307E9" w14:textId="77777777" w:rsidR="00CD798F" w:rsidRPr="002F5FE5" w:rsidRDefault="00CD798F" w:rsidP="00214723">
            <w:pPr>
              <w:rPr>
                <w:rFonts w:ascii="Times New Roman" w:hAnsi="Times New Roman"/>
                <w:b/>
                <w:bCs/>
                <w:color w:val="000000"/>
              </w:rPr>
            </w:pPr>
            <w:r w:rsidRPr="002F5FE5">
              <w:rPr>
                <w:rFonts w:ascii="Times New Roman" w:hAnsi="Times New Roman"/>
                <w:b/>
                <w:bCs/>
                <w:color w:val="000000"/>
              </w:rPr>
              <w:t>均值</w:t>
            </w:r>
          </w:p>
        </w:tc>
        <w:tc>
          <w:tcPr>
            <w:tcW w:w="831" w:type="pct"/>
            <w:vAlign w:val="center"/>
          </w:tcPr>
          <w:p w14:paraId="7B7345AA"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rPr>
              <w:t>-</w:t>
            </w:r>
          </w:p>
        </w:tc>
        <w:tc>
          <w:tcPr>
            <w:tcW w:w="748" w:type="pct"/>
            <w:noWrap/>
            <w:vAlign w:val="center"/>
            <w:hideMark/>
          </w:tcPr>
          <w:p w14:paraId="10448AAA"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4,048.62</w:t>
            </w:r>
          </w:p>
        </w:tc>
        <w:tc>
          <w:tcPr>
            <w:tcW w:w="748" w:type="pct"/>
            <w:noWrap/>
            <w:vAlign w:val="center"/>
            <w:hideMark/>
          </w:tcPr>
          <w:p w14:paraId="308851A2"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124,970.60</w:t>
            </w:r>
          </w:p>
        </w:tc>
        <w:tc>
          <w:tcPr>
            <w:tcW w:w="698" w:type="pct"/>
            <w:noWrap/>
            <w:vAlign w:val="center"/>
            <w:hideMark/>
          </w:tcPr>
          <w:p w14:paraId="78B07E54"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19,008.51</w:t>
            </w:r>
          </w:p>
        </w:tc>
      </w:tr>
      <w:tr w:rsidR="00CD798F" w:rsidRPr="002F5FE5" w14:paraId="5367C81F" w14:textId="77777777" w:rsidTr="00214723">
        <w:trPr>
          <w:cantSplit/>
          <w:trHeight w:val="454"/>
          <w:jc w:val="center"/>
        </w:trPr>
        <w:tc>
          <w:tcPr>
            <w:tcW w:w="895" w:type="pct"/>
            <w:vMerge w:val="restart"/>
            <w:noWrap/>
            <w:vAlign w:val="center"/>
            <w:hideMark/>
          </w:tcPr>
          <w:p w14:paraId="4EBBAE56"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固定资产占净资产比例</w:t>
            </w:r>
          </w:p>
        </w:tc>
        <w:tc>
          <w:tcPr>
            <w:tcW w:w="1081" w:type="pct"/>
            <w:noWrap/>
            <w:vAlign w:val="center"/>
            <w:hideMark/>
          </w:tcPr>
          <w:p w14:paraId="111BEE5D"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2025</w:t>
            </w:r>
            <w:r w:rsidRPr="002F5FE5">
              <w:rPr>
                <w:rFonts w:ascii="Times New Roman" w:hAnsi="Times New Roman"/>
                <w:color w:val="000000"/>
              </w:rPr>
              <w:t>年</w:t>
            </w:r>
            <w:r w:rsidRPr="002F5FE5">
              <w:rPr>
                <w:rFonts w:ascii="Times New Roman" w:hAnsi="Times New Roman"/>
                <w:color w:val="000000"/>
              </w:rPr>
              <w:t>6</w:t>
            </w:r>
            <w:r w:rsidRPr="002F5FE5">
              <w:rPr>
                <w:rFonts w:ascii="Times New Roman" w:hAnsi="Times New Roman"/>
                <w:color w:val="000000"/>
              </w:rPr>
              <w:t>月末</w:t>
            </w:r>
          </w:p>
        </w:tc>
        <w:tc>
          <w:tcPr>
            <w:tcW w:w="831" w:type="pct"/>
            <w:vAlign w:val="center"/>
          </w:tcPr>
          <w:p w14:paraId="77942672"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4.94%</w:t>
            </w:r>
          </w:p>
        </w:tc>
        <w:tc>
          <w:tcPr>
            <w:tcW w:w="748" w:type="pct"/>
            <w:noWrap/>
            <w:vAlign w:val="center"/>
            <w:hideMark/>
          </w:tcPr>
          <w:p w14:paraId="0993DA41"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4.71%</w:t>
            </w:r>
          </w:p>
        </w:tc>
        <w:tc>
          <w:tcPr>
            <w:tcW w:w="748" w:type="pct"/>
            <w:noWrap/>
            <w:vAlign w:val="center"/>
            <w:hideMark/>
          </w:tcPr>
          <w:p w14:paraId="0828A664"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24.50%</w:t>
            </w:r>
          </w:p>
        </w:tc>
        <w:tc>
          <w:tcPr>
            <w:tcW w:w="698" w:type="pct"/>
            <w:noWrap/>
            <w:vAlign w:val="center"/>
            <w:hideMark/>
          </w:tcPr>
          <w:p w14:paraId="1A83F557"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7.27%</w:t>
            </w:r>
          </w:p>
        </w:tc>
      </w:tr>
      <w:tr w:rsidR="00CD798F" w:rsidRPr="002F5FE5" w14:paraId="66CFC3D3" w14:textId="77777777" w:rsidTr="00214723">
        <w:trPr>
          <w:cantSplit/>
          <w:trHeight w:val="454"/>
          <w:jc w:val="center"/>
        </w:trPr>
        <w:tc>
          <w:tcPr>
            <w:tcW w:w="895" w:type="pct"/>
            <w:vMerge/>
            <w:vAlign w:val="center"/>
            <w:hideMark/>
          </w:tcPr>
          <w:p w14:paraId="4F752BF8" w14:textId="77777777" w:rsidR="00CD798F" w:rsidRPr="002F5FE5" w:rsidRDefault="00CD798F" w:rsidP="00214723">
            <w:pPr>
              <w:rPr>
                <w:rFonts w:ascii="Times New Roman" w:hAnsi="Times New Roman"/>
                <w:color w:val="000000"/>
              </w:rPr>
            </w:pPr>
          </w:p>
        </w:tc>
        <w:tc>
          <w:tcPr>
            <w:tcW w:w="1081" w:type="pct"/>
            <w:noWrap/>
            <w:vAlign w:val="center"/>
            <w:hideMark/>
          </w:tcPr>
          <w:p w14:paraId="5D24B9B6"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2024</w:t>
            </w:r>
            <w:r w:rsidRPr="002F5FE5">
              <w:rPr>
                <w:rFonts w:ascii="Times New Roman" w:hAnsi="Times New Roman"/>
                <w:color w:val="000000"/>
              </w:rPr>
              <w:t>年末</w:t>
            </w:r>
          </w:p>
        </w:tc>
        <w:tc>
          <w:tcPr>
            <w:tcW w:w="831" w:type="pct"/>
            <w:vAlign w:val="center"/>
          </w:tcPr>
          <w:p w14:paraId="64F5552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6.00%</w:t>
            </w:r>
          </w:p>
        </w:tc>
        <w:tc>
          <w:tcPr>
            <w:tcW w:w="748" w:type="pct"/>
            <w:noWrap/>
            <w:vAlign w:val="center"/>
            <w:hideMark/>
          </w:tcPr>
          <w:p w14:paraId="32D1AC4A"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4.31%</w:t>
            </w:r>
          </w:p>
        </w:tc>
        <w:tc>
          <w:tcPr>
            <w:tcW w:w="748" w:type="pct"/>
            <w:noWrap/>
            <w:vAlign w:val="center"/>
            <w:hideMark/>
          </w:tcPr>
          <w:p w14:paraId="30CB5FE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25.10%</w:t>
            </w:r>
          </w:p>
        </w:tc>
        <w:tc>
          <w:tcPr>
            <w:tcW w:w="698" w:type="pct"/>
            <w:noWrap/>
            <w:vAlign w:val="center"/>
            <w:hideMark/>
          </w:tcPr>
          <w:p w14:paraId="052B3CF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7.31%</w:t>
            </w:r>
          </w:p>
        </w:tc>
      </w:tr>
      <w:tr w:rsidR="00CD798F" w:rsidRPr="002F5FE5" w14:paraId="1A6E81A5" w14:textId="77777777" w:rsidTr="00214723">
        <w:trPr>
          <w:cantSplit/>
          <w:trHeight w:val="454"/>
          <w:jc w:val="center"/>
        </w:trPr>
        <w:tc>
          <w:tcPr>
            <w:tcW w:w="895" w:type="pct"/>
            <w:vMerge/>
            <w:vAlign w:val="center"/>
            <w:hideMark/>
          </w:tcPr>
          <w:p w14:paraId="4B98508A" w14:textId="77777777" w:rsidR="00CD798F" w:rsidRPr="002F5FE5" w:rsidRDefault="00CD798F" w:rsidP="00214723">
            <w:pPr>
              <w:rPr>
                <w:rFonts w:ascii="Times New Roman" w:hAnsi="Times New Roman"/>
                <w:color w:val="000000"/>
              </w:rPr>
            </w:pPr>
          </w:p>
        </w:tc>
        <w:tc>
          <w:tcPr>
            <w:tcW w:w="1081" w:type="pct"/>
            <w:noWrap/>
            <w:vAlign w:val="center"/>
            <w:hideMark/>
          </w:tcPr>
          <w:p w14:paraId="2D56A4A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2023</w:t>
            </w:r>
            <w:r w:rsidRPr="002F5FE5">
              <w:rPr>
                <w:rFonts w:ascii="Times New Roman" w:hAnsi="Times New Roman"/>
                <w:color w:val="000000"/>
              </w:rPr>
              <w:t>年末</w:t>
            </w:r>
          </w:p>
        </w:tc>
        <w:tc>
          <w:tcPr>
            <w:tcW w:w="831" w:type="pct"/>
            <w:vAlign w:val="center"/>
          </w:tcPr>
          <w:p w14:paraId="6FF6C74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2.48%</w:t>
            </w:r>
          </w:p>
        </w:tc>
        <w:tc>
          <w:tcPr>
            <w:tcW w:w="748" w:type="pct"/>
            <w:noWrap/>
            <w:vAlign w:val="center"/>
            <w:hideMark/>
          </w:tcPr>
          <w:p w14:paraId="69479BE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5.10%</w:t>
            </w:r>
          </w:p>
        </w:tc>
        <w:tc>
          <w:tcPr>
            <w:tcW w:w="748" w:type="pct"/>
            <w:noWrap/>
            <w:vAlign w:val="center"/>
            <w:hideMark/>
          </w:tcPr>
          <w:p w14:paraId="7B34ADE1"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21.96%</w:t>
            </w:r>
          </w:p>
        </w:tc>
        <w:tc>
          <w:tcPr>
            <w:tcW w:w="698" w:type="pct"/>
            <w:noWrap/>
            <w:vAlign w:val="center"/>
            <w:hideMark/>
          </w:tcPr>
          <w:p w14:paraId="2EFF7D1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7.63%</w:t>
            </w:r>
          </w:p>
        </w:tc>
      </w:tr>
      <w:tr w:rsidR="00CD798F" w:rsidRPr="002F5FE5" w14:paraId="0FCEBD6A" w14:textId="77777777" w:rsidTr="00214723">
        <w:trPr>
          <w:cantSplit/>
          <w:trHeight w:val="454"/>
          <w:jc w:val="center"/>
        </w:trPr>
        <w:tc>
          <w:tcPr>
            <w:tcW w:w="895" w:type="pct"/>
            <w:vMerge/>
            <w:vAlign w:val="center"/>
            <w:hideMark/>
          </w:tcPr>
          <w:p w14:paraId="1C7069D1" w14:textId="77777777" w:rsidR="00CD798F" w:rsidRPr="002F5FE5" w:rsidRDefault="00CD798F" w:rsidP="00214723">
            <w:pPr>
              <w:rPr>
                <w:rFonts w:ascii="Times New Roman" w:hAnsi="Times New Roman"/>
                <w:color w:val="000000"/>
              </w:rPr>
            </w:pPr>
          </w:p>
        </w:tc>
        <w:tc>
          <w:tcPr>
            <w:tcW w:w="1081" w:type="pct"/>
            <w:noWrap/>
            <w:vAlign w:val="center"/>
            <w:hideMark/>
          </w:tcPr>
          <w:p w14:paraId="1F98265C" w14:textId="77777777" w:rsidR="00CD798F" w:rsidRPr="002F5FE5" w:rsidRDefault="00CD798F" w:rsidP="00214723">
            <w:pPr>
              <w:rPr>
                <w:rFonts w:ascii="Times New Roman" w:hAnsi="Times New Roman"/>
                <w:b/>
                <w:bCs/>
                <w:color w:val="000000"/>
              </w:rPr>
            </w:pPr>
            <w:r w:rsidRPr="002F5FE5">
              <w:rPr>
                <w:rFonts w:ascii="Times New Roman" w:hAnsi="Times New Roman"/>
                <w:b/>
                <w:bCs/>
                <w:color w:val="000000"/>
              </w:rPr>
              <w:t>均值</w:t>
            </w:r>
          </w:p>
        </w:tc>
        <w:tc>
          <w:tcPr>
            <w:tcW w:w="831" w:type="pct"/>
            <w:vAlign w:val="center"/>
          </w:tcPr>
          <w:p w14:paraId="2B044A13"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3.82%</w:t>
            </w:r>
          </w:p>
        </w:tc>
        <w:tc>
          <w:tcPr>
            <w:tcW w:w="748" w:type="pct"/>
            <w:noWrap/>
            <w:vAlign w:val="center"/>
            <w:hideMark/>
          </w:tcPr>
          <w:p w14:paraId="5E9A8CA6"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4.69%</w:t>
            </w:r>
          </w:p>
        </w:tc>
        <w:tc>
          <w:tcPr>
            <w:tcW w:w="748" w:type="pct"/>
            <w:noWrap/>
            <w:vAlign w:val="center"/>
            <w:hideMark/>
          </w:tcPr>
          <w:p w14:paraId="6A129CA9"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23.82%</w:t>
            </w:r>
          </w:p>
        </w:tc>
        <w:tc>
          <w:tcPr>
            <w:tcW w:w="698" w:type="pct"/>
            <w:noWrap/>
            <w:vAlign w:val="center"/>
            <w:hideMark/>
          </w:tcPr>
          <w:p w14:paraId="6710EFDC" w14:textId="77777777" w:rsidR="00CD798F" w:rsidRPr="002F5FE5" w:rsidRDefault="00CD798F" w:rsidP="00214723">
            <w:pPr>
              <w:jc w:val="right"/>
              <w:rPr>
                <w:rFonts w:ascii="Times New Roman" w:hAnsi="Times New Roman"/>
                <w:b/>
                <w:bCs/>
                <w:color w:val="000000"/>
              </w:rPr>
            </w:pPr>
            <w:r w:rsidRPr="002F5FE5">
              <w:rPr>
                <w:rFonts w:ascii="Times New Roman" w:hAnsi="Times New Roman"/>
                <w:b/>
                <w:bCs/>
                <w:color w:val="000000"/>
                <w:szCs w:val="21"/>
              </w:rPr>
              <w:t>7.41%</w:t>
            </w:r>
          </w:p>
        </w:tc>
      </w:tr>
    </w:tbl>
    <w:p w14:paraId="094553F8" w14:textId="77777777" w:rsidR="00CD798F" w:rsidRDefault="00CD798F" w:rsidP="00CD798F">
      <w:pPr>
        <w:pStyle w:val="004"/>
        <w:spacing w:before="120" w:after="120"/>
        <w:ind w:firstLine="482"/>
        <w:outlineLvl w:val="4"/>
      </w:pPr>
      <w:r>
        <w:rPr>
          <w:rFonts w:hint="eastAsia"/>
        </w:rPr>
        <w:t>（</w:t>
      </w:r>
      <w:r>
        <w:rPr>
          <w:rFonts w:hint="eastAsia"/>
        </w:rPr>
        <w:t>1</w:t>
      </w:r>
      <w:r>
        <w:rPr>
          <w:rFonts w:hint="eastAsia"/>
        </w:rPr>
        <w:t>）</w:t>
      </w:r>
      <w:r w:rsidRPr="008E62DB">
        <w:rPr>
          <w:rFonts w:hint="eastAsia"/>
        </w:rPr>
        <w:t>广联达</w:t>
      </w:r>
    </w:p>
    <w:p w14:paraId="43B2F702" w14:textId="77777777" w:rsidR="00CD798F" w:rsidRDefault="00CD798F" w:rsidP="00CD798F">
      <w:pPr>
        <w:pStyle w:val="005"/>
        <w:spacing w:before="120" w:after="120"/>
        <w:ind w:firstLine="480"/>
      </w:pPr>
      <w:r>
        <w:rPr>
          <w:rFonts w:hint="eastAsia"/>
        </w:rPr>
        <w:t>报告期各期末</w:t>
      </w:r>
      <w:r w:rsidRPr="008E74C3">
        <w:rPr>
          <w:rFonts w:hint="eastAsia"/>
        </w:rPr>
        <w:t>广联达固定资产占资产总额比重</w:t>
      </w:r>
      <w:r>
        <w:rPr>
          <w:rFonts w:hint="eastAsia"/>
        </w:rPr>
        <w:t>均值为</w:t>
      </w:r>
      <w:r>
        <w:rPr>
          <w:rFonts w:hint="eastAsia"/>
        </w:rPr>
        <w:t>23.85%</w:t>
      </w:r>
      <w:r w:rsidRPr="008E74C3">
        <w:rPr>
          <w:rFonts w:hint="eastAsia"/>
        </w:rPr>
        <w:t>，主要</w:t>
      </w:r>
      <w:r>
        <w:rPr>
          <w:rFonts w:hint="eastAsia"/>
        </w:rPr>
        <w:t>系其</w:t>
      </w:r>
      <w:r w:rsidRPr="008E74C3">
        <w:rPr>
          <w:rFonts w:hint="eastAsia"/>
        </w:rPr>
        <w:t>购置的房屋及建筑物，远高于其他可比上市公司及标的公司，使得广联达业务规模及市盈率水平较大，但市净率水平较低</w:t>
      </w:r>
      <w:r>
        <w:rPr>
          <w:rFonts w:hint="eastAsia"/>
        </w:rPr>
        <w:t>。</w:t>
      </w:r>
    </w:p>
    <w:p w14:paraId="43BADE1E" w14:textId="77777777" w:rsidR="00CD798F" w:rsidRPr="008E74C3" w:rsidRDefault="00CD798F" w:rsidP="00CD798F">
      <w:pPr>
        <w:pStyle w:val="004"/>
        <w:spacing w:before="120" w:after="120"/>
        <w:ind w:firstLine="482"/>
        <w:outlineLvl w:val="4"/>
      </w:pPr>
      <w:r>
        <w:rPr>
          <w:rFonts w:hint="eastAsia"/>
        </w:rPr>
        <w:t>（</w:t>
      </w:r>
      <w:r>
        <w:rPr>
          <w:rFonts w:hint="eastAsia"/>
        </w:rPr>
        <w:t>2</w:t>
      </w:r>
      <w:r>
        <w:rPr>
          <w:rFonts w:hint="eastAsia"/>
        </w:rPr>
        <w:t>）</w:t>
      </w:r>
      <w:r w:rsidRPr="008E62DB">
        <w:rPr>
          <w:rFonts w:hint="eastAsia"/>
        </w:rPr>
        <w:t>映翰通</w:t>
      </w:r>
    </w:p>
    <w:p w14:paraId="72E80F4B" w14:textId="77777777" w:rsidR="00CD798F" w:rsidRDefault="00CD798F" w:rsidP="00CD798F">
      <w:pPr>
        <w:pStyle w:val="005"/>
        <w:spacing w:before="120" w:after="120"/>
        <w:ind w:firstLine="480"/>
      </w:pPr>
      <w:r w:rsidRPr="008E74C3">
        <w:rPr>
          <w:rFonts w:hint="eastAsia"/>
        </w:rPr>
        <w:t>映翰通主要向客户销售工业物联网产品、企业网络产品、数字配电网产品、智能售货控制系统产品等，系属物联网行业相关的传统制造业，生产模式为“自行生产为主、外协加工为辅”，与星云开物经营模式存在较大差异，故其市净</w:t>
      </w:r>
      <w:r>
        <w:rPr>
          <w:rFonts w:hint="eastAsia"/>
        </w:rPr>
        <w:t>率低于</w:t>
      </w:r>
      <w:r w:rsidRPr="008E74C3">
        <w:rPr>
          <w:rFonts w:hint="eastAsia"/>
        </w:rPr>
        <w:t>星云开物</w:t>
      </w:r>
      <w:r>
        <w:rPr>
          <w:rFonts w:hint="eastAsia"/>
        </w:rPr>
        <w:t>。</w:t>
      </w:r>
    </w:p>
    <w:p w14:paraId="4B9FADC0" w14:textId="77777777" w:rsidR="00CD798F" w:rsidRPr="008E74C3" w:rsidRDefault="00CD798F" w:rsidP="00CD798F">
      <w:pPr>
        <w:pStyle w:val="004"/>
        <w:spacing w:before="120" w:after="120"/>
        <w:ind w:firstLine="482"/>
        <w:outlineLvl w:val="4"/>
      </w:pPr>
      <w:r>
        <w:rPr>
          <w:rFonts w:hint="eastAsia"/>
        </w:rPr>
        <w:t>（</w:t>
      </w:r>
      <w:r>
        <w:rPr>
          <w:rFonts w:hint="eastAsia"/>
        </w:rPr>
        <w:t>3</w:t>
      </w:r>
      <w:r>
        <w:rPr>
          <w:rFonts w:hint="eastAsia"/>
        </w:rPr>
        <w:t>）</w:t>
      </w:r>
      <w:r w:rsidRPr="008E62DB">
        <w:rPr>
          <w:rFonts w:hint="eastAsia"/>
        </w:rPr>
        <w:t>石基信息</w:t>
      </w:r>
    </w:p>
    <w:p w14:paraId="47D9822E" w14:textId="77777777" w:rsidR="00CD798F" w:rsidRDefault="00CD798F" w:rsidP="00CD798F">
      <w:pPr>
        <w:pStyle w:val="005"/>
        <w:spacing w:before="120" w:after="120"/>
        <w:ind w:firstLine="480"/>
      </w:pPr>
      <w:r w:rsidRPr="008E74C3">
        <w:rPr>
          <w:rFonts w:hint="eastAsia"/>
        </w:rPr>
        <w:t>石基信息</w:t>
      </w:r>
      <w:r>
        <w:rPr>
          <w:rFonts w:hint="eastAsia"/>
        </w:rPr>
        <w:t>成立于</w:t>
      </w:r>
      <w:r>
        <w:rPr>
          <w:rFonts w:hint="eastAsia"/>
        </w:rPr>
        <w:t>1998</w:t>
      </w:r>
      <w:r>
        <w:rPr>
          <w:rFonts w:hint="eastAsia"/>
        </w:rPr>
        <w:t>年，于</w:t>
      </w:r>
      <w:r>
        <w:rPr>
          <w:rFonts w:hint="eastAsia"/>
        </w:rPr>
        <w:t>2007</w:t>
      </w:r>
      <w:r>
        <w:rPr>
          <w:rFonts w:hint="eastAsia"/>
        </w:rPr>
        <w:t>年上市，</w:t>
      </w:r>
      <w:r w:rsidRPr="00D23FC8">
        <w:rPr>
          <w:rFonts w:hint="eastAsia"/>
        </w:rPr>
        <w:t>石基信息</w:t>
      </w:r>
      <w:r>
        <w:rPr>
          <w:rFonts w:hint="eastAsia"/>
        </w:rPr>
        <w:t>持续深耕</w:t>
      </w:r>
      <w:r w:rsidRPr="00DA52C4">
        <w:rPr>
          <w:rFonts w:hint="eastAsia"/>
        </w:rPr>
        <w:t>酒店信息管理系统业务、社会餐饮信息管理系统业务、支付系统业务、零售信息管理系统业务</w:t>
      </w:r>
      <w:r>
        <w:rPr>
          <w:rFonts w:hint="eastAsia"/>
        </w:rPr>
        <w:t>等，经过多年资本积累，经营规模较大，报告期各期末，</w:t>
      </w:r>
      <w:r w:rsidRPr="00DA52C4">
        <w:rPr>
          <w:rFonts w:hint="eastAsia"/>
        </w:rPr>
        <w:t>石基信息</w:t>
      </w:r>
      <w:r>
        <w:rPr>
          <w:rFonts w:hint="eastAsia"/>
        </w:rPr>
        <w:t>货币资金余额分别为</w:t>
      </w:r>
      <w:r w:rsidRPr="00D23FC8">
        <w:t>453,950.80</w:t>
      </w:r>
      <w:r>
        <w:rPr>
          <w:rFonts w:hint="eastAsia"/>
        </w:rPr>
        <w:t>万元、</w:t>
      </w:r>
      <w:r w:rsidRPr="00D23FC8">
        <w:t>423,768.80</w:t>
      </w:r>
      <w:r>
        <w:rPr>
          <w:rFonts w:hint="eastAsia"/>
        </w:rPr>
        <w:t>万元和</w:t>
      </w:r>
      <w:r w:rsidRPr="00D23FC8">
        <w:t>402,452.88</w:t>
      </w:r>
      <w:r>
        <w:rPr>
          <w:rFonts w:hint="eastAsia"/>
        </w:rPr>
        <w:t>万元，占净资产比例分别为</w:t>
      </w:r>
      <w:r w:rsidRPr="00D23FC8">
        <w:t>55.60%</w:t>
      </w:r>
      <w:r>
        <w:rPr>
          <w:rFonts w:hint="eastAsia"/>
        </w:rPr>
        <w:t>、</w:t>
      </w:r>
      <w:r w:rsidRPr="00D23FC8">
        <w:t>53.25%</w:t>
      </w:r>
      <w:r>
        <w:rPr>
          <w:rFonts w:hint="eastAsia"/>
        </w:rPr>
        <w:t>和</w:t>
      </w:r>
      <w:r w:rsidRPr="00D23FC8">
        <w:lastRenderedPageBreak/>
        <w:t>51.85%</w:t>
      </w:r>
      <w:r>
        <w:rPr>
          <w:rFonts w:hint="eastAsia"/>
        </w:rPr>
        <w:t>，</w:t>
      </w:r>
      <w:r w:rsidRPr="00DA52C4">
        <w:rPr>
          <w:rFonts w:hint="eastAsia"/>
        </w:rPr>
        <w:t>使得石基信息</w:t>
      </w:r>
      <w:r>
        <w:rPr>
          <w:rFonts w:hint="eastAsia"/>
        </w:rPr>
        <w:t>整体</w:t>
      </w:r>
      <w:r w:rsidRPr="00DA52C4">
        <w:rPr>
          <w:rFonts w:hint="eastAsia"/>
        </w:rPr>
        <w:t>业务规模较大，市净率水平较低</w:t>
      </w:r>
      <w:r>
        <w:rPr>
          <w:rFonts w:hint="eastAsia"/>
        </w:rPr>
        <w:t>。</w:t>
      </w:r>
    </w:p>
    <w:p w14:paraId="7E63F9F8" w14:textId="77777777" w:rsidR="00CD798F" w:rsidRDefault="00CD798F" w:rsidP="00CD798F">
      <w:pPr>
        <w:pStyle w:val="004"/>
        <w:spacing w:before="120" w:after="120"/>
        <w:ind w:firstLine="482"/>
      </w:pPr>
      <w:r>
        <w:rPr>
          <w:rFonts w:hint="eastAsia"/>
        </w:rPr>
        <w:t>2</w:t>
      </w:r>
      <w:r>
        <w:rPr>
          <w:rFonts w:hint="eastAsia"/>
        </w:rPr>
        <w:t>、</w:t>
      </w:r>
      <w:r w:rsidRPr="00C30DDC">
        <w:rPr>
          <w:rFonts w:hint="eastAsia"/>
        </w:rPr>
        <w:t>股份回购</w:t>
      </w:r>
    </w:p>
    <w:p w14:paraId="5C79A870" w14:textId="77777777" w:rsidR="00CD798F" w:rsidRDefault="00CD798F" w:rsidP="00CD798F">
      <w:pPr>
        <w:pStyle w:val="005"/>
        <w:spacing w:before="120" w:after="120"/>
        <w:ind w:firstLine="480"/>
      </w:pPr>
      <w:r>
        <w:rPr>
          <w:rFonts w:hint="eastAsia"/>
        </w:rPr>
        <w:t>报告期各期末，</w:t>
      </w:r>
      <w:r w:rsidRPr="00C30DDC">
        <w:rPr>
          <w:rFonts w:hint="eastAsia"/>
        </w:rPr>
        <w:t>标的公司归属于母公司股东权益分别为</w:t>
      </w:r>
      <w:r w:rsidRPr="001D5343">
        <w:t>41,841.28</w:t>
      </w:r>
      <w:r>
        <w:rPr>
          <w:rFonts w:hint="eastAsia"/>
        </w:rPr>
        <w:t>万元、</w:t>
      </w:r>
      <w:r w:rsidRPr="001D5343">
        <w:t>14,682.14</w:t>
      </w:r>
      <w:r>
        <w:rPr>
          <w:rFonts w:hint="eastAsia"/>
        </w:rPr>
        <w:t>万元和</w:t>
      </w:r>
      <w:r w:rsidRPr="001D5343">
        <w:t>16,138.37</w:t>
      </w:r>
      <w:r>
        <w:rPr>
          <w:rFonts w:hint="eastAsia"/>
        </w:rPr>
        <w:t>万元</w:t>
      </w:r>
      <w:r w:rsidRPr="00C30DDC">
        <w:rPr>
          <w:rFonts w:hint="eastAsia"/>
        </w:rPr>
        <w:t>，</w:t>
      </w:r>
      <w:r>
        <w:rPr>
          <w:rFonts w:hint="eastAsia"/>
        </w:rPr>
        <w:t>其中</w:t>
      </w:r>
      <w:r>
        <w:rPr>
          <w:rFonts w:hint="eastAsia"/>
        </w:rPr>
        <w:t>2024</w:t>
      </w:r>
      <w:r>
        <w:rPr>
          <w:rFonts w:hint="eastAsia"/>
        </w:rPr>
        <w:t>年</w:t>
      </w:r>
      <w:r w:rsidRPr="00C30DDC">
        <w:rPr>
          <w:rFonts w:hint="eastAsia"/>
        </w:rPr>
        <w:t>出现显著下降，主要系由于标的公司在</w:t>
      </w:r>
      <w:r w:rsidRPr="00C30DDC">
        <w:rPr>
          <w:rFonts w:hint="eastAsia"/>
        </w:rPr>
        <w:t>2024</w:t>
      </w:r>
      <w:r w:rsidRPr="00C30DDC">
        <w:rPr>
          <w:rFonts w:hint="eastAsia"/>
        </w:rPr>
        <w:t>年度与</w:t>
      </w:r>
      <w:r w:rsidRPr="00C30DDC">
        <w:rPr>
          <w:rFonts w:hint="eastAsia"/>
        </w:rPr>
        <w:t>D</w:t>
      </w:r>
      <w:r w:rsidRPr="00C30DDC">
        <w:rPr>
          <w:rFonts w:hint="eastAsia"/>
        </w:rPr>
        <w:t>轮及</w:t>
      </w:r>
      <w:r w:rsidRPr="00C30DDC">
        <w:rPr>
          <w:rFonts w:hint="eastAsia"/>
        </w:rPr>
        <w:t>D+</w:t>
      </w:r>
      <w:r w:rsidRPr="00C30DDC">
        <w:rPr>
          <w:rFonts w:hint="eastAsia"/>
        </w:rPr>
        <w:t>轮引入的国资投资者充分协商后，以现金方式回购上述投资者所持有的标的公司股权</w:t>
      </w:r>
      <w:r>
        <w:rPr>
          <w:rFonts w:hint="eastAsia"/>
        </w:rPr>
        <w:t>，使得标的公司净资产显著减少</w:t>
      </w:r>
      <w:r w:rsidRPr="00C30DDC">
        <w:rPr>
          <w:rFonts w:hint="eastAsia"/>
        </w:rPr>
        <w:t>。</w:t>
      </w:r>
    </w:p>
    <w:p w14:paraId="423FA894" w14:textId="77777777" w:rsidR="00CD798F" w:rsidRPr="00723892" w:rsidRDefault="00CD798F" w:rsidP="00CD798F">
      <w:pPr>
        <w:pStyle w:val="005"/>
        <w:spacing w:before="120" w:after="120"/>
        <w:ind w:firstLine="480"/>
      </w:pPr>
      <w:r>
        <w:rPr>
          <w:rFonts w:hint="eastAsia"/>
        </w:rPr>
        <w:t>综上，</w:t>
      </w:r>
      <w:r w:rsidRPr="001D5343">
        <w:rPr>
          <w:rFonts w:hint="eastAsia"/>
        </w:rPr>
        <w:t>同行业可比上市公司的市净率平均数和中位数低于本次交易，主要系受星云开物经营模式及报告期内股份回购影响</w:t>
      </w:r>
      <w:r>
        <w:rPr>
          <w:rFonts w:hint="eastAsia"/>
        </w:rPr>
        <w:t>，</w:t>
      </w:r>
      <w:r w:rsidRPr="00865068">
        <w:rPr>
          <w:rFonts w:hint="eastAsia"/>
        </w:rPr>
        <w:t>同行业可比上市公司的市盈率和市销率中位数均高于本次交易</w:t>
      </w:r>
      <w:r>
        <w:rPr>
          <w:rFonts w:hint="eastAsia"/>
        </w:rPr>
        <w:t>，定价具备可比性及公允性。</w:t>
      </w:r>
    </w:p>
    <w:p w14:paraId="1F331214" w14:textId="77777777" w:rsidR="00CD798F" w:rsidRDefault="00CD798F" w:rsidP="00CD798F">
      <w:pPr>
        <w:pStyle w:val="003"/>
        <w:spacing w:before="120" w:after="120"/>
        <w:ind w:firstLine="482"/>
      </w:pPr>
      <w:r w:rsidRPr="001173A7">
        <w:rPr>
          <w:rFonts w:hint="eastAsia"/>
        </w:rPr>
        <w:t>（</w:t>
      </w:r>
      <w:r>
        <w:rPr>
          <w:rFonts w:hint="eastAsia"/>
        </w:rPr>
        <w:t>二</w:t>
      </w:r>
      <w:r w:rsidRPr="001173A7">
        <w:rPr>
          <w:rFonts w:hint="eastAsia"/>
        </w:rPr>
        <w:t>）可比上市公司、可比交易案例估值水平存在差异的原因，能否合理反映行业估值水平，与标的资产是否具有可比性</w:t>
      </w:r>
    </w:p>
    <w:p w14:paraId="05495AB7" w14:textId="77777777" w:rsidR="00CD798F" w:rsidRDefault="00CD798F" w:rsidP="00CD798F">
      <w:pPr>
        <w:pStyle w:val="004"/>
        <w:spacing w:before="120" w:after="120"/>
        <w:ind w:firstLine="482"/>
      </w:pPr>
      <w:r>
        <w:rPr>
          <w:rFonts w:hint="eastAsia"/>
        </w:rPr>
        <w:t>1</w:t>
      </w:r>
      <w:r>
        <w:rPr>
          <w:rFonts w:hint="eastAsia"/>
        </w:rPr>
        <w:t>、可比上市公司选取方式及估值水平分析</w:t>
      </w:r>
    </w:p>
    <w:p w14:paraId="6A29E2F6" w14:textId="77777777" w:rsidR="00CD798F" w:rsidRPr="002F5FE5" w:rsidRDefault="00CD798F" w:rsidP="00CD798F">
      <w:pPr>
        <w:pStyle w:val="005"/>
        <w:spacing w:before="120" w:after="120"/>
        <w:ind w:firstLine="480"/>
      </w:pPr>
      <w:r w:rsidRPr="002F5FE5">
        <w:rPr>
          <w:rFonts w:hint="eastAsia"/>
        </w:rPr>
        <w:t>本次市场法评估对于可比上市公司的选取标准如下：</w:t>
      </w:r>
    </w:p>
    <w:p w14:paraId="63F4F851" w14:textId="77777777" w:rsidR="00CD798F" w:rsidRPr="002F5FE5" w:rsidRDefault="00CD798F" w:rsidP="00CD798F">
      <w:pPr>
        <w:pStyle w:val="005"/>
        <w:spacing w:before="120" w:after="120"/>
        <w:ind w:firstLine="480"/>
      </w:pPr>
      <w:r w:rsidRPr="002F5FE5">
        <w:rPr>
          <w:rFonts w:hint="eastAsia"/>
        </w:rPr>
        <w:t>（</w:t>
      </w:r>
      <w:r w:rsidRPr="002F5FE5">
        <w:rPr>
          <w:rFonts w:hint="eastAsia"/>
        </w:rPr>
        <w:t>1</w:t>
      </w:r>
      <w:r w:rsidRPr="002F5FE5">
        <w:rPr>
          <w:rFonts w:hint="eastAsia"/>
        </w:rPr>
        <w:t>）在中国国内</w:t>
      </w:r>
      <w:r w:rsidRPr="002F5FE5">
        <w:rPr>
          <w:rFonts w:hint="eastAsia"/>
        </w:rPr>
        <w:t>A</w:t>
      </w:r>
      <w:r w:rsidRPr="002F5FE5">
        <w:rPr>
          <w:rFonts w:hint="eastAsia"/>
        </w:rPr>
        <w:t>股上市，且截至评估基准日至少已上市三年；</w:t>
      </w:r>
    </w:p>
    <w:p w14:paraId="47E72C6B" w14:textId="77777777" w:rsidR="00CD798F" w:rsidRPr="002F5FE5" w:rsidRDefault="00CD798F" w:rsidP="00CD798F">
      <w:pPr>
        <w:pStyle w:val="005"/>
        <w:spacing w:before="120" w:after="120"/>
        <w:ind w:firstLine="480"/>
      </w:pPr>
      <w:r w:rsidRPr="002F5FE5">
        <w:rPr>
          <w:rFonts w:hint="eastAsia"/>
        </w:rPr>
        <w:t>（</w:t>
      </w:r>
      <w:r w:rsidRPr="002F5FE5">
        <w:rPr>
          <w:rFonts w:hint="eastAsia"/>
        </w:rPr>
        <w:t>2</w:t>
      </w:r>
      <w:r w:rsidRPr="002F5FE5">
        <w:rPr>
          <w:rFonts w:hint="eastAsia"/>
        </w:rPr>
        <w:t>）与评估对象同属于</w:t>
      </w:r>
      <w:r w:rsidRPr="002F5FE5">
        <w:rPr>
          <w:rFonts w:hint="eastAsia"/>
        </w:rPr>
        <w:t>IoT+SaaS</w:t>
      </w:r>
      <w:r w:rsidRPr="002F5FE5">
        <w:rPr>
          <w:rFonts w:hint="eastAsia"/>
        </w:rPr>
        <w:t>服务行业，近两年营业收入构成</w:t>
      </w:r>
      <w:r w:rsidRPr="002F5FE5">
        <w:rPr>
          <w:rFonts w:hint="eastAsia"/>
        </w:rPr>
        <w:t>IoT+SaaS</w:t>
      </w:r>
      <w:r w:rsidRPr="002F5FE5">
        <w:rPr>
          <w:rFonts w:hint="eastAsia"/>
        </w:rPr>
        <w:t>类收入的占比不低于</w:t>
      </w:r>
      <w:r w:rsidRPr="002F5FE5">
        <w:rPr>
          <w:rFonts w:hint="eastAsia"/>
        </w:rPr>
        <w:t>70%</w:t>
      </w:r>
      <w:r w:rsidRPr="002F5FE5">
        <w:rPr>
          <w:rFonts w:hint="eastAsia"/>
        </w:rPr>
        <w:t>；</w:t>
      </w:r>
    </w:p>
    <w:p w14:paraId="0A9FDB6B" w14:textId="77777777" w:rsidR="00CD798F" w:rsidRPr="002F5FE5" w:rsidRDefault="00CD798F" w:rsidP="00CD798F">
      <w:pPr>
        <w:pStyle w:val="005"/>
        <w:spacing w:before="120" w:after="120"/>
        <w:ind w:firstLine="480"/>
      </w:pPr>
      <w:r w:rsidRPr="002F5FE5">
        <w:rPr>
          <w:rFonts w:hint="eastAsia"/>
        </w:rPr>
        <w:t>（</w:t>
      </w:r>
      <w:r w:rsidRPr="002F5FE5">
        <w:rPr>
          <w:rFonts w:hint="eastAsia"/>
        </w:rPr>
        <w:t>3</w:t>
      </w:r>
      <w:r w:rsidRPr="002F5FE5">
        <w:rPr>
          <w:rFonts w:hint="eastAsia"/>
        </w:rPr>
        <w:t>）根据相关上市公司公告的文件，评估基准日近期未发生重大资产重组等可能使股票价格存在异常波动的重大事件；</w:t>
      </w:r>
    </w:p>
    <w:p w14:paraId="31B1437B" w14:textId="77777777" w:rsidR="00CD798F" w:rsidRPr="002F5FE5" w:rsidRDefault="00CD798F" w:rsidP="00CD798F">
      <w:pPr>
        <w:pStyle w:val="005"/>
        <w:spacing w:before="120" w:after="120"/>
        <w:ind w:firstLine="480"/>
      </w:pPr>
      <w:r w:rsidRPr="002F5FE5">
        <w:rPr>
          <w:rFonts w:hint="eastAsia"/>
        </w:rPr>
        <w:t>（</w:t>
      </w:r>
      <w:r w:rsidRPr="002F5FE5">
        <w:rPr>
          <w:rFonts w:hint="eastAsia"/>
        </w:rPr>
        <w:t>4</w:t>
      </w:r>
      <w:r w:rsidRPr="002F5FE5">
        <w:rPr>
          <w:rFonts w:hint="eastAsia"/>
        </w:rPr>
        <w:t>）评估基准日近期股票正常交易，未处于停牌等非正常交易状态；</w:t>
      </w:r>
    </w:p>
    <w:p w14:paraId="78769494" w14:textId="77777777" w:rsidR="00CD798F" w:rsidRPr="002F5FE5" w:rsidRDefault="00CD798F" w:rsidP="00CD798F">
      <w:pPr>
        <w:pStyle w:val="005"/>
        <w:spacing w:before="120" w:after="120"/>
        <w:ind w:firstLine="480"/>
      </w:pPr>
      <w:r w:rsidRPr="002F5FE5">
        <w:rPr>
          <w:rFonts w:hint="eastAsia"/>
        </w:rPr>
        <w:t>（</w:t>
      </w:r>
      <w:r w:rsidRPr="002F5FE5">
        <w:rPr>
          <w:rFonts w:hint="eastAsia"/>
        </w:rPr>
        <w:t>5</w:t>
      </w:r>
      <w:r w:rsidRPr="002F5FE5">
        <w:rPr>
          <w:rFonts w:hint="eastAsia"/>
        </w:rPr>
        <w:t>）鉴于</w:t>
      </w:r>
      <w:r w:rsidRPr="002F5FE5">
        <w:rPr>
          <w:rFonts w:hint="eastAsia"/>
        </w:rPr>
        <w:t>ST</w:t>
      </w:r>
      <w:r w:rsidRPr="002F5FE5">
        <w:rPr>
          <w:rFonts w:hint="eastAsia"/>
        </w:rPr>
        <w:t>股票较可能因市场中的投机、炒作等因素使得股票价格较大程度偏离其实际价值，故将</w:t>
      </w:r>
      <w:r w:rsidRPr="002F5FE5">
        <w:rPr>
          <w:rFonts w:hint="eastAsia"/>
        </w:rPr>
        <w:t>ST</w:t>
      </w:r>
      <w:r w:rsidRPr="002F5FE5">
        <w:rPr>
          <w:rFonts w:hint="eastAsia"/>
        </w:rPr>
        <w:t>股票剔除出可比公司范围。</w:t>
      </w:r>
    </w:p>
    <w:p w14:paraId="782EFC3B" w14:textId="77777777" w:rsidR="00CD798F" w:rsidRPr="002F5FE5" w:rsidRDefault="00CD798F" w:rsidP="00CD798F">
      <w:pPr>
        <w:pStyle w:val="005"/>
        <w:spacing w:before="120" w:after="120"/>
        <w:ind w:firstLine="480"/>
      </w:pPr>
      <w:r w:rsidRPr="002F5FE5">
        <w:rPr>
          <w:rFonts w:hint="eastAsia"/>
        </w:rPr>
        <w:t>根据上述选取标准，最终选取得到可比上市公司如下：</w:t>
      </w:r>
    </w:p>
    <w:tbl>
      <w:tblPr>
        <w:tblW w:w="6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440"/>
        <w:gridCol w:w="1144"/>
        <w:gridCol w:w="1270"/>
        <w:gridCol w:w="2085"/>
        <w:gridCol w:w="2009"/>
        <w:gridCol w:w="1055"/>
        <w:gridCol w:w="907"/>
        <w:gridCol w:w="963"/>
      </w:tblGrid>
      <w:tr w:rsidR="00CD798F" w:rsidRPr="002F5FE5" w14:paraId="500DD4D3" w14:textId="77777777" w:rsidTr="00214723">
        <w:trPr>
          <w:cantSplit/>
          <w:trHeight w:val="454"/>
          <w:tblHeader/>
          <w:jc w:val="center"/>
        </w:trPr>
        <w:tc>
          <w:tcPr>
            <w:tcW w:w="662" w:type="pct"/>
            <w:vAlign w:val="center"/>
          </w:tcPr>
          <w:p w14:paraId="3D8F570C"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lastRenderedPageBreak/>
              <w:t>证券代码</w:t>
            </w:r>
          </w:p>
        </w:tc>
        <w:tc>
          <w:tcPr>
            <w:tcW w:w="526" w:type="pct"/>
            <w:vAlign w:val="center"/>
          </w:tcPr>
          <w:p w14:paraId="3F0B4BB0"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证券简称</w:t>
            </w:r>
          </w:p>
        </w:tc>
        <w:tc>
          <w:tcPr>
            <w:tcW w:w="584" w:type="pct"/>
            <w:vAlign w:val="center"/>
          </w:tcPr>
          <w:p w14:paraId="2F638118"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上市日期</w:t>
            </w:r>
          </w:p>
        </w:tc>
        <w:tc>
          <w:tcPr>
            <w:tcW w:w="959" w:type="pct"/>
            <w:vAlign w:val="center"/>
          </w:tcPr>
          <w:p w14:paraId="175C4D9D"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主营业务</w:t>
            </w:r>
          </w:p>
        </w:tc>
        <w:tc>
          <w:tcPr>
            <w:tcW w:w="924" w:type="pct"/>
            <w:vAlign w:val="center"/>
          </w:tcPr>
          <w:p w14:paraId="4B1A35FC"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公司简介</w:t>
            </w:r>
          </w:p>
        </w:tc>
        <w:tc>
          <w:tcPr>
            <w:tcW w:w="485" w:type="pct"/>
            <w:vAlign w:val="center"/>
          </w:tcPr>
          <w:p w14:paraId="4795D5FE"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bCs/>
                <w:color w:val="000000"/>
                <w:szCs w:val="21"/>
              </w:rPr>
              <w:t>市盈率</w:t>
            </w:r>
          </w:p>
        </w:tc>
        <w:tc>
          <w:tcPr>
            <w:tcW w:w="417" w:type="pct"/>
            <w:vAlign w:val="center"/>
          </w:tcPr>
          <w:p w14:paraId="5A3F5C1F"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bCs/>
                <w:color w:val="000000"/>
                <w:szCs w:val="21"/>
              </w:rPr>
              <w:t>市净率</w:t>
            </w:r>
          </w:p>
        </w:tc>
        <w:tc>
          <w:tcPr>
            <w:tcW w:w="443" w:type="pct"/>
            <w:vAlign w:val="center"/>
          </w:tcPr>
          <w:p w14:paraId="4BBDEBDA"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bCs/>
                <w:color w:val="000000"/>
                <w:szCs w:val="21"/>
              </w:rPr>
              <w:t>市销率</w:t>
            </w:r>
          </w:p>
        </w:tc>
      </w:tr>
      <w:tr w:rsidR="00CD798F" w:rsidRPr="002F5FE5" w14:paraId="5DA80ECF" w14:textId="77777777" w:rsidTr="00214723">
        <w:trPr>
          <w:cantSplit/>
          <w:trHeight w:val="454"/>
          <w:jc w:val="center"/>
        </w:trPr>
        <w:tc>
          <w:tcPr>
            <w:tcW w:w="662" w:type="pct"/>
            <w:vAlign w:val="center"/>
          </w:tcPr>
          <w:p w14:paraId="3DAA7932"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688080.SH</w:t>
            </w:r>
          </w:p>
        </w:tc>
        <w:tc>
          <w:tcPr>
            <w:tcW w:w="526" w:type="pct"/>
            <w:vAlign w:val="center"/>
          </w:tcPr>
          <w:p w14:paraId="4FF8452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映翰通</w:t>
            </w:r>
          </w:p>
        </w:tc>
        <w:tc>
          <w:tcPr>
            <w:tcW w:w="584" w:type="pct"/>
            <w:vAlign w:val="center"/>
          </w:tcPr>
          <w:p w14:paraId="02811E9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2020-02-12</w:t>
            </w:r>
          </w:p>
        </w:tc>
        <w:tc>
          <w:tcPr>
            <w:tcW w:w="959" w:type="pct"/>
            <w:vAlign w:val="center"/>
          </w:tcPr>
          <w:p w14:paraId="2E80512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为工业物联网技术的研发和应用</w:t>
            </w:r>
            <w:r w:rsidRPr="002F5FE5">
              <w:rPr>
                <w:rFonts w:ascii="Times New Roman" w:hAnsi="Times New Roman"/>
                <w:color w:val="000000"/>
              </w:rPr>
              <w:t>,</w:t>
            </w:r>
            <w:r w:rsidRPr="002F5FE5">
              <w:rPr>
                <w:rFonts w:ascii="Times New Roman" w:hAnsi="Times New Roman"/>
                <w:color w:val="000000"/>
              </w:rPr>
              <w:t>为客户提供工业物联网通信（</w:t>
            </w:r>
            <w:r w:rsidRPr="002F5FE5">
              <w:rPr>
                <w:rFonts w:ascii="Times New Roman" w:hAnsi="Times New Roman"/>
                <w:color w:val="000000"/>
              </w:rPr>
              <w:t>M2M</w:t>
            </w:r>
            <w:r w:rsidRPr="002F5FE5">
              <w:rPr>
                <w:rFonts w:ascii="Times New Roman" w:hAnsi="Times New Roman"/>
                <w:color w:val="000000"/>
              </w:rPr>
              <w:t>）产品以及物联网（</w:t>
            </w:r>
            <w:r w:rsidRPr="002F5FE5">
              <w:rPr>
                <w:rFonts w:ascii="Times New Roman" w:hAnsi="Times New Roman"/>
                <w:color w:val="000000"/>
              </w:rPr>
              <w:t>IoT</w:t>
            </w:r>
            <w:r w:rsidRPr="002F5FE5">
              <w:rPr>
                <w:rFonts w:ascii="Times New Roman" w:hAnsi="Times New Roman"/>
                <w:color w:val="000000"/>
              </w:rPr>
              <w:t>）领域</w:t>
            </w:r>
            <w:r w:rsidRPr="002F5FE5">
              <w:rPr>
                <w:rFonts w:ascii="Times New Roman" w:hAnsi="Times New Roman"/>
                <w:color w:val="000000"/>
              </w:rPr>
              <w:t>“</w:t>
            </w:r>
            <w:r w:rsidRPr="002F5FE5">
              <w:rPr>
                <w:rFonts w:ascii="Times New Roman" w:hAnsi="Times New Roman"/>
                <w:color w:val="000000"/>
              </w:rPr>
              <w:t>云</w:t>
            </w:r>
            <w:r w:rsidRPr="002F5FE5">
              <w:rPr>
                <w:rFonts w:ascii="Times New Roman" w:hAnsi="Times New Roman"/>
                <w:color w:val="000000"/>
              </w:rPr>
              <w:t>+</w:t>
            </w:r>
            <w:r w:rsidRPr="002F5FE5">
              <w:rPr>
                <w:rFonts w:ascii="Times New Roman" w:hAnsi="Times New Roman"/>
                <w:color w:val="000000"/>
              </w:rPr>
              <w:t>端</w:t>
            </w:r>
            <w:r w:rsidRPr="002F5FE5">
              <w:rPr>
                <w:rFonts w:ascii="Times New Roman" w:hAnsi="Times New Roman"/>
                <w:color w:val="000000"/>
              </w:rPr>
              <w:t>”</w:t>
            </w:r>
            <w:r w:rsidRPr="002F5FE5">
              <w:rPr>
                <w:rFonts w:ascii="Times New Roman" w:hAnsi="Times New Roman"/>
                <w:color w:val="000000"/>
              </w:rPr>
              <w:t>整体解决方案。</w:t>
            </w:r>
          </w:p>
        </w:tc>
        <w:tc>
          <w:tcPr>
            <w:tcW w:w="924" w:type="pct"/>
            <w:vAlign w:val="center"/>
          </w:tcPr>
          <w:p w14:paraId="0BB59F56"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公司的主要产品是工业物联网产品、企业网络产品、数字配电网产品、智能售货控制系统产品、技术服务及其他。</w:t>
            </w:r>
          </w:p>
        </w:tc>
        <w:tc>
          <w:tcPr>
            <w:tcW w:w="485" w:type="pct"/>
            <w:vAlign w:val="center"/>
          </w:tcPr>
          <w:p w14:paraId="51AE54C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28.81</w:t>
            </w:r>
          </w:p>
        </w:tc>
        <w:tc>
          <w:tcPr>
            <w:tcW w:w="417" w:type="pct"/>
            <w:vAlign w:val="center"/>
          </w:tcPr>
          <w:p w14:paraId="27F7020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3.59</w:t>
            </w:r>
          </w:p>
        </w:tc>
        <w:tc>
          <w:tcPr>
            <w:tcW w:w="443" w:type="pct"/>
            <w:vAlign w:val="center"/>
          </w:tcPr>
          <w:p w14:paraId="4A16898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6.12</w:t>
            </w:r>
          </w:p>
        </w:tc>
      </w:tr>
      <w:tr w:rsidR="00CD798F" w:rsidRPr="002F5FE5" w14:paraId="1723F405" w14:textId="77777777" w:rsidTr="00214723">
        <w:trPr>
          <w:cantSplit/>
          <w:trHeight w:val="454"/>
          <w:jc w:val="center"/>
        </w:trPr>
        <w:tc>
          <w:tcPr>
            <w:tcW w:w="662" w:type="pct"/>
            <w:vAlign w:val="center"/>
          </w:tcPr>
          <w:p w14:paraId="134D0F9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002410.SZ</w:t>
            </w:r>
          </w:p>
        </w:tc>
        <w:tc>
          <w:tcPr>
            <w:tcW w:w="526" w:type="pct"/>
            <w:vAlign w:val="center"/>
          </w:tcPr>
          <w:p w14:paraId="0E5AE487"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广联达</w:t>
            </w:r>
          </w:p>
        </w:tc>
        <w:tc>
          <w:tcPr>
            <w:tcW w:w="584" w:type="pct"/>
            <w:vAlign w:val="center"/>
          </w:tcPr>
          <w:p w14:paraId="4FFDC10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2010-05-25</w:t>
            </w:r>
          </w:p>
        </w:tc>
        <w:tc>
          <w:tcPr>
            <w:tcW w:w="959" w:type="pct"/>
            <w:vAlign w:val="center"/>
          </w:tcPr>
          <w:p w14:paraId="54E2BC9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提供工具类软件产品系列、管理类软件产品系列；提供实施服务、技术服务、培训服务。</w:t>
            </w:r>
          </w:p>
        </w:tc>
        <w:tc>
          <w:tcPr>
            <w:tcW w:w="924" w:type="pct"/>
            <w:vAlign w:val="center"/>
          </w:tcPr>
          <w:p w14:paraId="1969327D"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公司的主要产品是数字设计、数字成本、数字施工业务。</w:t>
            </w:r>
          </w:p>
        </w:tc>
        <w:tc>
          <w:tcPr>
            <w:tcW w:w="485" w:type="pct"/>
            <w:vAlign w:val="center"/>
          </w:tcPr>
          <w:p w14:paraId="73C2AC24"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88.46</w:t>
            </w:r>
          </w:p>
        </w:tc>
        <w:tc>
          <w:tcPr>
            <w:tcW w:w="417" w:type="pct"/>
            <w:vAlign w:val="center"/>
          </w:tcPr>
          <w:p w14:paraId="0E52CCE7"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3.72</w:t>
            </w:r>
          </w:p>
        </w:tc>
        <w:tc>
          <w:tcPr>
            <w:tcW w:w="443" w:type="pct"/>
            <w:vAlign w:val="center"/>
          </w:tcPr>
          <w:p w14:paraId="198B7C1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3.55</w:t>
            </w:r>
          </w:p>
        </w:tc>
      </w:tr>
      <w:tr w:rsidR="00CD798F" w:rsidRPr="002F5FE5" w14:paraId="68EBA86A" w14:textId="77777777" w:rsidTr="00214723">
        <w:trPr>
          <w:cantSplit/>
          <w:trHeight w:val="454"/>
          <w:jc w:val="center"/>
        </w:trPr>
        <w:tc>
          <w:tcPr>
            <w:tcW w:w="662" w:type="pct"/>
            <w:vAlign w:val="center"/>
          </w:tcPr>
          <w:p w14:paraId="595514B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002153.SZ</w:t>
            </w:r>
          </w:p>
        </w:tc>
        <w:tc>
          <w:tcPr>
            <w:tcW w:w="526" w:type="pct"/>
            <w:vAlign w:val="center"/>
          </w:tcPr>
          <w:p w14:paraId="3009AE5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石基信息</w:t>
            </w:r>
          </w:p>
        </w:tc>
        <w:tc>
          <w:tcPr>
            <w:tcW w:w="584" w:type="pct"/>
            <w:vAlign w:val="center"/>
          </w:tcPr>
          <w:p w14:paraId="7E71257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2007-08-13</w:t>
            </w:r>
          </w:p>
        </w:tc>
        <w:tc>
          <w:tcPr>
            <w:tcW w:w="959" w:type="pct"/>
            <w:vAlign w:val="center"/>
          </w:tcPr>
          <w:p w14:paraId="55B7A12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从事酒店、餐饮、零售、休闲娱乐等大消费行业信息管理系统软件的开发与销售、系统集成、技术支持与服务业务。</w:t>
            </w:r>
          </w:p>
        </w:tc>
        <w:tc>
          <w:tcPr>
            <w:tcW w:w="924" w:type="pct"/>
            <w:vAlign w:val="center"/>
          </w:tcPr>
          <w:p w14:paraId="00AEE58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公司的主要产品是酒店信息管理系统业务、社会餐饮信息管理系统业务、支付系统业务、零售信息管理系统业务、旅游休闲系统业务、第三方硬件配套业务、自有智能商用设备。</w:t>
            </w:r>
          </w:p>
        </w:tc>
        <w:tc>
          <w:tcPr>
            <w:tcW w:w="485" w:type="pct"/>
            <w:vAlign w:val="center"/>
          </w:tcPr>
          <w:p w14:paraId="50A8765C"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-118.90</w:t>
            </w:r>
          </w:p>
        </w:tc>
        <w:tc>
          <w:tcPr>
            <w:tcW w:w="417" w:type="pct"/>
            <w:vAlign w:val="center"/>
          </w:tcPr>
          <w:p w14:paraId="69D18D1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3.33</w:t>
            </w:r>
          </w:p>
        </w:tc>
        <w:tc>
          <w:tcPr>
            <w:tcW w:w="443" w:type="pct"/>
            <w:vAlign w:val="center"/>
          </w:tcPr>
          <w:p w14:paraId="271EF00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szCs w:val="21"/>
              </w:rPr>
              <w:t>8.02</w:t>
            </w:r>
          </w:p>
        </w:tc>
      </w:tr>
      <w:tr w:rsidR="00CD798F" w:rsidRPr="002F5FE5" w14:paraId="6E99E641" w14:textId="77777777" w:rsidTr="00214723">
        <w:trPr>
          <w:cantSplit/>
          <w:trHeight w:val="454"/>
          <w:jc w:val="center"/>
        </w:trPr>
        <w:tc>
          <w:tcPr>
            <w:tcW w:w="3654" w:type="pct"/>
            <w:gridSpan w:val="5"/>
            <w:vAlign w:val="center"/>
          </w:tcPr>
          <w:p w14:paraId="33A8E338" w14:textId="77777777" w:rsidR="00CD798F" w:rsidRPr="002F5FE5" w:rsidRDefault="00CD798F" w:rsidP="00214723">
            <w:pPr>
              <w:rPr>
                <w:rFonts w:ascii="Times New Roman" w:hAnsi="Times New Roman"/>
                <w:b/>
                <w:color w:val="000000"/>
              </w:rPr>
            </w:pPr>
            <w:r w:rsidRPr="002F5FE5">
              <w:rPr>
                <w:rFonts w:ascii="Times New Roman" w:hAnsi="Times New Roman"/>
                <w:b/>
                <w:color w:val="000000"/>
                <w:szCs w:val="21"/>
              </w:rPr>
              <w:t>算术平均数</w:t>
            </w:r>
          </w:p>
        </w:tc>
        <w:tc>
          <w:tcPr>
            <w:tcW w:w="485" w:type="pct"/>
            <w:vAlign w:val="center"/>
          </w:tcPr>
          <w:p w14:paraId="7121A6B8"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-0.54</w:t>
            </w:r>
          </w:p>
        </w:tc>
        <w:tc>
          <w:tcPr>
            <w:tcW w:w="417" w:type="pct"/>
            <w:vAlign w:val="center"/>
          </w:tcPr>
          <w:p w14:paraId="3305D6B5"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3.55</w:t>
            </w:r>
          </w:p>
        </w:tc>
        <w:tc>
          <w:tcPr>
            <w:tcW w:w="443" w:type="pct"/>
            <w:vAlign w:val="center"/>
          </w:tcPr>
          <w:p w14:paraId="020AACF5"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5.90</w:t>
            </w:r>
          </w:p>
        </w:tc>
      </w:tr>
      <w:tr w:rsidR="00CD798F" w:rsidRPr="002F5FE5" w14:paraId="45040E7B" w14:textId="77777777" w:rsidTr="00214723">
        <w:trPr>
          <w:cantSplit/>
          <w:trHeight w:val="454"/>
          <w:jc w:val="center"/>
        </w:trPr>
        <w:tc>
          <w:tcPr>
            <w:tcW w:w="3654" w:type="pct"/>
            <w:gridSpan w:val="5"/>
            <w:vAlign w:val="center"/>
          </w:tcPr>
          <w:p w14:paraId="21232EBF" w14:textId="77777777" w:rsidR="00CD798F" w:rsidRPr="002F5FE5" w:rsidRDefault="00CD798F" w:rsidP="00214723">
            <w:pPr>
              <w:rPr>
                <w:rFonts w:ascii="Times New Roman" w:hAnsi="Times New Roman"/>
                <w:b/>
                <w:color w:val="000000"/>
              </w:rPr>
            </w:pPr>
            <w:r w:rsidRPr="002F5FE5">
              <w:rPr>
                <w:rFonts w:ascii="Times New Roman" w:hAnsi="Times New Roman"/>
                <w:b/>
                <w:color w:val="000000"/>
                <w:szCs w:val="21"/>
              </w:rPr>
              <w:t>中位数</w:t>
            </w:r>
          </w:p>
        </w:tc>
        <w:tc>
          <w:tcPr>
            <w:tcW w:w="485" w:type="pct"/>
            <w:vAlign w:val="center"/>
          </w:tcPr>
          <w:p w14:paraId="5DC52BC7"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28.81</w:t>
            </w:r>
          </w:p>
        </w:tc>
        <w:tc>
          <w:tcPr>
            <w:tcW w:w="417" w:type="pct"/>
            <w:vAlign w:val="center"/>
          </w:tcPr>
          <w:p w14:paraId="702D5BB0"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3.59</w:t>
            </w:r>
          </w:p>
        </w:tc>
        <w:tc>
          <w:tcPr>
            <w:tcW w:w="443" w:type="pct"/>
            <w:vAlign w:val="center"/>
          </w:tcPr>
          <w:p w14:paraId="17236C72"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6.12</w:t>
            </w:r>
          </w:p>
        </w:tc>
      </w:tr>
      <w:tr w:rsidR="00CD798F" w:rsidRPr="002F5FE5" w14:paraId="1FC5601C" w14:textId="77777777" w:rsidTr="00214723">
        <w:trPr>
          <w:cantSplit/>
          <w:trHeight w:val="454"/>
          <w:jc w:val="center"/>
        </w:trPr>
        <w:tc>
          <w:tcPr>
            <w:tcW w:w="3654" w:type="pct"/>
            <w:gridSpan w:val="5"/>
            <w:vAlign w:val="center"/>
          </w:tcPr>
          <w:p w14:paraId="47AC5FF2" w14:textId="77777777" w:rsidR="00CD798F" w:rsidRPr="002F5FE5" w:rsidRDefault="00CD798F" w:rsidP="00214723">
            <w:pPr>
              <w:rPr>
                <w:rFonts w:ascii="Times New Roman" w:hAnsi="Times New Roman"/>
                <w:b/>
                <w:color w:val="000000"/>
              </w:rPr>
            </w:pPr>
            <w:r w:rsidRPr="002F5FE5">
              <w:rPr>
                <w:rFonts w:ascii="Times New Roman" w:hAnsi="Times New Roman"/>
                <w:b/>
                <w:color w:val="000000"/>
                <w:szCs w:val="21"/>
              </w:rPr>
              <w:t>标的公司</w:t>
            </w:r>
          </w:p>
        </w:tc>
        <w:tc>
          <w:tcPr>
            <w:tcW w:w="485" w:type="pct"/>
            <w:vAlign w:val="center"/>
          </w:tcPr>
          <w:p w14:paraId="3AE9A9E5"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13.91</w:t>
            </w:r>
          </w:p>
        </w:tc>
        <w:tc>
          <w:tcPr>
            <w:tcW w:w="417" w:type="pct"/>
            <w:vAlign w:val="center"/>
          </w:tcPr>
          <w:p w14:paraId="31278E02"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7.47</w:t>
            </w:r>
          </w:p>
        </w:tc>
        <w:tc>
          <w:tcPr>
            <w:tcW w:w="443" w:type="pct"/>
            <w:vAlign w:val="center"/>
          </w:tcPr>
          <w:p w14:paraId="557FB812"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szCs w:val="21"/>
              </w:rPr>
              <w:t>2.70</w:t>
            </w:r>
          </w:p>
        </w:tc>
      </w:tr>
    </w:tbl>
    <w:p w14:paraId="7204D647" w14:textId="77777777" w:rsidR="00CD798F" w:rsidRDefault="00CD798F" w:rsidP="00CD798F">
      <w:pPr>
        <w:pStyle w:val="005"/>
        <w:spacing w:before="120" w:after="120"/>
        <w:ind w:firstLine="480"/>
      </w:pPr>
      <w:r>
        <w:rPr>
          <w:rFonts w:hint="eastAsia"/>
        </w:rPr>
        <w:t>本次评估中，所选取可比公司的首要标准是核心商业模式的一致性，即均属于“物联网（</w:t>
      </w:r>
      <w:r>
        <w:rPr>
          <w:rFonts w:hint="eastAsia"/>
        </w:rPr>
        <w:t>IoT</w:t>
      </w:r>
      <w:r>
        <w:rPr>
          <w:rFonts w:hint="eastAsia"/>
        </w:rPr>
        <w:t>）智能硬件为入口，软件及云服务（</w:t>
      </w:r>
      <w:r>
        <w:rPr>
          <w:rFonts w:hint="eastAsia"/>
        </w:rPr>
        <w:t>SaaS</w:t>
      </w:r>
      <w:r>
        <w:rPr>
          <w:rFonts w:hint="eastAsia"/>
        </w:rPr>
        <w:t>）为长期价值变现载体”的行业范式。在此基础上，综合考虑了行业属性、产品形态及目标市场等因素。本次评估选取的</w:t>
      </w:r>
      <w:r w:rsidRPr="00D82B82">
        <w:rPr>
          <w:rFonts w:hint="eastAsia"/>
        </w:rPr>
        <w:t>可比上市公司的详细对比</w:t>
      </w:r>
      <w:r>
        <w:rPr>
          <w:rFonts w:hint="eastAsia"/>
        </w:rPr>
        <w:t>情况如下：</w:t>
      </w:r>
    </w:p>
    <w:tbl>
      <w:tblPr>
        <w:tblW w:w="6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27"/>
        <w:gridCol w:w="2455"/>
        <w:gridCol w:w="2372"/>
        <w:gridCol w:w="2349"/>
        <w:gridCol w:w="2570"/>
      </w:tblGrid>
      <w:tr w:rsidR="00CD798F" w:rsidRPr="002F5FE5" w14:paraId="621DD7BF" w14:textId="77777777" w:rsidTr="00214723">
        <w:trPr>
          <w:cantSplit/>
          <w:trHeight w:val="454"/>
          <w:tblHeader/>
          <w:jc w:val="center"/>
        </w:trPr>
        <w:tc>
          <w:tcPr>
            <w:tcW w:w="518" w:type="pct"/>
            <w:noWrap/>
            <w:vAlign w:val="center"/>
            <w:hideMark/>
          </w:tcPr>
          <w:p w14:paraId="3E9D6644"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lastRenderedPageBreak/>
              <w:t>对比维度</w:t>
            </w:r>
          </w:p>
        </w:tc>
        <w:tc>
          <w:tcPr>
            <w:tcW w:w="1129" w:type="pct"/>
            <w:noWrap/>
            <w:vAlign w:val="center"/>
            <w:hideMark/>
          </w:tcPr>
          <w:p w14:paraId="37691DF0"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星云开物</w:t>
            </w:r>
          </w:p>
        </w:tc>
        <w:tc>
          <w:tcPr>
            <w:tcW w:w="1091" w:type="pct"/>
            <w:noWrap/>
            <w:vAlign w:val="center"/>
            <w:hideMark/>
          </w:tcPr>
          <w:p w14:paraId="56AE54DB"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映翰通（</w:t>
            </w:r>
            <w:r w:rsidRPr="002F5FE5">
              <w:rPr>
                <w:rFonts w:ascii="Times New Roman" w:hAnsi="Times New Roman"/>
                <w:b/>
                <w:color w:val="000000"/>
              </w:rPr>
              <w:t>688080.SH</w:t>
            </w:r>
            <w:r w:rsidRPr="002F5FE5">
              <w:rPr>
                <w:rFonts w:ascii="Times New Roman" w:hAnsi="Times New Roman"/>
                <w:b/>
                <w:color w:val="000000"/>
              </w:rPr>
              <w:t>）</w:t>
            </w:r>
          </w:p>
        </w:tc>
        <w:tc>
          <w:tcPr>
            <w:tcW w:w="1080" w:type="pct"/>
            <w:noWrap/>
            <w:vAlign w:val="center"/>
            <w:hideMark/>
          </w:tcPr>
          <w:p w14:paraId="78FA3923"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广联达（</w:t>
            </w:r>
            <w:r w:rsidRPr="002F5FE5">
              <w:rPr>
                <w:rFonts w:ascii="Times New Roman" w:hAnsi="Times New Roman"/>
                <w:b/>
                <w:color w:val="000000"/>
              </w:rPr>
              <w:t>002410.SZ</w:t>
            </w:r>
            <w:r w:rsidRPr="002F5FE5">
              <w:rPr>
                <w:rFonts w:ascii="Times New Roman" w:hAnsi="Times New Roman"/>
                <w:b/>
                <w:color w:val="000000"/>
              </w:rPr>
              <w:t>）</w:t>
            </w:r>
          </w:p>
        </w:tc>
        <w:tc>
          <w:tcPr>
            <w:tcW w:w="1183" w:type="pct"/>
            <w:noWrap/>
            <w:vAlign w:val="center"/>
            <w:hideMark/>
          </w:tcPr>
          <w:p w14:paraId="326EDCEA"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石基信息（</w:t>
            </w:r>
            <w:r w:rsidRPr="002F5FE5">
              <w:rPr>
                <w:rFonts w:ascii="Times New Roman" w:hAnsi="Times New Roman"/>
                <w:b/>
                <w:color w:val="000000"/>
              </w:rPr>
              <w:t>002153.SZ</w:t>
            </w:r>
            <w:r w:rsidRPr="002F5FE5">
              <w:rPr>
                <w:rFonts w:ascii="Times New Roman" w:hAnsi="Times New Roman"/>
                <w:b/>
                <w:color w:val="000000"/>
              </w:rPr>
              <w:t>）</w:t>
            </w:r>
          </w:p>
        </w:tc>
      </w:tr>
      <w:tr w:rsidR="00CD798F" w:rsidRPr="002F5FE5" w14:paraId="324281B5" w14:textId="77777777" w:rsidTr="00214723">
        <w:trPr>
          <w:cantSplit/>
          <w:trHeight w:val="454"/>
          <w:jc w:val="center"/>
        </w:trPr>
        <w:tc>
          <w:tcPr>
            <w:tcW w:w="518" w:type="pct"/>
            <w:vAlign w:val="center"/>
            <w:hideMark/>
          </w:tcPr>
          <w:p w14:paraId="2DEA92F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业务结构</w:t>
            </w:r>
          </w:p>
        </w:tc>
        <w:tc>
          <w:tcPr>
            <w:tcW w:w="1129" w:type="pct"/>
            <w:vAlign w:val="center"/>
            <w:hideMark/>
          </w:tcPr>
          <w:p w14:paraId="1B1468F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智能终端设备：智能电表、数据采集器、边缘计算网关</w:t>
            </w:r>
            <w:r w:rsidRPr="002F5FE5">
              <w:rPr>
                <w:rFonts w:ascii="Times New Roman" w:hAnsi="Times New Roman"/>
                <w:color w:val="000000"/>
              </w:rPr>
              <w:t>•SaaS</w:t>
            </w:r>
            <w:r w:rsidRPr="002F5FE5">
              <w:rPr>
                <w:rFonts w:ascii="Times New Roman" w:hAnsi="Times New Roman"/>
                <w:color w:val="000000"/>
              </w:rPr>
              <w:t>云平台服务：智慧用能管理平台、双碳管理平台</w:t>
            </w:r>
          </w:p>
        </w:tc>
        <w:tc>
          <w:tcPr>
            <w:tcW w:w="1091" w:type="pct"/>
            <w:vAlign w:val="center"/>
            <w:hideMark/>
          </w:tcPr>
          <w:p w14:paraId="790AB84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智能终端：工业路由器、工业网关、边缘计算网关</w:t>
            </w:r>
          </w:p>
          <w:p w14:paraId="2B4C1D4A"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云平台：</w:t>
            </w:r>
            <w:r w:rsidRPr="002F5FE5">
              <w:rPr>
                <w:rFonts w:ascii="Times New Roman" w:hAnsi="Times New Roman"/>
                <w:color w:val="000000"/>
              </w:rPr>
              <w:t>InGatewayCloud</w:t>
            </w:r>
            <w:r w:rsidRPr="002F5FE5">
              <w:rPr>
                <w:rFonts w:ascii="Times New Roman" w:hAnsi="Times New Roman"/>
                <w:color w:val="000000"/>
              </w:rPr>
              <w:t>、映翰通云平台</w:t>
            </w:r>
          </w:p>
        </w:tc>
        <w:tc>
          <w:tcPr>
            <w:tcW w:w="1080" w:type="pct"/>
            <w:vAlign w:val="center"/>
            <w:hideMark/>
          </w:tcPr>
          <w:p w14:paraId="220C5AD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数字化产品：数字造价、施工、设计软件</w:t>
            </w:r>
          </w:p>
          <w:p w14:paraId="4F06352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云平台：</w:t>
            </w:r>
            <w:r w:rsidRPr="002F5FE5">
              <w:rPr>
                <w:rFonts w:ascii="Times New Roman" w:hAnsi="Times New Roman"/>
                <w:color w:val="000000"/>
              </w:rPr>
              <w:t>BIM</w:t>
            </w:r>
            <w:r w:rsidRPr="002F5FE5">
              <w:rPr>
                <w:rFonts w:ascii="Times New Roman" w:hAnsi="Times New Roman"/>
                <w:color w:val="000000"/>
              </w:rPr>
              <w:t>设计协同平台、建筑业务平台</w:t>
            </w:r>
          </w:p>
        </w:tc>
        <w:tc>
          <w:tcPr>
            <w:tcW w:w="1183" w:type="pct"/>
            <w:vAlign w:val="center"/>
            <w:hideMark/>
          </w:tcPr>
          <w:p w14:paraId="3C32492D"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信息系统：酒店</w:t>
            </w:r>
            <w:r w:rsidRPr="002F5FE5">
              <w:rPr>
                <w:rFonts w:ascii="Times New Roman" w:hAnsi="Times New Roman"/>
                <w:color w:val="000000"/>
              </w:rPr>
              <w:t>/</w:t>
            </w:r>
            <w:r w:rsidRPr="002F5FE5">
              <w:rPr>
                <w:rFonts w:ascii="Times New Roman" w:hAnsi="Times New Roman"/>
                <w:color w:val="000000"/>
              </w:rPr>
              <w:t>餐饮</w:t>
            </w:r>
            <w:r w:rsidRPr="002F5FE5">
              <w:rPr>
                <w:rFonts w:ascii="Times New Roman" w:hAnsi="Times New Roman"/>
                <w:color w:val="000000"/>
              </w:rPr>
              <w:t>POS</w:t>
            </w:r>
            <w:r w:rsidRPr="002F5FE5">
              <w:rPr>
                <w:rFonts w:ascii="Times New Roman" w:hAnsi="Times New Roman"/>
                <w:color w:val="000000"/>
              </w:rPr>
              <w:t>、支付网关</w:t>
            </w:r>
          </w:p>
          <w:p w14:paraId="702E10A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云平台：酒店云</w:t>
            </w:r>
            <w:r w:rsidRPr="002F5FE5">
              <w:rPr>
                <w:rFonts w:ascii="Times New Roman" w:hAnsi="Times New Roman"/>
                <w:color w:val="000000"/>
              </w:rPr>
              <w:t>PMS</w:t>
            </w:r>
            <w:r w:rsidRPr="002F5FE5">
              <w:rPr>
                <w:rFonts w:ascii="Times New Roman" w:hAnsi="Times New Roman"/>
                <w:color w:val="000000"/>
              </w:rPr>
              <w:t>、餐饮云</w:t>
            </w:r>
            <w:r w:rsidRPr="002F5FE5">
              <w:rPr>
                <w:rFonts w:ascii="Times New Roman" w:hAnsi="Times New Roman"/>
                <w:color w:val="000000"/>
              </w:rPr>
              <w:t>ERP</w:t>
            </w:r>
          </w:p>
        </w:tc>
      </w:tr>
      <w:tr w:rsidR="00CD798F" w:rsidRPr="002F5FE5" w14:paraId="61E6D717" w14:textId="77777777" w:rsidTr="00214723">
        <w:trPr>
          <w:cantSplit/>
          <w:trHeight w:val="454"/>
          <w:jc w:val="center"/>
        </w:trPr>
        <w:tc>
          <w:tcPr>
            <w:tcW w:w="518" w:type="pct"/>
            <w:vAlign w:val="center"/>
            <w:hideMark/>
          </w:tcPr>
          <w:p w14:paraId="3C76D3E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经营模式</w:t>
            </w:r>
          </w:p>
        </w:tc>
        <w:tc>
          <w:tcPr>
            <w:tcW w:w="1129" w:type="pct"/>
            <w:vAlign w:val="center"/>
            <w:hideMark/>
          </w:tcPr>
          <w:p w14:paraId="35ABDB8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“IoT+SaaS”</w:t>
            </w:r>
            <w:r w:rsidRPr="002F5FE5">
              <w:rPr>
                <w:rFonts w:ascii="Times New Roman" w:hAnsi="Times New Roman"/>
                <w:color w:val="000000"/>
              </w:rPr>
              <w:t>双轮驱动。通过高性价比智能硬件快速获取客户，持续从</w:t>
            </w:r>
            <w:r w:rsidRPr="002F5FE5">
              <w:rPr>
                <w:rFonts w:ascii="Times New Roman" w:hAnsi="Times New Roman"/>
                <w:color w:val="000000"/>
              </w:rPr>
              <w:t>SaaS</w:t>
            </w:r>
            <w:r w:rsidRPr="002F5FE5">
              <w:rPr>
                <w:rFonts w:ascii="Times New Roman" w:hAnsi="Times New Roman"/>
                <w:color w:val="000000"/>
              </w:rPr>
              <w:t>订阅服务、数据增值服务中获得稳定、高毛利的经常性收入。</w:t>
            </w:r>
          </w:p>
        </w:tc>
        <w:tc>
          <w:tcPr>
            <w:tcW w:w="1091" w:type="pct"/>
            <w:vAlign w:val="center"/>
            <w:hideMark/>
          </w:tcPr>
          <w:p w14:paraId="1D125E28"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硬件</w:t>
            </w:r>
            <w:r w:rsidRPr="002F5FE5">
              <w:rPr>
                <w:rFonts w:ascii="Times New Roman" w:hAnsi="Times New Roman"/>
                <w:color w:val="000000"/>
              </w:rPr>
              <w:t>+</w:t>
            </w:r>
            <w:r w:rsidRPr="002F5FE5">
              <w:rPr>
                <w:rFonts w:ascii="Times New Roman" w:hAnsi="Times New Roman"/>
                <w:color w:val="000000"/>
              </w:rPr>
              <w:t>云服务</w:t>
            </w:r>
            <w:r w:rsidRPr="002F5FE5">
              <w:rPr>
                <w:rFonts w:ascii="Times New Roman" w:hAnsi="Times New Roman"/>
                <w:color w:val="000000"/>
              </w:rPr>
              <w:t>”</w:t>
            </w:r>
            <w:r w:rsidRPr="002F5FE5">
              <w:rPr>
                <w:rFonts w:ascii="Times New Roman" w:hAnsi="Times New Roman"/>
                <w:color w:val="000000"/>
              </w:rPr>
              <w:t>模式。硬件销售是基础，通过云平台提供远程管理、数据分析等增值服务，形成持续性收入。</w:t>
            </w:r>
          </w:p>
        </w:tc>
        <w:tc>
          <w:tcPr>
            <w:tcW w:w="1080" w:type="pct"/>
            <w:vAlign w:val="center"/>
            <w:hideMark/>
          </w:tcPr>
          <w:p w14:paraId="64B2E54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云转型</w:t>
            </w:r>
            <w:r w:rsidRPr="002F5FE5">
              <w:rPr>
                <w:rFonts w:ascii="Times New Roman" w:hAnsi="Times New Roman"/>
                <w:color w:val="000000"/>
              </w:rPr>
              <w:t>”</w:t>
            </w:r>
            <w:r w:rsidRPr="002F5FE5">
              <w:rPr>
                <w:rFonts w:ascii="Times New Roman" w:hAnsi="Times New Roman"/>
                <w:color w:val="000000"/>
              </w:rPr>
              <w:t>模式。已基本完成从传统软件许可向</w:t>
            </w:r>
            <w:r w:rsidRPr="002F5FE5">
              <w:rPr>
                <w:rFonts w:ascii="Times New Roman" w:hAnsi="Times New Roman"/>
                <w:color w:val="000000"/>
              </w:rPr>
              <w:t>“</w:t>
            </w:r>
            <w:r w:rsidRPr="002F5FE5">
              <w:rPr>
                <w:rFonts w:ascii="Times New Roman" w:hAnsi="Times New Roman"/>
                <w:color w:val="000000"/>
              </w:rPr>
              <w:t>云订阅</w:t>
            </w:r>
            <w:r w:rsidRPr="002F5FE5">
              <w:rPr>
                <w:rFonts w:ascii="Times New Roman" w:hAnsi="Times New Roman"/>
                <w:color w:val="000000"/>
              </w:rPr>
              <w:t>”</w:t>
            </w:r>
            <w:r w:rsidRPr="002F5FE5">
              <w:rPr>
                <w:rFonts w:ascii="Times New Roman" w:hAnsi="Times New Roman"/>
                <w:color w:val="000000"/>
              </w:rPr>
              <w:t>模式的转型，收入主要来源于云服务的持续订阅费。</w:t>
            </w:r>
          </w:p>
        </w:tc>
        <w:tc>
          <w:tcPr>
            <w:tcW w:w="1183" w:type="pct"/>
            <w:vAlign w:val="center"/>
            <w:hideMark/>
          </w:tcPr>
          <w:p w14:paraId="3E125F82"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软件</w:t>
            </w:r>
            <w:r w:rsidRPr="002F5FE5">
              <w:rPr>
                <w:rFonts w:ascii="Times New Roman" w:hAnsi="Times New Roman"/>
                <w:color w:val="000000"/>
              </w:rPr>
              <w:t>+</w:t>
            </w:r>
            <w:r w:rsidRPr="002F5FE5">
              <w:rPr>
                <w:rFonts w:ascii="Times New Roman" w:hAnsi="Times New Roman"/>
                <w:color w:val="000000"/>
              </w:rPr>
              <w:t>服务</w:t>
            </w:r>
            <w:r w:rsidRPr="002F5FE5">
              <w:rPr>
                <w:rFonts w:ascii="Times New Roman" w:hAnsi="Times New Roman"/>
                <w:color w:val="000000"/>
              </w:rPr>
              <w:t>”</w:t>
            </w:r>
            <w:r w:rsidRPr="002F5FE5">
              <w:rPr>
                <w:rFonts w:ascii="Times New Roman" w:hAnsi="Times New Roman"/>
                <w:color w:val="000000"/>
              </w:rPr>
              <w:t>模式。正加速从本地部署软件向公有云</w:t>
            </w:r>
            <w:r w:rsidRPr="002F5FE5">
              <w:rPr>
                <w:rFonts w:ascii="Times New Roman" w:hAnsi="Times New Roman"/>
                <w:color w:val="000000"/>
              </w:rPr>
              <w:t>SaaS</w:t>
            </w:r>
            <w:r w:rsidRPr="002F5FE5">
              <w:rPr>
                <w:rFonts w:ascii="Times New Roman" w:hAnsi="Times New Roman"/>
                <w:color w:val="000000"/>
              </w:rPr>
              <w:t>模式转型，云业务收入占比持续提升。</w:t>
            </w:r>
          </w:p>
        </w:tc>
      </w:tr>
      <w:tr w:rsidR="00CD798F" w:rsidRPr="002F5FE5" w14:paraId="57B32FE6" w14:textId="77777777" w:rsidTr="00214723">
        <w:trPr>
          <w:cantSplit/>
          <w:trHeight w:val="454"/>
          <w:jc w:val="center"/>
        </w:trPr>
        <w:tc>
          <w:tcPr>
            <w:tcW w:w="518" w:type="pct"/>
            <w:vAlign w:val="center"/>
            <w:hideMark/>
          </w:tcPr>
          <w:p w14:paraId="6FD67787"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企业规模</w:t>
            </w:r>
          </w:p>
        </w:tc>
        <w:tc>
          <w:tcPr>
            <w:tcW w:w="1129" w:type="pct"/>
            <w:vAlign w:val="center"/>
            <w:hideMark/>
          </w:tcPr>
          <w:p w14:paraId="11B45EA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营收约</w:t>
            </w:r>
            <w:r w:rsidRPr="002F5FE5">
              <w:rPr>
                <w:rFonts w:ascii="Times New Roman" w:hAnsi="Times New Roman"/>
                <w:color w:val="000000"/>
              </w:rPr>
              <w:t>4.5</w:t>
            </w:r>
            <w:r w:rsidRPr="002F5FE5">
              <w:rPr>
                <w:rFonts w:ascii="Times New Roman" w:hAnsi="Times New Roman"/>
                <w:color w:val="000000"/>
              </w:rPr>
              <w:t>亿元，员工超</w:t>
            </w:r>
            <w:r w:rsidRPr="002F5FE5">
              <w:rPr>
                <w:rFonts w:ascii="Times New Roman" w:hAnsi="Times New Roman"/>
                <w:color w:val="000000"/>
              </w:rPr>
              <w:t>500</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年数据），整体处于成长期企业规模水平。</w:t>
            </w:r>
          </w:p>
        </w:tc>
        <w:tc>
          <w:tcPr>
            <w:tcW w:w="1091" w:type="pct"/>
            <w:vAlign w:val="center"/>
            <w:hideMark/>
          </w:tcPr>
          <w:p w14:paraId="4F9FA94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营收约</w:t>
            </w:r>
            <w:r w:rsidRPr="002F5FE5">
              <w:rPr>
                <w:rFonts w:ascii="Times New Roman" w:hAnsi="Times New Roman"/>
                <w:color w:val="000000"/>
              </w:rPr>
              <w:t>6.1</w:t>
            </w:r>
            <w:r w:rsidRPr="002F5FE5">
              <w:rPr>
                <w:rFonts w:ascii="Times New Roman" w:hAnsi="Times New Roman"/>
                <w:color w:val="000000"/>
              </w:rPr>
              <w:t>亿元，员工</w:t>
            </w:r>
            <w:r w:rsidRPr="002F5FE5">
              <w:rPr>
                <w:rFonts w:ascii="Times New Roman" w:hAnsi="Times New Roman"/>
                <w:color w:val="000000"/>
              </w:rPr>
              <w:t>424</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年数据），具备成熟成长期企业规模。</w:t>
            </w:r>
          </w:p>
        </w:tc>
        <w:tc>
          <w:tcPr>
            <w:tcW w:w="1080" w:type="pct"/>
            <w:vAlign w:val="center"/>
            <w:hideMark/>
          </w:tcPr>
          <w:p w14:paraId="3B2E9BC8"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营收约</w:t>
            </w:r>
            <w:r w:rsidRPr="002F5FE5">
              <w:rPr>
                <w:rFonts w:ascii="Times New Roman" w:hAnsi="Times New Roman"/>
                <w:color w:val="000000"/>
              </w:rPr>
              <w:t>62.4</w:t>
            </w:r>
            <w:r w:rsidRPr="002F5FE5">
              <w:rPr>
                <w:rFonts w:ascii="Times New Roman" w:hAnsi="Times New Roman"/>
                <w:color w:val="000000"/>
              </w:rPr>
              <w:t>亿元，员工</w:t>
            </w:r>
            <w:r w:rsidRPr="002F5FE5">
              <w:rPr>
                <w:rFonts w:ascii="Times New Roman" w:hAnsi="Times New Roman"/>
                <w:color w:val="000000"/>
              </w:rPr>
              <w:t>8,463</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年数据），属于大型成熟企业。</w:t>
            </w:r>
          </w:p>
        </w:tc>
        <w:tc>
          <w:tcPr>
            <w:tcW w:w="1183" w:type="pct"/>
            <w:vAlign w:val="center"/>
            <w:hideMark/>
          </w:tcPr>
          <w:p w14:paraId="061B12F7"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营收约</w:t>
            </w:r>
            <w:r w:rsidRPr="002F5FE5">
              <w:rPr>
                <w:rFonts w:ascii="Times New Roman" w:hAnsi="Times New Roman"/>
                <w:color w:val="000000"/>
              </w:rPr>
              <w:t>29.5</w:t>
            </w:r>
            <w:r w:rsidRPr="002F5FE5">
              <w:rPr>
                <w:rFonts w:ascii="Times New Roman" w:hAnsi="Times New Roman"/>
                <w:color w:val="000000"/>
              </w:rPr>
              <w:t>亿元，员工</w:t>
            </w:r>
            <w:r w:rsidRPr="002F5FE5">
              <w:rPr>
                <w:rFonts w:ascii="Times New Roman" w:hAnsi="Times New Roman"/>
                <w:color w:val="000000"/>
              </w:rPr>
              <w:t>5,018</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年数据），规模介于中大型之间，处于战略转型阶段。</w:t>
            </w:r>
          </w:p>
        </w:tc>
      </w:tr>
      <w:tr w:rsidR="00CD798F" w:rsidRPr="002F5FE5" w14:paraId="6E1F12BD" w14:textId="77777777" w:rsidTr="00214723">
        <w:trPr>
          <w:cantSplit/>
          <w:trHeight w:val="454"/>
          <w:jc w:val="center"/>
        </w:trPr>
        <w:tc>
          <w:tcPr>
            <w:tcW w:w="518" w:type="pct"/>
            <w:vAlign w:val="center"/>
            <w:hideMark/>
          </w:tcPr>
          <w:p w14:paraId="10415DC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成长能力</w:t>
            </w:r>
          </w:p>
        </w:tc>
        <w:tc>
          <w:tcPr>
            <w:tcW w:w="1129" w:type="pct"/>
            <w:vAlign w:val="center"/>
            <w:hideMark/>
          </w:tcPr>
          <w:p w14:paraId="36B853B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依托覆盖全国</w:t>
            </w:r>
            <w:r w:rsidRPr="002F5FE5">
              <w:rPr>
                <w:rFonts w:ascii="Times New Roman" w:hAnsi="Times New Roman"/>
                <w:color w:val="000000"/>
              </w:rPr>
              <w:t>600</w:t>
            </w:r>
            <w:r w:rsidRPr="002F5FE5">
              <w:rPr>
                <w:rFonts w:ascii="Times New Roman" w:hAnsi="Times New Roman"/>
                <w:color w:val="000000"/>
              </w:rPr>
              <w:t>余城市的</w:t>
            </w:r>
            <w:r w:rsidRPr="002F5FE5">
              <w:rPr>
                <w:rFonts w:ascii="Times New Roman" w:hAnsi="Times New Roman"/>
                <w:color w:val="000000"/>
              </w:rPr>
              <w:t>300</w:t>
            </w:r>
            <w:r w:rsidRPr="002F5FE5">
              <w:rPr>
                <w:rFonts w:ascii="Times New Roman" w:hAnsi="Times New Roman"/>
                <w:color w:val="000000"/>
              </w:rPr>
              <w:t>万</w:t>
            </w:r>
            <w:r w:rsidRPr="002F5FE5">
              <w:rPr>
                <w:rFonts w:ascii="Times New Roman" w:hAnsi="Times New Roman"/>
                <w:color w:val="000000"/>
              </w:rPr>
              <w:t>+</w:t>
            </w:r>
            <w:r w:rsidRPr="002F5FE5">
              <w:rPr>
                <w:rFonts w:ascii="Times New Roman" w:hAnsi="Times New Roman"/>
                <w:color w:val="000000"/>
              </w:rPr>
              <w:t>台高频刚需自助设备网络，在社区充电、校园生活、交通枢纽等场景中形成强大网络效应与客户粘性，</w:t>
            </w:r>
            <w:r w:rsidRPr="002F5FE5">
              <w:rPr>
                <w:rFonts w:ascii="Times New Roman" w:hAnsi="Times New Roman"/>
                <w:color w:val="000000"/>
              </w:rPr>
              <w:t>SaaS</w:t>
            </w:r>
            <w:r w:rsidRPr="002F5FE5">
              <w:rPr>
                <w:rFonts w:ascii="Times New Roman" w:hAnsi="Times New Roman"/>
                <w:color w:val="000000"/>
              </w:rPr>
              <w:t>平台具备可持续变现能力，未来收入有望保持稳健增长。</w:t>
            </w:r>
          </w:p>
        </w:tc>
        <w:tc>
          <w:tcPr>
            <w:tcW w:w="1091" w:type="pct"/>
            <w:vAlign w:val="center"/>
            <w:hideMark/>
          </w:tcPr>
          <w:p w14:paraId="58718AC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受益于海外产能释放、</w:t>
            </w:r>
            <w:r w:rsidRPr="002F5FE5">
              <w:rPr>
                <w:rFonts w:ascii="Times New Roman" w:hAnsi="Times New Roman"/>
                <w:color w:val="000000"/>
              </w:rPr>
              <w:t>AI</w:t>
            </w:r>
            <w:r w:rsidRPr="002F5FE5">
              <w:rPr>
                <w:rFonts w:ascii="Times New Roman" w:hAnsi="Times New Roman"/>
                <w:color w:val="000000"/>
              </w:rPr>
              <w:t>边缘计算产品落地及电力</w:t>
            </w:r>
            <w:r w:rsidRPr="002F5FE5">
              <w:rPr>
                <w:rFonts w:ascii="Times New Roman" w:hAnsi="Times New Roman"/>
                <w:color w:val="000000"/>
              </w:rPr>
              <w:t>/</w:t>
            </w:r>
            <w:r w:rsidRPr="002F5FE5">
              <w:rPr>
                <w:rFonts w:ascii="Times New Roman" w:hAnsi="Times New Roman"/>
                <w:color w:val="000000"/>
              </w:rPr>
              <w:t>零售物联网高景气，全球订单饱满，展现出高成长性。</w:t>
            </w:r>
          </w:p>
        </w:tc>
        <w:tc>
          <w:tcPr>
            <w:tcW w:w="1080" w:type="pct"/>
            <w:vAlign w:val="center"/>
            <w:hideMark/>
          </w:tcPr>
          <w:p w14:paraId="16E687B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作为建筑信息化龙头，在行业调整期展现韧性，增长主要来自云服务</w:t>
            </w:r>
            <w:r w:rsidRPr="002F5FE5">
              <w:rPr>
                <w:rFonts w:ascii="Times New Roman" w:hAnsi="Times New Roman"/>
                <w:color w:val="000000"/>
              </w:rPr>
              <w:t>ARPU</w:t>
            </w:r>
            <w:r w:rsidRPr="002F5FE5">
              <w:rPr>
                <w:rFonts w:ascii="Times New Roman" w:hAnsi="Times New Roman"/>
                <w:color w:val="000000"/>
              </w:rPr>
              <w:t>值提升及</w:t>
            </w:r>
            <w:r w:rsidRPr="002F5FE5">
              <w:rPr>
                <w:rFonts w:ascii="Times New Roman" w:hAnsi="Times New Roman"/>
                <w:color w:val="000000"/>
              </w:rPr>
              <w:t>AI</w:t>
            </w:r>
            <w:r w:rsidRPr="002F5FE5">
              <w:rPr>
                <w:rFonts w:ascii="Times New Roman" w:hAnsi="Times New Roman"/>
                <w:color w:val="000000"/>
              </w:rPr>
              <w:t>新场景培育，维持低速稳健增长。</w:t>
            </w:r>
          </w:p>
        </w:tc>
        <w:tc>
          <w:tcPr>
            <w:tcW w:w="1183" w:type="pct"/>
            <w:vAlign w:val="center"/>
            <w:hideMark/>
          </w:tcPr>
          <w:p w14:paraId="24F1DFA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国际酒店云</w:t>
            </w:r>
            <w:r w:rsidRPr="002F5FE5">
              <w:rPr>
                <w:rFonts w:ascii="Times New Roman" w:hAnsi="Times New Roman"/>
                <w:color w:val="000000"/>
              </w:rPr>
              <w:t>PMS</w:t>
            </w:r>
            <w:r w:rsidRPr="002F5FE5">
              <w:rPr>
                <w:rFonts w:ascii="Times New Roman" w:hAnsi="Times New Roman"/>
                <w:color w:val="000000"/>
              </w:rPr>
              <w:t>大客户切换基本完成，</w:t>
            </w:r>
            <w:r w:rsidRPr="002F5FE5">
              <w:rPr>
                <w:rFonts w:ascii="Times New Roman" w:hAnsi="Times New Roman"/>
                <w:color w:val="000000"/>
              </w:rPr>
              <w:t>SaaS</w:t>
            </w:r>
            <w:r w:rsidRPr="002F5FE5">
              <w:rPr>
                <w:rFonts w:ascii="Times New Roman" w:hAnsi="Times New Roman"/>
                <w:color w:val="000000"/>
              </w:rPr>
              <w:t>订阅收入进入加速确认期，云转型成效全面显现，重回恢复性高增长通道。</w:t>
            </w:r>
          </w:p>
        </w:tc>
      </w:tr>
      <w:tr w:rsidR="00CD798F" w:rsidRPr="002F5FE5" w14:paraId="43CC6866" w14:textId="77777777" w:rsidTr="00214723">
        <w:trPr>
          <w:cantSplit/>
          <w:trHeight w:val="454"/>
          <w:jc w:val="center"/>
        </w:trPr>
        <w:tc>
          <w:tcPr>
            <w:tcW w:w="518" w:type="pct"/>
            <w:vAlign w:val="center"/>
            <w:hideMark/>
          </w:tcPr>
          <w:p w14:paraId="391ED88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盈利能力</w:t>
            </w:r>
          </w:p>
        </w:tc>
        <w:tc>
          <w:tcPr>
            <w:tcW w:w="1129" w:type="pct"/>
            <w:vAlign w:val="center"/>
            <w:hideMark/>
          </w:tcPr>
          <w:p w14:paraId="6F652388"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毛利率为</w:t>
            </w:r>
            <w:r w:rsidRPr="002F5FE5">
              <w:rPr>
                <w:rFonts w:ascii="Times New Roman" w:hAnsi="Times New Roman"/>
                <w:color w:val="000000"/>
              </w:rPr>
              <w:t>62.96%</w:t>
            </w:r>
            <w:r w:rsidRPr="002F5FE5">
              <w:rPr>
                <w:rFonts w:ascii="Times New Roman" w:hAnsi="Times New Roman"/>
                <w:color w:val="000000"/>
              </w:rPr>
              <w:t>，</w:t>
            </w:r>
            <w:r w:rsidRPr="002F5FE5">
              <w:rPr>
                <w:rFonts w:ascii="Times New Roman" w:hAnsi="Times New Roman"/>
                <w:color w:val="000000"/>
              </w:rPr>
              <w:t>EBITDA</w:t>
            </w:r>
            <w:r w:rsidRPr="002F5FE5">
              <w:rPr>
                <w:rFonts w:ascii="Times New Roman" w:hAnsi="Times New Roman"/>
                <w:color w:val="000000"/>
              </w:rPr>
              <w:t>占营业收入比重达</w:t>
            </w:r>
            <w:r w:rsidRPr="002F5FE5">
              <w:rPr>
                <w:rFonts w:ascii="Times New Roman" w:hAnsi="Times New Roman"/>
                <w:color w:val="000000"/>
              </w:rPr>
              <w:t>28.6%</w:t>
            </w:r>
            <w:r w:rsidRPr="002F5FE5">
              <w:rPr>
                <w:rFonts w:ascii="Times New Roman" w:hAnsi="Times New Roman"/>
                <w:color w:val="000000"/>
              </w:rPr>
              <w:t>，净利率为</w:t>
            </w:r>
            <w:r w:rsidRPr="002F5FE5">
              <w:rPr>
                <w:rFonts w:ascii="Times New Roman" w:hAnsi="Times New Roman"/>
                <w:color w:val="000000"/>
              </w:rPr>
              <w:t>19.4%</w:t>
            </w:r>
            <w:r w:rsidRPr="002F5FE5">
              <w:rPr>
                <w:rFonts w:ascii="Times New Roman" w:hAnsi="Times New Roman"/>
                <w:color w:val="000000"/>
              </w:rPr>
              <w:t>，反映出其以高毛利</w:t>
            </w:r>
            <w:r w:rsidRPr="002F5FE5">
              <w:rPr>
                <w:rFonts w:ascii="Times New Roman" w:hAnsi="Times New Roman"/>
                <w:color w:val="000000"/>
              </w:rPr>
              <w:t>SaaS</w:t>
            </w:r>
            <w:r w:rsidRPr="002F5FE5">
              <w:rPr>
                <w:rFonts w:ascii="Times New Roman" w:hAnsi="Times New Roman"/>
                <w:color w:val="000000"/>
              </w:rPr>
              <w:t>服务为核心、轻资产运营为支撑的商业模式已具备较强的盈利转化能力，整体盈利能力较强。</w:t>
            </w:r>
          </w:p>
        </w:tc>
        <w:tc>
          <w:tcPr>
            <w:tcW w:w="1091" w:type="pct"/>
            <w:vAlign w:val="center"/>
            <w:hideMark/>
          </w:tcPr>
          <w:p w14:paraId="1611019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毛利率为</w:t>
            </w:r>
            <w:r w:rsidRPr="002F5FE5">
              <w:rPr>
                <w:rFonts w:ascii="Times New Roman" w:hAnsi="Times New Roman"/>
                <w:color w:val="000000"/>
              </w:rPr>
              <w:t>48.2%</w:t>
            </w:r>
            <w:r w:rsidRPr="002F5FE5">
              <w:rPr>
                <w:rFonts w:ascii="Times New Roman" w:hAnsi="Times New Roman"/>
                <w:color w:val="000000"/>
              </w:rPr>
              <w:t>，</w:t>
            </w:r>
            <w:r w:rsidRPr="002F5FE5">
              <w:rPr>
                <w:rFonts w:ascii="Times New Roman" w:hAnsi="Times New Roman"/>
                <w:color w:val="000000"/>
              </w:rPr>
              <w:t>EBITDA</w:t>
            </w:r>
            <w:r w:rsidRPr="002F5FE5">
              <w:rPr>
                <w:rFonts w:ascii="Times New Roman" w:hAnsi="Times New Roman"/>
                <w:color w:val="000000"/>
              </w:rPr>
              <w:t>占比</w:t>
            </w:r>
            <w:r w:rsidRPr="002F5FE5">
              <w:rPr>
                <w:rFonts w:ascii="Times New Roman" w:hAnsi="Times New Roman"/>
                <w:color w:val="000000"/>
              </w:rPr>
              <w:t>22.3%</w:t>
            </w:r>
            <w:r w:rsidRPr="002F5FE5">
              <w:rPr>
                <w:rFonts w:ascii="Times New Roman" w:hAnsi="Times New Roman"/>
                <w:color w:val="000000"/>
              </w:rPr>
              <w:t>，净利率</w:t>
            </w:r>
            <w:r w:rsidRPr="002F5FE5">
              <w:rPr>
                <w:rFonts w:ascii="Times New Roman" w:hAnsi="Times New Roman"/>
                <w:color w:val="000000"/>
              </w:rPr>
              <w:t>15.0%</w:t>
            </w:r>
            <w:r w:rsidRPr="002F5FE5">
              <w:rPr>
                <w:rFonts w:ascii="Times New Roman" w:hAnsi="Times New Roman"/>
                <w:color w:val="000000"/>
              </w:rPr>
              <w:t>，硬件与云服务协同发展，成本及费用控制较为稳健，整体盈利能力良好。</w:t>
            </w:r>
          </w:p>
        </w:tc>
        <w:tc>
          <w:tcPr>
            <w:tcW w:w="1080" w:type="pct"/>
            <w:vAlign w:val="center"/>
            <w:hideMark/>
          </w:tcPr>
          <w:p w14:paraId="2577720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w:t>
            </w:r>
            <w:r w:rsidRPr="002F5FE5">
              <w:rPr>
                <w:rFonts w:ascii="Times New Roman" w:hAnsi="Times New Roman"/>
                <w:color w:val="000000"/>
              </w:rPr>
              <w:t>89.1%</w:t>
            </w:r>
            <w:r w:rsidRPr="002F5FE5">
              <w:rPr>
                <w:rFonts w:ascii="Times New Roman" w:hAnsi="Times New Roman"/>
                <w:color w:val="000000"/>
              </w:rPr>
              <w:t>，但受持续高强度研发投入及市场拓展支出影响，</w:t>
            </w:r>
            <w:r w:rsidRPr="002F5FE5">
              <w:rPr>
                <w:rFonts w:ascii="Times New Roman" w:hAnsi="Times New Roman"/>
                <w:color w:val="000000"/>
              </w:rPr>
              <w:t>EBITDA</w:t>
            </w:r>
            <w:r w:rsidRPr="002F5FE5">
              <w:rPr>
                <w:rFonts w:ascii="Times New Roman" w:hAnsi="Times New Roman"/>
                <w:color w:val="000000"/>
              </w:rPr>
              <w:t>占比（</w:t>
            </w:r>
            <w:r w:rsidRPr="002F5FE5">
              <w:rPr>
                <w:rFonts w:ascii="Times New Roman" w:hAnsi="Times New Roman"/>
                <w:color w:val="000000"/>
              </w:rPr>
              <w:t>18.5%</w:t>
            </w:r>
            <w:r w:rsidRPr="002F5FE5">
              <w:rPr>
                <w:rFonts w:ascii="Times New Roman" w:hAnsi="Times New Roman"/>
                <w:color w:val="000000"/>
              </w:rPr>
              <w:t>）与净利率（</w:t>
            </w:r>
            <w:r w:rsidRPr="002F5FE5">
              <w:rPr>
                <w:rFonts w:ascii="Times New Roman" w:hAnsi="Times New Roman"/>
                <w:color w:val="000000"/>
              </w:rPr>
              <w:t>10.0%</w:t>
            </w:r>
            <w:r w:rsidRPr="002F5FE5">
              <w:rPr>
                <w:rFonts w:ascii="Times New Roman" w:hAnsi="Times New Roman"/>
                <w:color w:val="000000"/>
              </w:rPr>
              <w:t>）相对偏低，整体盈利能力处于一般水平。</w:t>
            </w:r>
          </w:p>
        </w:tc>
        <w:tc>
          <w:tcPr>
            <w:tcW w:w="1183" w:type="pct"/>
            <w:vAlign w:val="center"/>
            <w:hideMark/>
          </w:tcPr>
          <w:p w14:paraId="725F0EE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毛利率为</w:t>
            </w:r>
            <w:r w:rsidRPr="002F5FE5">
              <w:rPr>
                <w:rFonts w:ascii="Times New Roman" w:hAnsi="Times New Roman"/>
                <w:color w:val="000000"/>
              </w:rPr>
              <w:t>42.5%</w:t>
            </w:r>
            <w:r w:rsidRPr="002F5FE5">
              <w:rPr>
                <w:rFonts w:ascii="Times New Roman" w:hAnsi="Times New Roman"/>
                <w:color w:val="000000"/>
              </w:rPr>
              <w:t>，</w:t>
            </w:r>
            <w:r w:rsidRPr="002F5FE5">
              <w:rPr>
                <w:rFonts w:ascii="Times New Roman" w:hAnsi="Times New Roman"/>
                <w:color w:val="000000"/>
              </w:rPr>
              <w:t>EBITDA</w:t>
            </w:r>
            <w:r w:rsidRPr="002F5FE5">
              <w:rPr>
                <w:rFonts w:ascii="Times New Roman" w:hAnsi="Times New Roman"/>
                <w:color w:val="000000"/>
              </w:rPr>
              <w:t>占比</w:t>
            </w:r>
            <w:r w:rsidRPr="002F5FE5">
              <w:rPr>
                <w:rFonts w:ascii="Times New Roman" w:hAnsi="Times New Roman"/>
                <w:color w:val="000000"/>
              </w:rPr>
              <w:t>5.2%</w:t>
            </w:r>
            <w:r w:rsidRPr="002F5FE5">
              <w:rPr>
                <w:rFonts w:ascii="Times New Roman" w:hAnsi="Times New Roman"/>
                <w:color w:val="000000"/>
              </w:rPr>
              <w:t>，净利率为</w:t>
            </w:r>
            <w:r w:rsidRPr="002F5FE5">
              <w:rPr>
                <w:rFonts w:ascii="Times New Roman" w:hAnsi="Times New Roman"/>
                <w:color w:val="000000"/>
              </w:rPr>
              <w:t>-8.3%</w:t>
            </w:r>
            <w:r w:rsidRPr="002F5FE5">
              <w:rPr>
                <w:rFonts w:ascii="Times New Roman" w:hAnsi="Times New Roman"/>
                <w:color w:val="000000"/>
              </w:rPr>
              <w:t>，主要系公司正处于国际酒店云</w:t>
            </w:r>
            <w:r w:rsidRPr="002F5FE5">
              <w:rPr>
                <w:rFonts w:ascii="Times New Roman" w:hAnsi="Times New Roman"/>
                <w:color w:val="000000"/>
              </w:rPr>
              <w:t>PMS</w:t>
            </w:r>
            <w:r w:rsidRPr="002F5FE5">
              <w:rPr>
                <w:rFonts w:ascii="Times New Roman" w:hAnsi="Times New Roman"/>
                <w:color w:val="000000"/>
              </w:rPr>
              <w:t>业务的战略投入阶段，相关研发与市场费用前置，当前盈利能力相对较弱，但具有阶段性特征。</w:t>
            </w:r>
          </w:p>
        </w:tc>
      </w:tr>
      <w:tr w:rsidR="00CD798F" w:rsidRPr="002F5FE5" w14:paraId="229805CE" w14:textId="77777777" w:rsidTr="00214723">
        <w:trPr>
          <w:cantSplit/>
          <w:trHeight w:val="454"/>
          <w:jc w:val="center"/>
        </w:trPr>
        <w:tc>
          <w:tcPr>
            <w:tcW w:w="518" w:type="pct"/>
            <w:vAlign w:val="center"/>
            <w:hideMark/>
          </w:tcPr>
          <w:p w14:paraId="13CDE3DA"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所处经营阶段</w:t>
            </w:r>
          </w:p>
        </w:tc>
        <w:tc>
          <w:tcPr>
            <w:tcW w:w="1129" w:type="pct"/>
            <w:vAlign w:val="center"/>
            <w:hideMark/>
          </w:tcPr>
          <w:p w14:paraId="5CAAF10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成长期：已完成核心技术与产品的验证，正处于市场快速扩张和规模化复制阶段。</w:t>
            </w:r>
          </w:p>
        </w:tc>
        <w:tc>
          <w:tcPr>
            <w:tcW w:w="1091" w:type="pct"/>
            <w:vAlign w:val="center"/>
            <w:hideMark/>
          </w:tcPr>
          <w:p w14:paraId="24ED29F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成熟成长期：在工业物联网细分市场已建立稳固地位，增长趋于稳健。</w:t>
            </w:r>
          </w:p>
        </w:tc>
        <w:tc>
          <w:tcPr>
            <w:tcW w:w="1080" w:type="pct"/>
            <w:vAlign w:val="center"/>
            <w:hideMark/>
          </w:tcPr>
          <w:p w14:paraId="396F470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成熟期：在建筑信息化领域占据绝对领先地位，进入高质量发展阶段。</w:t>
            </w:r>
          </w:p>
        </w:tc>
        <w:tc>
          <w:tcPr>
            <w:tcW w:w="1183" w:type="pct"/>
            <w:vAlign w:val="center"/>
            <w:hideMark/>
          </w:tcPr>
          <w:p w14:paraId="7D0421F7"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战略转型期：正经历从传统软件向云服务的重大战略转型，短期业绩承压。</w:t>
            </w:r>
          </w:p>
        </w:tc>
      </w:tr>
    </w:tbl>
    <w:p w14:paraId="3D237A17" w14:textId="77777777" w:rsidR="00CD798F" w:rsidRDefault="00CD798F" w:rsidP="00CD798F">
      <w:pPr>
        <w:pStyle w:val="005"/>
        <w:spacing w:before="120" w:after="120"/>
        <w:ind w:firstLine="480"/>
      </w:pPr>
      <w:r>
        <w:rPr>
          <w:rFonts w:hint="eastAsia"/>
        </w:rPr>
        <w:t>综上，可比上市公司</w:t>
      </w:r>
      <w:r w:rsidRPr="00E663ED">
        <w:rPr>
          <w:rFonts w:hint="eastAsia"/>
        </w:rPr>
        <w:t>在企业规模、发展阶段及盈利水平上存在客观差异，</w:t>
      </w:r>
      <w:r>
        <w:rPr>
          <w:rFonts w:hint="eastAsia"/>
        </w:rPr>
        <w:t>使得估值水平有所差异，</w:t>
      </w:r>
      <w:r w:rsidRPr="00E663ED">
        <w:rPr>
          <w:rFonts w:hint="eastAsia"/>
        </w:rPr>
        <w:t>但其商业模式的核心逻辑高度一致</w:t>
      </w:r>
      <w:r>
        <w:rPr>
          <w:rFonts w:hint="eastAsia"/>
        </w:rPr>
        <w:t>，</w:t>
      </w:r>
      <w:r w:rsidRPr="00E663ED">
        <w:rPr>
          <w:rFonts w:hint="eastAsia"/>
        </w:rPr>
        <w:t>均以行业专用产品为入口，通</w:t>
      </w:r>
      <w:r w:rsidRPr="00E663ED">
        <w:rPr>
          <w:rFonts w:hint="eastAsia"/>
        </w:rPr>
        <w:lastRenderedPageBreak/>
        <w:t>过</w:t>
      </w:r>
      <w:r>
        <w:rPr>
          <w:rFonts w:hint="eastAsia"/>
        </w:rPr>
        <w:t>SaaS</w:t>
      </w:r>
      <w:r w:rsidRPr="00E663ED">
        <w:rPr>
          <w:rFonts w:hint="eastAsia"/>
        </w:rPr>
        <w:t>平台构建长期、高粘性、高毛利的经常性收入</w:t>
      </w:r>
      <w:r>
        <w:rPr>
          <w:rFonts w:hint="eastAsia"/>
        </w:rPr>
        <w:t>，使得</w:t>
      </w:r>
      <w:r w:rsidRPr="006D123C">
        <w:rPr>
          <w:rFonts w:hint="eastAsia"/>
        </w:rPr>
        <w:t>可比上市公司</w:t>
      </w:r>
      <w:r>
        <w:rPr>
          <w:rFonts w:hint="eastAsia"/>
        </w:rPr>
        <w:t>与标的公司</w:t>
      </w:r>
      <w:r w:rsidRPr="006D123C">
        <w:rPr>
          <w:rFonts w:hint="eastAsia"/>
        </w:rPr>
        <w:t>具有一定可比性，能合理反映行业估值水平</w:t>
      </w:r>
      <w:r w:rsidRPr="00E663ED">
        <w:rPr>
          <w:rFonts w:hint="eastAsia"/>
        </w:rPr>
        <w:t>。</w:t>
      </w:r>
    </w:p>
    <w:p w14:paraId="150F9E6C" w14:textId="77777777" w:rsidR="00CD798F" w:rsidRDefault="00CD798F" w:rsidP="00CD798F">
      <w:pPr>
        <w:pStyle w:val="004"/>
        <w:spacing w:before="120" w:after="120"/>
        <w:ind w:firstLine="482"/>
      </w:pPr>
      <w:r>
        <w:rPr>
          <w:rFonts w:hint="eastAsia"/>
        </w:rPr>
        <w:t>2</w:t>
      </w:r>
      <w:r>
        <w:rPr>
          <w:rFonts w:hint="eastAsia"/>
        </w:rPr>
        <w:t>、可比交易案例选取方式及估值水平分析</w:t>
      </w:r>
    </w:p>
    <w:p w14:paraId="133D5573" w14:textId="77777777" w:rsidR="00CD798F" w:rsidRPr="004B1244" w:rsidRDefault="00CD798F" w:rsidP="00CD798F">
      <w:pPr>
        <w:pStyle w:val="005"/>
        <w:spacing w:before="120" w:after="120"/>
        <w:ind w:firstLine="480"/>
      </w:pPr>
      <w:r w:rsidRPr="004B1244">
        <w:t>标的公司所属行业为</w:t>
      </w:r>
      <w:r w:rsidRPr="004B1244">
        <w:rPr>
          <w:rFonts w:ascii="宋体" w:hAnsi="宋体"/>
        </w:rPr>
        <w:t>“</w:t>
      </w:r>
      <w:r w:rsidRPr="004B1244">
        <w:t>信息传输、软件和信息技术服务业</w:t>
      </w:r>
      <w:r w:rsidRPr="004B1244">
        <w:rPr>
          <w:rFonts w:ascii="宋体" w:hAnsi="宋体"/>
        </w:rPr>
        <w:t>”</w:t>
      </w:r>
      <w:r w:rsidRPr="004B1244">
        <w:t>下的</w:t>
      </w:r>
      <w:r w:rsidRPr="004B1244">
        <w:rPr>
          <w:rFonts w:ascii="宋体" w:hAnsi="宋体"/>
        </w:rPr>
        <w:t>“</w:t>
      </w:r>
      <w:r w:rsidRPr="004B1244">
        <w:t>信息系统集成和物联网技术服务</w:t>
      </w:r>
      <w:r w:rsidRPr="004B1244">
        <w:rPr>
          <w:rFonts w:ascii="宋体" w:hAnsi="宋体"/>
        </w:rPr>
        <w:t>”</w:t>
      </w:r>
      <w:r w:rsidRPr="004B1244">
        <w:t>（</w:t>
      </w:r>
      <w:r w:rsidRPr="004B1244">
        <w:t>I653</w:t>
      </w:r>
      <w:r w:rsidRPr="004B1244">
        <w:t>），由于市场尚无与标的公司主营业务、所处细分行业以及应用领域完全一致的并购标的，故本次选取近期交易标的从事软件技术信息行业相关的交易案例进行比较，对比情况如下：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8"/>
        <w:gridCol w:w="1395"/>
        <w:gridCol w:w="1165"/>
        <w:gridCol w:w="1501"/>
        <w:gridCol w:w="2059"/>
        <w:gridCol w:w="904"/>
        <w:gridCol w:w="1319"/>
      </w:tblGrid>
      <w:tr w:rsidR="00CD798F" w:rsidRPr="002F5FE5" w14:paraId="3BE5A884" w14:textId="77777777" w:rsidTr="00214723">
        <w:trPr>
          <w:trHeight w:val="397"/>
          <w:tblHeader/>
          <w:jc w:val="center"/>
        </w:trPr>
        <w:tc>
          <w:tcPr>
            <w:tcW w:w="396" w:type="pct"/>
            <w:tcMar>
              <w:top w:w="0" w:type="dxa"/>
              <w:left w:w="108" w:type="dxa"/>
              <w:bottom w:w="0" w:type="dxa"/>
              <w:right w:w="108" w:type="dxa"/>
            </w:tcMar>
            <w:vAlign w:val="center"/>
          </w:tcPr>
          <w:p w14:paraId="3303E9CE" w14:textId="77777777" w:rsidR="00CD798F" w:rsidRPr="002F5FE5" w:rsidRDefault="00CD798F" w:rsidP="00214723">
            <w:pPr>
              <w:keepNext/>
              <w:jc w:val="center"/>
              <w:rPr>
                <w:rFonts w:ascii="Times New Roman" w:hAnsi="Times New Roman"/>
                <w:b/>
                <w:color w:val="000000"/>
                <w:szCs w:val="21"/>
              </w:rPr>
            </w:pPr>
            <w:r w:rsidRPr="002F5FE5">
              <w:rPr>
                <w:rFonts w:ascii="Times New Roman" w:hAnsi="Times New Roman"/>
                <w:b/>
                <w:bCs/>
                <w:color w:val="000000"/>
                <w:szCs w:val="21"/>
              </w:rPr>
              <w:t>序号</w:t>
            </w:r>
          </w:p>
        </w:tc>
        <w:tc>
          <w:tcPr>
            <w:tcW w:w="770" w:type="pct"/>
            <w:tcMar>
              <w:top w:w="0" w:type="dxa"/>
              <w:left w:w="108" w:type="dxa"/>
              <w:bottom w:w="0" w:type="dxa"/>
              <w:right w:w="108" w:type="dxa"/>
            </w:tcMar>
            <w:vAlign w:val="center"/>
          </w:tcPr>
          <w:p w14:paraId="382D5330" w14:textId="77777777" w:rsidR="00CD798F" w:rsidRPr="002F5FE5" w:rsidRDefault="00CD798F" w:rsidP="00214723">
            <w:pPr>
              <w:keepNext/>
              <w:jc w:val="center"/>
              <w:rPr>
                <w:rFonts w:ascii="Times New Roman" w:hAnsi="Times New Roman"/>
                <w:b/>
                <w:color w:val="000000"/>
                <w:szCs w:val="21"/>
              </w:rPr>
            </w:pPr>
            <w:r w:rsidRPr="002F5FE5">
              <w:rPr>
                <w:rFonts w:ascii="Times New Roman" w:hAnsi="Times New Roman"/>
                <w:b/>
                <w:bCs/>
                <w:color w:val="000000"/>
                <w:szCs w:val="21"/>
              </w:rPr>
              <w:t>证券代码</w:t>
            </w:r>
          </w:p>
        </w:tc>
        <w:tc>
          <w:tcPr>
            <w:tcW w:w="643" w:type="pct"/>
            <w:tcMar>
              <w:top w:w="0" w:type="dxa"/>
              <w:left w:w="108" w:type="dxa"/>
              <w:bottom w:w="0" w:type="dxa"/>
              <w:right w:w="108" w:type="dxa"/>
            </w:tcMar>
            <w:vAlign w:val="center"/>
          </w:tcPr>
          <w:p w14:paraId="3DDD19A0" w14:textId="77777777" w:rsidR="00CD798F" w:rsidRPr="002F5FE5" w:rsidRDefault="00CD798F" w:rsidP="00214723">
            <w:pPr>
              <w:keepNext/>
              <w:jc w:val="center"/>
              <w:rPr>
                <w:rFonts w:ascii="Times New Roman" w:hAnsi="Times New Roman"/>
                <w:b/>
                <w:color w:val="000000"/>
                <w:szCs w:val="21"/>
              </w:rPr>
            </w:pPr>
            <w:r w:rsidRPr="002F5FE5">
              <w:rPr>
                <w:rFonts w:ascii="Times New Roman" w:hAnsi="Times New Roman"/>
                <w:b/>
                <w:bCs/>
                <w:color w:val="000000"/>
                <w:szCs w:val="21"/>
              </w:rPr>
              <w:t>上市公司</w:t>
            </w:r>
          </w:p>
        </w:tc>
        <w:tc>
          <w:tcPr>
            <w:tcW w:w="828" w:type="pct"/>
            <w:tcMar>
              <w:top w:w="0" w:type="dxa"/>
              <w:left w:w="108" w:type="dxa"/>
              <w:bottom w:w="0" w:type="dxa"/>
              <w:right w:w="108" w:type="dxa"/>
            </w:tcMar>
            <w:vAlign w:val="center"/>
          </w:tcPr>
          <w:p w14:paraId="662CEA03" w14:textId="77777777" w:rsidR="00CD798F" w:rsidRPr="002F5FE5" w:rsidRDefault="00CD798F" w:rsidP="00214723">
            <w:pPr>
              <w:keepNext/>
              <w:jc w:val="center"/>
              <w:rPr>
                <w:rFonts w:ascii="Times New Roman" w:hAnsi="Times New Roman"/>
                <w:b/>
                <w:color w:val="000000"/>
                <w:szCs w:val="21"/>
              </w:rPr>
            </w:pPr>
            <w:r w:rsidRPr="002F5FE5">
              <w:rPr>
                <w:rFonts w:ascii="Times New Roman" w:hAnsi="Times New Roman"/>
                <w:b/>
                <w:bCs/>
                <w:color w:val="000000"/>
                <w:szCs w:val="21"/>
              </w:rPr>
              <w:t>标的资产</w:t>
            </w:r>
          </w:p>
        </w:tc>
        <w:tc>
          <w:tcPr>
            <w:tcW w:w="1136" w:type="pct"/>
            <w:tcMar>
              <w:top w:w="0" w:type="dxa"/>
              <w:left w:w="108" w:type="dxa"/>
              <w:bottom w:w="0" w:type="dxa"/>
              <w:right w:w="108" w:type="dxa"/>
            </w:tcMar>
            <w:vAlign w:val="center"/>
          </w:tcPr>
          <w:p w14:paraId="641A5B97" w14:textId="77777777" w:rsidR="00CD798F" w:rsidRPr="002F5FE5" w:rsidRDefault="00CD798F" w:rsidP="00214723">
            <w:pPr>
              <w:keepNext/>
              <w:jc w:val="center"/>
              <w:rPr>
                <w:rFonts w:ascii="Times New Roman" w:hAnsi="Times New Roman"/>
                <w:b/>
                <w:color w:val="000000"/>
                <w:szCs w:val="21"/>
              </w:rPr>
            </w:pPr>
            <w:r w:rsidRPr="002F5FE5">
              <w:rPr>
                <w:rFonts w:ascii="Times New Roman" w:hAnsi="Times New Roman"/>
                <w:b/>
                <w:bCs/>
                <w:color w:val="000000"/>
                <w:szCs w:val="21"/>
              </w:rPr>
              <w:t>评估基准日</w:t>
            </w:r>
          </w:p>
        </w:tc>
        <w:tc>
          <w:tcPr>
            <w:tcW w:w="499" w:type="pct"/>
            <w:tcMar>
              <w:top w:w="0" w:type="dxa"/>
              <w:left w:w="108" w:type="dxa"/>
              <w:bottom w:w="0" w:type="dxa"/>
              <w:right w:w="108" w:type="dxa"/>
            </w:tcMar>
            <w:vAlign w:val="center"/>
          </w:tcPr>
          <w:p w14:paraId="62389C46" w14:textId="77777777" w:rsidR="00CD798F" w:rsidRPr="002F5FE5" w:rsidRDefault="00CD798F" w:rsidP="00214723">
            <w:pPr>
              <w:keepNext/>
              <w:jc w:val="center"/>
              <w:rPr>
                <w:rFonts w:ascii="Times New Roman" w:hAnsi="Times New Roman"/>
                <w:b/>
                <w:color w:val="000000"/>
                <w:szCs w:val="21"/>
              </w:rPr>
            </w:pPr>
            <w:r w:rsidRPr="002F5FE5">
              <w:rPr>
                <w:rFonts w:ascii="Times New Roman" w:hAnsi="Times New Roman"/>
                <w:b/>
                <w:bCs/>
                <w:color w:val="000000"/>
                <w:szCs w:val="21"/>
              </w:rPr>
              <w:t>市净率</w:t>
            </w:r>
          </w:p>
        </w:tc>
        <w:tc>
          <w:tcPr>
            <w:tcW w:w="728" w:type="pct"/>
            <w:tcMar>
              <w:top w:w="0" w:type="dxa"/>
              <w:left w:w="108" w:type="dxa"/>
              <w:bottom w:w="0" w:type="dxa"/>
              <w:right w:w="108" w:type="dxa"/>
            </w:tcMar>
            <w:vAlign w:val="center"/>
          </w:tcPr>
          <w:p w14:paraId="30D02344" w14:textId="77777777" w:rsidR="00CD798F" w:rsidRPr="002F5FE5" w:rsidRDefault="00CD798F" w:rsidP="00214723">
            <w:pPr>
              <w:keepNext/>
              <w:jc w:val="center"/>
              <w:rPr>
                <w:rFonts w:ascii="Times New Roman" w:hAnsi="Times New Roman"/>
                <w:b/>
                <w:color w:val="000000"/>
                <w:szCs w:val="21"/>
              </w:rPr>
            </w:pPr>
            <w:r w:rsidRPr="002F5FE5">
              <w:rPr>
                <w:rFonts w:ascii="Times New Roman" w:hAnsi="Times New Roman"/>
                <w:b/>
                <w:bCs/>
                <w:color w:val="000000"/>
                <w:szCs w:val="21"/>
              </w:rPr>
              <w:t>市盈率</w:t>
            </w:r>
          </w:p>
        </w:tc>
      </w:tr>
      <w:tr w:rsidR="00CD798F" w:rsidRPr="002F5FE5" w14:paraId="125C375A" w14:textId="77777777" w:rsidTr="00214723">
        <w:trPr>
          <w:trHeight w:val="397"/>
          <w:jc w:val="center"/>
        </w:trPr>
        <w:tc>
          <w:tcPr>
            <w:tcW w:w="396" w:type="pct"/>
            <w:tcMar>
              <w:top w:w="0" w:type="dxa"/>
              <w:left w:w="108" w:type="dxa"/>
              <w:bottom w:w="0" w:type="dxa"/>
              <w:right w:w="108" w:type="dxa"/>
            </w:tcMar>
            <w:vAlign w:val="center"/>
          </w:tcPr>
          <w:p w14:paraId="747EAE5C" w14:textId="77777777" w:rsidR="00CD798F" w:rsidRPr="002F5FE5" w:rsidRDefault="00CD798F" w:rsidP="00214723">
            <w:pPr>
              <w:jc w:val="center"/>
              <w:rPr>
                <w:rFonts w:ascii="Times New Roman" w:hAnsi="Times New Roman"/>
                <w:color w:val="000000"/>
                <w:szCs w:val="21"/>
              </w:rPr>
            </w:pPr>
            <w:r w:rsidRPr="002F5FE5">
              <w:rPr>
                <w:rFonts w:ascii="Times New Roman" w:hAnsi="Times New Roman"/>
                <w:color w:val="000000"/>
                <w:szCs w:val="21"/>
              </w:rPr>
              <w:t>1</w:t>
            </w:r>
          </w:p>
        </w:tc>
        <w:tc>
          <w:tcPr>
            <w:tcW w:w="770" w:type="pct"/>
            <w:tcMar>
              <w:top w:w="0" w:type="dxa"/>
              <w:left w:w="108" w:type="dxa"/>
              <w:bottom w:w="0" w:type="dxa"/>
              <w:right w:w="108" w:type="dxa"/>
            </w:tcMar>
            <w:vAlign w:val="center"/>
          </w:tcPr>
          <w:p w14:paraId="3AF3FA88"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688258.SH</w:t>
            </w:r>
          </w:p>
        </w:tc>
        <w:tc>
          <w:tcPr>
            <w:tcW w:w="643" w:type="pct"/>
            <w:tcMar>
              <w:top w:w="0" w:type="dxa"/>
              <w:left w:w="108" w:type="dxa"/>
              <w:bottom w:w="0" w:type="dxa"/>
              <w:right w:w="108" w:type="dxa"/>
            </w:tcMar>
            <w:vAlign w:val="center"/>
          </w:tcPr>
          <w:p w14:paraId="3CDEF7AB"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卓易信息</w:t>
            </w:r>
          </w:p>
        </w:tc>
        <w:tc>
          <w:tcPr>
            <w:tcW w:w="828" w:type="pct"/>
            <w:tcMar>
              <w:top w:w="0" w:type="dxa"/>
              <w:left w:w="108" w:type="dxa"/>
              <w:bottom w:w="0" w:type="dxa"/>
              <w:right w:w="108" w:type="dxa"/>
            </w:tcMar>
            <w:vAlign w:val="center"/>
          </w:tcPr>
          <w:p w14:paraId="50D020CE"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艾普阳深圳</w:t>
            </w:r>
            <w:r w:rsidRPr="002F5FE5">
              <w:rPr>
                <w:rFonts w:ascii="Times New Roman" w:hAnsi="Times New Roman"/>
                <w:color w:val="000000"/>
                <w:szCs w:val="21"/>
              </w:rPr>
              <w:t>52%</w:t>
            </w:r>
            <w:r w:rsidRPr="002F5FE5">
              <w:rPr>
                <w:rFonts w:ascii="Times New Roman" w:hAnsi="Times New Roman"/>
                <w:color w:val="000000"/>
                <w:szCs w:val="21"/>
              </w:rPr>
              <w:t>股权</w:t>
            </w:r>
          </w:p>
        </w:tc>
        <w:tc>
          <w:tcPr>
            <w:tcW w:w="1136" w:type="pct"/>
            <w:tcMar>
              <w:top w:w="0" w:type="dxa"/>
              <w:left w:w="108" w:type="dxa"/>
              <w:bottom w:w="0" w:type="dxa"/>
              <w:right w:w="108" w:type="dxa"/>
            </w:tcMar>
            <w:vAlign w:val="center"/>
          </w:tcPr>
          <w:p w14:paraId="5B8755D4"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2022</w:t>
            </w:r>
            <w:r w:rsidRPr="002F5FE5">
              <w:rPr>
                <w:rFonts w:ascii="Times New Roman" w:hAnsi="Times New Roman"/>
                <w:color w:val="000000"/>
                <w:szCs w:val="21"/>
              </w:rPr>
              <w:t>年</w:t>
            </w:r>
            <w:r w:rsidRPr="002F5FE5">
              <w:rPr>
                <w:rFonts w:ascii="Times New Roman" w:hAnsi="Times New Roman"/>
                <w:color w:val="000000"/>
                <w:szCs w:val="21"/>
              </w:rPr>
              <w:t>12</w:t>
            </w:r>
            <w:r w:rsidRPr="002F5FE5">
              <w:rPr>
                <w:rFonts w:ascii="Times New Roman" w:hAnsi="Times New Roman"/>
                <w:color w:val="000000"/>
                <w:szCs w:val="21"/>
              </w:rPr>
              <w:t>月</w:t>
            </w:r>
            <w:r w:rsidRPr="002F5FE5">
              <w:rPr>
                <w:rFonts w:ascii="Times New Roman" w:hAnsi="Times New Roman"/>
                <w:color w:val="000000"/>
                <w:szCs w:val="21"/>
              </w:rPr>
              <w:t>31</w:t>
            </w:r>
            <w:r w:rsidRPr="002F5FE5">
              <w:rPr>
                <w:rFonts w:ascii="Times New Roman" w:hAnsi="Times New Roman"/>
                <w:color w:val="000000"/>
                <w:szCs w:val="21"/>
              </w:rPr>
              <w:t>日</w:t>
            </w:r>
          </w:p>
        </w:tc>
        <w:tc>
          <w:tcPr>
            <w:tcW w:w="499" w:type="pct"/>
            <w:tcMar>
              <w:top w:w="0" w:type="dxa"/>
              <w:left w:w="108" w:type="dxa"/>
              <w:bottom w:w="0" w:type="dxa"/>
              <w:right w:w="108" w:type="dxa"/>
            </w:tcMar>
            <w:vAlign w:val="center"/>
          </w:tcPr>
          <w:p w14:paraId="71F47B6E"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7.11</w:t>
            </w:r>
          </w:p>
        </w:tc>
        <w:tc>
          <w:tcPr>
            <w:tcW w:w="728" w:type="pct"/>
            <w:tcMar>
              <w:top w:w="0" w:type="dxa"/>
              <w:left w:w="108" w:type="dxa"/>
              <w:bottom w:w="0" w:type="dxa"/>
              <w:right w:w="108" w:type="dxa"/>
            </w:tcMar>
            <w:vAlign w:val="center"/>
          </w:tcPr>
          <w:p w14:paraId="4B302DDC"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12.78</w:t>
            </w:r>
          </w:p>
        </w:tc>
      </w:tr>
      <w:tr w:rsidR="00CD798F" w:rsidRPr="002F5FE5" w14:paraId="7E3E4200" w14:textId="77777777" w:rsidTr="00214723">
        <w:trPr>
          <w:trHeight w:val="397"/>
          <w:jc w:val="center"/>
        </w:trPr>
        <w:tc>
          <w:tcPr>
            <w:tcW w:w="396" w:type="pct"/>
            <w:tcMar>
              <w:top w:w="0" w:type="dxa"/>
              <w:left w:w="108" w:type="dxa"/>
              <w:bottom w:w="0" w:type="dxa"/>
              <w:right w:w="108" w:type="dxa"/>
            </w:tcMar>
            <w:vAlign w:val="center"/>
          </w:tcPr>
          <w:p w14:paraId="76C436C8" w14:textId="77777777" w:rsidR="00CD798F" w:rsidRPr="002F5FE5" w:rsidRDefault="00CD798F" w:rsidP="00214723">
            <w:pPr>
              <w:jc w:val="center"/>
              <w:rPr>
                <w:rFonts w:ascii="Times New Roman" w:hAnsi="Times New Roman"/>
                <w:color w:val="000000"/>
                <w:szCs w:val="21"/>
              </w:rPr>
            </w:pPr>
            <w:r w:rsidRPr="002F5FE5">
              <w:rPr>
                <w:rFonts w:ascii="Times New Roman" w:hAnsi="Times New Roman"/>
                <w:color w:val="000000"/>
                <w:szCs w:val="21"/>
              </w:rPr>
              <w:t>2</w:t>
            </w:r>
          </w:p>
        </w:tc>
        <w:tc>
          <w:tcPr>
            <w:tcW w:w="770" w:type="pct"/>
            <w:tcMar>
              <w:top w:w="0" w:type="dxa"/>
              <w:left w:w="108" w:type="dxa"/>
              <w:bottom w:w="0" w:type="dxa"/>
              <w:right w:w="108" w:type="dxa"/>
            </w:tcMar>
            <w:vAlign w:val="center"/>
          </w:tcPr>
          <w:p w14:paraId="6076949C"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300188.SZ</w:t>
            </w:r>
          </w:p>
        </w:tc>
        <w:tc>
          <w:tcPr>
            <w:tcW w:w="643" w:type="pct"/>
            <w:tcMar>
              <w:top w:w="0" w:type="dxa"/>
              <w:left w:w="108" w:type="dxa"/>
              <w:bottom w:w="0" w:type="dxa"/>
              <w:right w:w="108" w:type="dxa"/>
            </w:tcMar>
            <w:vAlign w:val="center"/>
          </w:tcPr>
          <w:p w14:paraId="40300B8C"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国投智能</w:t>
            </w:r>
          </w:p>
        </w:tc>
        <w:tc>
          <w:tcPr>
            <w:tcW w:w="828" w:type="pct"/>
            <w:tcMar>
              <w:top w:w="0" w:type="dxa"/>
              <w:left w:w="108" w:type="dxa"/>
              <w:bottom w:w="0" w:type="dxa"/>
              <w:right w:w="108" w:type="dxa"/>
            </w:tcMar>
            <w:vAlign w:val="center"/>
          </w:tcPr>
          <w:p w14:paraId="0E37E2C3"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南京金鼎</w:t>
            </w:r>
            <w:r w:rsidRPr="002F5FE5">
              <w:rPr>
                <w:rFonts w:ascii="Times New Roman" w:hAnsi="Times New Roman"/>
                <w:color w:val="000000"/>
                <w:szCs w:val="21"/>
              </w:rPr>
              <w:t>55%</w:t>
            </w:r>
            <w:r w:rsidRPr="002F5FE5">
              <w:rPr>
                <w:rFonts w:ascii="Times New Roman" w:hAnsi="Times New Roman"/>
                <w:color w:val="000000"/>
                <w:szCs w:val="21"/>
              </w:rPr>
              <w:t>股权</w:t>
            </w:r>
          </w:p>
        </w:tc>
        <w:tc>
          <w:tcPr>
            <w:tcW w:w="1136" w:type="pct"/>
            <w:tcMar>
              <w:top w:w="0" w:type="dxa"/>
              <w:left w:w="108" w:type="dxa"/>
              <w:bottom w:w="0" w:type="dxa"/>
              <w:right w:w="108" w:type="dxa"/>
            </w:tcMar>
            <w:vAlign w:val="center"/>
          </w:tcPr>
          <w:p w14:paraId="110311B5"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2023</w:t>
            </w:r>
            <w:r w:rsidRPr="002F5FE5">
              <w:rPr>
                <w:rFonts w:ascii="Times New Roman" w:hAnsi="Times New Roman"/>
                <w:color w:val="000000"/>
                <w:szCs w:val="21"/>
              </w:rPr>
              <w:t>年</w:t>
            </w:r>
            <w:r w:rsidRPr="002F5FE5">
              <w:rPr>
                <w:rFonts w:ascii="Times New Roman" w:hAnsi="Times New Roman"/>
                <w:color w:val="000000"/>
                <w:szCs w:val="21"/>
              </w:rPr>
              <w:t>12</w:t>
            </w:r>
            <w:r w:rsidRPr="002F5FE5">
              <w:rPr>
                <w:rFonts w:ascii="Times New Roman" w:hAnsi="Times New Roman"/>
                <w:color w:val="000000"/>
                <w:szCs w:val="21"/>
              </w:rPr>
              <w:t>月</w:t>
            </w:r>
            <w:r w:rsidRPr="002F5FE5">
              <w:rPr>
                <w:rFonts w:ascii="Times New Roman" w:hAnsi="Times New Roman"/>
                <w:color w:val="000000"/>
                <w:szCs w:val="21"/>
              </w:rPr>
              <w:t>31</w:t>
            </w:r>
            <w:r w:rsidRPr="002F5FE5">
              <w:rPr>
                <w:rFonts w:ascii="Times New Roman" w:hAnsi="Times New Roman"/>
                <w:color w:val="000000"/>
                <w:szCs w:val="21"/>
              </w:rPr>
              <w:t>日</w:t>
            </w:r>
          </w:p>
        </w:tc>
        <w:tc>
          <w:tcPr>
            <w:tcW w:w="499" w:type="pct"/>
            <w:tcMar>
              <w:top w:w="0" w:type="dxa"/>
              <w:left w:w="108" w:type="dxa"/>
              <w:bottom w:w="0" w:type="dxa"/>
              <w:right w:w="108" w:type="dxa"/>
            </w:tcMar>
            <w:vAlign w:val="center"/>
          </w:tcPr>
          <w:p w14:paraId="3DCB0F71"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12.23</w:t>
            </w:r>
          </w:p>
        </w:tc>
        <w:tc>
          <w:tcPr>
            <w:tcW w:w="728" w:type="pct"/>
            <w:tcMar>
              <w:top w:w="0" w:type="dxa"/>
              <w:left w:w="108" w:type="dxa"/>
              <w:bottom w:w="0" w:type="dxa"/>
              <w:right w:w="108" w:type="dxa"/>
            </w:tcMar>
            <w:vAlign w:val="center"/>
          </w:tcPr>
          <w:p w14:paraId="321C2EDA"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6.26</w:t>
            </w:r>
          </w:p>
        </w:tc>
      </w:tr>
      <w:tr w:rsidR="00CD798F" w:rsidRPr="002F5FE5" w14:paraId="46F2B870" w14:textId="77777777" w:rsidTr="00214723">
        <w:trPr>
          <w:trHeight w:val="397"/>
          <w:jc w:val="center"/>
        </w:trPr>
        <w:tc>
          <w:tcPr>
            <w:tcW w:w="396" w:type="pct"/>
            <w:tcMar>
              <w:top w:w="0" w:type="dxa"/>
              <w:left w:w="108" w:type="dxa"/>
              <w:bottom w:w="0" w:type="dxa"/>
              <w:right w:w="108" w:type="dxa"/>
            </w:tcMar>
            <w:vAlign w:val="center"/>
          </w:tcPr>
          <w:p w14:paraId="3576EDEA" w14:textId="77777777" w:rsidR="00CD798F" w:rsidRPr="002F5FE5" w:rsidRDefault="00CD798F" w:rsidP="00214723">
            <w:pPr>
              <w:jc w:val="center"/>
              <w:rPr>
                <w:rFonts w:ascii="Times New Roman" w:hAnsi="Times New Roman"/>
                <w:color w:val="000000"/>
                <w:szCs w:val="21"/>
              </w:rPr>
            </w:pPr>
            <w:r w:rsidRPr="002F5FE5">
              <w:rPr>
                <w:rFonts w:ascii="Times New Roman" w:hAnsi="Times New Roman"/>
                <w:color w:val="000000"/>
                <w:szCs w:val="21"/>
              </w:rPr>
              <w:t>3</w:t>
            </w:r>
          </w:p>
        </w:tc>
        <w:tc>
          <w:tcPr>
            <w:tcW w:w="770" w:type="pct"/>
            <w:tcMar>
              <w:top w:w="0" w:type="dxa"/>
              <w:left w:w="108" w:type="dxa"/>
              <w:bottom w:w="0" w:type="dxa"/>
              <w:right w:w="108" w:type="dxa"/>
            </w:tcMar>
            <w:vAlign w:val="center"/>
          </w:tcPr>
          <w:p w14:paraId="2E9203D9"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688201.SH</w:t>
            </w:r>
          </w:p>
        </w:tc>
        <w:tc>
          <w:tcPr>
            <w:tcW w:w="643" w:type="pct"/>
            <w:tcMar>
              <w:top w:w="0" w:type="dxa"/>
              <w:left w:w="108" w:type="dxa"/>
              <w:bottom w:w="0" w:type="dxa"/>
              <w:right w:w="108" w:type="dxa"/>
            </w:tcMar>
            <w:vAlign w:val="center"/>
          </w:tcPr>
          <w:p w14:paraId="32AA6D81"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信安世纪</w:t>
            </w:r>
          </w:p>
        </w:tc>
        <w:tc>
          <w:tcPr>
            <w:tcW w:w="828" w:type="pct"/>
            <w:tcMar>
              <w:top w:w="0" w:type="dxa"/>
              <w:left w:w="108" w:type="dxa"/>
              <w:bottom w:w="0" w:type="dxa"/>
              <w:right w:w="108" w:type="dxa"/>
            </w:tcMar>
            <w:vAlign w:val="center"/>
          </w:tcPr>
          <w:p w14:paraId="4F37C741"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普世科技</w:t>
            </w:r>
            <w:r w:rsidRPr="002F5FE5">
              <w:rPr>
                <w:rFonts w:ascii="Times New Roman" w:hAnsi="Times New Roman"/>
                <w:color w:val="000000"/>
                <w:szCs w:val="21"/>
              </w:rPr>
              <w:t>80%</w:t>
            </w:r>
            <w:r w:rsidRPr="002F5FE5">
              <w:rPr>
                <w:rFonts w:ascii="Times New Roman" w:hAnsi="Times New Roman"/>
                <w:color w:val="000000"/>
                <w:szCs w:val="21"/>
              </w:rPr>
              <w:t>股权</w:t>
            </w:r>
          </w:p>
        </w:tc>
        <w:tc>
          <w:tcPr>
            <w:tcW w:w="1136" w:type="pct"/>
            <w:tcMar>
              <w:top w:w="0" w:type="dxa"/>
              <w:left w:w="108" w:type="dxa"/>
              <w:bottom w:w="0" w:type="dxa"/>
              <w:right w:w="108" w:type="dxa"/>
            </w:tcMar>
            <w:vAlign w:val="center"/>
          </w:tcPr>
          <w:p w14:paraId="29E3D6D7"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2022</w:t>
            </w:r>
            <w:r w:rsidRPr="002F5FE5">
              <w:rPr>
                <w:rFonts w:ascii="Times New Roman" w:hAnsi="Times New Roman"/>
                <w:color w:val="000000"/>
                <w:szCs w:val="21"/>
              </w:rPr>
              <w:t>年</w:t>
            </w:r>
            <w:r w:rsidRPr="002F5FE5">
              <w:rPr>
                <w:rFonts w:ascii="Times New Roman" w:hAnsi="Times New Roman"/>
                <w:color w:val="000000"/>
                <w:szCs w:val="21"/>
              </w:rPr>
              <w:t>6</w:t>
            </w:r>
            <w:r w:rsidRPr="002F5FE5">
              <w:rPr>
                <w:rFonts w:ascii="Times New Roman" w:hAnsi="Times New Roman"/>
                <w:color w:val="000000"/>
                <w:szCs w:val="21"/>
              </w:rPr>
              <w:t>月</w:t>
            </w:r>
            <w:r w:rsidRPr="002F5FE5">
              <w:rPr>
                <w:rFonts w:ascii="Times New Roman" w:hAnsi="Times New Roman"/>
                <w:color w:val="000000"/>
                <w:szCs w:val="21"/>
              </w:rPr>
              <w:t>30</w:t>
            </w:r>
            <w:r w:rsidRPr="002F5FE5">
              <w:rPr>
                <w:rFonts w:ascii="Times New Roman" w:hAnsi="Times New Roman"/>
                <w:color w:val="000000"/>
                <w:szCs w:val="21"/>
              </w:rPr>
              <w:t>日</w:t>
            </w:r>
          </w:p>
        </w:tc>
        <w:tc>
          <w:tcPr>
            <w:tcW w:w="499" w:type="pct"/>
            <w:tcMar>
              <w:top w:w="0" w:type="dxa"/>
              <w:left w:w="108" w:type="dxa"/>
              <w:bottom w:w="0" w:type="dxa"/>
              <w:right w:w="108" w:type="dxa"/>
            </w:tcMar>
            <w:vAlign w:val="center"/>
          </w:tcPr>
          <w:p w14:paraId="24B5C1DC"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10.69</w:t>
            </w:r>
          </w:p>
        </w:tc>
        <w:tc>
          <w:tcPr>
            <w:tcW w:w="728" w:type="pct"/>
            <w:tcMar>
              <w:top w:w="0" w:type="dxa"/>
              <w:left w:w="108" w:type="dxa"/>
              <w:bottom w:w="0" w:type="dxa"/>
              <w:right w:w="108" w:type="dxa"/>
            </w:tcMar>
            <w:vAlign w:val="center"/>
          </w:tcPr>
          <w:p w14:paraId="6BDAE0E6"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15.51</w:t>
            </w:r>
          </w:p>
        </w:tc>
      </w:tr>
      <w:tr w:rsidR="00CD798F" w:rsidRPr="002F5FE5" w14:paraId="64E904C0" w14:textId="77777777" w:rsidTr="00214723">
        <w:trPr>
          <w:trHeight w:val="397"/>
          <w:jc w:val="center"/>
        </w:trPr>
        <w:tc>
          <w:tcPr>
            <w:tcW w:w="396" w:type="pct"/>
            <w:tcMar>
              <w:top w:w="0" w:type="dxa"/>
              <w:left w:w="108" w:type="dxa"/>
              <w:bottom w:w="0" w:type="dxa"/>
              <w:right w:w="108" w:type="dxa"/>
            </w:tcMar>
            <w:vAlign w:val="center"/>
          </w:tcPr>
          <w:p w14:paraId="689A7548" w14:textId="77777777" w:rsidR="00CD798F" w:rsidRPr="002F5FE5" w:rsidRDefault="00CD798F" w:rsidP="00214723">
            <w:pPr>
              <w:jc w:val="center"/>
              <w:rPr>
                <w:rFonts w:ascii="Times New Roman" w:hAnsi="Times New Roman"/>
                <w:color w:val="000000"/>
                <w:szCs w:val="21"/>
              </w:rPr>
            </w:pPr>
            <w:r w:rsidRPr="002F5FE5">
              <w:rPr>
                <w:rFonts w:ascii="Times New Roman" w:hAnsi="Times New Roman"/>
                <w:color w:val="000000"/>
                <w:szCs w:val="21"/>
              </w:rPr>
              <w:t>4</w:t>
            </w:r>
          </w:p>
        </w:tc>
        <w:tc>
          <w:tcPr>
            <w:tcW w:w="770" w:type="pct"/>
            <w:tcMar>
              <w:top w:w="0" w:type="dxa"/>
              <w:left w:w="108" w:type="dxa"/>
              <w:bottom w:w="0" w:type="dxa"/>
              <w:right w:w="108" w:type="dxa"/>
            </w:tcMar>
            <w:vAlign w:val="center"/>
          </w:tcPr>
          <w:p w14:paraId="089227C5"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002153.SZ</w:t>
            </w:r>
          </w:p>
        </w:tc>
        <w:tc>
          <w:tcPr>
            <w:tcW w:w="643" w:type="pct"/>
            <w:tcMar>
              <w:top w:w="0" w:type="dxa"/>
              <w:left w:w="108" w:type="dxa"/>
              <w:bottom w:w="0" w:type="dxa"/>
              <w:right w:w="108" w:type="dxa"/>
            </w:tcMar>
            <w:vAlign w:val="center"/>
          </w:tcPr>
          <w:p w14:paraId="6A0C7785"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石基信息</w:t>
            </w:r>
          </w:p>
        </w:tc>
        <w:tc>
          <w:tcPr>
            <w:tcW w:w="828" w:type="pct"/>
            <w:tcMar>
              <w:top w:w="0" w:type="dxa"/>
              <w:left w:w="108" w:type="dxa"/>
              <w:bottom w:w="0" w:type="dxa"/>
              <w:right w:w="108" w:type="dxa"/>
            </w:tcMar>
            <w:vAlign w:val="center"/>
          </w:tcPr>
          <w:p w14:paraId="7B522A0A"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思迅软件</w:t>
            </w:r>
            <w:r w:rsidRPr="002F5FE5">
              <w:rPr>
                <w:rFonts w:ascii="Times New Roman" w:hAnsi="Times New Roman"/>
                <w:color w:val="000000"/>
                <w:szCs w:val="21"/>
              </w:rPr>
              <w:t>13.50%</w:t>
            </w:r>
            <w:r w:rsidRPr="002F5FE5">
              <w:rPr>
                <w:rFonts w:ascii="Times New Roman" w:hAnsi="Times New Roman"/>
                <w:color w:val="000000"/>
                <w:szCs w:val="21"/>
              </w:rPr>
              <w:t>股权</w:t>
            </w:r>
          </w:p>
        </w:tc>
        <w:tc>
          <w:tcPr>
            <w:tcW w:w="1136" w:type="pct"/>
            <w:tcMar>
              <w:top w:w="0" w:type="dxa"/>
              <w:left w:w="108" w:type="dxa"/>
              <w:bottom w:w="0" w:type="dxa"/>
              <w:right w:w="108" w:type="dxa"/>
            </w:tcMar>
            <w:vAlign w:val="center"/>
          </w:tcPr>
          <w:p w14:paraId="1A23C416" w14:textId="77777777" w:rsidR="00CD798F" w:rsidRPr="002F5FE5" w:rsidRDefault="00CD798F" w:rsidP="00214723">
            <w:pPr>
              <w:rPr>
                <w:rFonts w:ascii="Times New Roman" w:hAnsi="Times New Roman"/>
                <w:color w:val="000000"/>
                <w:szCs w:val="21"/>
              </w:rPr>
            </w:pPr>
            <w:r w:rsidRPr="002F5FE5">
              <w:rPr>
                <w:rFonts w:ascii="Times New Roman" w:hAnsi="Times New Roman"/>
                <w:color w:val="000000"/>
                <w:szCs w:val="21"/>
              </w:rPr>
              <w:t>2025</w:t>
            </w:r>
            <w:r w:rsidRPr="002F5FE5">
              <w:rPr>
                <w:rFonts w:ascii="Times New Roman" w:hAnsi="Times New Roman"/>
                <w:color w:val="000000"/>
                <w:szCs w:val="21"/>
              </w:rPr>
              <w:t>年</w:t>
            </w:r>
            <w:r w:rsidRPr="002F5FE5">
              <w:rPr>
                <w:rFonts w:ascii="Times New Roman" w:hAnsi="Times New Roman"/>
                <w:color w:val="000000"/>
                <w:szCs w:val="21"/>
              </w:rPr>
              <w:t>4</w:t>
            </w:r>
            <w:r w:rsidRPr="002F5FE5">
              <w:rPr>
                <w:rFonts w:ascii="Times New Roman" w:hAnsi="Times New Roman"/>
                <w:color w:val="000000"/>
                <w:szCs w:val="21"/>
              </w:rPr>
              <w:t>月</w:t>
            </w:r>
            <w:r w:rsidRPr="002F5FE5">
              <w:rPr>
                <w:rFonts w:ascii="Times New Roman" w:hAnsi="Times New Roman"/>
                <w:color w:val="000000"/>
                <w:szCs w:val="21"/>
              </w:rPr>
              <w:t>30</w:t>
            </w:r>
            <w:r w:rsidRPr="002F5FE5">
              <w:rPr>
                <w:rFonts w:ascii="Times New Roman" w:hAnsi="Times New Roman"/>
                <w:color w:val="000000"/>
                <w:szCs w:val="21"/>
              </w:rPr>
              <w:t>日</w:t>
            </w:r>
          </w:p>
        </w:tc>
        <w:tc>
          <w:tcPr>
            <w:tcW w:w="499" w:type="pct"/>
            <w:tcMar>
              <w:top w:w="0" w:type="dxa"/>
              <w:left w:w="108" w:type="dxa"/>
              <w:bottom w:w="0" w:type="dxa"/>
              <w:right w:w="108" w:type="dxa"/>
            </w:tcMar>
            <w:vAlign w:val="center"/>
          </w:tcPr>
          <w:p w14:paraId="69263C9B"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4.21</w:t>
            </w:r>
          </w:p>
        </w:tc>
        <w:tc>
          <w:tcPr>
            <w:tcW w:w="728" w:type="pct"/>
            <w:tcMar>
              <w:top w:w="0" w:type="dxa"/>
              <w:left w:w="108" w:type="dxa"/>
              <w:bottom w:w="0" w:type="dxa"/>
              <w:right w:w="108" w:type="dxa"/>
            </w:tcMar>
            <w:vAlign w:val="center"/>
          </w:tcPr>
          <w:p w14:paraId="7AF0047C"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12.96</w:t>
            </w:r>
          </w:p>
        </w:tc>
      </w:tr>
      <w:tr w:rsidR="00CD798F" w:rsidRPr="002F5FE5" w14:paraId="02E77217" w14:textId="77777777" w:rsidTr="00214723">
        <w:trPr>
          <w:trHeight w:val="397"/>
          <w:jc w:val="center"/>
        </w:trPr>
        <w:tc>
          <w:tcPr>
            <w:tcW w:w="3773" w:type="pct"/>
            <w:gridSpan w:val="5"/>
            <w:tcMar>
              <w:top w:w="0" w:type="dxa"/>
              <w:left w:w="108" w:type="dxa"/>
              <w:bottom w:w="0" w:type="dxa"/>
              <w:right w:w="108" w:type="dxa"/>
            </w:tcMar>
            <w:vAlign w:val="center"/>
          </w:tcPr>
          <w:p w14:paraId="5A6835C1" w14:textId="77777777" w:rsidR="00CD798F" w:rsidRPr="002F5FE5" w:rsidRDefault="00CD798F" w:rsidP="00214723">
            <w:pPr>
              <w:jc w:val="center"/>
              <w:rPr>
                <w:rFonts w:ascii="Times New Roman" w:hAnsi="Times New Roman"/>
                <w:b/>
                <w:color w:val="000000"/>
                <w:szCs w:val="21"/>
              </w:rPr>
            </w:pPr>
            <w:r w:rsidRPr="002F5FE5">
              <w:rPr>
                <w:rFonts w:ascii="Times New Roman" w:hAnsi="Times New Roman"/>
                <w:b/>
                <w:color w:val="000000"/>
                <w:szCs w:val="21"/>
              </w:rPr>
              <w:t>平均数</w:t>
            </w:r>
          </w:p>
        </w:tc>
        <w:tc>
          <w:tcPr>
            <w:tcW w:w="499" w:type="pct"/>
            <w:tcMar>
              <w:top w:w="0" w:type="dxa"/>
              <w:left w:w="108" w:type="dxa"/>
              <w:bottom w:w="0" w:type="dxa"/>
              <w:right w:w="108" w:type="dxa"/>
            </w:tcMar>
            <w:vAlign w:val="center"/>
          </w:tcPr>
          <w:p w14:paraId="6AE31E8D" w14:textId="77777777" w:rsidR="00CD798F" w:rsidRPr="002F5FE5" w:rsidRDefault="00CD798F" w:rsidP="00214723">
            <w:pPr>
              <w:jc w:val="right"/>
              <w:rPr>
                <w:rFonts w:ascii="Times New Roman" w:hAnsi="Times New Roman"/>
                <w:b/>
                <w:color w:val="000000"/>
                <w:szCs w:val="21"/>
              </w:rPr>
            </w:pPr>
            <w:r w:rsidRPr="002F5FE5">
              <w:rPr>
                <w:rFonts w:ascii="Times New Roman" w:hAnsi="Times New Roman"/>
                <w:b/>
                <w:color w:val="000000"/>
                <w:szCs w:val="21"/>
              </w:rPr>
              <w:t>8.56</w:t>
            </w:r>
          </w:p>
        </w:tc>
        <w:tc>
          <w:tcPr>
            <w:tcW w:w="728" w:type="pct"/>
            <w:tcMar>
              <w:top w:w="0" w:type="dxa"/>
              <w:left w:w="108" w:type="dxa"/>
              <w:bottom w:w="0" w:type="dxa"/>
              <w:right w:w="108" w:type="dxa"/>
            </w:tcMar>
            <w:vAlign w:val="center"/>
          </w:tcPr>
          <w:p w14:paraId="26180794" w14:textId="77777777" w:rsidR="00CD798F" w:rsidRPr="002F5FE5" w:rsidRDefault="00CD798F" w:rsidP="00214723">
            <w:pPr>
              <w:jc w:val="right"/>
              <w:rPr>
                <w:rFonts w:ascii="Times New Roman" w:hAnsi="Times New Roman"/>
                <w:b/>
                <w:color w:val="000000"/>
                <w:szCs w:val="21"/>
              </w:rPr>
            </w:pPr>
            <w:r w:rsidRPr="002F5FE5">
              <w:rPr>
                <w:rFonts w:ascii="Times New Roman" w:hAnsi="Times New Roman"/>
                <w:b/>
                <w:color w:val="000000"/>
                <w:szCs w:val="21"/>
              </w:rPr>
              <w:t>11.88</w:t>
            </w:r>
          </w:p>
        </w:tc>
      </w:tr>
      <w:tr w:rsidR="00CD798F" w:rsidRPr="002F5FE5" w14:paraId="1B045A6A" w14:textId="77777777" w:rsidTr="00214723">
        <w:trPr>
          <w:trHeight w:val="397"/>
          <w:jc w:val="center"/>
        </w:trPr>
        <w:tc>
          <w:tcPr>
            <w:tcW w:w="3773" w:type="pct"/>
            <w:gridSpan w:val="5"/>
            <w:tcMar>
              <w:top w:w="0" w:type="dxa"/>
              <w:left w:w="108" w:type="dxa"/>
              <w:bottom w:w="0" w:type="dxa"/>
              <w:right w:w="108" w:type="dxa"/>
            </w:tcMar>
            <w:vAlign w:val="center"/>
          </w:tcPr>
          <w:p w14:paraId="04108E1D" w14:textId="77777777" w:rsidR="00CD798F" w:rsidRPr="002F5FE5" w:rsidRDefault="00CD798F" w:rsidP="00214723">
            <w:pPr>
              <w:jc w:val="center"/>
              <w:rPr>
                <w:rFonts w:ascii="Times New Roman" w:hAnsi="Times New Roman"/>
                <w:b/>
                <w:color w:val="000000"/>
                <w:szCs w:val="21"/>
              </w:rPr>
            </w:pPr>
            <w:r w:rsidRPr="002F5FE5">
              <w:rPr>
                <w:rFonts w:ascii="Times New Roman" w:hAnsi="Times New Roman"/>
                <w:b/>
                <w:color w:val="000000"/>
                <w:szCs w:val="21"/>
              </w:rPr>
              <w:t>中位数</w:t>
            </w:r>
          </w:p>
        </w:tc>
        <w:tc>
          <w:tcPr>
            <w:tcW w:w="499" w:type="pct"/>
            <w:tcMar>
              <w:top w:w="0" w:type="dxa"/>
              <w:left w:w="108" w:type="dxa"/>
              <w:bottom w:w="0" w:type="dxa"/>
              <w:right w:w="108" w:type="dxa"/>
            </w:tcMar>
            <w:vAlign w:val="center"/>
          </w:tcPr>
          <w:p w14:paraId="0A289308" w14:textId="77777777" w:rsidR="00CD798F" w:rsidRPr="002F5FE5" w:rsidRDefault="00CD798F" w:rsidP="00214723">
            <w:pPr>
              <w:jc w:val="right"/>
              <w:rPr>
                <w:rFonts w:ascii="Times New Roman" w:hAnsi="Times New Roman"/>
                <w:b/>
                <w:color w:val="000000"/>
                <w:szCs w:val="21"/>
              </w:rPr>
            </w:pPr>
            <w:r w:rsidRPr="002F5FE5">
              <w:rPr>
                <w:rFonts w:ascii="Times New Roman" w:hAnsi="Times New Roman"/>
                <w:b/>
                <w:color w:val="000000"/>
                <w:szCs w:val="21"/>
              </w:rPr>
              <w:t xml:space="preserve">8.90 </w:t>
            </w:r>
          </w:p>
        </w:tc>
        <w:tc>
          <w:tcPr>
            <w:tcW w:w="728" w:type="pct"/>
            <w:tcMar>
              <w:top w:w="0" w:type="dxa"/>
              <w:left w:w="108" w:type="dxa"/>
              <w:bottom w:w="0" w:type="dxa"/>
              <w:right w:w="108" w:type="dxa"/>
            </w:tcMar>
            <w:vAlign w:val="center"/>
          </w:tcPr>
          <w:p w14:paraId="519D4F9F" w14:textId="77777777" w:rsidR="00CD798F" w:rsidRPr="002F5FE5" w:rsidRDefault="00CD798F" w:rsidP="00214723">
            <w:pPr>
              <w:jc w:val="right"/>
              <w:rPr>
                <w:rFonts w:ascii="Times New Roman" w:hAnsi="Times New Roman"/>
                <w:b/>
                <w:color w:val="000000"/>
                <w:szCs w:val="21"/>
              </w:rPr>
            </w:pPr>
            <w:r w:rsidRPr="002F5FE5">
              <w:rPr>
                <w:rFonts w:ascii="Times New Roman" w:hAnsi="Times New Roman"/>
                <w:b/>
                <w:color w:val="000000"/>
                <w:szCs w:val="21"/>
              </w:rPr>
              <w:t>12.87</w:t>
            </w:r>
          </w:p>
        </w:tc>
      </w:tr>
      <w:tr w:rsidR="00CD798F" w:rsidRPr="002F5FE5" w14:paraId="0EC52997" w14:textId="77777777" w:rsidTr="00214723">
        <w:trPr>
          <w:trHeight w:val="397"/>
          <w:jc w:val="center"/>
        </w:trPr>
        <w:tc>
          <w:tcPr>
            <w:tcW w:w="3773" w:type="pct"/>
            <w:gridSpan w:val="5"/>
            <w:tcMar>
              <w:top w:w="0" w:type="dxa"/>
              <w:left w:w="108" w:type="dxa"/>
              <w:bottom w:w="0" w:type="dxa"/>
              <w:right w:w="108" w:type="dxa"/>
            </w:tcMar>
            <w:vAlign w:val="center"/>
          </w:tcPr>
          <w:p w14:paraId="110D4451" w14:textId="77777777" w:rsidR="00CD798F" w:rsidRPr="002F5FE5" w:rsidRDefault="00CD798F" w:rsidP="00214723">
            <w:pPr>
              <w:jc w:val="center"/>
              <w:rPr>
                <w:rFonts w:ascii="Times New Roman" w:hAnsi="Times New Roman"/>
                <w:b/>
                <w:color w:val="000000"/>
                <w:szCs w:val="21"/>
              </w:rPr>
            </w:pPr>
            <w:r w:rsidRPr="002F5FE5">
              <w:rPr>
                <w:rFonts w:ascii="Times New Roman" w:hAnsi="Times New Roman"/>
                <w:b/>
                <w:color w:val="000000"/>
                <w:szCs w:val="21"/>
              </w:rPr>
              <w:t>本次交易</w:t>
            </w:r>
          </w:p>
        </w:tc>
        <w:tc>
          <w:tcPr>
            <w:tcW w:w="499" w:type="pct"/>
            <w:noWrap/>
            <w:tcMar>
              <w:top w:w="0" w:type="dxa"/>
              <w:left w:w="108" w:type="dxa"/>
              <w:bottom w:w="0" w:type="dxa"/>
              <w:right w:w="108" w:type="dxa"/>
            </w:tcMar>
            <w:vAlign w:val="center"/>
          </w:tcPr>
          <w:p w14:paraId="4502868E" w14:textId="77777777" w:rsidR="00CD798F" w:rsidRPr="002F5FE5" w:rsidRDefault="00CD798F" w:rsidP="00214723">
            <w:pPr>
              <w:jc w:val="right"/>
              <w:rPr>
                <w:rFonts w:ascii="Times New Roman" w:hAnsi="Times New Roman"/>
                <w:b/>
                <w:color w:val="000000"/>
                <w:szCs w:val="21"/>
              </w:rPr>
            </w:pPr>
            <w:r w:rsidRPr="002F5FE5">
              <w:rPr>
                <w:rFonts w:ascii="Times New Roman" w:hAnsi="Times New Roman"/>
                <w:b/>
                <w:color w:val="000000"/>
                <w:szCs w:val="21"/>
              </w:rPr>
              <w:t>7.47</w:t>
            </w:r>
          </w:p>
        </w:tc>
        <w:tc>
          <w:tcPr>
            <w:tcW w:w="728" w:type="pct"/>
            <w:tcMar>
              <w:top w:w="0" w:type="dxa"/>
              <w:left w:w="108" w:type="dxa"/>
              <w:bottom w:w="0" w:type="dxa"/>
              <w:right w:w="108" w:type="dxa"/>
            </w:tcMar>
            <w:vAlign w:val="center"/>
          </w:tcPr>
          <w:p w14:paraId="0CF0D918" w14:textId="77777777" w:rsidR="00CD798F" w:rsidRPr="002F5FE5" w:rsidRDefault="00CD798F" w:rsidP="00214723">
            <w:pPr>
              <w:jc w:val="right"/>
              <w:rPr>
                <w:rFonts w:ascii="Times New Roman" w:hAnsi="Times New Roman"/>
                <w:b/>
                <w:color w:val="000000"/>
                <w:szCs w:val="21"/>
              </w:rPr>
            </w:pPr>
            <w:r w:rsidRPr="002F5FE5">
              <w:rPr>
                <w:rFonts w:ascii="Times New Roman" w:hAnsi="Times New Roman"/>
                <w:b/>
                <w:color w:val="000000"/>
                <w:szCs w:val="21"/>
              </w:rPr>
              <w:t>13.91</w:t>
            </w:r>
          </w:p>
        </w:tc>
      </w:tr>
    </w:tbl>
    <w:p w14:paraId="3CD93E5A" w14:textId="77777777" w:rsidR="00CD798F" w:rsidRPr="002F5FE5" w:rsidRDefault="00CD798F" w:rsidP="00CD798F">
      <w:pPr>
        <w:ind w:firstLine="420"/>
        <w:rPr>
          <w:rFonts w:ascii="Times New Roman" w:hAnsi="Times New Roman"/>
          <w:bCs/>
        </w:rPr>
      </w:pPr>
      <w:r w:rsidRPr="002F5FE5">
        <w:rPr>
          <w:rFonts w:ascii="Times New Roman" w:hAnsi="Times New Roman"/>
          <w:bCs/>
        </w:rPr>
        <w:t>注</w:t>
      </w:r>
      <w:r w:rsidRPr="002F5FE5">
        <w:rPr>
          <w:rFonts w:ascii="Times New Roman" w:hAnsi="Times New Roman"/>
          <w:bCs/>
        </w:rPr>
        <w:t>1</w:t>
      </w:r>
      <w:r w:rsidRPr="002F5FE5">
        <w:rPr>
          <w:rFonts w:ascii="Times New Roman" w:hAnsi="Times New Roman"/>
          <w:bCs/>
        </w:rPr>
        <w:t>：艾普阳深圳可比交易案例市净率根据交易对价对应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2022</w:t>
      </w:r>
      <w:r w:rsidRPr="002F5FE5">
        <w:rPr>
          <w:rFonts w:ascii="Times New Roman" w:hAnsi="Times New Roman"/>
          <w:bCs/>
        </w:rPr>
        <w:t>年末净资产计算，市盈率根据交易对价对应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2022</w:t>
      </w:r>
      <w:r w:rsidRPr="002F5FE5">
        <w:rPr>
          <w:rFonts w:ascii="Times New Roman" w:hAnsi="Times New Roman"/>
          <w:bCs/>
        </w:rPr>
        <w:t>年度净利润计算；</w:t>
      </w:r>
    </w:p>
    <w:p w14:paraId="7539DAE2" w14:textId="77777777" w:rsidR="00CD798F" w:rsidRPr="002F5FE5" w:rsidRDefault="00CD798F" w:rsidP="00CD798F">
      <w:pPr>
        <w:ind w:firstLine="420"/>
        <w:rPr>
          <w:rFonts w:ascii="Times New Roman" w:hAnsi="Times New Roman"/>
          <w:bCs/>
        </w:rPr>
      </w:pPr>
      <w:r w:rsidRPr="002F5FE5">
        <w:rPr>
          <w:rFonts w:ascii="Times New Roman" w:hAnsi="Times New Roman"/>
          <w:bCs/>
        </w:rPr>
        <w:t>注</w:t>
      </w:r>
      <w:r w:rsidRPr="002F5FE5">
        <w:rPr>
          <w:rFonts w:ascii="Times New Roman" w:hAnsi="Times New Roman"/>
          <w:bCs/>
        </w:rPr>
        <w:t>2</w:t>
      </w:r>
      <w:r w:rsidRPr="002F5FE5">
        <w:rPr>
          <w:rFonts w:ascii="Times New Roman" w:hAnsi="Times New Roman"/>
          <w:bCs/>
        </w:rPr>
        <w:t>：南京金鼎可比交易案例市净率根据交易对价对应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2023</w:t>
      </w:r>
      <w:r w:rsidRPr="002F5FE5">
        <w:rPr>
          <w:rFonts w:ascii="Times New Roman" w:hAnsi="Times New Roman"/>
          <w:bCs/>
        </w:rPr>
        <w:t>年末归属于母公司所有者权益计算，静态市盈率根据交易对价对应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2023</w:t>
      </w:r>
      <w:r w:rsidRPr="002F5FE5">
        <w:rPr>
          <w:rFonts w:ascii="Times New Roman" w:hAnsi="Times New Roman"/>
          <w:bCs/>
        </w:rPr>
        <w:t>年归属于母公司所有者的净利润计算；</w:t>
      </w:r>
    </w:p>
    <w:p w14:paraId="478F0849" w14:textId="77777777" w:rsidR="00CD798F" w:rsidRPr="002F5FE5" w:rsidRDefault="00CD798F" w:rsidP="00CD798F">
      <w:pPr>
        <w:ind w:firstLine="420"/>
        <w:rPr>
          <w:rFonts w:ascii="Times New Roman" w:hAnsi="Times New Roman"/>
          <w:bCs/>
        </w:rPr>
      </w:pPr>
      <w:r w:rsidRPr="002F5FE5">
        <w:rPr>
          <w:rFonts w:ascii="Times New Roman" w:hAnsi="Times New Roman"/>
          <w:bCs/>
        </w:rPr>
        <w:t>注</w:t>
      </w:r>
      <w:r w:rsidRPr="002F5FE5">
        <w:rPr>
          <w:rFonts w:ascii="Times New Roman" w:hAnsi="Times New Roman"/>
          <w:bCs/>
        </w:rPr>
        <w:t>3</w:t>
      </w:r>
      <w:r w:rsidRPr="002F5FE5">
        <w:rPr>
          <w:rFonts w:ascii="Times New Roman" w:hAnsi="Times New Roman"/>
          <w:bCs/>
        </w:rPr>
        <w:t>：普世科技可比交易案例市净率根据交易对价对应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2022</w:t>
      </w:r>
      <w:r w:rsidRPr="002F5FE5">
        <w:rPr>
          <w:rFonts w:ascii="Times New Roman" w:hAnsi="Times New Roman"/>
          <w:bCs/>
        </w:rPr>
        <w:t>年</w:t>
      </w:r>
      <w:r w:rsidRPr="002F5FE5">
        <w:rPr>
          <w:rFonts w:ascii="Times New Roman" w:hAnsi="Times New Roman"/>
          <w:bCs/>
        </w:rPr>
        <w:t>6</w:t>
      </w:r>
      <w:r w:rsidRPr="002F5FE5">
        <w:rPr>
          <w:rFonts w:ascii="Times New Roman" w:hAnsi="Times New Roman"/>
          <w:bCs/>
        </w:rPr>
        <w:t>月末净资产计算，市盈率根据交易对价对应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2021</w:t>
      </w:r>
      <w:r w:rsidRPr="002F5FE5">
        <w:rPr>
          <w:rFonts w:ascii="Times New Roman" w:hAnsi="Times New Roman"/>
          <w:bCs/>
        </w:rPr>
        <w:t>年度净利润计算；</w:t>
      </w:r>
    </w:p>
    <w:p w14:paraId="553DBFD8" w14:textId="77777777" w:rsidR="00CD798F" w:rsidRPr="002F5FE5" w:rsidRDefault="00CD798F" w:rsidP="00CD798F">
      <w:pPr>
        <w:ind w:firstLine="420"/>
        <w:rPr>
          <w:rFonts w:ascii="Times New Roman" w:hAnsi="Times New Roman"/>
          <w:bCs/>
        </w:rPr>
      </w:pPr>
      <w:r w:rsidRPr="002F5FE5">
        <w:rPr>
          <w:rFonts w:ascii="Times New Roman" w:hAnsi="Times New Roman"/>
          <w:bCs/>
        </w:rPr>
        <w:t>注</w:t>
      </w:r>
      <w:r w:rsidRPr="002F5FE5">
        <w:rPr>
          <w:rFonts w:ascii="Times New Roman" w:hAnsi="Times New Roman"/>
          <w:bCs/>
        </w:rPr>
        <w:t>4</w:t>
      </w:r>
      <w:r w:rsidRPr="002F5FE5">
        <w:rPr>
          <w:rFonts w:ascii="Times New Roman" w:hAnsi="Times New Roman"/>
          <w:bCs/>
        </w:rPr>
        <w:t>：思迅软件可比交易案例市净率根据交易对价对应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2024</w:t>
      </w:r>
      <w:r w:rsidRPr="002F5FE5">
        <w:rPr>
          <w:rFonts w:ascii="Times New Roman" w:hAnsi="Times New Roman"/>
          <w:bCs/>
        </w:rPr>
        <w:t>年</w:t>
      </w:r>
      <w:r w:rsidRPr="002F5FE5">
        <w:rPr>
          <w:rFonts w:ascii="Times New Roman" w:hAnsi="Times New Roman"/>
          <w:bCs/>
        </w:rPr>
        <w:t>12</w:t>
      </w:r>
      <w:r w:rsidRPr="002F5FE5">
        <w:rPr>
          <w:rFonts w:ascii="Times New Roman" w:hAnsi="Times New Roman"/>
          <w:bCs/>
        </w:rPr>
        <w:t>月</w:t>
      </w:r>
      <w:r w:rsidRPr="002F5FE5">
        <w:rPr>
          <w:rFonts w:ascii="Times New Roman" w:hAnsi="Times New Roman"/>
          <w:bCs/>
        </w:rPr>
        <w:t>31</w:t>
      </w:r>
      <w:r w:rsidRPr="002F5FE5">
        <w:rPr>
          <w:rFonts w:ascii="Times New Roman" w:hAnsi="Times New Roman"/>
          <w:bCs/>
        </w:rPr>
        <w:t>日归属于母公司所有者权益计算，市盈率根据交易对价对应</w:t>
      </w:r>
      <w:r w:rsidRPr="002F5FE5">
        <w:rPr>
          <w:rFonts w:ascii="Times New Roman" w:hAnsi="Times New Roman"/>
          <w:bCs/>
        </w:rPr>
        <w:t>100%</w:t>
      </w:r>
      <w:r w:rsidRPr="002F5FE5">
        <w:rPr>
          <w:rFonts w:ascii="Times New Roman" w:hAnsi="Times New Roman"/>
          <w:bCs/>
        </w:rPr>
        <w:t>股权价值和交易标的</w:t>
      </w:r>
      <w:r w:rsidRPr="002F5FE5">
        <w:rPr>
          <w:rFonts w:ascii="Times New Roman" w:hAnsi="Times New Roman"/>
          <w:bCs/>
        </w:rPr>
        <w:t>2024</w:t>
      </w:r>
      <w:r w:rsidRPr="002F5FE5">
        <w:rPr>
          <w:rFonts w:ascii="Times New Roman" w:hAnsi="Times New Roman"/>
          <w:bCs/>
        </w:rPr>
        <w:t>年度归属于母公司所有者的净利润计算；</w:t>
      </w:r>
    </w:p>
    <w:p w14:paraId="3CF5ADD1" w14:textId="77777777" w:rsidR="00CD798F" w:rsidRPr="002F5FE5" w:rsidRDefault="00CD798F" w:rsidP="00CD798F">
      <w:pPr>
        <w:ind w:firstLine="420"/>
        <w:rPr>
          <w:rFonts w:ascii="Times New Roman" w:hAnsi="Times New Roman"/>
          <w:bCs/>
        </w:rPr>
      </w:pPr>
      <w:r w:rsidRPr="002F5FE5">
        <w:rPr>
          <w:rFonts w:ascii="Times New Roman" w:hAnsi="Times New Roman"/>
          <w:bCs/>
        </w:rPr>
        <w:t>注</w:t>
      </w:r>
      <w:r w:rsidRPr="002F5FE5">
        <w:rPr>
          <w:rFonts w:ascii="Times New Roman" w:hAnsi="Times New Roman"/>
          <w:bCs/>
        </w:rPr>
        <w:t>5</w:t>
      </w:r>
      <w:r w:rsidRPr="002F5FE5">
        <w:rPr>
          <w:rFonts w:ascii="Times New Roman" w:hAnsi="Times New Roman"/>
          <w:bCs/>
        </w:rPr>
        <w:t>：标的公司市净率</w:t>
      </w:r>
      <w:r w:rsidRPr="002F5FE5">
        <w:rPr>
          <w:rFonts w:ascii="Times New Roman" w:hAnsi="Times New Roman"/>
          <w:bCs/>
        </w:rPr>
        <w:t>=</w:t>
      </w:r>
      <w:r w:rsidRPr="002F5FE5">
        <w:rPr>
          <w:rFonts w:ascii="Times New Roman" w:hAnsi="Times New Roman"/>
          <w:bCs/>
        </w:rPr>
        <w:t>本次交易对价对应</w:t>
      </w:r>
      <w:r w:rsidRPr="002F5FE5">
        <w:rPr>
          <w:rFonts w:ascii="Times New Roman" w:hAnsi="Times New Roman"/>
          <w:bCs/>
        </w:rPr>
        <w:t>100%</w:t>
      </w:r>
      <w:r w:rsidRPr="002F5FE5">
        <w:rPr>
          <w:rFonts w:ascii="Times New Roman" w:hAnsi="Times New Roman"/>
          <w:bCs/>
        </w:rPr>
        <w:t>股权作价</w:t>
      </w:r>
      <w:r w:rsidRPr="002F5FE5">
        <w:rPr>
          <w:rFonts w:ascii="Times New Roman" w:hAnsi="Times New Roman"/>
          <w:bCs/>
        </w:rPr>
        <w:t>/2025</w:t>
      </w:r>
      <w:r w:rsidRPr="002F5FE5">
        <w:rPr>
          <w:rFonts w:ascii="Times New Roman" w:hAnsi="Times New Roman"/>
          <w:bCs/>
        </w:rPr>
        <w:t>年</w:t>
      </w:r>
      <w:r w:rsidRPr="002F5FE5">
        <w:rPr>
          <w:rFonts w:ascii="Times New Roman" w:hAnsi="Times New Roman"/>
          <w:bCs/>
        </w:rPr>
        <w:t>6</w:t>
      </w:r>
      <w:r w:rsidRPr="002F5FE5">
        <w:rPr>
          <w:rFonts w:ascii="Times New Roman" w:hAnsi="Times New Roman"/>
          <w:bCs/>
        </w:rPr>
        <w:t>月</w:t>
      </w:r>
      <w:r w:rsidRPr="002F5FE5">
        <w:rPr>
          <w:rFonts w:ascii="Times New Roman" w:hAnsi="Times New Roman"/>
          <w:bCs/>
        </w:rPr>
        <w:t>30</w:t>
      </w:r>
      <w:r w:rsidRPr="002F5FE5">
        <w:rPr>
          <w:rFonts w:ascii="Times New Roman" w:hAnsi="Times New Roman"/>
          <w:bCs/>
        </w:rPr>
        <w:t>日归属于母公司所有者权益；标的公司市盈率</w:t>
      </w:r>
      <w:r w:rsidRPr="002F5FE5">
        <w:rPr>
          <w:rFonts w:ascii="Times New Roman" w:hAnsi="Times New Roman"/>
          <w:bCs/>
        </w:rPr>
        <w:t>=</w:t>
      </w:r>
      <w:r w:rsidRPr="002F5FE5">
        <w:rPr>
          <w:rFonts w:ascii="Times New Roman" w:hAnsi="Times New Roman"/>
          <w:bCs/>
        </w:rPr>
        <w:t>本次交易对价对应</w:t>
      </w:r>
      <w:r w:rsidRPr="002F5FE5">
        <w:rPr>
          <w:rFonts w:ascii="Times New Roman" w:hAnsi="Times New Roman"/>
          <w:bCs/>
        </w:rPr>
        <w:t>100%</w:t>
      </w:r>
      <w:r w:rsidRPr="002F5FE5">
        <w:rPr>
          <w:rFonts w:ascii="Times New Roman" w:hAnsi="Times New Roman"/>
          <w:bCs/>
        </w:rPr>
        <w:t>股权作价</w:t>
      </w:r>
      <w:r w:rsidRPr="002F5FE5">
        <w:rPr>
          <w:rFonts w:ascii="Times New Roman" w:hAnsi="Times New Roman"/>
          <w:bCs/>
        </w:rPr>
        <w:t>/2024</w:t>
      </w:r>
      <w:r w:rsidRPr="002F5FE5">
        <w:rPr>
          <w:rFonts w:ascii="Times New Roman" w:hAnsi="Times New Roman"/>
          <w:bCs/>
        </w:rPr>
        <w:t>年度归属于母公司所有者的净利润。</w:t>
      </w:r>
    </w:p>
    <w:p w14:paraId="3819F76E" w14:textId="77777777" w:rsidR="00CD798F" w:rsidRPr="00E663ED" w:rsidRDefault="00CD798F" w:rsidP="00CD798F">
      <w:pPr>
        <w:pStyle w:val="005"/>
        <w:spacing w:before="120" w:after="120"/>
        <w:ind w:firstLine="480"/>
      </w:pPr>
      <w:r>
        <w:rPr>
          <w:rFonts w:hint="eastAsia"/>
        </w:rPr>
        <w:t>经查询</w:t>
      </w:r>
      <w:r w:rsidRPr="00E663ED">
        <w:rPr>
          <w:rFonts w:hint="eastAsia"/>
        </w:rPr>
        <w:t>近期交易标的从事软件技术信息行业相关的交易案例</w:t>
      </w:r>
      <w:r>
        <w:rPr>
          <w:rFonts w:hint="eastAsia"/>
        </w:rPr>
        <w:t>，</w:t>
      </w:r>
      <w:r w:rsidRPr="00E663ED">
        <w:rPr>
          <w:rFonts w:hint="eastAsia"/>
        </w:rPr>
        <w:t>本次交易市盈率、市净率与同行业可比交易的平均值</w:t>
      </w:r>
      <w:r>
        <w:rPr>
          <w:rFonts w:hint="eastAsia"/>
        </w:rPr>
        <w:t>不存在较大差异，与标的资产具有可比性，</w:t>
      </w:r>
      <w:r w:rsidRPr="008E62DB">
        <w:rPr>
          <w:rFonts w:hint="eastAsia"/>
        </w:rPr>
        <w:t>能合理</w:t>
      </w:r>
      <w:r w:rsidRPr="008E62DB">
        <w:rPr>
          <w:rFonts w:hint="eastAsia"/>
        </w:rPr>
        <w:lastRenderedPageBreak/>
        <w:t>反映行业估值水平</w:t>
      </w:r>
      <w:r>
        <w:rPr>
          <w:rFonts w:hint="eastAsia"/>
        </w:rPr>
        <w:t>。</w:t>
      </w:r>
    </w:p>
    <w:p w14:paraId="5735FBE5" w14:textId="77777777" w:rsidR="00CD798F" w:rsidRPr="009545E2" w:rsidRDefault="00CD798F" w:rsidP="00CD798F">
      <w:pPr>
        <w:pStyle w:val="005"/>
        <w:spacing w:before="120" w:after="120"/>
        <w:ind w:firstLine="480"/>
      </w:pPr>
      <w:r w:rsidRPr="006D123C">
        <w:rPr>
          <w:rFonts w:hint="eastAsia"/>
        </w:rPr>
        <w:t>综上所述，本次交易与可比公司估值</w:t>
      </w:r>
      <w:r>
        <w:rPr>
          <w:rFonts w:hint="eastAsia"/>
        </w:rPr>
        <w:t>存在差异的原因受</w:t>
      </w:r>
      <w:r w:rsidRPr="006D123C">
        <w:rPr>
          <w:rFonts w:hint="eastAsia"/>
        </w:rPr>
        <w:t>企业规模、发展阶段及盈利水平</w:t>
      </w:r>
      <w:r>
        <w:rPr>
          <w:rFonts w:hint="eastAsia"/>
        </w:rPr>
        <w:t>影响，</w:t>
      </w:r>
      <w:r w:rsidRPr="006D123C">
        <w:rPr>
          <w:rFonts w:hint="eastAsia"/>
        </w:rPr>
        <w:t>本次交易与可比交易案例估值水平不存在较大差异。可比公司、可比交易案例与标的资产具有一定可比性，能合理反映行业估值水平。</w:t>
      </w:r>
    </w:p>
    <w:p w14:paraId="4D0D5E3A" w14:textId="77777777" w:rsidR="00CD798F" w:rsidRDefault="00CD798F" w:rsidP="00CD798F">
      <w:pPr>
        <w:pStyle w:val="005"/>
        <w:spacing w:before="120" w:after="120"/>
        <w:ind w:firstLine="480"/>
      </w:pPr>
    </w:p>
    <w:p w14:paraId="14E4AF57" w14:textId="77777777" w:rsidR="00CD798F" w:rsidRDefault="00CD798F" w:rsidP="00CD798F">
      <w:pPr>
        <w:pStyle w:val="002"/>
        <w:spacing w:before="120" w:after="120"/>
        <w:ind w:firstLine="482"/>
      </w:pPr>
      <w:r>
        <w:rPr>
          <w:rFonts w:hint="eastAsia"/>
        </w:rPr>
        <w:t>十</w:t>
      </w:r>
      <w:r>
        <w:t>、</w:t>
      </w:r>
      <w:r w:rsidRPr="00C252CA">
        <w:rPr>
          <w:rFonts w:hint="eastAsia"/>
        </w:rPr>
        <w:t>补充披露标的资产最近三年内减资、股权转让的交易作价情况，并计算出对应标的资产的估值及增减值情况，与本次重组评估结果存在差异的原因及合理性</w:t>
      </w:r>
    </w:p>
    <w:p w14:paraId="24274F09" w14:textId="77777777" w:rsidR="00CD798F" w:rsidRDefault="00CD798F" w:rsidP="00CD798F">
      <w:pPr>
        <w:pStyle w:val="005"/>
        <w:spacing w:before="120" w:after="120"/>
        <w:ind w:firstLine="480"/>
      </w:pPr>
      <w:r>
        <w:rPr>
          <w:rFonts w:hint="eastAsia"/>
        </w:rPr>
        <w:t>上市公司已在《重组报告书》</w:t>
      </w:r>
      <w:r>
        <w:rPr>
          <w:rFonts w:ascii="宋体" w:hAnsi="宋体"/>
        </w:rPr>
        <w:t>“</w:t>
      </w:r>
      <w:r w:rsidRPr="00C252CA">
        <w:rPr>
          <w:rFonts w:hint="eastAsia"/>
        </w:rPr>
        <w:t>第四节</w:t>
      </w:r>
      <w:r w:rsidRPr="00C252CA">
        <w:rPr>
          <w:rFonts w:hint="eastAsia"/>
        </w:rPr>
        <w:t xml:space="preserve"> </w:t>
      </w:r>
      <w:r w:rsidRPr="00C252CA">
        <w:rPr>
          <w:rFonts w:hint="eastAsia"/>
        </w:rPr>
        <w:t>交易标的基本情况</w:t>
      </w:r>
      <w:r>
        <w:rPr>
          <w:rFonts w:ascii="宋体" w:hAnsi="宋体"/>
        </w:rPr>
        <w:t>”</w:t>
      </w:r>
      <w:r>
        <w:rPr>
          <w:rFonts w:hint="eastAsia"/>
        </w:rPr>
        <w:t>之</w:t>
      </w:r>
      <w:r>
        <w:rPr>
          <w:rFonts w:ascii="宋体" w:hAnsi="宋体"/>
        </w:rPr>
        <w:t>“</w:t>
      </w:r>
      <w:r>
        <w:rPr>
          <w:rFonts w:ascii="宋体" w:hAnsi="宋体" w:hint="eastAsia"/>
        </w:rPr>
        <w:t>（三）</w:t>
      </w:r>
      <w:r w:rsidRPr="00C252CA">
        <w:rPr>
          <w:rFonts w:hint="eastAsia"/>
        </w:rPr>
        <w:t>标的公司最近三年增减资及股权转让情况</w:t>
      </w:r>
      <w:r>
        <w:rPr>
          <w:rFonts w:ascii="宋体" w:hAnsi="宋体"/>
        </w:rPr>
        <w:t>”</w:t>
      </w:r>
      <w:r>
        <w:rPr>
          <w:rFonts w:hint="eastAsia"/>
        </w:rPr>
        <w:t>补充披露，具体内容如下：</w:t>
      </w:r>
    </w:p>
    <w:p w14:paraId="130FC91D" w14:textId="77777777" w:rsidR="00CD798F" w:rsidRPr="000D7447" w:rsidRDefault="00CD798F" w:rsidP="00CD798F">
      <w:pPr>
        <w:pStyle w:val="005"/>
        <w:spacing w:before="120" w:after="120"/>
        <w:ind w:firstLine="480"/>
        <w:rPr>
          <w:b/>
          <w:bCs/>
        </w:rPr>
      </w:pPr>
      <w:r>
        <w:rPr>
          <w:rFonts w:hint="eastAsia"/>
        </w:rPr>
        <w:t>“</w:t>
      </w:r>
      <w:r>
        <w:rPr>
          <w:rFonts w:hint="eastAsia"/>
          <w:b/>
          <w:bCs/>
        </w:rPr>
        <w:t>1</w:t>
      </w:r>
      <w:r w:rsidRPr="000D7447">
        <w:rPr>
          <w:rFonts w:hint="eastAsia"/>
          <w:b/>
          <w:bCs/>
        </w:rPr>
        <w:t>、标的资产最近三年内减资、股权转让的交易作价情况</w:t>
      </w:r>
      <w:r>
        <w:rPr>
          <w:rFonts w:hint="eastAsia"/>
          <w:b/>
          <w:bCs/>
        </w:rPr>
        <w:t>及交易作价</w:t>
      </w:r>
    </w:p>
    <w:tbl>
      <w:tblPr>
        <w:tblStyle w:val="a7"/>
        <w:tblW w:w="5000" w:type="pct"/>
        <w:jc w:val="center"/>
        <w:tblBorders>
          <w:top w:val="thinThickSmallGap" w:sz="24" w:space="0" w:color="auto"/>
          <w:bottom w:val="thickThinSmallGap" w:sz="24" w:space="0" w:color="auto"/>
        </w:tblBorders>
        <w:tblLook w:val="04A0" w:firstRow="1" w:lastRow="0" w:firstColumn="1" w:lastColumn="0" w:noHBand="0" w:noVBand="1"/>
      </w:tblPr>
      <w:tblGrid>
        <w:gridCol w:w="499"/>
        <w:gridCol w:w="916"/>
        <w:gridCol w:w="990"/>
        <w:gridCol w:w="991"/>
        <w:gridCol w:w="1278"/>
        <w:gridCol w:w="1558"/>
        <w:gridCol w:w="1702"/>
        <w:gridCol w:w="1127"/>
      </w:tblGrid>
      <w:tr w:rsidR="006F6541" w:rsidRPr="009A1BF3" w14:paraId="7E129A02" w14:textId="77777777" w:rsidTr="006F6541">
        <w:trPr>
          <w:trHeight w:val="397"/>
          <w:jc w:val="center"/>
        </w:trPr>
        <w:tc>
          <w:tcPr>
            <w:tcW w:w="275" w:type="pct"/>
            <w:tcMar>
              <w:top w:w="0" w:type="dxa"/>
              <w:left w:w="108" w:type="dxa"/>
              <w:bottom w:w="0" w:type="dxa"/>
              <w:right w:w="108" w:type="dxa"/>
            </w:tcMar>
            <w:vAlign w:val="center"/>
          </w:tcPr>
          <w:p w14:paraId="5FA323E4"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序号</w:t>
            </w:r>
          </w:p>
        </w:tc>
        <w:tc>
          <w:tcPr>
            <w:tcW w:w="505" w:type="pct"/>
            <w:tcMar>
              <w:top w:w="0" w:type="dxa"/>
              <w:left w:w="108" w:type="dxa"/>
              <w:bottom w:w="0" w:type="dxa"/>
              <w:right w:w="108" w:type="dxa"/>
            </w:tcMar>
            <w:vAlign w:val="center"/>
          </w:tcPr>
          <w:p w14:paraId="10A4D12D"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发生时间</w:t>
            </w:r>
          </w:p>
        </w:tc>
        <w:tc>
          <w:tcPr>
            <w:tcW w:w="546" w:type="pct"/>
            <w:tcMar>
              <w:top w:w="0" w:type="dxa"/>
              <w:left w:w="108" w:type="dxa"/>
              <w:bottom w:w="0" w:type="dxa"/>
              <w:right w:w="108" w:type="dxa"/>
            </w:tcMar>
            <w:vAlign w:val="center"/>
          </w:tcPr>
          <w:p w14:paraId="1DF95BAE"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转让方</w:t>
            </w:r>
            <w:r w:rsidRPr="008210F5">
              <w:rPr>
                <w:rFonts w:ascii="Times" w:hAnsi="Times" w:cs="Times"/>
                <w:b/>
                <w:szCs w:val="21"/>
              </w:rPr>
              <w:t>/</w:t>
            </w:r>
            <w:r w:rsidRPr="008210F5">
              <w:rPr>
                <w:rFonts w:ascii="Times" w:hAnsi="Times" w:cs="Times" w:hint="eastAsia"/>
                <w:b/>
                <w:szCs w:val="21"/>
              </w:rPr>
              <w:t>减资方</w:t>
            </w:r>
          </w:p>
        </w:tc>
        <w:tc>
          <w:tcPr>
            <w:tcW w:w="547" w:type="pct"/>
            <w:tcMar>
              <w:top w:w="0" w:type="dxa"/>
              <w:left w:w="108" w:type="dxa"/>
              <w:bottom w:w="0" w:type="dxa"/>
              <w:right w:w="108" w:type="dxa"/>
            </w:tcMar>
            <w:vAlign w:val="center"/>
          </w:tcPr>
          <w:p w14:paraId="023EDBC3"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受让方</w:t>
            </w:r>
          </w:p>
        </w:tc>
        <w:tc>
          <w:tcPr>
            <w:tcW w:w="705" w:type="pct"/>
            <w:tcMar>
              <w:top w:w="0" w:type="dxa"/>
              <w:left w:w="108" w:type="dxa"/>
              <w:bottom w:w="0" w:type="dxa"/>
              <w:right w:w="108" w:type="dxa"/>
            </w:tcMar>
            <w:vAlign w:val="center"/>
          </w:tcPr>
          <w:p w14:paraId="40816822"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转让价款</w:t>
            </w:r>
            <w:r w:rsidRPr="008210F5">
              <w:rPr>
                <w:rFonts w:ascii="Times" w:hAnsi="Times" w:cs="Times"/>
                <w:b/>
                <w:szCs w:val="21"/>
              </w:rPr>
              <w:t>/</w:t>
            </w:r>
            <w:r w:rsidRPr="008210F5">
              <w:rPr>
                <w:rFonts w:ascii="Times" w:hAnsi="Times" w:cs="Times" w:hint="eastAsia"/>
                <w:b/>
                <w:szCs w:val="21"/>
              </w:rPr>
              <w:t>减资价款（万元）</w:t>
            </w:r>
          </w:p>
        </w:tc>
        <w:tc>
          <w:tcPr>
            <w:tcW w:w="860" w:type="pct"/>
            <w:tcMar>
              <w:top w:w="0" w:type="dxa"/>
              <w:left w:w="108" w:type="dxa"/>
              <w:bottom w:w="0" w:type="dxa"/>
              <w:right w:w="108" w:type="dxa"/>
            </w:tcMar>
            <w:vAlign w:val="center"/>
          </w:tcPr>
          <w:p w14:paraId="67F13092"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股份变动</w:t>
            </w:r>
          </w:p>
          <w:p w14:paraId="2AE130CD"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的原因</w:t>
            </w:r>
          </w:p>
        </w:tc>
        <w:tc>
          <w:tcPr>
            <w:tcW w:w="939" w:type="pct"/>
            <w:tcMar>
              <w:top w:w="0" w:type="dxa"/>
              <w:left w:w="108" w:type="dxa"/>
              <w:bottom w:w="0" w:type="dxa"/>
              <w:right w:w="108" w:type="dxa"/>
            </w:tcMar>
            <w:vAlign w:val="center"/>
          </w:tcPr>
          <w:p w14:paraId="1C19E132"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作价依据及合理性</w:t>
            </w:r>
          </w:p>
        </w:tc>
        <w:tc>
          <w:tcPr>
            <w:tcW w:w="622" w:type="pct"/>
            <w:vAlign w:val="center"/>
          </w:tcPr>
          <w:p w14:paraId="27E101E6" w14:textId="77777777" w:rsidR="006F6541" w:rsidRPr="008210F5" w:rsidRDefault="006F6541" w:rsidP="00E72DA1">
            <w:pPr>
              <w:tabs>
                <w:tab w:val="left" w:pos="709"/>
              </w:tabs>
              <w:spacing w:before="120" w:after="120"/>
              <w:jc w:val="center"/>
              <w:rPr>
                <w:rFonts w:ascii="Times" w:hAnsi="Times" w:cs="Times"/>
                <w:b/>
                <w:szCs w:val="21"/>
              </w:rPr>
            </w:pPr>
            <w:r w:rsidRPr="008210F5">
              <w:rPr>
                <w:rFonts w:ascii="Times" w:hAnsi="Times" w:cs="Times" w:hint="eastAsia"/>
                <w:b/>
                <w:szCs w:val="21"/>
              </w:rPr>
              <w:t>关联关系</w:t>
            </w:r>
          </w:p>
        </w:tc>
      </w:tr>
      <w:tr w:rsidR="006F6541" w:rsidRPr="009A1BF3" w14:paraId="16F9EB31" w14:textId="77777777" w:rsidTr="006F6541">
        <w:trPr>
          <w:trHeight w:val="397"/>
          <w:jc w:val="center"/>
        </w:trPr>
        <w:tc>
          <w:tcPr>
            <w:tcW w:w="275" w:type="pct"/>
            <w:tcMar>
              <w:top w:w="0" w:type="dxa"/>
              <w:left w:w="108" w:type="dxa"/>
              <w:bottom w:w="0" w:type="dxa"/>
              <w:right w:w="108" w:type="dxa"/>
            </w:tcMar>
            <w:vAlign w:val="center"/>
          </w:tcPr>
          <w:p w14:paraId="2AAB4D8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w:t>
            </w:r>
          </w:p>
        </w:tc>
        <w:tc>
          <w:tcPr>
            <w:tcW w:w="505" w:type="pct"/>
            <w:tcMar>
              <w:top w:w="0" w:type="dxa"/>
              <w:left w:w="108" w:type="dxa"/>
              <w:bottom w:w="0" w:type="dxa"/>
              <w:right w:w="108" w:type="dxa"/>
            </w:tcMar>
            <w:vAlign w:val="center"/>
          </w:tcPr>
          <w:p w14:paraId="08CA891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2024</w:t>
            </w:r>
            <w:r w:rsidRPr="008210F5">
              <w:rPr>
                <w:rFonts w:ascii="Times" w:hAnsi="Times" w:cs="Times" w:hint="eastAsia"/>
                <w:bCs/>
                <w:szCs w:val="21"/>
              </w:rPr>
              <w:t>年</w:t>
            </w:r>
            <w:r w:rsidRPr="008210F5">
              <w:rPr>
                <w:rFonts w:ascii="Times" w:hAnsi="Times" w:cs="Times"/>
                <w:bCs/>
                <w:szCs w:val="21"/>
              </w:rPr>
              <w:t>6</w:t>
            </w:r>
            <w:r w:rsidRPr="008210F5">
              <w:rPr>
                <w:rFonts w:ascii="Times" w:hAnsi="Times" w:cs="Times" w:hint="eastAsia"/>
                <w:bCs/>
                <w:szCs w:val="21"/>
              </w:rPr>
              <w:t>月</w:t>
            </w:r>
          </w:p>
        </w:tc>
        <w:tc>
          <w:tcPr>
            <w:tcW w:w="546" w:type="pct"/>
            <w:tcMar>
              <w:top w:w="0" w:type="dxa"/>
              <w:left w:w="108" w:type="dxa"/>
              <w:bottom w:w="0" w:type="dxa"/>
              <w:right w:w="108" w:type="dxa"/>
            </w:tcMar>
            <w:vAlign w:val="center"/>
          </w:tcPr>
          <w:p w14:paraId="5CF91429"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蕙富皓玥</w:t>
            </w:r>
          </w:p>
        </w:tc>
        <w:tc>
          <w:tcPr>
            <w:tcW w:w="547" w:type="pct"/>
            <w:tcMar>
              <w:top w:w="0" w:type="dxa"/>
              <w:left w:w="108" w:type="dxa"/>
              <w:bottom w:w="0" w:type="dxa"/>
              <w:right w:w="108" w:type="dxa"/>
            </w:tcMar>
            <w:vAlign w:val="center"/>
          </w:tcPr>
          <w:p w14:paraId="5A87519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14511E5D"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4,100.00</w:t>
            </w:r>
          </w:p>
        </w:tc>
        <w:tc>
          <w:tcPr>
            <w:tcW w:w="860" w:type="pct"/>
            <w:tcMar>
              <w:top w:w="0" w:type="dxa"/>
              <w:left w:w="108" w:type="dxa"/>
              <w:bottom w:w="0" w:type="dxa"/>
              <w:right w:w="108" w:type="dxa"/>
            </w:tcMar>
            <w:vAlign w:val="center"/>
          </w:tcPr>
          <w:p w14:paraId="24EE716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6A82013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18768C88"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79BF3110" w14:textId="77777777" w:rsidTr="006F6541">
        <w:trPr>
          <w:trHeight w:val="397"/>
          <w:jc w:val="center"/>
        </w:trPr>
        <w:tc>
          <w:tcPr>
            <w:tcW w:w="275" w:type="pct"/>
            <w:tcMar>
              <w:top w:w="0" w:type="dxa"/>
              <w:left w:w="108" w:type="dxa"/>
              <w:bottom w:w="0" w:type="dxa"/>
              <w:right w:w="108" w:type="dxa"/>
            </w:tcMar>
            <w:vAlign w:val="center"/>
          </w:tcPr>
          <w:p w14:paraId="0CC0699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w:t>
            </w:r>
          </w:p>
        </w:tc>
        <w:tc>
          <w:tcPr>
            <w:tcW w:w="505" w:type="pct"/>
            <w:tcMar>
              <w:top w:w="0" w:type="dxa"/>
              <w:left w:w="108" w:type="dxa"/>
              <w:bottom w:w="0" w:type="dxa"/>
              <w:right w:w="108" w:type="dxa"/>
            </w:tcMar>
            <w:vAlign w:val="center"/>
          </w:tcPr>
          <w:p w14:paraId="4CA018A1"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2024</w:t>
            </w:r>
            <w:r w:rsidRPr="008210F5">
              <w:rPr>
                <w:rFonts w:ascii="Times" w:hAnsi="Times" w:cs="Times" w:hint="eastAsia"/>
                <w:bCs/>
                <w:szCs w:val="21"/>
              </w:rPr>
              <w:t>年</w:t>
            </w:r>
            <w:r w:rsidRPr="008210F5">
              <w:rPr>
                <w:rFonts w:ascii="Times" w:hAnsi="Times" w:cs="Times"/>
                <w:bCs/>
                <w:szCs w:val="21"/>
              </w:rPr>
              <w:t>6</w:t>
            </w:r>
            <w:r w:rsidRPr="008210F5">
              <w:rPr>
                <w:rFonts w:ascii="Times" w:hAnsi="Times" w:cs="Times" w:hint="eastAsia"/>
                <w:bCs/>
                <w:szCs w:val="21"/>
              </w:rPr>
              <w:t>月</w:t>
            </w:r>
          </w:p>
        </w:tc>
        <w:tc>
          <w:tcPr>
            <w:tcW w:w="546" w:type="pct"/>
            <w:tcMar>
              <w:top w:w="0" w:type="dxa"/>
              <w:left w:w="108" w:type="dxa"/>
              <w:bottom w:w="0" w:type="dxa"/>
              <w:right w:w="108" w:type="dxa"/>
            </w:tcMar>
            <w:vAlign w:val="center"/>
          </w:tcPr>
          <w:p w14:paraId="34DDB09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汇垠众富</w:t>
            </w:r>
          </w:p>
        </w:tc>
        <w:tc>
          <w:tcPr>
            <w:tcW w:w="547" w:type="pct"/>
            <w:tcMar>
              <w:top w:w="0" w:type="dxa"/>
              <w:left w:w="108" w:type="dxa"/>
              <w:bottom w:w="0" w:type="dxa"/>
              <w:right w:w="108" w:type="dxa"/>
            </w:tcMar>
            <w:vAlign w:val="center"/>
          </w:tcPr>
          <w:p w14:paraId="37CCF52A"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4CE61157"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400.00</w:t>
            </w:r>
          </w:p>
        </w:tc>
        <w:tc>
          <w:tcPr>
            <w:tcW w:w="860" w:type="pct"/>
            <w:tcMar>
              <w:top w:w="0" w:type="dxa"/>
              <w:left w:w="108" w:type="dxa"/>
              <w:bottom w:w="0" w:type="dxa"/>
              <w:right w:w="108" w:type="dxa"/>
            </w:tcMar>
            <w:vAlign w:val="center"/>
          </w:tcPr>
          <w:p w14:paraId="381F57C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2577B9ED"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7D246EE5"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1193D8E9" w14:textId="77777777" w:rsidTr="006F6541">
        <w:trPr>
          <w:trHeight w:val="397"/>
          <w:jc w:val="center"/>
        </w:trPr>
        <w:tc>
          <w:tcPr>
            <w:tcW w:w="275" w:type="pct"/>
            <w:tcMar>
              <w:top w:w="0" w:type="dxa"/>
              <w:left w:w="108" w:type="dxa"/>
              <w:bottom w:w="0" w:type="dxa"/>
              <w:right w:w="108" w:type="dxa"/>
            </w:tcMar>
            <w:vAlign w:val="center"/>
          </w:tcPr>
          <w:p w14:paraId="36CA25F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3</w:t>
            </w:r>
          </w:p>
        </w:tc>
        <w:tc>
          <w:tcPr>
            <w:tcW w:w="505" w:type="pct"/>
            <w:tcMar>
              <w:top w:w="0" w:type="dxa"/>
              <w:left w:w="108" w:type="dxa"/>
              <w:bottom w:w="0" w:type="dxa"/>
              <w:right w:w="108" w:type="dxa"/>
            </w:tcMar>
            <w:vAlign w:val="center"/>
          </w:tcPr>
          <w:p w14:paraId="041FC8B5"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2024</w:t>
            </w:r>
            <w:r w:rsidRPr="008210F5">
              <w:rPr>
                <w:rFonts w:ascii="Times" w:hAnsi="Times" w:cs="Times" w:hint="eastAsia"/>
                <w:bCs/>
                <w:szCs w:val="21"/>
              </w:rPr>
              <w:t>年</w:t>
            </w:r>
            <w:r w:rsidRPr="008210F5">
              <w:rPr>
                <w:rFonts w:ascii="Times" w:hAnsi="Times" w:cs="Times"/>
                <w:bCs/>
                <w:szCs w:val="21"/>
              </w:rPr>
              <w:t>6</w:t>
            </w:r>
            <w:r w:rsidRPr="008210F5">
              <w:rPr>
                <w:rFonts w:ascii="Times" w:hAnsi="Times" w:cs="Times" w:hint="eastAsia"/>
                <w:bCs/>
                <w:szCs w:val="21"/>
              </w:rPr>
              <w:t>月</w:t>
            </w:r>
          </w:p>
        </w:tc>
        <w:tc>
          <w:tcPr>
            <w:tcW w:w="546" w:type="pct"/>
            <w:tcMar>
              <w:top w:w="0" w:type="dxa"/>
              <w:left w:w="108" w:type="dxa"/>
              <w:bottom w:w="0" w:type="dxa"/>
              <w:right w:w="108" w:type="dxa"/>
            </w:tcMar>
            <w:vAlign w:val="center"/>
          </w:tcPr>
          <w:p w14:paraId="526375E9"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中信证券</w:t>
            </w:r>
          </w:p>
        </w:tc>
        <w:tc>
          <w:tcPr>
            <w:tcW w:w="547" w:type="pct"/>
            <w:tcMar>
              <w:top w:w="0" w:type="dxa"/>
              <w:left w:w="108" w:type="dxa"/>
              <w:bottom w:w="0" w:type="dxa"/>
              <w:right w:w="108" w:type="dxa"/>
            </w:tcMar>
            <w:vAlign w:val="center"/>
          </w:tcPr>
          <w:p w14:paraId="4CAF414A"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7A687EF5"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5,000.00</w:t>
            </w:r>
          </w:p>
        </w:tc>
        <w:tc>
          <w:tcPr>
            <w:tcW w:w="860" w:type="pct"/>
            <w:tcMar>
              <w:top w:w="0" w:type="dxa"/>
              <w:left w:w="108" w:type="dxa"/>
              <w:bottom w:w="0" w:type="dxa"/>
              <w:right w:w="108" w:type="dxa"/>
            </w:tcMar>
            <w:vAlign w:val="center"/>
          </w:tcPr>
          <w:p w14:paraId="2064EBBF"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5AB4B023"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60D61FE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3548D4DD" w14:textId="77777777" w:rsidTr="006F6541">
        <w:trPr>
          <w:trHeight w:val="397"/>
          <w:jc w:val="center"/>
        </w:trPr>
        <w:tc>
          <w:tcPr>
            <w:tcW w:w="275" w:type="pct"/>
            <w:tcMar>
              <w:top w:w="0" w:type="dxa"/>
              <w:left w:w="108" w:type="dxa"/>
              <w:bottom w:w="0" w:type="dxa"/>
              <w:right w:w="108" w:type="dxa"/>
            </w:tcMar>
            <w:vAlign w:val="center"/>
          </w:tcPr>
          <w:p w14:paraId="6FF52840"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4</w:t>
            </w:r>
          </w:p>
        </w:tc>
        <w:tc>
          <w:tcPr>
            <w:tcW w:w="505" w:type="pct"/>
            <w:tcMar>
              <w:top w:w="0" w:type="dxa"/>
              <w:left w:w="108" w:type="dxa"/>
              <w:bottom w:w="0" w:type="dxa"/>
              <w:right w:w="108" w:type="dxa"/>
            </w:tcMar>
            <w:vAlign w:val="center"/>
          </w:tcPr>
          <w:p w14:paraId="2B1615A3"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2024</w:t>
            </w:r>
            <w:r w:rsidRPr="008210F5">
              <w:rPr>
                <w:rFonts w:ascii="Times" w:hAnsi="Times" w:cs="Times" w:hint="eastAsia"/>
                <w:bCs/>
                <w:szCs w:val="21"/>
              </w:rPr>
              <w:t>年</w:t>
            </w:r>
            <w:r w:rsidRPr="008210F5">
              <w:rPr>
                <w:rFonts w:ascii="Times" w:hAnsi="Times" w:cs="Times"/>
                <w:bCs/>
                <w:szCs w:val="21"/>
              </w:rPr>
              <w:t>6</w:t>
            </w:r>
            <w:r w:rsidRPr="008210F5">
              <w:rPr>
                <w:rFonts w:ascii="Times" w:hAnsi="Times" w:cs="Times" w:hint="eastAsia"/>
                <w:bCs/>
                <w:szCs w:val="21"/>
              </w:rPr>
              <w:t>月</w:t>
            </w:r>
          </w:p>
        </w:tc>
        <w:tc>
          <w:tcPr>
            <w:tcW w:w="546" w:type="pct"/>
            <w:tcMar>
              <w:top w:w="0" w:type="dxa"/>
              <w:left w:w="108" w:type="dxa"/>
              <w:bottom w:w="0" w:type="dxa"/>
              <w:right w:w="108" w:type="dxa"/>
            </w:tcMar>
            <w:vAlign w:val="center"/>
          </w:tcPr>
          <w:p w14:paraId="0948E7C2"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睿信创投</w:t>
            </w:r>
          </w:p>
        </w:tc>
        <w:tc>
          <w:tcPr>
            <w:tcW w:w="547" w:type="pct"/>
            <w:tcMar>
              <w:top w:w="0" w:type="dxa"/>
              <w:left w:w="108" w:type="dxa"/>
              <w:bottom w:w="0" w:type="dxa"/>
              <w:right w:w="108" w:type="dxa"/>
            </w:tcMar>
            <w:vAlign w:val="center"/>
          </w:tcPr>
          <w:p w14:paraId="4CEFB346"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22BD6E4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1,000.00</w:t>
            </w:r>
          </w:p>
        </w:tc>
        <w:tc>
          <w:tcPr>
            <w:tcW w:w="860" w:type="pct"/>
            <w:tcMar>
              <w:top w:w="0" w:type="dxa"/>
              <w:left w:w="108" w:type="dxa"/>
              <w:bottom w:w="0" w:type="dxa"/>
              <w:right w:w="108" w:type="dxa"/>
            </w:tcMar>
            <w:vAlign w:val="center"/>
          </w:tcPr>
          <w:p w14:paraId="487406A7"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26300657"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1B7010FF"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2D8CE768" w14:textId="77777777" w:rsidTr="006F6541">
        <w:trPr>
          <w:trHeight w:val="397"/>
          <w:jc w:val="center"/>
        </w:trPr>
        <w:tc>
          <w:tcPr>
            <w:tcW w:w="275" w:type="pct"/>
            <w:tcMar>
              <w:top w:w="0" w:type="dxa"/>
              <w:left w:w="108" w:type="dxa"/>
              <w:bottom w:w="0" w:type="dxa"/>
              <w:right w:w="108" w:type="dxa"/>
            </w:tcMar>
            <w:vAlign w:val="center"/>
          </w:tcPr>
          <w:p w14:paraId="461AEE0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5</w:t>
            </w:r>
          </w:p>
        </w:tc>
        <w:tc>
          <w:tcPr>
            <w:tcW w:w="505" w:type="pct"/>
            <w:tcMar>
              <w:top w:w="0" w:type="dxa"/>
              <w:left w:w="108" w:type="dxa"/>
              <w:bottom w:w="0" w:type="dxa"/>
              <w:right w:w="108" w:type="dxa"/>
            </w:tcMar>
            <w:vAlign w:val="center"/>
          </w:tcPr>
          <w:p w14:paraId="122AC19D"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2024</w:t>
            </w:r>
            <w:r w:rsidRPr="008210F5">
              <w:rPr>
                <w:rFonts w:ascii="Times" w:hAnsi="Times" w:cs="Times" w:hint="eastAsia"/>
                <w:bCs/>
                <w:szCs w:val="21"/>
              </w:rPr>
              <w:t>年</w:t>
            </w:r>
            <w:r w:rsidRPr="008210F5">
              <w:rPr>
                <w:rFonts w:ascii="Times" w:hAnsi="Times" w:cs="Times"/>
                <w:bCs/>
                <w:szCs w:val="21"/>
              </w:rPr>
              <w:t>6</w:t>
            </w:r>
            <w:r w:rsidRPr="008210F5">
              <w:rPr>
                <w:rFonts w:ascii="Times" w:hAnsi="Times" w:cs="Times" w:hint="eastAsia"/>
                <w:bCs/>
                <w:szCs w:val="21"/>
              </w:rPr>
              <w:t>月</w:t>
            </w:r>
          </w:p>
        </w:tc>
        <w:tc>
          <w:tcPr>
            <w:tcW w:w="546" w:type="pct"/>
            <w:tcMar>
              <w:top w:w="0" w:type="dxa"/>
              <w:left w:w="108" w:type="dxa"/>
              <w:bottom w:w="0" w:type="dxa"/>
              <w:right w:w="108" w:type="dxa"/>
            </w:tcMar>
            <w:vAlign w:val="center"/>
          </w:tcPr>
          <w:p w14:paraId="0D525E8F"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睿启创投</w:t>
            </w:r>
          </w:p>
        </w:tc>
        <w:tc>
          <w:tcPr>
            <w:tcW w:w="547" w:type="pct"/>
            <w:tcMar>
              <w:top w:w="0" w:type="dxa"/>
              <w:left w:w="108" w:type="dxa"/>
              <w:bottom w:w="0" w:type="dxa"/>
              <w:right w:w="108" w:type="dxa"/>
            </w:tcMar>
            <w:vAlign w:val="center"/>
          </w:tcPr>
          <w:p w14:paraId="2C02421B"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6DAEDB73"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1,000.00</w:t>
            </w:r>
          </w:p>
        </w:tc>
        <w:tc>
          <w:tcPr>
            <w:tcW w:w="860" w:type="pct"/>
            <w:tcMar>
              <w:top w:w="0" w:type="dxa"/>
              <w:left w:w="108" w:type="dxa"/>
              <w:bottom w:w="0" w:type="dxa"/>
              <w:right w:w="108" w:type="dxa"/>
            </w:tcMar>
            <w:vAlign w:val="center"/>
          </w:tcPr>
          <w:p w14:paraId="0AB28A7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7E777E3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49326657"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601D9E91" w14:textId="77777777" w:rsidTr="006F6541">
        <w:trPr>
          <w:trHeight w:val="397"/>
          <w:jc w:val="center"/>
        </w:trPr>
        <w:tc>
          <w:tcPr>
            <w:tcW w:w="275" w:type="pct"/>
            <w:tcMar>
              <w:top w:w="0" w:type="dxa"/>
              <w:left w:w="108" w:type="dxa"/>
              <w:bottom w:w="0" w:type="dxa"/>
              <w:right w:w="108" w:type="dxa"/>
            </w:tcMar>
            <w:vAlign w:val="center"/>
          </w:tcPr>
          <w:p w14:paraId="1196456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lastRenderedPageBreak/>
              <w:t>6</w:t>
            </w:r>
          </w:p>
        </w:tc>
        <w:tc>
          <w:tcPr>
            <w:tcW w:w="505" w:type="pct"/>
            <w:tcMar>
              <w:top w:w="0" w:type="dxa"/>
              <w:left w:w="108" w:type="dxa"/>
              <w:bottom w:w="0" w:type="dxa"/>
              <w:right w:w="108" w:type="dxa"/>
            </w:tcMar>
            <w:vAlign w:val="center"/>
          </w:tcPr>
          <w:p w14:paraId="4CF1DC08"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2024</w:t>
            </w:r>
            <w:r w:rsidRPr="008210F5">
              <w:rPr>
                <w:rFonts w:ascii="Times" w:hAnsi="Times" w:cs="Times" w:hint="eastAsia"/>
                <w:bCs/>
                <w:szCs w:val="21"/>
              </w:rPr>
              <w:t>年</w:t>
            </w:r>
            <w:r w:rsidRPr="008210F5">
              <w:rPr>
                <w:rFonts w:ascii="Times" w:hAnsi="Times" w:cs="Times"/>
                <w:bCs/>
                <w:szCs w:val="21"/>
              </w:rPr>
              <w:t>6</w:t>
            </w:r>
            <w:r w:rsidRPr="008210F5">
              <w:rPr>
                <w:rFonts w:ascii="Times" w:hAnsi="Times" w:cs="Times" w:hint="eastAsia"/>
                <w:bCs/>
                <w:szCs w:val="21"/>
              </w:rPr>
              <w:t>月</w:t>
            </w:r>
          </w:p>
        </w:tc>
        <w:tc>
          <w:tcPr>
            <w:tcW w:w="546" w:type="pct"/>
            <w:tcMar>
              <w:top w:w="0" w:type="dxa"/>
              <w:left w:w="108" w:type="dxa"/>
              <w:bottom w:w="0" w:type="dxa"/>
              <w:right w:w="108" w:type="dxa"/>
            </w:tcMar>
            <w:vAlign w:val="center"/>
          </w:tcPr>
          <w:p w14:paraId="759307A7"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三七科技</w:t>
            </w:r>
          </w:p>
        </w:tc>
        <w:tc>
          <w:tcPr>
            <w:tcW w:w="547" w:type="pct"/>
            <w:tcMar>
              <w:top w:w="0" w:type="dxa"/>
              <w:left w:w="108" w:type="dxa"/>
              <w:bottom w:w="0" w:type="dxa"/>
              <w:right w:w="108" w:type="dxa"/>
            </w:tcMar>
            <w:vAlign w:val="center"/>
          </w:tcPr>
          <w:p w14:paraId="24998F53"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321C2E28"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600.00</w:t>
            </w:r>
          </w:p>
        </w:tc>
        <w:tc>
          <w:tcPr>
            <w:tcW w:w="860" w:type="pct"/>
            <w:tcMar>
              <w:top w:w="0" w:type="dxa"/>
              <w:left w:w="108" w:type="dxa"/>
              <w:bottom w:w="0" w:type="dxa"/>
              <w:right w:w="108" w:type="dxa"/>
            </w:tcMar>
            <w:vAlign w:val="center"/>
          </w:tcPr>
          <w:p w14:paraId="34140FF4"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投资机构调整投资计划，协商减资退出部分持股</w:t>
            </w:r>
          </w:p>
        </w:tc>
        <w:tc>
          <w:tcPr>
            <w:tcW w:w="939" w:type="pct"/>
            <w:tcMar>
              <w:top w:w="0" w:type="dxa"/>
              <w:left w:w="108" w:type="dxa"/>
              <w:bottom w:w="0" w:type="dxa"/>
              <w:right w:w="108" w:type="dxa"/>
            </w:tcMar>
            <w:vAlign w:val="center"/>
          </w:tcPr>
          <w:p w14:paraId="00B4D47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344898E0"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702CE502" w14:textId="77777777" w:rsidTr="006F6541">
        <w:trPr>
          <w:trHeight w:val="397"/>
          <w:jc w:val="center"/>
        </w:trPr>
        <w:tc>
          <w:tcPr>
            <w:tcW w:w="275" w:type="pct"/>
            <w:tcMar>
              <w:top w:w="0" w:type="dxa"/>
              <w:left w:w="108" w:type="dxa"/>
              <w:bottom w:w="0" w:type="dxa"/>
              <w:right w:w="108" w:type="dxa"/>
            </w:tcMar>
            <w:vAlign w:val="center"/>
          </w:tcPr>
          <w:p w14:paraId="6B591A2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7</w:t>
            </w:r>
          </w:p>
        </w:tc>
        <w:tc>
          <w:tcPr>
            <w:tcW w:w="505" w:type="pct"/>
            <w:tcMar>
              <w:top w:w="0" w:type="dxa"/>
              <w:left w:w="108" w:type="dxa"/>
              <w:bottom w:w="0" w:type="dxa"/>
              <w:right w:w="108" w:type="dxa"/>
            </w:tcMar>
            <w:vAlign w:val="center"/>
          </w:tcPr>
          <w:p w14:paraId="544DE4F2"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2024</w:t>
            </w:r>
            <w:r w:rsidRPr="008210F5">
              <w:rPr>
                <w:rFonts w:ascii="Times" w:hAnsi="Times" w:cs="Times" w:hint="eastAsia"/>
                <w:bCs/>
                <w:szCs w:val="21"/>
              </w:rPr>
              <w:t>年</w:t>
            </w:r>
            <w:r w:rsidRPr="008210F5">
              <w:rPr>
                <w:rFonts w:ascii="Times" w:hAnsi="Times" w:cs="Times"/>
                <w:bCs/>
                <w:szCs w:val="21"/>
              </w:rPr>
              <w:t>6</w:t>
            </w:r>
            <w:r w:rsidRPr="008210F5">
              <w:rPr>
                <w:rFonts w:ascii="Times" w:hAnsi="Times" w:cs="Times" w:hint="eastAsia"/>
                <w:bCs/>
                <w:szCs w:val="21"/>
              </w:rPr>
              <w:t>月</w:t>
            </w:r>
          </w:p>
        </w:tc>
        <w:tc>
          <w:tcPr>
            <w:tcW w:w="546" w:type="pct"/>
            <w:tcMar>
              <w:top w:w="0" w:type="dxa"/>
              <w:left w:w="108" w:type="dxa"/>
              <w:bottom w:w="0" w:type="dxa"/>
              <w:right w:w="108" w:type="dxa"/>
            </w:tcMar>
            <w:vAlign w:val="center"/>
          </w:tcPr>
          <w:p w14:paraId="4B550589"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三七乐心</w:t>
            </w:r>
          </w:p>
        </w:tc>
        <w:tc>
          <w:tcPr>
            <w:tcW w:w="547" w:type="pct"/>
            <w:tcMar>
              <w:top w:w="0" w:type="dxa"/>
              <w:left w:w="108" w:type="dxa"/>
              <w:bottom w:w="0" w:type="dxa"/>
              <w:right w:w="108" w:type="dxa"/>
            </w:tcMar>
            <w:vAlign w:val="center"/>
          </w:tcPr>
          <w:p w14:paraId="17C228A5" w14:textId="77777777" w:rsidR="006F6541" w:rsidRPr="008210F5" w:rsidRDefault="006F6541" w:rsidP="00E72DA1">
            <w:pPr>
              <w:spacing w:before="120" w:after="120"/>
              <w:jc w:val="center"/>
              <w:rPr>
                <w:rFonts w:ascii="Times" w:hAnsi="Times" w:cs="Times"/>
                <w:bC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0E9E0D8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1,900.00</w:t>
            </w:r>
          </w:p>
        </w:tc>
        <w:tc>
          <w:tcPr>
            <w:tcW w:w="860" w:type="pct"/>
            <w:tcMar>
              <w:top w:w="0" w:type="dxa"/>
              <w:left w:w="108" w:type="dxa"/>
              <w:bottom w:w="0" w:type="dxa"/>
              <w:right w:w="108" w:type="dxa"/>
            </w:tcMar>
            <w:vAlign w:val="center"/>
          </w:tcPr>
          <w:p w14:paraId="54706DA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投资机构调整投资计划，协商减资退出部分持股</w:t>
            </w:r>
          </w:p>
        </w:tc>
        <w:tc>
          <w:tcPr>
            <w:tcW w:w="939" w:type="pct"/>
            <w:tcMar>
              <w:top w:w="0" w:type="dxa"/>
              <w:left w:w="108" w:type="dxa"/>
              <w:bottom w:w="0" w:type="dxa"/>
              <w:right w:w="108" w:type="dxa"/>
            </w:tcMar>
            <w:vAlign w:val="center"/>
          </w:tcPr>
          <w:p w14:paraId="782C7FF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5E369CD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239C7376" w14:textId="77777777" w:rsidTr="006F6541">
        <w:trPr>
          <w:trHeight w:val="397"/>
          <w:jc w:val="center"/>
        </w:trPr>
        <w:tc>
          <w:tcPr>
            <w:tcW w:w="275" w:type="pct"/>
            <w:tcMar>
              <w:top w:w="0" w:type="dxa"/>
              <w:left w:w="108" w:type="dxa"/>
              <w:bottom w:w="0" w:type="dxa"/>
              <w:right w:w="108" w:type="dxa"/>
            </w:tcMar>
            <w:vAlign w:val="center"/>
          </w:tcPr>
          <w:p w14:paraId="055A814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8</w:t>
            </w:r>
          </w:p>
        </w:tc>
        <w:tc>
          <w:tcPr>
            <w:tcW w:w="505" w:type="pct"/>
            <w:tcMar>
              <w:top w:w="0" w:type="dxa"/>
              <w:left w:w="108" w:type="dxa"/>
              <w:bottom w:w="0" w:type="dxa"/>
              <w:right w:w="108" w:type="dxa"/>
            </w:tcMar>
            <w:vAlign w:val="center"/>
          </w:tcPr>
          <w:p w14:paraId="7C1F3F4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55CCBFD2"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粤财基金</w:t>
            </w:r>
          </w:p>
        </w:tc>
        <w:tc>
          <w:tcPr>
            <w:tcW w:w="547" w:type="pct"/>
            <w:tcMar>
              <w:top w:w="0" w:type="dxa"/>
              <w:left w:w="108" w:type="dxa"/>
              <w:bottom w:w="0" w:type="dxa"/>
              <w:right w:w="108" w:type="dxa"/>
            </w:tcMar>
            <w:vAlign w:val="center"/>
          </w:tcPr>
          <w:p w14:paraId="2AE7BA8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16EB7B5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3,000.00</w:t>
            </w:r>
          </w:p>
        </w:tc>
        <w:tc>
          <w:tcPr>
            <w:tcW w:w="860" w:type="pct"/>
            <w:tcMar>
              <w:top w:w="0" w:type="dxa"/>
              <w:left w:w="108" w:type="dxa"/>
              <w:bottom w:w="0" w:type="dxa"/>
              <w:right w:w="108" w:type="dxa"/>
            </w:tcMar>
            <w:vAlign w:val="center"/>
          </w:tcPr>
          <w:p w14:paraId="75DF1BD7"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0B3C0836"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1913B1E6"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2349A87D" w14:textId="77777777" w:rsidTr="006F6541">
        <w:trPr>
          <w:trHeight w:val="397"/>
          <w:jc w:val="center"/>
        </w:trPr>
        <w:tc>
          <w:tcPr>
            <w:tcW w:w="275" w:type="pct"/>
            <w:tcMar>
              <w:top w:w="0" w:type="dxa"/>
              <w:left w:w="108" w:type="dxa"/>
              <w:bottom w:w="0" w:type="dxa"/>
              <w:right w:w="108" w:type="dxa"/>
            </w:tcMar>
            <w:vAlign w:val="center"/>
          </w:tcPr>
          <w:p w14:paraId="44064478"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9</w:t>
            </w:r>
          </w:p>
        </w:tc>
        <w:tc>
          <w:tcPr>
            <w:tcW w:w="505" w:type="pct"/>
            <w:tcMar>
              <w:top w:w="0" w:type="dxa"/>
              <w:left w:w="108" w:type="dxa"/>
              <w:bottom w:w="0" w:type="dxa"/>
              <w:right w:w="108" w:type="dxa"/>
            </w:tcMar>
            <w:vAlign w:val="center"/>
          </w:tcPr>
          <w:p w14:paraId="3F7D77D3"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4B6AB763"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粤财源合</w:t>
            </w:r>
          </w:p>
        </w:tc>
        <w:tc>
          <w:tcPr>
            <w:tcW w:w="547" w:type="pct"/>
            <w:tcMar>
              <w:top w:w="0" w:type="dxa"/>
              <w:left w:w="108" w:type="dxa"/>
              <w:bottom w:w="0" w:type="dxa"/>
              <w:right w:w="108" w:type="dxa"/>
            </w:tcMar>
            <w:vAlign w:val="center"/>
          </w:tcPr>
          <w:p w14:paraId="580A33B8"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1A6F031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3,000.00</w:t>
            </w:r>
          </w:p>
        </w:tc>
        <w:tc>
          <w:tcPr>
            <w:tcW w:w="860" w:type="pct"/>
            <w:tcMar>
              <w:top w:w="0" w:type="dxa"/>
              <w:left w:w="108" w:type="dxa"/>
              <w:bottom w:w="0" w:type="dxa"/>
              <w:right w:w="108" w:type="dxa"/>
            </w:tcMar>
            <w:vAlign w:val="center"/>
          </w:tcPr>
          <w:p w14:paraId="781449C0"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3D5E3FC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63C1F7B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29025840" w14:textId="77777777" w:rsidTr="006F6541">
        <w:trPr>
          <w:trHeight w:val="397"/>
          <w:jc w:val="center"/>
        </w:trPr>
        <w:tc>
          <w:tcPr>
            <w:tcW w:w="275" w:type="pct"/>
            <w:tcMar>
              <w:top w:w="0" w:type="dxa"/>
              <w:left w:w="108" w:type="dxa"/>
              <w:bottom w:w="0" w:type="dxa"/>
              <w:right w:w="108" w:type="dxa"/>
            </w:tcMar>
            <w:vAlign w:val="center"/>
          </w:tcPr>
          <w:p w14:paraId="5BD177EF"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10</w:t>
            </w:r>
          </w:p>
        </w:tc>
        <w:tc>
          <w:tcPr>
            <w:tcW w:w="505" w:type="pct"/>
            <w:tcMar>
              <w:top w:w="0" w:type="dxa"/>
              <w:left w:w="108" w:type="dxa"/>
              <w:bottom w:w="0" w:type="dxa"/>
              <w:right w:w="108" w:type="dxa"/>
            </w:tcMar>
            <w:vAlign w:val="center"/>
          </w:tcPr>
          <w:p w14:paraId="0DF2F254"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3C474693"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依星伴月</w:t>
            </w:r>
          </w:p>
        </w:tc>
        <w:tc>
          <w:tcPr>
            <w:tcW w:w="547" w:type="pct"/>
            <w:tcMar>
              <w:top w:w="0" w:type="dxa"/>
              <w:left w:w="108" w:type="dxa"/>
              <w:bottom w:w="0" w:type="dxa"/>
              <w:right w:w="108" w:type="dxa"/>
            </w:tcMar>
            <w:vAlign w:val="center"/>
          </w:tcPr>
          <w:p w14:paraId="156B48E0"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4FD77A3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30.00</w:t>
            </w:r>
          </w:p>
        </w:tc>
        <w:tc>
          <w:tcPr>
            <w:tcW w:w="860" w:type="pct"/>
            <w:tcMar>
              <w:top w:w="0" w:type="dxa"/>
              <w:left w:w="108" w:type="dxa"/>
              <w:bottom w:w="0" w:type="dxa"/>
              <w:right w:w="108" w:type="dxa"/>
            </w:tcMar>
            <w:vAlign w:val="center"/>
          </w:tcPr>
          <w:p w14:paraId="36F19694"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6D2A6FF3"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1015A25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2B419112" w14:textId="77777777" w:rsidTr="006F6541">
        <w:trPr>
          <w:trHeight w:val="397"/>
          <w:jc w:val="center"/>
        </w:trPr>
        <w:tc>
          <w:tcPr>
            <w:tcW w:w="275" w:type="pct"/>
            <w:tcMar>
              <w:top w:w="0" w:type="dxa"/>
              <w:left w:w="108" w:type="dxa"/>
              <w:bottom w:w="0" w:type="dxa"/>
              <w:right w:w="108" w:type="dxa"/>
            </w:tcMar>
            <w:vAlign w:val="center"/>
          </w:tcPr>
          <w:p w14:paraId="5A0044E6"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11</w:t>
            </w:r>
          </w:p>
        </w:tc>
        <w:tc>
          <w:tcPr>
            <w:tcW w:w="505" w:type="pct"/>
            <w:tcMar>
              <w:top w:w="0" w:type="dxa"/>
              <w:left w:w="108" w:type="dxa"/>
              <w:bottom w:w="0" w:type="dxa"/>
              <w:right w:w="108" w:type="dxa"/>
            </w:tcMar>
            <w:vAlign w:val="center"/>
          </w:tcPr>
          <w:p w14:paraId="5760077E"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1A0C41B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远方资本</w:t>
            </w:r>
          </w:p>
        </w:tc>
        <w:tc>
          <w:tcPr>
            <w:tcW w:w="547" w:type="pct"/>
            <w:tcMar>
              <w:top w:w="0" w:type="dxa"/>
              <w:left w:w="108" w:type="dxa"/>
              <w:bottom w:w="0" w:type="dxa"/>
              <w:right w:w="108" w:type="dxa"/>
            </w:tcMar>
            <w:vAlign w:val="center"/>
          </w:tcPr>
          <w:p w14:paraId="6342EF1D"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19DC044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627.00</w:t>
            </w:r>
          </w:p>
        </w:tc>
        <w:tc>
          <w:tcPr>
            <w:tcW w:w="860" w:type="pct"/>
            <w:tcMar>
              <w:top w:w="0" w:type="dxa"/>
              <w:left w:w="108" w:type="dxa"/>
              <w:bottom w:w="0" w:type="dxa"/>
              <w:right w:w="108" w:type="dxa"/>
            </w:tcMar>
            <w:vAlign w:val="center"/>
          </w:tcPr>
          <w:p w14:paraId="000C70E5"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7853A36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3BB1B38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01B3064B" w14:textId="77777777" w:rsidTr="006F6541">
        <w:trPr>
          <w:trHeight w:val="397"/>
          <w:jc w:val="center"/>
        </w:trPr>
        <w:tc>
          <w:tcPr>
            <w:tcW w:w="275" w:type="pct"/>
            <w:tcMar>
              <w:top w:w="0" w:type="dxa"/>
              <w:left w:w="108" w:type="dxa"/>
              <w:bottom w:w="0" w:type="dxa"/>
              <w:right w:w="108" w:type="dxa"/>
            </w:tcMar>
            <w:vAlign w:val="center"/>
          </w:tcPr>
          <w:p w14:paraId="0D673483"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12</w:t>
            </w:r>
          </w:p>
        </w:tc>
        <w:tc>
          <w:tcPr>
            <w:tcW w:w="505" w:type="pct"/>
            <w:tcMar>
              <w:top w:w="0" w:type="dxa"/>
              <w:left w:w="108" w:type="dxa"/>
              <w:bottom w:w="0" w:type="dxa"/>
              <w:right w:w="108" w:type="dxa"/>
            </w:tcMar>
            <w:vAlign w:val="center"/>
          </w:tcPr>
          <w:p w14:paraId="4B563851"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45BB5424"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三七乐心</w:t>
            </w:r>
          </w:p>
        </w:tc>
        <w:tc>
          <w:tcPr>
            <w:tcW w:w="547" w:type="pct"/>
            <w:tcMar>
              <w:top w:w="0" w:type="dxa"/>
              <w:left w:w="108" w:type="dxa"/>
              <w:bottom w:w="0" w:type="dxa"/>
              <w:right w:w="108" w:type="dxa"/>
            </w:tcMar>
            <w:vAlign w:val="center"/>
          </w:tcPr>
          <w:p w14:paraId="3E97C551"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5F797EE7"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600.00</w:t>
            </w:r>
          </w:p>
        </w:tc>
        <w:tc>
          <w:tcPr>
            <w:tcW w:w="860" w:type="pct"/>
            <w:tcMar>
              <w:top w:w="0" w:type="dxa"/>
              <w:left w:w="108" w:type="dxa"/>
              <w:bottom w:w="0" w:type="dxa"/>
              <w:right w:w="108" w:type="dxa"/>
            </w:tcMar>
            <w:vAlign w:val="center"/>
          </w:tcPr>
          <w:p w14:paraId="34A6A8A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78A1E95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7682599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5D075C68" w14:textId="77777777" w:rsidTr="006F6541">
        <w:trPr>
          <w:trHeight w:val="397"/>
          <w:jc w:val="center"/>
        </w:trPr>
        <w:tc>
          <w:tcPr>
            <w:tcW w:w="275" w:type="pct"/>
            <w:tcMar>
              <w:top w:w="0" w:type="dxa"/>
              <w:left w:w="108" w:type="dxa"/>
              <w:bottom w:w="0" w:type="dxa"/>
              <w:right w:w="108" w:type="dxa"/>
            </w:tcMar>
            <w:vAlign w:val="center"/>
          </w:tcPr>
          <w:p w14:paraId="4C050D0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13</w:t>
            </w:r>
          </w:p>
        </w:tc>
        <w:tc>
          <w:tcPr>
            <w:tcW w:w="505" w:type="pct"/>
            <w:tcMar>
              <w:top w:w="0" w:type="dxa"/>
              <w:left w:w="108" w:type="dxa"/>
              <w:bottom w:w="0" w:type="dxa"/>
              <w:right w:w="108" w:type="dxa"/>
            </w:tcMar>
            <w:vAlign w:val="center"/>
          </w:tcPr>
          <w:p w14:paraId="78D20F66"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2DA5B9F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三七科技</w:t>
            </w:r>
          </w:p>
        </w:tc>
        <w:tc>
          <w:tcPr>
            <w:tcW w:w="547" w:type="pct"/>
            <w:tcMar>
              <w:top w:w="0" w:type="dxa"/>
              <w:left w:w="108" w:type="dxa"/>
              <w:bottom w:w="0" w:type="dxa"/>
              <w:right w:w="108" w:type="dxa"/>
            </w:tcMar>
            <w:vAlign w:val="center"/>
          </w:tcPr>
          <w:p w14:paraId="49DAE5A8"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6DA94415"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1,900.00</w:t>
            </w:r>
          </w:p>
        </w:tc>
        <w:tc>
          <w:tcPr>
            <w:tcW w:w="860" w:type="pct"/>
            <w:tcMar>
              <w:top w:w="0" w:type="dxa"/>
              <w:left w:w="108" w:type="dxa"/>
              <w:bottom w:w="0" w:type="dxa"/>
              <w:right w:w="108" w:type="dxa"/>
            </w:tcMar>
            <w:vAlign w:val="center"/>
          </w:tcPr>
          <w:p w14:paraId="1F277A38"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48887BE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37052FC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2007BDC0" w14:textId="77777777" w:rsidTr="006F6541">
        <w:trPr>
          <w:trHeight w:val="397"/>
          <w:jc w:val="center"/>
        </w:trPr>
        <w:tc>
          <w:tcPr>
            <w:tcW w:w="275" w:type="pct"/>
            <w:tcMar>
              <w:top w:w="0" w:type="dxa"/>
              <w:left w:w="108" w:type="dxa"/>
              <w:bottom w:w="0" w:type="dxa"/>
              <w:right w:w="108" w:type="dxa"/>
            </w:tcMar>
            <w:vAlign w:val="center"/>
          </w:tcPr>
          <w:p w14:paraId="7E70DD9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14</w:t>
            </w:r>
          </w:p>
        </w:tc>
        <w:tc>
          <w:tcPr>
            <w:tcW w:w="505" w:type="pct"/>
            <w:tcMar>
              <w:top w:w="0" w:type="dxa"/>
              <w:left w:w="108" w:type="dxa"/>
              <w:bottom w:w="0" w:type="dxa"/>
              <w:right w:w="108" w:type="dxa"/>
            </w:tcMar>
            <w:vAlign w:val="center"/>
          </w:tcPr>
          <w:p w14:paraId="4AF0F112"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185D20E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科金二号</w:t>
            </w:r>
          </w:p>
        </w:tc>
        <w:tc>
          <w:tcPr>
            <w:tcW w:w="547" w:type="pct"/>
            <w:tcMar>
              <w:top w:w="0" w:type="dxa"/>
              <w:left w:w="108" w:type="dxa"/>
              <w:bottom w:w="0" w:type="dxa"/>
              <w:right w:w="108" w:type="dxa"/>
            </w:tcMar>
            <w:vAlign w:val="center"/>
          </w:tcPr>
          <w:p w14:paraId="47C2E2FA"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1A8A741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2,000.00</w:t>
            </w:r>
          </w:p>
        </w:tc>
        <w:tc>
          <w:tcPr>
            <w:tcW w:w="860" w:type="pct"/>
            <w:tcMar>
              <w:top w:w="0" w:type="dxa"/>
              <w:left w:w="108" w:type="dxa"/>
              <w:bottom w:w="0" w:type="dxa"/>
              <w:right w:w="108" w:type="dxa"/>
            </w:tcMar>
            <w:vAlign w:val="center"/>
          </w:tcPr>
          <w:p w14:paraId="05002EC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730FD272"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4109622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36D767E3" w14:textId="77777777" w:rsidTr="006F6541">
        <w:trPr>
          <w:trHeight w:val="397"/>
          <w:jc w:val="center"/>
        </w:trPr>
        <w:tc>
          <w:tcPr>
            <w:tcW w:w="275" w:type="pct"/>
            <w:tcMar>
              <w:top w:w="0" w:type="dxa"/>
              <w:left w:w="108" w:type="dxa"/>
              <w:bottom w:w="0" w:type="dxa"/>
              <w:right w:w="108" w:type="dxa"/>
            </w:tcMar>
            <w:vAlign w:val="center"/>
          </w:tcPr>
          <w:p w14:paraId="64073614"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15</w:t>
            </w:r>
          </w:p>
        </w:tc>
        <w:tc>
          <w:tcPr>
            <w:tcW w:w="505" w:type="pct"/>
            <w:tcMar>
              <w:top w:w="0" w:type="dxa"/>
              <w:left w:w="108" w:type="dxa"/>
              <w:bottom w:w="0" w:type="dxa"/>
              <w:right w:w="108" w:type="dxa"/>
            </w:tcMar>
            <w:vAlign w:val="center"/>
          </w:tcPr>
          <w:p w14:paraId="03B29A7A"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10</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75DCDB7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枣庄哈拿</w:t>
            </w:r>
          </w:p>
        </w:tc>
        <w:tc>
          <w:tcPr>
            <w:tcW w:w="547" w:type="pct"/>
            <w:tcMar>
              <w:top w:w="0" w:type="dxa"/>
              <w:left w:w="108" w:type="dxa"/>
              <w:bottom w:w="0" w:type="dxa"/>
              <w:right w:w="108" w:type="dxa"/>
            </w:tcMar>
            <w:vAlign w:val="center"/>
          </w:tcPr>
          <w:p w14:paraId="34DB3C78"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59AB86E8"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2,000.00</w:t>
            </w:r>
          </w:p>
        </w:tc>
        <w:tc>
          <w:tcPr>
            <w:tcW w:w="860" w:type="pct"/>
            <w:tcMar>
              <w:top w:w="0" w:type="dxa"/>
              <w:left w:w="108" w:type="dxa"/>
              <w:bottom w:w="0" w:type="dxa"/>
              <w:right w:w="108" w:type="dxa"/>
            </w:tcMar>
            <w:vAlign w:val="center"/>
          </w:tcPr>
          <w:p w14:paraId="1337D2B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5F9C32FD"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投资机构与公司协商以取得成本退出</w:t>
            </w:r>
          </w:p>
        </w:tc>
        <w:tc>
          <w:tcPr>
            <w:tcW w:w="622" w:type="pct"/>
            <w:vAlign w:val="center"/>
          </w:tcPr>
          <w:p w14:paraId="065CF2B3"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3D610CD1" w14:textId="77777777" w:rsidTr="006F6541">
        <w:trPr>
          <w:trHeight w:val="397"/>
          <w:jc w:val="center"/>
        </w:trPr>
        <w:tc>
          <w:tcPr>
            <w:tcW w:w="275" w:type="pct"/>
            <w:tcMar>
              <w:top w:w="0" w:type="dxa"/>
              <w:left w:w="108" w:type="dxa"/>
              <w:bottom w:w="0" w:type="dxa"/>
              <w:right w:w="108" w:type="dxa"/>
            </w:tcMar>
            <w:vAlign w:val="center"/>
          </w:tcPr>
          <w:p w14:paraId="00B94569"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16</w:t>
            </w:r>
          </w:p>
        </w:tc>
        <w:tc>
          <w:tcPr>
            <w:tcW w:w="505" w:type="pct"/>
            <w:tcMar>
              <w:top w:w="0" w:type="dxa"/>
              <w:left w:w="108" w:type="dxa"/>
              <w:bottom w:w="0" w:type="dxa"/>
              <w:right w:w="108" w:type="dxa"/>
            </w:tcMar>
            <w:vAlign w:val="center"/>
          </w:tcPr>
          <w:p w14:paraId="5EA88DBB"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12</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03522EC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璀璨远见</w:t>
            </w:r>
          </w:p>
        </w:tc>
        <w:tc>
          <w:tcPr>
            <w:tcW w:w="547" w:type="pct"/>
            <w:tcMar>
              <w:top w:w="0" w:type="dxa"/>
              <w:left w:w="108" w:type="dxa"/>
              <w:bottom w:w="0" w:type="dxa"/>
              <w:right w:w="108" w:type="dxa"/>
            </w:tcMar>
            <w:vAlign w:val="center"/>
          </w:tcPr>
          <w:p w14:paraId="02DA5B0C"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0DE39669"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1,440.00</w:t>
            </w:r>
          </w:p>
        </w:tc>
        <w:tc>
          <w:tcPr>
            <w:tcW w:w="860" w:type="pct"/>
            <w:tcMar>
              <w:top w:w="0" w:type="dxa"/>
              <w:left w:w="108" w:type="dxa"/>
              <w:bottom w:w="0" w:type="dxa"/>
              <w:right w:w="108" w:type="dxa"/>
            </w:tcMar>
            <w:vAlign w:val="center"/>
          </w:tcPr>
          <w:p w14:paraId="02D7C22B"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投资机构调整投资计划，协商减资退出部</w:t>
            </w:r>
            <w:r w:rsidRPr="008210F5">
              <w:rPr>
                <w:rFonts w:ascii="Times" w:hAnsi="Times" w:cs="Times" w:hint="eastAsia"/>
                <w:bCs/>
                <w:szCs w:val="21"/>
              </w:rPr>
              <w:lastRenderedPageBreak/>
              <w:t>分持股</w:t>
            </w:r>
          </w:p>
        </w:tc>
        <w:tc>
          <w:tcPr>
            <w:tcW w:w="939" w:type="pct"/>
            <w:tcMar>
              <w:top w:w="0" w:type="dxa"/>
              <w:left w:w="108" w:type="dxa"/>
              <w:bottom w:w="0" w:type="dxa"/>
              <w:right w:w="108" w:type="dxa"/>
            </w:tcMar>
            <w:vAlign w:val="center"/>
          </w:tcPr>
          <w:p w14:paraId="2A409E33"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lastRenderedPageBreak/>
              <w:t>投资机构与公司协商以取得成本</w:t>
            </w:r>
            <w:r w:rsidRPr="008210F5">
              <w:rPr>
                <w:rFonts w:ascii="Times" w:hAnsi="Times" w:cs="Times"/>
                <w:bCs/>
                <w:szCs w:val="21"/>
              </w:rPr>
              <w:lastRenderedPageBreak/>
              <w:t>+</w:t>
            </w:r>
            <w:r w:rsidRPr="008210F5">
              <w:rPr>
                <w:rFonts w:ascii="Times" w:hAnsi="Times" w:cs="Times" w:hint="eastAsia"/>
                <w:bCs/>
                <w:szCs w:val="21"/>
              </w:rPr>
              <w:t>一定利息退出</w:t>
            </w:r>
          </w:p>
        </w:tc>
        <w:tc>
          <w:tcPr>
            <w:tcW w:w="622" w:type="pct"/>
            <w:vAlign w:val="center"/>
          </w:tcPr>
          <w:p w14:paraId="0C01D550"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lastRenderedPageBreak/>
              <w:t>无</w:t>
            </w:r>
          </w:p>
        </w:tc>
      </w:tr>
      <w:tr w:rsidR="006F6541" w:rsidRPr="009A1BF3" w14:paraId="1766930E" w14:textId="77777777" w:rsidTr="006F6541">
        <w:trPr>
          <w:trHeight w:val="397"/>
          <w:jc w:val="center"/>
        </w:trPr>
        <w:tc>
          <w:tcPr>
            <w:tcW w:w="275" w:type="pct"/>
            <w:tcMar>
              <w:top w:w="0" w:type="dxa"/>
              <w:left w:w="108" w:type="dxa"/>
              <w:bottom w:w="0" w:type="dxa"/>
              <w:right w:w="108" w:type="dxa"/>
            </w:tcMar>
            <w:vAlign w:val="center"/>
          </w:tcPr>
          <w:p w14:paraId="4F3594F4"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17</w:t>
            </w:r>
          </w:p>
        </w:tc>
        <w:tc>
          <w:tcPr>
            <w:tcW w:w="505" w:type="pct"/>
            <w:tcMar>
              <w:top w:w="0" w:type="dxa"/>
              <w:left w:w="108" w:type="dxa"/>
              <w:bottom w:w="0" w:type="dxa"/>
              <w:right w:w="108" w:type="dxa"/>
            </w:tcMar>
            <w:vAlign w:val="center"/>
          </w:tcPr>
          <w:p w14:paraId="55A0251D"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12</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7BBCA685"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璀璨德商</w:t>
            </w:r>
          </w:p>
        </w:tc>
        <w:tc>
          <w:tcPr>
            <w:tcW w:w="547" w:type="pct"/>
            <w:tcMar>
              <w:top w:w="0" w:type="dxa"/>
              <w:left w:w="108" w:type="dxa"/>
              <w:bottom w:w="0" w:type="dxa"/>
              <w:right w:w="108" w:type="dxa"/>
            </w:tcMar>
            <w:vAlign w:val="center"/>
          </w:tcPr>
          <w:p w14:paraId="0F4D261E"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1DBC12A9"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467.8969</w:t>
            </w:r>
          </w:p>
        </w:tc>
        <w:tc>
          <w:tcPr>
            <w:tcW w:w="860" w:type="pct"/>
            <w:tcMar>
              <w:top w:w="0" w:type="dxa"/>
              <w:left w:w="108" w:type="dxa"/>
              <w:bottom w:w="0" w:type="dxa"/>
              <w:right w:w="108" w:type="dxa"/>
            </w:tcMar>
            <w:vAlign w:val="center"/>
          </w:tcPr>
          <w:p w14:paraId="3D74A592"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投资机构调整投资计划，协商减资退出部分持股</w:t>
            </w:r>
          </w:p>
        </w:tc>
        <w:tc>
          <w:tcPr>
            <w:tcW w:w="939" w:type="pct"/>
            <w:tcMar>
              <w:top w:w="0" w:type="dxa"/>
              <w:left w:w="108" w:type="dxa"/>
              <w:bottom w:w="0" w:type="dxa"/>
              <w:right w:w="108" w:type="dxa"/>
            </w:tcMar>
            <w:vAlign w:val="center"/>
          </w:tcPr>
          <w:p w14:paraId="3F00AEF3"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投资机构与公司协商以取得成本</w:t>
            </w:r>
            <w:r w:rsidRPr="008210F5">
              <w:rPr>
                <w:rFonts w:ascii="Times" w:hAnsi="Times" w:cs="Times"/>
                <w:bCs/>
                <w:szCs w:val="21"/>
              </w:rPr>
              <w:t>+</w:t>
            </w:r>
            <w:r w:rsidRPr="008210F5">
              <w:rPr>
                <w:rFonts w:ascii="Times" w:hAnsi="Times" w:cs="Times" w:hint="eastAsia"/>
                <w:bCs/>
                <w:szCs w:val="21"/>
              </w:rPr>
              <w:t>一定利息退出</w:t>
            </w:r>
          </w:p>
        </w:tc>
        <w:tc>
          <w:tcPr>
            <w:tcW w:w="622" w:type="pct"/>
            <w:vAlign w:val="center"/>
          </w:tcPr>
          <w:p w14:paraId="1844831C"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338CB181" w14:textId="77777777" w:rsidTr="006F6541">
        <w:trPr>
          <w:trHeight w:val="397"/>
          <w:jc w:val="center"/>
        </w:trPr>
        <w:tc>
          <w:tcPr>
            <w:tcW w:w="275" w:type="pct"/>
            <w:tcMar>
              <w:top w:w="0" w:type="dxa"/>
              <w:left w:w="108" w:type="dxa"/>
              <w:bottom w:w="0" w:type="dxa"/>
              <w:right w:w="108" w:type="dxa"/>
            </w:tcMar>
            <w:vAlign w:val="center"/>
          </w:tcPr>
          <w:p w14:paraId="5524374F"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18</w:t>
            </w:r>
          </w:p>
        </w:tc>
        <w:tc>
          <w:tcPr>
            <w:tcW w:w="505" w:type="pct"/>
            <w:tcMar>
              <w:top w:w="0" w:type="dxa"/>
              <w:left w:w="108" w:type="dxa"/>
              <w:bottom w:w="0" w:type="dxa"/>
              <w:right w:w="108" w:type="dxa"/>
            </w:tcMar>
            <w:vAlign w:val="center"/>
          </w:tcPr>
          <w:p w14:paraId="696AA684" w14:textId="77777777" w:rsidR="006F6541" w:rsidRPr="008210F5" w:rsidRDefault="006F6541" w:rsidP="00E72DA1">
            <w:pPr>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12</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3B830778"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林芝利新</w:t>
            </w:r>
          </w:p>
        </w:tc>
        <w:tc>
          <w:tcPr>
            <w:tcW w:w="547" w:type="pct"/>
            <w:tcMar>
              <w:top w:w="0" w:type="dxa"/>
              <w:left w:w="108" w:type="dxa"/>
              <w:bottom w:w="0" w:type="dxa"/>
              <w:right w:w="108" w:type="dxa"/>
            </w:tcMar>
            <w:vAlign w:val="center"/>
          </w:tcPr>
          <w:p w14:paraId="2CC2678D" w14:textId="77777777" w:rsidR="006F6541" w:rsidRPr="008210F5" w:rsidRDefault="006F6541" w:rsidP="00E72DA1">
            <w:pPr>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390B67B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6,636.3633</w:t>
            </w:r>
          </w:p>
        </w:tc>
        <w:tc>
          <w:tcPr>
            <w:tcW w:w="860" w:type="pct"/>
            <w:tcMar>
              <w:top w:w="0" w:type="dxa"/>
              <w:left w:w="108" w:type="dxa"/>
              <w:bottom w:w="0" w:type="dxa"/>
              <w:right w:w="108" w:type="dxa"/>
            </w:tcMar>
            <w:vAlign w:val="center"/>
          </w:tcPr>
          <w:p w14:paraId="7A1E9907"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投资机构调整投资计划，协商减资退出部分持股</w:t>
            </w:r>
          </w:p>
        </w:tc>
        <w:tc>
          <w:tcPr>
            <w:tcW w:w="939" w:type="pct"/>
            <w:tcMar>
              <w:top w:w="0" w:type="dxa"/>
              <w:left w:w="108" w:type="dxa"/>
              <w:bottom w:w="0" w:type="dxa"/>
              <w:right w:w="108" w:type="dxa"/>
            </w:tcMar>
            <w:vAlign w:val="center"/>
          </w:tcPr>
          <w:p w14:paraId="02E19E61"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投资机构与公司协商以取得成本</w:t>
            </w:r>
            <w:r w:rsidRPr="008210F5">
              <w:rPr>
                <w:rFonts w:ascii="Times" w:hAnsi="Times" w:cs="Times"/>
                <w:bCs/>
                <w:szCs w:val="21"/>
              </w:rPr>
              <w:t>+</w:t>
            </w:r>
            <w:r w:rsidRPr="008210F5">
              <w:rPr>
                <w:rFonts w:ascii="Times" w:hAnsi="Times" w:cs="Times" w:hint="eastAsia"/>
                <w:bCs/>
                <w:szCs w:val="21"/>
              </w:rPr>
              <w:t>一定利息退出</w:t>
            </w:r>
          </w:p>
        </w:tc>
        <w:tc>
          <w:tcPr>
            <w:tcW w:w="622" w:type="pct"/>
            <w:vAlign w:val="center"/>
          </w:tcPr>
          <w:p w14:paraId="24859408"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4BE47091" w14:textId="77777777" w:rsidTr="006F6541">
        <w:trPr>
          <w:trHeight w:val="397"/>
          <w:jc w:val="center"/>
        </w:trPr>
        <w:tc>
          <w:tcPr>
            <w:tcW w:w="275" w:type="pct"/>
            <w:tcMar>
              <w:top w:w="0" w:type="dxa"/>
              <w:left w:w="108" w:type="dxa"/>
              <w:bottom w:w="0" w:type="dxa"/>
              <w:right w:w="108" w:type="dxa"/>
            </w:tcMar>
            <w:vAlign w:val="center"/>
          </w:tcPr>
          <w:p w14:paraId="37826DF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19</w:t>
            </w:r>
          </w:p>
        </w:tc>
        <w:tc>
          <w:tcPr>
            <w:tcW w:w="505" w:type="pct"/>
            <w:tcMar>
              <w:top w:w="0" w:type="dxa"/>
              <w:left w:w="108" w:type="dxa"/>
              <w:bottom w:w="0" w:type="dxa"/>
              <w:right w:w="108" w:type="dxa"/>
            </w:tcMar>
            <w:vAlign w:val="center"/>
          </w:tcPr>
          <w:p w14:paraId="21C271BB"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12</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3B91DF3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原本俱甲</w:t>
            </w:r>
          </w:p>
        </w:tc>
        <w:tc>
          <w:tcPr>
            <w:tcW w:w="547" w:type="pct"/>
            <w:tcMar>
              <w:top w:w="0" w:type="dxa"/>
              <w:left w:w="108" w:type="dxa"/>
              <w:bottom w:w="0" w:type="dxa"/>
              <w:right w:w="108" w:type="dxa"/>
            </w:tcMar>
            <w:vAlign w:val="center"/>
          </w:tcPr>
          <w:p w14:paraId="662CF102"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璀璨远见</w:t>
            </w:r>
          </w:p>
        </w:tc>
        <w:tc>
          <w:tcPr>
            <w:tcW w:w="705" w:type="pct"/>
            <w:tcMar>
              <w:top w:w="0" w:type="dxa"/>
              <w:left w:w="108" w:type="dxa"/>
              <w:bottom w:w="0" w:type="dxa"/>
              <w:right w:w="108" w:type="dxa"/>
            </w:tcMar>
            <w:vAlign w:val="center"/>
          </w:tcPr>
          <w:p w14:paraId="6526C41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1,481.6</w:t>
            </w:r>
          </w:p>
        </w:tc>
        <w:tc>
          <w:tcPr>
            <w:tcW w:w="860" w:type="pct"/>
            <w:tcMar>
              <w:top w:w="0" w:type="dxa"/>
              <w:left w:w="108" w:type="dxa"/>
              <w:bottom w:w="0" w:type="dxa"/>
              <w:right w:w="108" w:type="dxa"/>
            </w:tcMar>
            <w:vAlign w:val="center"/>
          </w:tcPr>
          <w:p w14:paraId="54C2008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投资机构之间协商确定的股份转让</w:t>
            </w:r>
          </w:p>
        </w:tc>
        <w:tc>
          <w:tcPr>
            <w:tcW w:w="939" w:type="pct"/>
            <w:tcMar>
              <w:top w:w="0" w:type="dxa"/>
              <w:left w:w="108" w:type="dxa"/>
              <w:bottom w:w="0" w:type="dxa"/>
              <w:right w:w="108" w:type="dxa"/>
            </w:tcMar>
            <w:vAlign w:val="center"/>
          </w:tcPr>
          <w:p w14:paraId="319C423F"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投资机构之间协商以取得成本</w:t>
            </w:r>
            <w:r w:rsidRPr="008210F5">
              <w:rPr>
                <w:rFonts w:ascii="Times" w:hAnsi="Times" w:cs="Times"/>
                <w:bCs/>
                <w:szCs w:val="21"/>
              </w:rPr>
              <w:t>+</w:t>
            </w:r>
            <w:r w:rsidRPr="008210F5">
              <w:rPr>
                <w:rFonts w:ascii="Times" w:hAnsi="Times" w:cs="Times" w:hint="eastAsia"/>
                <w:bCs/>
                <w:szCs w:val="21"/>
              </w:rPr>
              <w:t>一定利息转让</w:t>
            </w:r>
          </w:p>
        </w:tc>
        <w:tc>
          <w:tcPr>
            <w:tcW w:w="622" w:type="pct"/>
            <w:vMerge w:val="restart"/>
            <w:vAlign w:val="center"/>
          </w:tcPr>
          <w:p w14:paraId="52A62BA0"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璀璨远见与璀璨德商均受</w:t>
            </w:r>
            <w:hyperlink r:id="rId8" w:tgtFrame="https://www.qcc.com/firm/_blank" w:history="1">
              <w:r w:rsidRPr="008210F5">
                <w:rPr>
                  <w:rFonts w:ascii="Times" w:hAnsi="Times" w:cs="Times" w:hint="eastAsia"/>
                  <w:bCs/>
                  <w:szCs w:val="21"/>
                </w:rPr>
                <w:t>西藏泽泽创业投资管理有限公司</w:t>
              </w:r>
            </w:hyperlink>
            <w:r w:rsidRPr="008210F5">
              <w:rPr>
                <w:rFonts w:ascii="Times" w:hAnsi="Times" w:cs="Times" w:hint="eastAsia"/>
                <w:bCs/>
                <w:szCs w:val="21"/>
              </w:rPr>
              <w:t>控制，原本俱甲原为西藏泽泽创业投资管理有限公司投资企业</w:t>
            </w:r>
          </w:p>
        </w:tc>
      </w:tr>
      <w:tr w:rsidR="006F6541" w:rsidRPr="009A1BF3" w14:paraId="43B3C6F3" w14:textId="77777777" w:rsidTr="006F6541">
        <w:trPr>
          <w:trHeight w:val="397"/>
          <w:jc w:val="center"/>
        </w:trPr>
        <w:tc>
          <w:tcPr>
            <w:tcW w:w="275" w:type="pct"/>
            <w:tcMar>
              <w:top w:w="0" w:type="dxa"/>
              <w:left w:w="108" w:type="dxa"/>
              <w:bottom w:w="0" w:type="dxa"/>
              <w:right w:w="108" w:type="dxa"/>
            </w:tcMar>
            <w:vAlign w:val="center"/>
          </w:tcPr>
          <w:p w14:paraId="15BF438B"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20</w:t>
            </w:r>
          </w:p>
        </w:tc>
        <w:tc>
          <w:tcPr>
            <w:tcW w:w="505" w:type="pct"/>
            <w:tcMar>
              <w:top w:w="0" w:type="dxa"/>
              <w:left w:w="108" w:type="dxa"/>
              <w:bottom w:w="0" w:type="dxa"/>
              <w:right w:w="108" w:type="dxa"/>
            </w:tcMar>
            <w:vAlign w:val="center"/>
          </w:tcPr>
          <w:p w14:paraId="658EEF4E"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2024</w:t>
            </w:r>
            <w:r w:rsidRPr="008210F5">
              <w:rPr>
                <w:rFonts w:ascii="Times" w:hAnsi="Times" w:cs="Times" w:hint="eastAsia"/>
                <w:szCs w:val="21"/>
              </w:rPr>
              <w:t>年</w:t>
            </w:r>
            <w:r w:rsidRPr="008210F5">
              <w:rPr>
                <w:rFonts w:ascii="Times" w:hAnsi="Times" w:cs="Times"/>
                <w:szCs w:val="21"/>
              </w:rPr>
              <w:t>12</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377F6BF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原本俱甲</w:t>
            </w:r>
          </w:p>
        </w:tc>
        <w:tc>
          <w:tcPr>
            <w:tcW w:w="547" w:type="pct"/>
            <w:tcMar>
              <w:top w:w="0" w:type="dxa"/>
              <w:left w:w="108" w:type="dxa"/>
              <w:bottom w:w="0" w:type="dxa"/>
              <w:right w:w="108" w:type="dxa"/>
            </w:tcMar>
            <w:vAlign w:val="center"/>
          </w:tcPr>
          <w:p w14:paraId="2E5C9F8B"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璀璨德商</w:t>
            </w:r>
          </w:p>
        </w:tc>
        <w:tc>
          <w:tcPr>
            <w:tcW w:w="705" w:type="pct"/>
            <w:tcMar>
              <w:top w:w="0" w:type="dxa"/>
              <w:left w:w="108" w:type="dxa"/>
              <w:bottom w:w="0" w:type="dxa"/>
              <w:right w:w="108" w:type="dxa"/>
            </w:tcMar>
            <w:vAlign w:val="center"/>
          </w:tcPr>
          <w:p w14:paraId="32616AAB"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467.8969</w:t>
            </w:r>
          </w:p>
        </w:tc>
        <w:tc>
          <w:tcPr>
            <w:tcW w:w="860" w:type="pct"/>
            <w:tcMar>
              <w:top w:w="0" w:type="dxa"/>
              <w:left w:w="108" w:type="dxa"/>
              <w:bottom w:w="0" w:type="dxa"/>
              <w:right w:w="108" w:type="dxa"/>
            </w:tcMar>
            <w:vAlign w:val="center"/>
          </w:tcPr>
          <w:p w14:paraId="3BB2372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投资机构之间协商确定的股份转让</w:t>
            </w:r>
          </w:p>
        </w:tc>
        <w:tc>
          <w:tcPr>
            <w:tcW w:w="939" w:type="pct"/>
            <w:tcMar>
              <w:top w:w="0" w:type="dxa"/>
              <w:left w:w="108" w:type="dxa"/>
              <w:bottom w:w="0" w:type="dxa"/>
              <w:right w:w="108" w:type="dxa"/>
            </w:tcMar>
            <w:vAlign w:val="center"/>
          </w:tcPr>
          <w:p w14:paraId="3EF9C03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hint="eastAsia"/>
                <w:bCs/>
                <w:szCs w:val="21"/>
              </w:rPr>
              <w:t>投资机构之间协商以取得成本</w:t>
            </w:r>
            <w:r w:rsidRPr="008210F5">
              <w:rPr>
                <w:rFonts w:ascii="Times" w:hAnsi="Times" w:cs="Times"/>
                <w:bCs/>
                <w:szCs w:val="21"/>
              </w:rPr>
              <w:t>+</w:t>
            </w:r>
            <w:r w:rsidRPr="008210F5">
              <w:rPr>
                <w:rFonts w:ascii="Times" w:hAnsi="Times" w:cs="Times" w:hint="eastAsia"/>
                <w:bCs/>
                <w:szCs w:val="21"/>
              </w:rPr>
              <w:t>一定利息转让</w:t>
            </w:r>
          </w:p>
        </w:tc>
        <w:tc>
          <w:tcPr>
            <w:tcW w:w="622" w:type="pct"/>
            <w:vMerge/>
            <w:vAlign w:val="center"/>
          </w:tcPr>
          <w:p w14:paraId="0E509012" w14:textId="77777777" w:rsidR="006F6541" w:rsidRPr="008210F5" w:rsidRDefault="006F6541" w:rsidP="00E72DA1">
            <w:pPr>
              <w:tabs>
                <w:tab w:val="left" w:pos="709"/>
              </w:tabs>
              <w:spacing w:before="120" w:after="120"/>
              <w:jc w:val="center"/>
              <w:rPr>
                <w:rFonts w:ascii="Times" w:hAnsi="Times" w:cs="Times"/>
                <w:bCs/>
                <w:szCs w:val="21"/>
              </w:rPr>
            </w:pPr>
          </w:p>
        </w:tc>
      </w:tr>
      <w:tr w:rsidR="006F6541" w:rsidRPr="009A1BF3" w14:paraId="40D351DE" w14:textId="77777777" w:rsidTr="006F6541">
        <w:trPr>
          <w:trHeight w:val="397"/>
          <w:jc w:val="center"/>
        </w:trPr>
        <w:tc>
          <w:tcPr>
            <w:tcW w:w="275" w:type="pct"/>
            <w:tcMar>
              <w:top w:w="0" w:type="dxa"/>
              <w:left w:w="108" w:type="dxa"/>
              <w:bottom w:w="0" w:type="dxa"/>
              <w:right w:w="108" w:type="dxa"/>
            </w:tcMar>
            <w:vAlign w:val="center"/>
          </w:tcPr>
          <w:p w14:paraId="62E42BE5"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21</w:t>
            </w:r>
          </w:p>
        </w:tc>
        <w:tc>
          <w:tcPr>
            <w:tcW w:w="505" w:type="pct"/>
            <w:tcMar>
              <w:top w:w="0" w:type="dxa"/>
              <w:left w:w="108" w:type="dxa"/>
              <w:bottom w:w="0" w:type="dxa"/>
              <w:right w:w="108" w:type="dxa"/>
            </w:tcMar>
            <w:vAlign w:val="center"/>
          </w:tcPr>
          <w:p w14:paraId="6674E54D"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3</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2D8DB78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金浦文创</w:t>
            </w:r>
          </w:p>
        </w:tc>
        <w:tc>
          <w:tcPr>
            <w:tcW w:w="547" w:type="pct"/>
            <w:tcMar>
              <w:top w:w="0" w:type="dxa"/>
              <w:left w:w="108" w:type="dxa"/>
              <w:bottom w:w="0" w:type="dxa"/>
              <w:right w:w="108" w:type="dxa"/>
            </w:tcMar>
            <w:vAlign w:val="center"/>
          </w:tcPr>
          <w:p w14:paraId="30C5A55C"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bCs/>
                <w:szCs w:val="21"/>
              </w:rPr>
              <w:t>-</w:t>
            </w:r>
          </w:p>
        </w:tc>
        <w:tc>
          <w:tcPr>
            <w:tcW w:w="705" w:type="pct"/>
            <w:tcMar>
              <w:top w:w="0" w:type="dxa"/>
              <w:left w:w="108" w:type="dxa"/>
              <w:bottom w:w="0" w:type="dxa"/>
              <w:right w:w="108" w:type="dxa"/>
            </w:tcMar>
            <w:vAlign w:val="center"/>
          </w:tcPr>
          <w:p w14:paraId="2965779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4,000.00</w:t>
            </w:r>
          </w:p>
        </w:tc>
        <w:tc>
          <w:tcPr>
            <w:tcW w:w="860" w:type="pct"/>
            <w:tcMar>
              <w:top w:w="0" w:type="dxa"/>
              <w:left w:w="108" w:type="dxa"/>
              <w:bottom w:w="0" w:type="dxa"/>
              <w:right w:w="108" w:type="dxa"/>
            </w:tcMar>
            <w:vAlign w:val="center"/>
          </w:tcPr>
          <w:p w14:paraId="46B0005B"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投资机构调整投资计划，协商减资退出</w:t>
            </w:r>
          </w:p>
        </w:tc>
        <w:tc>
          <w:tcPr>
            <w:tcW w:w="939" w:type="pct"/>
            <w:tcMar>
              <w:top w:w="0" w:type="dxa"/>
              <w:left w:w="108" w:type="dxa"/>
              <w:bottom w:w="0" w:type="dxa"/>
              <w:right w:w="108" w:type="dxa"/>
            </w:tcMar>
            <w:vAlign w:val="center"/>
          </w:tcPr>
          <w:p w14:paraId="690A7B3F"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投资机构与公司协商以取得成本</w:t>
            </w:r>
            <w:r w:rsidRPr="008210F5">
              <w:rPr>
                <w:rFonts w:ascii="Times" w:hAnsi="Times" w:cs="Times"/>
                <w:bCs/>
                <w:szCs w:val="21"/>
              </w:rPr>
              <w:t>+</w:t>
            </w:r>
            <w:r w:rsidRPr="008210F5">
              <w:rPr>
                <w:rFonts w:ascii="Times" w:hAnsi="Times" w:cs="Times" w:hint="eastAsia"/>
                <w:bCs/>
                <w:szCs w:val="21"/>
              </w:rPr>
              <w:t>一定利息退出</w:t>
            </w:r>
          </w:p>
        </w:tc>
        <w:tc>
          <w:tcPr>
            <w:tcW w:w="622" w:type="pct"/>
            <w:vAlign w:val="center"/>
          </w:tcPr>
          <w:p w14:paraId="52271812" w14:textId="77777777" w:rsidR="006F6541" w:rsidRPr="008210F5" w:rsidRDefault="006F6541" w:rsidP="00E72DA1">
            <w:pPr>
              <w:spacing w:before="120" w:after="120"/>
              <w:jc w:val="center"/>
              <w:rPr>
                <w:rFonts w:ascii="Times" w:hAnsi="Times" w:cs="Times"/>
                <w:bCs/>
                <w:szCs w:val="21"/>
              </w:rPr>
            </w:pPr>
            <w:r w:rsidRPr="008210F5">
              <w:rPr>
                <w:rFonts w:ascii="Times" w:hAnsi="Times" w:cs="Times" w:hint="eastAsia"/>
                <w:bCs/>
                <w:szCs w:val="21"/>
              </w:rPr>
              <w:t>无</w:t>
            </w:r>
          </w:p>
        </w:tc>
      </w:tr>
      <w:tr w:rsidR="006F6541" w:rsidRPr="009A1BF3" w14:paraId="7DE4FEB9" w14:textId="77777777" w:rsidTr="006F6541">
        <w:trPr>
          <w:trHeight w:val="397"/>
          <w:jc w:val="center"/>
        </w:trPr>
        <w:tc>
          <w:tcPr>
            <w:tcW w:w="275" w:type="pct"/>
            <w:tcMar>
              <w:top w:w="0" w:type="dxa"/>
              <w:left w:w="108" w:type="dxa"/>
              <w:bottom w:w="0" w:type="dxa"/>
              <w:right w:w="108" w:type="dxa"/>
            </w:tcMar>
            <w:vAlign w:val="center"/>
          </w:tcPr>
          <w:p w14:paraId="05F877A3"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22</w:t>
            </w:r>
          </w:p>
        </w:tc>
        <w:tc>
          <w:tcPr>
            <w:tcW w:w="505" w:type="pct"/>
            <w:tcMar>
              <w:top w:w="0" w:type="dxa"/>
              <w:left w:w="108" w:type="dxa"/>
              <w:bottom w:w="0" w:type="dxa"/>
              <w:right w:w="108" w:type="dxa"/>
            </w:tcMar>
            <w:vAlign w:val="center"/>
          </w:tcPr>
          <w:p w14:paraId="28124E5B"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Pr>
                <w:rFonts w:ascii="Times" w:hAnsi="Times" w:cs="Times" w:hint="eastAsia"/>
                <w:szCs w:val="21"/>
              </w:rPr>
              <w:t>3</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6154BDFE"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蜜芽宝贝</w:t>
            </w:r>
          </w:p>
        </w:tc>
        <w:tc>
          <w:tcPr>
            <w:tcW w:w="547" w:type="pct"/>
            <w:tcMar>
              <w:top w:w="0" w:type="dxa"/>
              <w:left w:w="108" w:type="dxa"/>
              <w:bottom w:w="0" w:type="dxa"/>
              <w:right w:w="108" w:type="dxa"/>
            </w:tcMar>
            <w:vAlign w:val="center"/>
          </w:tcPr>
          <w:p w14:paraId="0B09975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杨裕雄</w:t>
            </w:r>
          </w:p>
        </w:tc>
        <w:tc>
          <w:tcPr>
            <w:tcW w:w="705" w:type="pct"/>
            <w:tcMar>
              <w:top w:w="0" w:type="dxa"/>
              <w:left w:w="108" w:type="dxa"/>
              <w:bottom w:w="0" w:type="dxa"/>
              <w:right w:w="108" w:type="dxa"/>
            </w:tcMar>
            <w:vAlign w:val="center"/>
          </w:tcPr>
          <w:p w14:paraId="09FE89F8"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195.00</w:t>
            </w:r>
          </w:p>
        </w:tc>
        <w:tc>
          <w:tcPr>
            <w:tcW w:w="860" w:type="pct"/>
            <w:tcMar>
              <w:top w:w="0" w:type="dxa"/>
              <w:left w:w="108" w:type="dxa"/>
              <w:bottom w:w="0" w:type="dxa"/>
              <w:right w:w="108" w:type="dxa"/>
            </w:tcMar>
            <w:vAlign w:val="center"/>
          </w:tcPr>
          <w:p w14:paraId="5DE44E85"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外部投资人之间协商转让</w:t>
            </w:r>
          </w:p>
        </w:tc>
        <w:tc>
          <w:tcPr>
            <w:tcW w:w="939" w:type="pct"/>
            <w:tcMar>
              <w:top w:w="0" w:type="dxa"/>
              <w:left w:w="108" w:type="dxa"/>
              <w:bottom w:w="0" w:type="dxa"/>
              <w:right w:w="108" w:type="dxa"/>
            </w:tcMar>
            <w:vAlign w:val="center"/>
          </w:tcPr>
          <w:p w14:paraId="1AA5310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基于星云开物面临其他投资机构的对赌触发风险，双方以公司净资产为基础协商确定价格</w:t>
            </w:r>
          </w:p>
        </w:tc>
        <w:tc>
          <w:tcPr>
            <w:tcW w:w="622" w:type="pct"/>
            <w:vAlign w:val="center"/>
          </w:tcPr>
          <w:p w14:paraId="4E57159D"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无</w:t>
            </w:r>
          </w:p>
        </w:tc>
      </w:tr>
      <w:tr w:rsidR="006F6541" w:rsidRPr="009A1BF3" w14:paraId="251595C4" w14:textId="77777777" w:rsidTr="006F6541">
        <w:trPr>
          <w:trHeight w:val="397"/>
          <w:jc w:val="center"/>
        </w:trPr>
        <w:tc>
          <w:tcPr>
            <w:tcW w:w="275" w:type="pct"/>
            <w:tcMar>
              <w:top w:w="0" w:type="dxa"/>
              <w:left w:w="108" w:type="dxa"/>
              <w:bottom w:w="0" w:type="dxa"/>
              <w:right w:w="108" w:type="dxa"/>
            </w:tcMar>
            <w:vAlign w:val="center"/>
          </w:tcPr>
          <w:p w14:paraId="550D057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23</w:t>
            </w:r>
          </w:p>
        </w:tc>
        <w:tc>
          <w:tcPr>
            <w:tcW w:w="505" w:type="pct"/>
            <w:tcMar>
              <w:top w:w="0" w:type="dxa"/>
              <w:left w:w="108" w:type="dxa"/>
              <w:bottom w:w="0" w:type="dxa"/>
              <w:right w:w="108" w:type="dxa"/>
            </w:tcMar>
            <w:vAlign w:val="center"/>
          </w:tcPr>
          <w:p w14:paraId="6F980657"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36381C7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乐哈哈</w:t>
            </w:r>
          </w:p>
        </w:tc>
        <w:tc>
          <w:tcPr>
            <w:tcW w:w="547" w:type="pct"/>
            <w:tcMar>
              <w:top w:w="0" w:type="dxa"/>
              <w:left w:w="108" w:type="dxa"/>
              <w:bottom w:w="0" w:type="dxa"/>
              <w:right w:w="108" w:type="dxa"/>
            </w:tcMar>
            <w:vAlign w:val="center"/>
          </w:tcPr>
          <w:p w14:paraId="21A8A13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杨凯然</w:t>
            </w:r>
          </w:p>
        </w:tc>
        <w:tc>
          <w:tcPr>
            <w:tcW w:w="705" w:type="pct"/>
            <w:tcMar>
              <w:top w:w="0" w:type="dxa"/>
              <w:left w:w="108" w:type="dxa"/>
              <w:bottom w:w="0" w:type="dxa"/>
              <w:right w:w="108" w:type="dxa"/>
            </w:tcMar>
            <w:vAlign w:val="center"/>
          </w:tcPr>
          <w:p w14:paraId="5D3DF70D"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val="restart"/>
            <w:tcMar>
              <w:top w:w="0" w:type="dxa"/>
              <w:left w:w="108" w:type="dxa"/>
              <w:bottom w:w="0" w:type="dxa"/>
              <w:right w:w="108" w:type="dxa"/>
            </w:tcMar>
            <w:vAlign w:val="center"/>
          </w:tcPr>
          <w:p w14:paraId="5F53B66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公司核心管理层持股由平台间接持股变为直接持股</w:t>
            </w:r>
          </w:p>
        </w:tc>
        <w:tc>
          <w:tcPr>
            <w:tcW w:w="939" w:type="pct"/>
            <w:vMerge w:val="restart"/>
            <w:tcMar>
              <w:top w:w="0" w:type="dxa"/>
              <w:left w:w="108" w:type="dxa"/>
              <w:bottom w:w="0" w:type="dxa"/>
              <w:right w:w="108" w:type="dxa"/>
            </w:tcMar>
            <w:vAlign w:val="center"/>
          </w:tcPr>
          <w:p w14:paraId="2989ED88"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杨凯然持股由间接持股变为直接持股，其持有标的公司权益未发生实质变化，无需实际支付对价</w:t>
            </w:r>
          </w:p>
        </w:tc>
        <w:tc>
          <w:tcPr>
            <w:tcW w:w="622" w:type="pct"/>
            <w:vMerge w:val="restart"/>
            <w:vAlign w:val="center"/>
          </w:tcPr>
          <w:p w14:paraId="2B6A38E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杨凯然系该等持股平台合伙人</w:t>
            </w:r>
          </w:p>
        </w:tc>
      </w:tr>
      <w:tr w:rsidR="006F6541" w:rsidRPr="009A1BF3" w14:paraId="094B4FDF" w14:textId="77777777" w:rsidTr="006F6541">
        <w:trPr>
          <w:trHeight w:val="397"/>
          <w:jc w:val="center"/>
        </w:trPr>
        <w:tc>
          <w:tcPr>
            <w:tcW w:w="275" w:type="pct"/>
            <w:tcMar>
              <w:top w:w="0" w:type="dxa"/>
              <w:left w:w="108" w:type="dxa"/>
              <w:bottom w:w="0" w:type="dxa"/>
              <w:right w:w="108" w:type="dxa"/>
            </w:tcMar>
            <w:vAlign w:val="center"/>
          </w:tcPr>
          <w:p w14:paraId="481F3B3F"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24</w:t>
            </w:r>
          </w:p>
        </w:tc>
        <w:tc>
          <w:tcPr>
            <w:tcW w:w="505" w:type="pct"/>
            <w:tcMar>
              <w:top w:w="0" w:type="dxa"/>
              <w:left w:w="108" w:type="dxa"/>
              <w:bottom w:w="0" w:type="dxa"/>
              <w:right w:w="108" w:type="dxa"/>
            </w:tcMar>
            <w:vAlign w:val="center"/>
          </w:tcPr>
          <w:p w14:paraId="7130BED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76155D72"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乐腾腾</w:t>
            </w:r>
          </w:p>
        </w:tc>
        <w:tc>
          <w:tcPr>
            <w:tcW w:w="547" w:type="pct"/>
            <w:tcMar>
              <w:top w:w="0" w:type="dxa"/>
              <w:left w:w="108" w:type="dxa"/>
              <w:bottom w:w="0" w:type="dxa"/>
              <w:right w:w="108" w:type="dxa"/>
            </w:tcMar>
            <w:vAlign w:val="center"/>
          </w:tcPr>
          <w:p w14:paraId="2CAED2A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杨凯然</w:t>
            </w:r>
          </w:p>
        </w:tc>
        <w:tc>
          <w:tcPr>
            <w:tcW w:w="705" w:type="pct"/>
            <w:tcMar>
              <w:top w:w="0" w:type="dxa"/>
              <w:left w:w="108" w:type="dxa"/>
              <w:bottom w:w="0" w:type="dxa"/>
              <w:right w:w="108" w:type="dxa"/>
            </w:tcMar>
            <w:vAlign w:val="center"/>
          </w:tcPr>
          <w:p w14:paraId="49D339D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tcMar>
              <w:top w:w="0" w:type="dxa"/>
              <w:left w:w="108" w:type="dxa"/>
              <w:bottom w:w="0" w:type="dxa"/>
              <w:right w:w="108" w:type="dxa"/>
            </w:tcMar>
            <w:vAlign w:val="center"/>
          </w:tcPr>
          <w:p w14:paraId="16514E23" w14:textId="77777777" w:rsidR="006F6541" w:rsidRPr="008210F5" w:rsidRDefault="006F6541" w:rsidP="00E72DA1">
            <w:pPr>
              <w:tabs>
                <w:tab w:val="left" w:pos="709"/>
              </w:tabs>
              <w:spacing w:before="120" w:after="120"/>
              <w:jc w:val="center"/>
              <w:rPr>
                <w:rFonts w:ascii="Times" w:hAnsi="Times" w:cs="Times"/>
                <w:szCs w:val="21"/>
              </w:rPr>
            </w:pPr>
          </w:p>
        </w:tc>
        <w:tc>
          <w:tcPr>
            <w:tcW w:w="939" w:type="pct"/>
            <w:vMerge/>
            <w:tcMar>
              <w:top w:w="0" w:type="dxa"/>
              <w:left w:w="108" w:type="dxa"/>
              <w:bottom w:w="0" w:type="dxa"/>
              <w:right w:w="108" w:type="dxa"/>
            </w:tcMar>
            <w:vAlign w:val="center"/>
          </w:tcPr>
          <w:p w14:paraId="482F54DA" w14:textId="77777777" w:rsidR="006F6541" w:rsidRPr="008210F5" w:rsidRDefault="006F6541" w:rsidP="00E72DA1">
            <w:pPr>
              <w:tabs>
                <w:tab w:val="left" w:pos="709"/>
              </w:tabs>
              <w:spacing w:before="120" w:after="120"/>
              <w:jc w:val="center"/>
              <w:rPr>
                <w:rFonts w:ascii="Times" w:hAnsi="Times" w:cs="Times"/>
                <w:szCs w:val="21"/>
              </w:rPr>
            </w:pPr>
          </w:p>
        </w:tc>
        <w:tc>
          <w:tcPr>
            <w:tcW w:w="622" w:type="pct"/>
            <w:vMerge/>
            <w:vAlign w:val="center"/>
          </w:tcPr>
          <w:p w14:paraId="5AD71B9E" w14:textId="77777777" w:rsidR="006F6541" w:rsidRPr="008210F5" w:rsidRDefault="006F6541" w:rsidP="00E72DA1">
            <w:pPr>
              <w:tabs>
                <w:tab w:val="left" w:pos="709"/>
              </w:tabs>
              <w:spacing w:before="120" w:after="120"/>
              <w:jc w:val="center"/>
              <w:rPr>
                <w:rFonts w:ascii="Times" w:hAnsi="Times" w:cs="Times"/>
                <w:szCs w:val="21"/>
              </w:rPr>
            </w:pPr>
          </w:p>
        </w:tc>
      </w:tr>
      <w:tr w:rsidR="006F6541" w:rsidRPr="009A1BF3" w14:paraId="0131DAB5" w14:textId="77777777" w:rsidTr="006F6541">
        <w:trPr>
          <w:trHeight w:val="397"/>
          <w:jc w:val="center"/>
        </w:trPr>
        <w:tc>
          <w:tcPr>
            <w:tcW w:w="275" w:type="pct"/>
            <w:tcMar>
              <w:top w:w="0" w:type="dxa"/>
              <w:left w:w="108" w:type="dxa"/>
              <w:bottom w:w="0" w:type="dxa"/>
              <w:right w:w="108" w:type="dxa"/>
            </w:tcMar>
            <w:vAlign w:val="center"/>
          </w:tcPr>
          <w:p w14:paraId="2943DED4"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25</w:t>
            </w:r>
          </w:p>
        </w:tc>
        <w:tc>
          <w:tcPr>
            <w:tcW w:w="505" w:type="pct"/>
            <w:tcMar>
              <w:top w:w="0" w:type="dxa"/>
              <w:left w:w="108" w:type="dxa"/>
              <w:bottom w:w="0" w:type="dxa"/>
              <w:right w:w="108" w:type="dxa"/>
            </w:tcMar>
            <w:vAlign w:val="center"/>
          </w:tcPr>
          <w:p w14:paraId="2BC8231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lastRenderedPageBreak/>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37F5F18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lastRenderedPageBreak/>
              <w:t>乐熙熙</w:t>
            </w:r>
          </w:p>
        </w:tc>
        <w:tc>
          <w:tcPr>
            <w:tcW w:w="547" w:type="pct"/>
            <w:tcMar>
              <w:top w:w="0" w:type="dxa"/>
              <w:left w:w="108" w:type="dxa"/>
              <w:bottom w:w="0" w:type="dxa"/>
              <w:right w:w="108" w:type="dxa"/>
            </w:tcMar>
            <w:vAlign w:val="center"/>
          </w:tcPr>
          <w:p w14:paraId="7140BF22"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杨凯然</w:t>
            </w:r>
          </w:p>
        </w:tc>
        <w:tc>
          <w:tcPr>
            <w:tcW w:w="705" w:type="pct"/>
            <w:tcMar>
              <w:top w:w="0" w:type="dxa"/>
              <w:left w:w="108" w:type="dxa"/>
              <w:bottom w:w="0" w:type="dxa"/>
              <w:right w:w="108" w:type="dxa"/>
            </w:tcMar>
            <w:vAlign w:val="center"/>
          </w:tcPr>
          <w:p w14:paraId="5BF1606E"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tcMar>
              <w:top w:w="0" w:type="dxa"/>
              <w:left w:w="108" w:type="dxa"/>
              <w:bottom w:w="0" w:type="dxa"/>
              <w:right w:w="108" w:type="dxa"/>
            </w:tcMar>
            <w:vAlign w:val="center"/>
          </w:tcPr>
          <w:p w14:paraId="540988D1" w14:textId="77777777" w:rsidR="006F6541" w:rsidRPr="008210F5" w:rsidRDefault="006F6541" w:rsidP="00E72DA1">
            <w:pPr>
              <w:tabs>
                <w:tab w:val="left" w:pos="709"/>
              </w:tabs>
              <w:spacing w:before="120" w:after="120"/>
              <w:jc w:val="center"/>
              <w:rPr>
                <w:rFonts w:ascii="Times" w:hAnsi="Times" w:cs="Times"/>
                <w:szCs w:val="21"/>
              </w:rPr>
            </w:pPr>
          </w:p>
        </w:tc>
        <w:tc>
          <w:tcPr>
            <w:tcW w:w="939" w:type="pct"/>
            <w:vMerge/>
            <w:tcMar>
              <w:top w:w="0" w:type="dxa"/>
              <w:left w:w="108" w:type="dxa"/>
              <w:bottom w:w="0" w:type="dxa"/>
              <w:right w:w="108" w:type="dxa"/>
            </w:tcMar>
            <w:vAlign w:val="center"/>
          </w:tcPr>
          <w:p w14:paraId="0CD295DE" w14:textId="77777777" w:rsidR="006F6541" w:rsidRPr="008210F5" w:rsidRDefault="006F6541" w:rsidP="00E72DA1">
            <w:pPr>
              <w:tabs>
                <w:tab w:val="left" w:pos="709"/>
              </w:tabs>
              <w:spacing w:before="120" w:after="120"/>
              <w:jc w:val="center"/>
              <w:rPr>
                <w:rFonts w:ascii="Times" w:hAnsi="Times" w:cs="Times"/>
                <w:szCs w:val="21"/>
              </w:rPr>
            </w:pPr>
          </w:p>
        </w:tc>
        <w:tc>
          <w:tcPr>
            <w:tcW w:w="622" w:type="pct"/>
            <w:vMerge/>
            <w:vAlign w:val="center"/>
          </w:tcPr>
          <w:p w14:paraId="05CC1442" w14:textId="77777777" w:rsidR="006F6541" w:rsidRPr="008210F5" w:rsidRDefault="006F6541" w:rsidP="00E72DA1">
            <w:pPr>
              <w:tabs>
                <w:tab w:val="left" w:pos="709"/>
              </w:tabs>
              <w:spacing w:before="120" w:after="120"/>
              <w:jc w:val="center"/>
              <w:rPr>
                <w:rFonts w:ascii="Times" w:hAnsi="Times" w:cs="Times"/>
                <w:szCs w:val="21"/>
              </w:rPr>
            </w:pPr>
          </w:p>
        </w:tc>
      </w:tr>
      <w:tr w:rsidR="006F6541" w:rsidRPr="009A1BF3" w14:paraId="33EF4D96" w14:textId="77777777" w:rsidTr="006F6541">
        <w:trPr>
          <w:trHeight w:val="397"/>
          <w:jc w:val="center"/>
        </w:trPr>
        <w:tc>
          <w:tcPr>
            <w:tcW w:w="275" w:type="pct"/>
            <w:tcMar>
              <w:top w:w="0" w:type="dxa"/>
              <w:left w:w="108" w:type="dxa"/>
              <w:bottom w:w="0" w:type="dxa"/>
              <w:right w:w="108" w:type="dxa"/>
            </w:tcMar>
            <w:vAlign w:val="center"/>
          </w:tcPr>
          <w:p w14:paraId="70A0041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26</w:t>
            </w:r>
          </w:p>
        </w:tc>
        <w:tc>
          <w:tcPr>
            <w:tcW w:w="505" w:type="pct"/>
            <w:tcMar>
              <w:top w:w="0" w:type="dxa"/>
              <w:left w:w="108" w:type="dxa"/>
              <w:bottom w:w="0" w:type="dxa"/>
              <w:right w:w="108" w:type="dxa"/>
            </w:tcMar>
            <w:vAlign w:val="center"/>
          </w:tcPr>
          <w:p w14:paraId="45CA5C0C"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7F3A0E73"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乐洋洋</w:t>
            </w:r>
          </w:p>
        </w:tc>
        <w:tc>
          <w:tcPr>
            <w:tcW w:w="547" w:type="pct"/>
            <w:tcMar>
              <w:top w:w="0" w:type="dxa"/>
              <w:left w:w="108" w:type="dxa"/>
              <w:bottom w:w="0" w:type="dxa"/>
              <w:right w:w="108" w:type="dxa"/>
            </w:tcMar>
            <w:vAlign w:val="center"/>
          </w:tcPr>
          <w:p w14:paraId="714946A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杨凯然</w:t>
            </w:r>
          </w:p>
        </w:tc>
        <w:tc>
          <w:tcPr>
            <w:tcW w:w="705" w:type="pct"/>
            <w:tcMar>
              <w:top w:w="0" w:type="dxa"/>
              <w:left w:w="108" w:type="dxa"/>
              <w:bottom w:w="0" w:type="dxa"/>
              <w:right w:w="108" w:type="dxa"/>
            </w:tcMar>
            <w:vAlign w:val="center"/>
          </w:tcPr>
          <w:p w14:paraId="2328CF63"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tcMar>
              <w:top w:w="0" w:type="dxa"/>
              <w:left w:w="108" w:type="dxa"/>
              <w:bottom w:w="0" w:type="dxa"/>
              <w:right w:w="108" w:type="dxa"/>
            </w:tcMar>
            <w:vAlign w:val="center"/>
          </w:tcPr>
          <w:p w14:paraId="38887EC2" w14:textId="77777777" w:rsidR="006F6541" w:rsidRPr="008210F5" w:rsidRDefault="006F6541" w:rsidP="00E72DA1">
            <w:pPr>
              <w:tabs>
                <w:tab w:val="left" w:pos="709"/>
              </w:tabs>
              <w:spacing w:before="120" w:after="120"/>
              <w:jc w:val="center"/>
              <w:rPr>
                <w:rFonts w:ascii="Times" w:hAnsi="Times" w:cs="Times"/>
                <w:szCs w:val="21"/>
              </w:rPr>
            </w:pPr>
          </w:p>
        </w:tc>
        <w:tc>
          <w:tcPr>
            <w:tcW w:w="939" w:type="pct"/>
            <w:vMerge/>
            <w:tcMar>
              <w:top w:w="0" w:type="dxa"/>
              <w:left w:w="108" w:type="dxa"/>
              <w:bottom w:w="0" w:type="dxa"/>
              <w:right w:w="108" w:type="dxa"/>
            </w:tcMar>
            <w:vAlign w:val="center"/>
          </w:tcPr>
          <w:p w14:paraId="67739AF0" w14:textId="77777777" w:rsidR="006F6541" w:rsidRPr="008210F5" w:rsidRDefault="006F6541" w:rsidP="00E72DA1">
            <w:pPr>
              <w:tabs>
                <w:tab w:val="left" w:pos="709"/>
              </w:tabs>
              <w:spacing w:before="120" w:after="120"/>
              <w:jc w:val="center"/>
              <w:rPr>
                <w:rFonts w:ascii="Times" w:hAnsi="Times" w:cs="Times"/>
                <w:szCs w:val="21"/>
              </w:rPr>
            </w:pPr>
          </w:p>
        </w:tc>
        <w:tc>
          <w:tcPr>
            <w:tcW w:w="622" w:type="pct"/>
            <w:vMerge/>
            <w:vAlign w:val="center"/>
          </w:tcPr>
          <w:p w14:paraId="590BC772" w14:textId="77777777" w:rsidR="006F6541" w:rsidRPr="008210F5" w:rsidRDefault="006F6541" w:rsidP="00E72DA1">
            <w:pPr>
              <w:tabs>
                <w:tab w:val="left" w:pos="709"/>
              </w:tabs>
              <w:spacing w:before="120" w:after="120"/>
              <w:jc w:val="center"/>
              <w:rPr>
                <w:rFonts w:ascii="Times" w:hAnsi="Times" w:cs="Times"/>
                <w:szCs w:val="21"/>
              </w:rPr>
            </w:pPr>
          </w:p>
        </w:tc>
      </w:tr>
      <w:tr w:rsidR="006F6541" w:rsidRPr="009A1BF3" w14:paraId="1F161A60" w14:textId="77777777" w:rsidTr="006F6541">
        <w:trPr>
          <w:trHeight w:val="397"/>
          <w:jc w:val="center"/>
        </w:trPr>
        <w:tc>
          <w:tcPr>
            <w:tcW w:w="275" w:type="pct"/>
            <w:tcMar>
              <w:top w:w="0" w:type="dxa"/>
              <w:left w:w="108" w:type="dxa"/>
              <w:bottom w:w="0" w:type="dxa"/>
              <w:right w:w="108" w:type="dxa"/>
            </w:tcMar>
            <w:vAlign w:val="center"/>
          </w:tcPr>
          <w:p w14:paraId="7E803FEA"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27</w:t>
            </w:r>
          </w:p>
        </w:tc>
        <w:tc>
          <w:tcPr>
            <w:tcW w:w="505" w:type="pct"/>
            <w:tcMar>
              <w:top w:w="0" w:type="dxa"/>
              <w:left w:w="108" w:type="dxa"/>
              <w:bottom w:w="0" w:type="dxa"/>
              <w:right w:w="108" w:type="dxa"/>
            </w:tcMar>
            <w:vAlign w:val="center"/>
          </w:tcPr>
          <w:p w14:paraId="1920FEB4"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21D7FB43"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乐摇</w:t>
            </w:r>
          </w:p>
        </w:tc>
        <w:tc>
          <w:tcPr>
            <w:tcW w:w="547" w:type="pct"/>
            <w:tcMar>
              <w:top w:w="0" w:type="dxa"/>
              <w:left w:w="108" w:type="dxa"/>
              <w:bottom w:w="0" w:type="dxa"/>
              <w:right w:w="108" w:type="dxa"/>
            </w:tcMar>
            <w:vAlign w:val="center"/>
          </w:tcPr>
          <w:p w14:paraId="75CEF1D5"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杨凯然</w:t>
            </w:r>
          </w:p>
        </w:tc>
        <w:tc>
          <w:tcPr>
            <w:tcW w:w="705" w:type="pct"/>
            <w:tcMar>
              <w:top w:w="0" w:type="dxa"/>
              <w:left w:w="108" w:type="dxa"/>
              <w:bottom w:w="0" w:type="dxa"/>
              <w:right w:w="108" w:type="dxa"/>
            </w:tcMar>
            <w:vAlign w:val="center"/>
          </w:tcPr>
          <w:p w14:paraId="1F2076E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tcMar>
              <w:top w:w="0" w:type="dxa"/>
              <w:left w:w="108" w:type="dxa"/>
              <w:bottom w:w="0" w:type="dxa"/>
              <w:right w:w="108" w:type="dxa"/>
            </w:tcMar>
            <w:vAlign w:val="center"/>
          </w:tcPr>
          <w:p w14:paraId="257A0124" w14:textId="77777777" w:rsidR="006F6541" w:rsidRPr="008210F5" w:rsidRDefault="006F6541" w:rsidP="00E72DA1">
            <w:pPr>
              <w:tabs>
                <w:tab w:val="left" w:pos="709"/>
              </w:tabs>
              <w:spacing w:before="120" w:after="120"/>
              <w:jc w:val="center"/>
              <w:rPr>
                <w:rFonts w:ascii="Times" w:hAnsi="Times" w:cs="Times"/>
                <w:szCs w:val="21"/>
              </w:rPr>
            </w:pPr>
          </w:p>
        </w:tc>
        <w:tc>
          <w:tcPr>
            <w:tcW w:w="939" w:type="pct"/>
            <w:vMerge/>
            <w:tcMar>
              <w:top w:w="0" w:type="dxa"/>
              <w:left w:w="108" w:type="dxa"/>
              <w:bottom w:w="0" w:type="dxa"/>
              <w:right w:w="108" w:type="dxa"/>
            </w:tcMar>
            <w:vAlign w:val="center"/>
          </w:tcPr>
          <w:p w14:paraId="548A83F0" w14:textId="77777777" w:rsidR="006F6541" w:rsidRPr="008210F5" w:rsidRDefault="006F6541" w:rsidP="00E72DA1">
            <w:pPr>
              <w:tabs>
                <w:tab w:val="left" w:pos="709"/>
              </w:tabs>
              <w:spacing w:before="120" w:after="120"/>
              <w:jc w:val="center"/>
              <w:rPr>
                <w:rFonts w:ascii="Times" w:hAnsi="Times" w:cs="Times"/>
                <w:szCs w:val="21"/>
              </w:rPr>
            </w:pPr>
          </w:p>
        </w:tc>
        <w:tc>
          <w:tcPr>
            <w:tcW w:w="622" w:type="pct"/>
            <w:vMerge/>
            <w:vAlign w:val="center"/>
          </w:tcPr>
          <w:p w14:paraId="60F4816D" w14:textId="77777777" w:rsidR="006F6541" w:rsidRPr="008210F5" w:rsidRDefault="006F6541" w:rsidP="00E72DA1">
            <w:pPr>
              <w:tabs>
                <w:tab w:val="left" w:pos="709"/>
              </w:tabs>
              <w:spacing w:before="120" w:after="120"/>
              <w:jc w:val="center"/>
              <w:rPr>
                <w:rFonts w:ascii="Times" w:hAnsi="Times" w:cs="Times"/>
                <w:szCs w:val="21"/>
              </w:rPr>
            </w:pPr>
          </w:p>
        </w:tc>
      </w:tr>
      <w:tr w:rsidR="006F6541" w:rsidRPr="009A1BF3" w14:paraId="784B5FEA" w14:textId="77777777" w:rsidTr="006F6541">
        <w:trPr>
          <w:trHeight w:val="1473"/>
          <w:jc w:val="center"/>
        </w:trPr>
        <w:tc>
          <w:tcPr>
            <w:tcW w:w="275" w:type="pct"/>
            <w:tcMar>
              <w:top w:w="0" w:type="dxa"/>
              <w:left w:w="108" w:type="dxa"/>
              <w:bottom w:w="0" w:type="dxa"/>
              <w:right w:w="108" w:type="dxa"/>
            </w:tcMar>
            <w:vAlign w:val="center"/>
          </w:tcPr>
          <w:p w14:paraId="2DFE9E4E"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28</w:t>
            </w:r>
          </w:p>
        </w:tc>
        <w:tc>
          <w:tcPr>
            <w:tcW w:w="505" w:type="pct"/>
            <w:tcMar>
              <w:top w:w="0" w:type="dxa"/>
              <w:left w:w="108" w:type="dxa"/>
              <w:bottom w:w="0" w:type="dxa"/>
              <w:right w:w="108" w:type="dxa"/>
            </w:tcMar>
            <w:vAlign w:val="center"/>
          </w:tcPr>
          <w:p w14:paraId="1C0BF07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11153F8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乐哈哈</w:t>
            </w:r>
          </w:p>
        </w:tc>
        <w:tc>
          <w:tcPr>
            <w:tcW w:w="547" w:type="pct"/>
            <w:tcMar>
              <w:top w:w="0" w:type="dxa"/>
              <w:left w:w="108" w:type="dxa"/>
              <w:bottom w:w="0" w:type="dxa"/>
              <w:right w:w="108" w:type="dxa"/>
            </w:tcMar>
            <w:vAlign w:val="center"/>
          </w:tcPr>
          <w:p w14:paraId="773200C4"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张杰波</w:t>
            </w:r>
          </w:p>
        </w:tc>
        <w:tc>
          <w:tcPr>
            <w:tcW w:w="705" w:type="pct"/>
            <w:tcMar>
              <w:top w:w="0" w:type="dxa"/>
              <w:left w:w="108" w:type="dxa"/>
              <w:bottom w:w="0" w:type="dxa"/>
              <w:right w:w="108" w:type="dxa"/>
            </w:tcMar>
            <w:vAlign w:val="center"/>
          </w:tcPr>
          <w:p w14:paraId="5454554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val="restart"/>
            <w:tcMar>
              <w:top w:w="0" w:type="dxa"/>
              <w:left w:w="108" w:type="dxa"/>
              <w:bottom w:w="0" w:type="dxa"/>
              <w:right w:w="108" w:type="dxa"/>
            </w:tcMar>
            <w:vAlign w:val="center"/>
          </w:tcPr>
          <w:p w14:paraId="65F9664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公司核心管理层持股由平台间接持股变为直接持股</w:t>
            </w:r>
          </w:p>
        </w:tc>
        <w:tc>
          <w:tcPr>
            <w:tcW w:w="939" w:type="pct"/>
            <w:vMerge w:val="restart"/>
            <w:tcMar>
              <w:top w:w="0" w:type="dxa"/>
              <w:left w:w="108" w:type="dxa"/>
              <w:bottom w:w="0" w:type="dxa"/>
              <w:right w:w="108" w:type="dxa"/>
            </w:tcMar>
            <w:vAlign w:val="center"/>
          </w:tcPr>
          <w:p w14:paraId="2BD60D42"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张杰波持股由间接持股变为直接持股，其持有标的公司权益未发生实质变化，无需实际支付对价</w:t>
            </w:r>
          </w:p>
        </w:tc>
        <w:tc>
          <w:tcPr>
            <w:tcW w:w="622" w:type="pct"/>
            <w:vMerge w:val="restart"/>
            <w:vAlign w:val="center"/>
          </w:tcPr>
          <w:p w14:paraId="4DC777C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张杰波系该等持股平台合伙人</w:t>
            </w:r>
          </w:p>
        </w:tc>
      </w:tr>
      <w:tr w:rsidR="006F6541" w:rsidRPr="009A1BF3" w14:paraId="2A0F4C34" w14:textId="77777777" w:rsidTr="006F6541">
        <w:trPr>
          <w:trHeight w:val="397"/>
          <w:jc w:val="center"/>
        </w:trPr>
        <w:tc>
          <w:tcPr>
            <w:tcW w:w="275" w:type="pct"/>
            <w:tcMar>
              <w:top w:w="0" w:type="dxa"/>
              <w:left w:w="108" w:type="dxa"/>
              <w:bottom w:w="0" w:type="dxa"/>
              <w:right w:w="108" w:type="dxa"/>
            </w:tcMar>
            <w:vAlign w:val="center"/>
          </w:tcPr>
          <w:p w14:paraId="7EAB848C"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29</w:t>
            </w:r>
          </w:p>
        </w:tc>
        <w:tc>
          <w:tcPr>
            <w:tcW w:w="505" w:type="pct"/>
            <w:tcMar>
              <w:top w:w="0" w:type="dxa"/>
              <w:left w:w="108" w:type="dxa"/>
              <w:bottom w:w="0" w:type="dxa"/>
              <w:right w:w="108" w:type="dxa"/>
            </w:tcMar>
            <w:vAlign w:val="center"/>
          </w:tcPr>
          <w:p w14:paraId="1508E879"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11CB15F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乐摇</w:t>
            </w:r>
          </w:p>
        </w:tc>
        <w:tc>
          <w:tcPr>
            <w:tcW w:w="547" w:type="pct"/>
            <w:tcMar>
              <w:top w:w="0" w:type="dxa"/>
              <w:left w:w="108" w:type="dxa"/>
              <w:bottom w:w="0" w:type="dxa"/>
              <w:right w:w="108" w:type="dxa"/>
            </w:tcMar>
            <w:vAlign w:val="center"/>
          </w:tcPr>
          <w:p w14:paraId="371589EE"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张杰波</w:t>
            </w:r>
          </w:p>
        </w:tc>
        <w:tc>
          <w:tcPr>
            <w:tcW w:w="705" w:type="pct"/>
            <w:tcMar>
              <w:top w:w="0" w:type="dxa"/>
              <w:left w:w="108" w:type="dxa"/>
              <w:bottom w:w="0" w:type="dxa"/>
              <w:right w:w="108" w:type="dxa"/>
            </w:tcMar>
            <w:vAlign w:val="center"/>
          </w:tcPr>
          <w:p w14:paraId="50593EF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tcMar>
              <w:top w:w="0" w:type="dxa"/>
              <w:left w:w="108" w:type="dxa"/>
              <w:bottom w:w="0" w:type="dxa"/>
              <w:right w:w="108" w:type="dxa"/>
            </w:tcMar>
            <w:vAlign w:val="center"/>
          </w:tcPr>
          <w:p w14:paraId="168ADE6C" w14:textId="77777777" w:rsidR="006F6541" w:rsidRPr="008210F5" w:rsidRDefault="006F6541" w:rsidP="00E72DA1">
            <w:pPr>
              <w:tabs>
                <w:tab w:val="left" w:pos="709"/>
              </w:tabs>
              <w:spacing w:before="120" w:after="120"/>
              <w:jc w:val="center"/>
              <w:rPr>
                <w:rFonts w:ascii="Times" w:hAnsi="Times" w:cs="Times"/>
                <w:szCs w:val="21"/>
              </w:rPr>
            </w:pPr>
          </w:p>
        </w:tc>
        <w:tc>
          <w:tcPr>
            <w:tcW w:w="939" w:type="pct"/>
            <w:vMerge/>
            <w:tcMar>
              <w:top w:w="0" w:type="dxa"/>
              <w:left w:w="108" w:type="dxa"/>
              <w:bottom w:w="0" w:type="dxa"/>
              <w:right w:w="108" w:type="dxa"/>
            </w:tcMar>
            <w:vAlign w:val="center"/>
          </w:tcPr>
          <w:p w14:paraId="6883961F" w14:textId="77777777" w:rsidR="006F6541" w:rsidRPr="008210F5" w:rsidRDefault="006F6541" w:rsidP="00E72DA1">
            <w:pPr>
              <w:tabs>
                <w:tab w:val="left" w:pos="709"/>
              </w:tabs>
              <w:spacing w:before="120" w:after="120"/>
              <w:jc w:val="center"/>
              <w:rPr>
                <w:rFonts w:ascii="Times" w:hAnsi="Times" w:cs="Times"/>
                <w:szCs w:val="21"/>
              </w:rPr>
            </w:pPr>
          </w:p>
        </w:tc>
        <w:tc>
          <w:tcPr>
            <w:tcW w:w="622" w:type="pct"/>
            <w:vMerge/>
            <w:vAlign w:val="center"/>
          </w:tcPr>
          <w:p w14:paraId="1B2308A4" w14:textId="77777777" w:rsidR="006F6541" w:rsidRPr="008210F5" w:rsidRDefault="006F6541" w:rsidP="00E72DA1">
            <w:pPr>
              <w:tabs>
                <w:tab w:val="left" w:pos="709"/>
              </w:tabs>
              <w:spacing w:before="120" w:after="120"/>
              <w:jc w:val="center"/>
              <w:rPr>
                <w:rFonts w:ascii="Times" w:hAnsi="Times" w:cs="Times"/>
                <w:szCs w:val="21"/>
              </w:rPr>
            </w:pPr>
          </w:p>
        </w:tc>
      </w:tr>
      <w:tr w:rsidR="006F6541" w:rsidRPr="009A1BF3" w14:paraId="71F36A3D" w14:textId="77777777" w:rsidTr="006F6541">
        <w:trPr>
          <w:trHeight w:val="1586"/>
          <w:jc w:val="center"/>
        </w:trPr>
        <w:tc>
          <w:tcPr>
            <w:tcW w:w="275" w:type="pct"/>
            <w:tcMar>
              <w:top w:w="0" w:type="dxa"/>
              <w:left w:w="108" w:type="dxa"/>
              <w:bottom w:w="0" w:type="dxa"/>
              <w:right w:w="108" w:type="dxa"/>
            </w:tcMar>
            <w:vAlign w:val="center"/>
          </w:tcPr>
          <w:p w14:paraId="27EB2B74"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30</w:t>
            </w:r>
          </w:p>
        </w:tc>
        <w:tc>
          <w:tcPr>
            <w:tcW w:w="505" w:type="pct"/>
            <w:tcMar>
              <w:top w:w="0" w:type="dxa"/>
              <w:left w:w="108" w:type="dxa"/>
              <w:bottom w:w="0" w:type="dxa"/>
              <w:right w:w="108" w:type="dxa"/>
            </w:tcMar>
            <w:vAlign w:val="center"/>
          </w:tcPr>
          <w:p w14:paraId="03EEBC57"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78BBF5BF"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乐腾腾</w:t>
            </w:r>
          </w:p>
        </w:tc>
        <w:tc>
          <w:tcPr>
            <w:tcW w:w="547" w:type="pct"/>
            <w:tcMar>
              <w:top w:w="0" w:type="dxa"/>
              <w:left w:w="108" w:type="dxa"/>
              <w:bottom w:w="0" w:type="dxa"/>
              <w:right w:w="108" w:type="dxa"/>
            </w:tcMar>
            <w:vAlign w:val="center"/>
          </w:tcPr>
          <w:p w14:paraId="5DCF9DA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王佳</w:t>
            </w:r>
          </w:p>
        </w:tc>
        <w:tc>
          <w:tcPr>
            <w:tcW w:w="705" w:type="pct"/>
            <w:tcMar>
              <w:top w:w="0" w:type="dxa"/>
              <w:left w:w="108" w:type="dxa"/>
              <w:bottom w:w="0" w:type="dxa"/>
              <w:right w:w="108" w:type="dxa"/>
            </w:tcMar>
            <w:vAlign w:val="center"/>
          </w:tcPr>
          <w:p w14:paraId="00E07793"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val="restart"/>
            <w:tcMar>
              <w:top w:w="0" w:type="dxa"/>
              <w:left w:w="108" w:type="dxa"/>
              <w:bottom w:w="0" w:type="dxa"/>
              <w:right w:w="108" w:type="dxa"/>
            </w:tcMar>
            <w:vAlign w:val="center"/>
          </w:tcPr>
          <w:p w14:paraId="50861EA4"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公司核心管理层持股由平台间接持股变为直接持股</w:t>
            </w:r>
          </w:p>
        </w:tc>
        <w:tc>
          <w:tcPr>
            <w:tcW w:w="939" w:type="pct"/>
            <w:vMerge w:val="restart"/>
            <w:tcMar>
              <w:top w:w="0" w:type="dxa"/>
              <w:left w:w="108" w:type="dxa"/>
              <w:bottom w:w="0" w:type="dxa"/>
              <w:right w:w="108" w:type="dxa"/>
            </w:tcMar>
            <w:vAlign w:val="center"/>
          </w:tcPr>
          <w:p w14:paraId="4452670C"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王佳持股由间接持股变为直接持股，其持有标的公司权益未发生实质变化，无需实际支付对价</w:t>
            </w:r>
          </w:p>
        </w:tc>
        <w:tc>
          <w:tcPr>
            <w:tcW w:w="622" w:type="pct"/>
            <w:vMerge w:val="restart"/>
            <w:vAlign w:val="center"/>
          </w:tcPr>
          <w:p w14:paraId="28481FA9"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王佳系该等持股平台合伙人</w:t>
            </w:r>
          </w:p>
        </w:tc>
      </w:tr>
      <w:tr w:rsidR="006F6541" w:rsidRPr="009A1BF3" w14:paraId="1B7CC2DD" w14:textId="77777777" w:rsidTr="006F6541">
        <w:trPr>
          <w:trHeight w:val="397"/>
          <w:jc w:val="center"/>
        </w:trPr>
        <w:tc>
          <w:tcPr>
            <w:tcW w:w="275" w:type="pct"/>
            <w:tcMar>
              <w:top w:w="0" w:type="dxa"/>
              <w:left w:w="108" w:type="dxa"/>
              <w:bottom w:w="0" w:type="dxa"/>
              <w:right w:w="108" w:type="dxa"/>
            </w:tcMar>
            <w:vAlign w:val="center"/>
          </w:tcPr>
          <w:p w14:paraId="223F89D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31</w:t>
            </w:r>
          </w:p>
        </w:tc>
        <w:tc>
          <w:tcPr>
            <w:tcW w:w="505" w:type="pct"/>
            <w:tcMar>
              <w:top w:w="0" w:type="dxa"/>
              <w:left w:w="108" w:type="dxa"/>
              <w:bottom w:w="0" w:type="dxa"/>
              <w:right w:w="108" w:type="dxa"/>
            </w:tcMar>
            <w:vAlign w:val="center"/>
          </w:tcPr>
          <w:p w14:paraId="7A96E0E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093DFC4C"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乐洋洋</w:t>
            </w:r>
          </w:p>
        </w:tc>
        <w:tc>
          <w:tcPr>
            <w:tcW w:w="547" w:type="pct"/>
            <w:tcMar>
              <w:top w:w="0" w:type="dxa"/>
              <w:left w:w="108" w:type="dxa"/>
              <w:bottom w:w="0" w:type="dxa"/>
              <w:right w:w="108" w:type="dxa"/>
            </w:tcMar>
            <w:vAlign w:val="center"/>
          </w:tcPr>
          <w:p w14:paraId="2A049A18"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王佳</w:t>
            </w:r>
          </w:p>
        </w:tc>
        <w:tc>
          <w:tcPr>
            <w:tcW w:w="705" w:type="pct"/>
            <w:tcMar>
              <w:top w:w="0" w:type="dxa"/>
              <w:left w:w="108" w:type="dxa"/>
              <w:bottom w:w="0" w:type="dxa"/>
              <w:right w:w="108" w:type="dxa"/>
            </w:tcMar>
            <w:vAlign w:val="center"/>
          </w:tcPr>
          <w:p w14:paraId="0D98643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tcMar>
              <w:top w:w="0" w:type="dxa"/>
              <w:left w:w="108" w:type="dxa"/>
              <w:bottom w:w="0" w:type="dxa"/>
              <w:right w:w="108" w:type="dxa"/>
            </w:tcMar>
            <w:vAlign w:val="center"/>
          </w:tcPr>
          <w:p w14:paraId="2F0A02B3" w14:textId="77777777" w:rsidR="006F6541" w:rsidRPr="008210F5" w:rsidRDefault="006F6541" w:rsidP="00E72DA1">
            <w:pPr>
              <w:tabs>
                <w:tab w:val="left" w:pos="709"/>
              </w:tabs>
              <w:spacing w:before="120" w:after="120"/>
              <w:jc w:val="center"/>
              <w:rPr>
                <w:rFonts w:ascii="Times" w:hAnsi="Times" w:cs="Times"/>
                <w:szCs w:val="21"/>
              </w:rPr>
            </w:pPr>
          </w:p>
        </w:tc>
        <w:tc>
          <w:tcPr>
            <w:tcW w:w="939" w:type="pct"/>
            <w:vMerge/>
            <w:tcMar>
              <w:top w:w="0" w:type="dxa"/>
              <w:left w:w="108" w:type="dxa"/>
              <w:bottom w:w="0" w:type="dxa"/>
              <w:right w:w="108" w:type="dxa"/>
            </w:tcMar>
            <w:vAlign w:val="center"/>
          </w:tcPr>
          <w:p w14:paraId="2E165961" w14:textId="77777777" w:rsidR="006F6541" w:rsidRPr="008210F5" w:rsidRDefault="006F6541" w:rsidP="00E72DA1">
            <w:pPr>
              <w:tabs>
                <w:tab w:val="left" w:pos="709"/>
              </w:tabs>
              <w:spacing w:before="120" w:after="120"/>
              <w:jc w:val="center"/>
              <w:rPr>
                <w:rFonts w:ascii="Times" w:hAnsi="Times" w:cs="Times"/>
                <w:szCs w:val="21"/>
              </w:rPr>
            </w:pPr>
          </w:p>
        </w:tc>
        <w:tc>
          <w:tcPr>
            <w:tcW w:w="622" w:type="pct"/>
            <w:vMerge/>
            <w:vAlign w:val="center"/>
          </w:tcPr>
          <w:p w14:paraId="2A6FBB9A" w14:textId="77777777" w:rsidR="006F6541" w:rsidRPr="008210F5" w:rsidRDefault="006F6541" w:rsidP="00E72DA1">
            <w:pPr>
              <w:tabs>
                <w:tab w:val="left" w:pos="709"/>
              </w:tabs>
              <w:spacing w:before="120" w:after="120"/>
              <w:jc w:val="center"/>
              <w:rPr>
                <w:rFonts w:ascii="Times" w:hAnsi="Times" w:cs="Times"/>
                <w:szCs w:val="21"/>
              </w:rPr>
            </w:pPr>
          </w:p>
        </w:tc>
      </w:tr>
      <w:tr w:rsidR="006F6541" w:rsidRPr="009A1BF3" w14:paraId="735E5826" w14:textId="77777777" w:rsidTr="006F6541">
        <w:trPr>
          <w:trHeight w:val="1559"/>
          <w:jc w:val="center"/>
        </w:trPr>
        <w:tc>
          <w:tcPr>
            <w:tcW w:w="275" w:type="pct"/>
            <w:tcMar>
              <w:top w:w="0" w:type="dxa"/>
              <w:left w:w="108" w:type="dxa"/>
              <w:bottom w:w="0" w:type="dxa"/>
              <w:right w:w="108" w:type="dxa"/>
            </w:tcMar>
            <w:vAlign w:val="center"/>
          </w:tcPr>
          <w:p w14:paraId="1C4C497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32</w:t>
            </w:r>
          </w:p>
        </w:tc>
        <w:tc>
          <w:tcPr>
            <w:tcW w:w="505" w:type="pct"/>
            <w:tcMar>
              <w:top w:w="0" w:type="dxa"/>
              <w:left w:w="108" w:type="dxa"/>
              <w:bottom w:w="0" w:type="dxa"/>
              <w:right w:w="108" w:type="dxa"/>
            </w:tcMar>
            <w:vAlign w:val="center"/>
          </w:tcPr>
          <w:p w14:paraId="35AA2D86"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5CA12D5E"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乐熙熙</w:t>
            </w:r>
          </w:p>
        </w:tc>
        <w:tc>
          <w:tcPr>
            <w:tcW w:w="547" w:type="pct"/>
            <w:tcMar>
              <w:top w:w="0" w:type="dxa"/>
              <w:left w:w="108" w:type="dxa"/>
              <w:bottom w:w="0" w:type="dxa"/>
              <w:right w:w="108" w:type="dxa"/>
            </w:tcMar>
            <w:vAlign w:val="center"/>
          </w:tcPr>
          <w:p w14:paraId="2E56582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胡俊</w:t>
            </w:r>
          </w:p>
        </w:tc>
        <w:tc>
          <w:tcPr>
            <w:tcW w:w="705" w:type="pct"/>
            <w:tcMar>
              <w:top w:w="0" w:type="dxa"/>
              <w:left w:w="108" w:type="dxa"/>
              <w:bottom w:w="0" w:type="dxa"/>
              <w:right w:w="108" w:type="dxa"/>
            </w:tcMar>
            <w:vAlign w:val="center"/>
          </w:tcPr>
          <w:p w14:paraId="417F8975"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val="restart"/>
            <w:tcMar>
              <w:top w:w="0" w:type="dxa"/>
              <w:left w:w="108" w:type="dxa"/>
              <w:bottom w:w="0" w:type="dxa"/>
              <w:right w:w="108" w:type="dxa"/>
            </w:tcMar>
            <w:vAlign w:val="center"/>
          </w:tcPr>
          <w:p w14:paraId="45A09980"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公司核心管理层持股由平台间接持股变为直接持股</w:t>
            </w:r>
          </w:p>
        </w:tc>
        <w:tc>
          <w:tcPr>
            <w:tcW w:w="939" w:type="pct"/>
            <w:vMerge w:val="restart"/>
            <w:tcMar>
              <w:top w:w="0" w:type="dxa"/>
              <w:left w:w="108" w:type="dxa"/>
              <w:bottom w:w="0" w:type="dxa"/>
              <w:right w:w="108" w:type="dxa"/>
            </w:tcMar>
            <w:vAlign w:val="center"/>
          </w:tcPr>
          <w:p w14:paraId="3D2DA0C9"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胡俊持股由间接持股变为直接持股，其持有标的公司权益未发生实质变化，无需实际支付对价</w:t>
            </w:r>
          </w:p>
        </w:tc>
        <w:tc>
          <w:tcPr>
            <w:tcW w:w="622" w:type="pct"/>
            <w:vMerge w:val="restart"/>
            <w:vAlign w:val="center"/>
          </w:tcPr>
          <w:p w14:paraId="1A7E1E55"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bCs/>
                <w:szCs w:val="21"/>
              </w:rPr>
              <w:t>胡俊系该等持股平台合伙人</w:t>
            </w:r>
          </w:p>
        </w:tc>
      </w:tr>
      <w:tr w:rsidR="006F6541" w:rsidRPr="009A1BF3" w14:paraId="6ADF3AE7" w14:textId="77777777" w:rsidTr="006F6541">
        <w:trPr>
          <w:trHeight w:val="397"/>
          <w:jc w:val="center"/>
        </w:trPr>
        <w:tc>
          <w:tcPr>
            <w:tcW w:w="275" w:type="pct"/>
            <w:tcMar>
              <w:top w:w="0" w:type="dxa"/>
              <w:left w:w="108" w:type="dxa"/>
              <w:bottom w:w="0" w:type="dxa"/>
              <w:right w:w="108" w:type="dxa"/>
            </w:tcMar>
            <w:vAlign w:val="center"/>
          </w:tcPr>
          <w:p w14:paraId="0568AFA1" w14:textId="77777777" w:rsidR="006F6541" w:rsidRPr="008210F5" w:rsidRDefault="006F6541" w:rsidP="00E72DA1">
            <w:pPr>
              <w:tabs>
                <w:tab w:val="left" w:pos="709"/>
              </w:tabs>
              <w:spacing w:before="120" w:after="120"/>
              <w:jc w:val="center"/>
              <w:rPr>
                <w:rFonts w:ascii="Times" w:hAnsi="Times" w:cs="Times"/>
                <w:bCs/>
                <w:szCs w:val="21"/>
              </w:rPr>
            </w:pPr>
            <w:r w:rsidRPr="008210F5">
              <w:rPr>
                <w:rFonts w:ascii="Times" w:hAnsi="Times" w:cs="Times"/>
                <w:bCs/>
                <w:szCs w:val="21"/>
              </w:rPr>
              <w:t>33</w:t>
            </w:r>
          </w:p>
        </w:tc>
        <w:tc>
          <w:tcPr>
            <w:tcW w:w="505" w:type="pct"/>
            <w:tcMar>
              <w:top w:w="0" w:type="dxa"/>
              <w:left w:w="108" w:type="dxa"/>
              <w:bottom w:w="0" w:type="dxa"/>
              <w:right w:w="108" w:type="dxa"/>
            </w:tcMar>
            <w:vAlign w:val="center"/>
          </w:tcPr>
          <w:p w14:paraId="1C2676D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2025</w:t>
            </w:r>
            <w:r w:rsidRPr="008210F5">
              <w:rPr>
                <w:rFonts w:ascii="Times" w:hAnsi="Times" w:cs="Times" w:hint="eastAsia"/>
                <w:szCs w:val="21"/>
              </w:rPr>
              <w:t>年</w:t>
            </w:r>
            <w:r w:rsidRPr="008210F5">
              <w:rPr>
                <w:rFonts w:ascii="Times" w:hAnsi="Times" w:cs="Times"/>
                <w:szCs w:val="21"/>
              </w:rPr>
              <w:t>6</w:t>
            </w:r>
            <w:r w:rsidRPr="008210F5">
              <w:rPr>
                <w:rFonts w:ascii="Times" w:hAnsi="Times" w:cs="Times" w:hint="eastAsia"/>
                <w:szCs w:val="21"/>
              </w:rPr>
              <w:t>月</w:t>
            </w:r>
          </w:p>
        </w:tc>
        <w:tc>
          <w:tcPr>
            <w:tcW w:w="546" w:type="pct"/>
            <w:tcMar>
              <w:top w:w="0" w:type="dxa"/>
              <w:left w:w="108" w:type="dxa"/>
              <w:bottom w:w="0" w:type="dxa"/>
              <w:right w:w="108" w:type="dxa"/>
            </w:tcMar>
            <w:vAlign w:val="center"/>
          </w:tcPr>
          <w:p w14:paraId="0AAA47FD"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乐洋洋</w:t>
            </w:r>
          </w:p>
        </w:tc>
        <w:tc>
          <w:tcPr>
            <w:tcW w:w="547" w:type="pct"/>
            <w:tcMar>
              <w:top w:w="0" w:type="dxa"/>
              <w:left w:w="108" w:type="dxa"/>
              <w:bottom w:w="0" w:type="dxa"/>
              <w:right w:w="108" w:type="dxa"/>
            </w:tcMar>
            <w:vAlign w:val="center"/>
          </w:tcPr>
          <w:p w14:paraId="419870A1"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hint="eastAsia"/>
                <w:szCs w:val="21"/>
              </w:rPr>
              <w:t>胡俊</w:t>
            </w:r>
          </w:p>
        </w:tc>
        <w:tc>
          <w:tcPr>
            <w:tcW w:w="705" w:type="pct"/>
            <w:tcMar>
              <w:top w:w="0" w:type="dxa"/>
              <w:left w:w="108" w:type="dxa"/>
              <w:bottom w:w="0" w:type="dxa"/>
              <w:right w:w="108" w:type="dxa"/>
            </w:tcMar>
            <w:vAlign w:val="center"/>
          </w:tcPr>
          <w:p w14:paraId="1025A16A" w14:textId="77777777" w:rsidR="006F6541" w:rsidRPr="008210F5" w:rsidRDefault="006F6541" w:rsidP="00E72DA1">
            <w:pPr>
              <w:tabs>
                <w:tab w:val="left" w:pos="709"/>
              </w:tabs>
              <w:spacing w:before="120" w:after="120"/>
              <w:jc w:val="center"/>
              <w:rPr>
                <w:rFonts w:ascii="Times" w:hAnsi="Times" w:cs="Times"/>
                <w:szCs w:val="21"/>
              </w:rPr>
            </w:pPr>
            <w:r w:rsidRPr="008210F5">
              <w:rPr>
                <w:rFonts w:ascii="Times" w:hAnsi="Times" w:cs="Times"/>
                <w:szCs w:val="21"/>
              </w:rPr>
              <w:t>-</w:t>
            </w:r>
          </w:p>
        </w:tc>
        <w:tc>
          <w:tcPr>
            <w:tcW w:w="860" w:type="pct"/>
            <w:vMerge/>
            <w:tcMar>
              <w:top w:w="0" w:type="dxa"/>
              <w:left w:w="108" w:type="dxa"/>
              <w:bottom w:w="0" w:type="dxa"/>
              <w:right w:w="108" w:type="dxa"/>
            </w:tcMar>
            <w:vAlign w:val="center"/>
          </w:tcPr>
          <w:p w14:paraId="481813D6" w14:textId="77777777" w:rsidR="006F6541" w:rsidRPr="008210F5" w:rsidRDefault="006F6541" w:rsidP="00E72DA1">
            <w:pPr>
              <w:tabs>
                <w:tab w:val="left" w:pos="709"/>
              </w:tabs>
              <w:spacing w:before="120" w:after="120"/>
              <w:jc w:val="center"/>
              <w:rPr>
                <w:rFonts w:ascii="Times" w:hAnsi="Times" w:cs="Times"/>
                <w:szCs w:val="21"/>
              </w:rPr>
            </w:pPr>
          </w:p>
        </w:tc>
        <w:tc>
          <w:tcPr>
            <w:tcW w:w="939" w:type="pct"/>
            <w:vMerge/>
            <w:tcMar>
              <w:top w:w="0" w:type="dxa"/>
              <w:left w:w="108" w:type="dxa"/>
              <w:bottom w:w="0" w:type="dxa"/>
              <w:right w:w="108" w:type="dxa"/>
            </w:tcMar>
            <w:vAlign w:val="center"/>
          </w:tcPr>
          <w:p w14:paraId="5EBDE71C" w14:textId="77777777" w:rsidR="006F6541" w:rsidRPr="008210F5" w:rsidRDefault="006F6541" w:rsidP="00E72DA1">
            <w:pPr>
              <w:tabs>
                <w:tab w:val="left" w:pos="709"/>
              </w:tabs>
              <w:spacing w:before="120" w:after="120"/>
              <w:jc w:val="center"/>
              <w:rPr>
                <w:rFonts w:ascii="Times" w:hAnsi="Times" w:cs="Times"/>
                <w:szCs w:val="21"/>
              </w:rPr>
            </w:pPr>
          </w:p>
        </w:tc>
        <w:tc>
          <w:tcPr>
            <w:tcW w:w="622" w:type="pct"/>
            <w:vMerge/>
            <w:vAlign w:val="center"/>
          </w:tcPr>
          <w:p w14:paraId="36580C5E" w14:textId="77777777" w:rsidR="006F6541" w:rsidRPr="008210F5" w:rsidRDefault="006F6541" w:rsidP="00E72DA1">
            <w:pPr>
              <w:tabs>
                <w:tab w:val="left" w:pos="709"/>
              </w:tabs>
              <w:spacing w:before="120" w:after="120"/>
              <w:jc w:val="center"/>
              <w:rPr>
                <w:rFonts w:ascii="Times" w:hAnsi="Times" w:cs="Times"/>
                <w:szCs w:val="21"/>
              </w:rPr>
            </w:pPr>
          </w:p>
        </w:tc>
      </w:tr>
    </w:tbl>
    <w:p w14:paraId="10E39812" w14:textId="77777777" w:rsidR="00CD798F" w:rsidRPr="000D7447" w:rsidRDefault="00CD798F" w:rsidP="00CD798F">
      <w:pPr>
        <w:pStyle w:val="005"/>
        <w:spacing w:before="120" w:after="120"/>
        <w:ind w:firstLine="482"/>
        <w:rPr>
          <w:b/>
          <w:bCs/>
        </w:rPr>
      </w:pPr>
      <w:r>
        <w:rPr>
          <w:rFonts w:hint="eastAsia"/>
          <w:b/>
          <w:bCs/>
        </w:rPr>
        <w:t>2</w:t>
      </w:r>
      <w:r w:rsidRPr="000D7447">
        <w:rPr>
          <w:rFonts w:hint="eastAsia"/>
          <w:b/>
          <w:bCs/>
        </w:rPr>
        <w:t>、标的资产最近三年内减资及股权转让的交易作价与本次重组评估结果存在差异的原因及合理性</w:t>
      </w:r>
    </w:p>
    <w:p w14:paraId="064DB09A" w14:textId="77777777" w:rsidR="00CD798F" w:rsidRPr="00AC136F" w:rsidRDefault="00CD798F" w:rsidP="00CD798F">
      <w:pPr>
        <w:pStyle w:val="005"/>
        <w:spacing w:before="120" w:after="120"/>
        <w:ind w:firstLine="480"/>
      </w:pPr>
      <w:r w:rsidRPr="00AC136F">
        <w:rPr>
          <w:rFonts w:hint="eastAsia"/>
        </w:rPr>
        <w:t>由上表可知，标的资产最近三年内</w:t>
      </w:r>
      <w:r>
        <w:rPr>
          <w:rFonts w:hint="eastAsia"/>
        </w:rPr>
        <w:t>存在减资及股权转让的情形。上述股权变动情形与本次重组评估结果存在差异的原因及合理性如下：</w:t>
      </w:r>
    </w:p>
    <w:p w14:paraId="6D7CB10D" w14:textId="77777777" w:rsidR="00CD798F" w:rsidRPr="00805AE9" w:rsidRDefault="00CD798F" w:rsidP="00CD798F">
      <w:pPr>
        <w:pStyle w:val="005"/>
        <w:spacing w:before="120" w:after="120"/>
        <w:ind w:firstLine="482"/>
        <w:rPr>
          <w:b/>
          <w:bCs/>
        </w:rPr>
      </w:pPr>
      <w:r w:rsidRPr="00805AE9">
        <w:rPr>
          <w:rFonts w:hint="eastAsia"/>
          <w:b/>
          <w:bCs/>
        </w:rPr>
        <w:t>（</w:t>
      </w:r>
      <w:r w:rsidRPr="00805AE9">
        <w:rPr>
          <w:rFonts w:hint="eastAsia"/>
          <w:b/>
          <w:bCs/>
        </w:rPr>
        <w:t>1</w:t>
      </w:r>
      <w:r w:rsidRPr="00805AE9">
        <w:rPr>
          <w:rFonts w:hint="eastAsia"/>
          <w:b/>
          <w:bCs/>
        </w:rPr>
        <w:t>）蕙富皓玥、汇垠众富、中信证券、睿信创投、睿启创投、三七科技、三七乐心、粤财基金、粤财源合、依星伴月、远方资本、三七乐心、三七科技、科金二号、</w:t>
      </w:r>
      <w:r w:rsidRPr="00805AE9">
        <w:rPr>
          <w:rFonts w:hint="eastAsia"/>
          <w:b/>
          <w:bCs/>
        </w:rPr>
        <w:lastRenderedPageBreak/>
        <w:t>枣庄哈拿、金浦文创减资退出</w:t>
      </w:r>
    </w:p>
    <w:p w14:paraId="63A126E6" w14:textId="77777777" w:rsidR="00CD798F" w:rsidRDefault="00CD798F" w:rsidP="00CD798F">
      <w:pPr>
        <w:pStyle w:val="005"/>
        <w:spacing w:before="120" w:after="120"/>
        <w:ind w:firstLine="480"/>
      </w:pPr>
      <w:r>
        <w:rPr>
          <w:rFonts w:hint="eastAsia"/>
        </w:rPr>
        <w:t>上述减资退出主体均为标的公司</w:t>
      </w:r>
      <w:r>
        <w:rPr>
          <w:rFonts w:hint="eastAsia"/>
        </w:rPr>
        <w:t>D</w:t>
      </w:r>
      <w:r>
        <w:rPr>
          <w:rFonts w:hint="eastAsia"/>
        </w:rPr>
        <w:t>轮及</w:t>
      </w:r>
      <w:r>
        <w:rPr>
          <w:rFonts w:hint="eastAsia"/>
        </w:rPr>
        <w:t>D+</w:t>
      </w:r>
      <w:r>
        <w:rPr>
          <w:rFonts w:hint="eastAsia"/>
        </w:rPr>
        <w:t>轮融资轮次的投资者，入股标的公司时估值为</w:t>
      </w:r>
      <w:r>
        <w:rPr>
          <w:rFonts w:hint="eastAsia"/>
        </w:rPr>
        <w:t>19.26</w:t>
      </w:r>
      <w:r>
        <w:rPr>
          <w:rFonts w:hint="eastAsia"/>
        </w:rPr>
        <w:t>亿。上述投资人在退出时点综合判断标的公司短期内无法以高于其入股成本对应的估值水平完成</w:t>
      </w:r>
      <w:r>
        <w:rPr>
          <w:rFonts w:hint="eastAsia"/>
        </w:rPr>
        <w:t>IPO</w:t>
      </w:r>
      <w:r>
        <w:rPr>
          <w:rFonts w:hint="eastAsia"/>
        </w:rPr>
        <w:t>或并购，为保障自身投资利益，并防止国有资产流失，决定以投资成本或投资成本加一定利息的形式减资退出。因上述投资者入股时点综合估值为</w:t>
      </w:r>
      <w:r>
        <w:rPr>
          <w:rFonts w:hint="eastAsia"/>
        </w:rPr>
        <w:t>19.26</w:t>
      </w:r>
      <w:r>
        <w:rPr>
          <w:rFonts w:hint="eastAsia"/>
        </w:rPr>
        <w:t>亿元，退出时减资对价系参考入股估值确定，减资对价对应的标的公司整体估值与</w:t>
      </w:r>
      <w:r w:rsidRPr="00805AE9">
        <w:rPr>
          <w:rFonts w:hint="eastAsia"/>
        </w:rPr>
        <w:t>本次重组评估结果存在差异具有合理性</w:t>
      </w:r>
      <w:r>
        <w:rPr>
          <w:rFonts w:hint="eastAsia"/>
        </w:rPr>
        <w:t>。</w:t>
      </w:r>
    </w:p>
    <w:p w14:paraId="385E240A" w14:textId="77777777" w:rsidR="00CD798F" w:rsidRPr="00805AE9" w:rsidRDefault="00CD798F" w:rsidP="00CD798F">
      <w:pPr>
        <w:pStyle w:val="005"/>
        <w:spacing w:before="120" w:after="120"/>
        <w:ind w:firstLine="482"/>
        <w:rPr>
          <w:b/>
          <w:bCs/>
        </w:rPr>
      </w:pPr>
      <w:r w:rsidRPr="00805AE9">
        <w:rPr>
          <w:rFonts w:hint="eastAsia"/>
          <w:b/>
          <w:bCs/>
        </w:rPr>
        <w:t>（</w:t>
      </w:r>
      <w:r w:rsidRPr="00805AE9">
        <w:rPr>
          <w:rFonts w:hint="eastAsia"/>
          <w:b/>
          <w:bCs/>
        </w:rPr>
        <w:t>2</w:t>
      </w:r>
      <w:r w:rsidRPr="00805AE9">
        <w:rPr>
          <w:rFonts w:hint="eastAsia"/>
          <w:b/>
          <w:bCs/>
        </w:rPr>
        <w:t>）璀璨远见、璀璨德商受让原本俱甲所持标的公司股权，同时林芝利新、璀璨远见、璀璨德商减资退出</w:t>
      </w:r>
    </w:p>
    <w:p w14:paraId="0E996F59" w14:textId="77777777" w:rsidR="00CD798F" w:rsidRDefault="00CD798F" w:rsidP="00CD798F">
      <w:pPr>
        <w:pStyle w:val="005"/>
        <w:spacing w:before="120" w:after="120"/>
        <w:ind w:firstLine="480"/>
      </w:pPr>
      <w:r>
        <w:rPr>
          <w:rFonts w:hint="eastAsia"/>
        </w:rPr>
        <w:t>林芝利新、璀璨远见及璀璨德商作为</w:t>
      </w:r>
      <w:r>
        <w:rPr>
          <w:rFonts w:hint="eastAsia"/>
        </w:rPr>
        <w:t>C</w:t>
      </w:r>
      <w:r>
        <w:rPr>
          <w:rFonts w:hint="eastAsia"/>
        </w:rPr>
        <w:t>轮投资人，于</w:t>
      </w:r>
      <w:r>
        <w:rPr>
          <w:rFonts w:hint="eastAsia"/>
        </w:rPr>
        <w:t>2020</w:t>
      </w:r>
      <w:r>
        <w:rPr>
          <w:rFonts w:hint="eastAsia"/>
        </w:rPr>
        <w:t>年</w:t>
      </w:r>
      <w:r>
        <w:rPr>
          <w:rFonts w:hint="eastAsia"/>
        </w:rPr>
        <w:t>1</w:t>
      </w:r>
      <w:r>
        <w:rPr>
          <w:rFonts w:hint="eastAsia"/>
        </w:rPr>
        <w:t>月以</w:t>
      </w:r>
      <w:r>
        <w:rPr>
          <w:rFonts w:hint="eastAsia"/>
        </w:rPr>
        <w:t>10</w:t>
      </w:r>
      <w:r>
        <w:rPr>
          <w:rFonts w:hint="eastAsia"/>
        </w:rPr>
        <w:t>亿元估值水平入股。上述</w:t>
      </w:r>
      <w:r>
        <w:rPr>
          <w:rFonts w:hint="eastAsia"/>
        </w:rPr>
        <w:t>C</w:t>
      </w:r>
      <w:r>
        <w:rPr>
          <w:rFonts w:hint="eastAsia"/>
        </w:rPr>
        <w:t>轮投资人入股时点较早，经标的公司与上述投资人友好协商，决定由标的公司以投资成本加一定利息的形式回购其股权，定价公允，减资对价对应的标的公司整体估值</w:t>
      </w:r>
      <w:r w:rsidRPr="00805AE9">
        <w:rPr>
          <w:rFonts w:hint="eastAsia"/>
        </w:rPr>
        <w:t>与本次重组评估结果存在差异具有合理性</w:t>
      </w:r>
      <w:r>
        <w:rPr>
          <w:rFonts w:hint="eastAsia"/>
        </w:rPr>
        <w:t>。</w:t>
      </w:r>
    </w:p>
    <w:p w14:paraId="2F516966" w14:textId="77777777" w:rsidR="00CD798F" w:rsidRDefault="00CD798F" w:rsidP="00CD798F">
      <w:pPr>
        <w:pStyle w:val="005"/>
        <w:spacing w:before="120" w:after="120"/>
        <w:ind w:firstLine="480"/>
      </w:pPr>
      <w:r>
        <w:rPr>
          <w:rFonts w:hint="eastAsia"/>
        </w:rPr>
        <w:t>璀璨远见、璀璨德商受让原本俱甲所持股权价格</w:t>
      </w:r>
      <w:r w:rsidRPr="00345755">
        <w:rPr>
          <w:rFonts w:hint="eastAsia"/>
        </w:rPr>
        <w:t>对应标的公司估值为</w:t>
      </w:r>
      <w:r w:rsidRPr="00345755">
        <w:rPr>
          <w:rFonts w:hint="eastAsia"/>
        </w:rPr>
        <w:t>9.1</w:t>
      </w:r>
      <w:r w:rsidRPr="00345755">
        <w:rPr>
          <w:rFonts w:hint="eastAsia"/>
        </w:rPr>
        <w:t>亿元</w:t>
      </w:r>
      <w:r>
        <w:rPr>
          <w:rFonts w:hint="eastAsia"/>
        </w:rPr>
        <w:t>，</w:t>
      </w:r>
      <w:r w:rsidRPr="00345755">
        <w:rPr>
          <w:rFonts w:hint="eastAsia"/>
        </w:rPr>
        <w:t>系参考璀璨远见及璀璨德商减资时</w:t>
      </w:r>
      <w:r>
        <w:rPr>
          <w:rFonts w:hint="eastAsia"/>
        </w:rPr>
        <w:t>对应</w:t>
      </w:r>
      <w:r w:rsidRPr="00345755">
        <w:rPr>
          <w:rFonts w:hint="eastAsia"/>
        </w:rPr>
        <w:t>标的公司估值由各方协商确定，该等估值系综合考量标的公司发展前景、所受让股权无回购权保障等因素协商确定</w:t>
      </w:r>
      <w:r>
        <w:rPr>
          <w:rFonts w:hint="eastAsia"/>
        </w:rPr>
        <w:t>，与</w:t>
      </w:r>
      <w:r w:rsidRPr="00345755">
        <w:rPr>
          <w:rFonts w:hint="eastAsia"/>
        </w:rPr>
        <w:t>本次重组评估结果存在差异具有合理性</w:t>
      </w:r>
      <w:r>
        <w:rPr>
          <w:rFonts w:hint="eastAsia"/>
        </w:rPr>
        <w:t>。具体原因及商业合理性见本回复“</w:t>
      </w:r>
      <w:r w:rsidRPr="00345755">
        <w:rPr>
          <w:rFonts w:hint="eastAsia"/>
        </w:rPr>
        <w:t>问题</w:t>
      </w:r>
      <w:r w:rsidRPr="00345755">
        <w:rPr>
          <w:rFonts w:hint="eastAsia"/>
        </w:rPr>
        <w:t>8</w:t>
      </w:r>
      <w:r w:rsidRPr="00345755">
        <w:rPr>
          <w:rFonts w:hint="eastAsia"/>
        </w:rPr>
        <w:t>、关于标的资产的历史沿革</w:t>
      </w:r>
      <w:r>
        <w:rPr>
          <w:rFonts w:hint="eastAsia"/>
        </w:rPr>
        <w:t>”之“</w:t>
      </w:r>
      <w:r w:rsidRPr="00345755">
        <w:rPr>
          <w:rFonts w:hint="eastAsia"/>
        </w:rPr>
        <w:t>五、璀璨远见、璀璨德商在减资的同月受让标的资产股权的原因及商业合理性，同转让方是否存在关联关系或其他利益关系，是否存在利益输送，价格是否公允，是否构成股份支付，是否计提相关费用，费用计提是否充分、准确、完整，申报文件中相关财务数据是否准确。</w:t>
      </w:r>
      <w:r>
        <w:rPr>
          <w:rFonts w:hint="eastAsia"/>
        </w:rPr>
        <w:t>”之“</w:t>
      </w:r>
      <w:r w:rsidRPr="00345755">
        <w:rPr>
          <w:rFonts w:hint="eastAsia"/>
        </w:rPr>
        <w:t>（二）璀璨远见、璀璨德商在减资的同月受让标的资产股权的原因及商业合理性</w:t>
      </w:r>
      <w:r>
        <w:rPr>
          <w:rFonts w:hint="eastAsia"/>
        </w:rPr>
        <w:t>”。</w:t>
      </w:r>
    </w:p>
    <w:p w14:paraId="61452D25" w14:textId="77777777" w:rsidR="00CD798F" w:rsidRPr="00805AE9" w:rsidRDefault="00CD798F" w:rsidP="00CD798F">
      <w:pPr>
        <w:pStyle w:val="005"/>
        <w:spacing w:before="120" w:after="120"/>
        <w:ind w:firstLine="482"/>
        <w:rPr>
          <w:b/>
          <w:bCs/>
        </w:rPr>
      </w:pPr>
      <w:r w:rsidRPr="00805AE9">
        <w:rPr>
          <w:rFonts w:hint="eastAsia"/>
          <w:b/>
          <w:bCs/>
        </w:rPr>
        <w:t>（</w:t>
      </w:r>
      <w:r>
        <w:rPr>
          <w:rFonts w:hint="eastAsia"/>
          <w:b/>
          <w:bCs/>
        </w:rPr>
        <w:t>3</w:t>
      </w:r>
      <w:r w:rsidRPr="00805AE9">
        <w:rPr>
          <w:rFonts w:hint="eastAsia"/>
          <w:b/>
          <w:bCs/>
        </w:rPr>
        <w:t>）杨裕雄受让蜜芽宝贝所持标的公司股权</w:t>
      </w:r>
    </w:p>
    <w:p w14:paraId="18944030" w14:textId="77777777" w:rsidR="00CD798F" w:rsidRPr="00805AE9" w:rsidRDefault="00CD798F" w:rsidP="00CD798F">
      <w:pPr>
        <w:pStyle w:val="005"/>
        <w:spacing w:before="120" w:after="120"/>
        <w:ind w:firstLine="480"/>
      </w:pPr>
      <w:r w:rsidRPr="0056148D">
        <w:t>根据《股东权利》约定，蜜芽宝贝作为天使投资人未享有回购权，</w:t>
      </w:r>
      <w:r w:rsidRPr="00185C67">
        <w:rPr>
          <w:rFonts w:hint="eastAsia"/>
        </w:rPr>
        <w:t>且</w:t>
      </w:r>
      <w:r w:rsidRPr="0056148D">
        <w:t>在优先清算权方面亦处于劣后次序</w:t>
      </w:r>
      <w:r w:rsidRPr="00185C67">
        <w:rPr>
          <w:rFonts w:hint="eastAsia"/>
        </w:rPr>
        <w:t>，蜜芽宝贝合理预</w:t>
      </w:r>
      <w:r>
        <w:rPr>
          <w:rFonts w:hint="eastAsia"/>
        </w:rPr>
        <w:t>计</w:t>
      </w:r>
      <w:r w:rsidRPr="00185C67">
        <w:rPr>
          <w:rFonts w:hint="eastAsia"/>
        </w:rPr>
        <w:t>标的公司短期内无法以</w:t>
      </w:r>
      <w:r>
        <w:rPr>
          <w:rFonts w:hint="eastAsia"/>
        </w:rPr>
        <w:t>协议约定的估值水</w:t>
      </w:r>
      <w:r>
        <w:rPr>
          <w:rFonts w:hint="eastAsia"/>
        </w:rPr>
        <w:lastRenderedPageBreak/>
        <w:t>平</w:t>
      </w:r>
      <w:r w:rsidRPr="00185C67">
        <w:rPr>
          <w:rFonts w:hint="eastAsia"/>
        </w:rPr>
        <w:t>完成</w:t>
      </w:r>
      <w:r w:rsidRPr="00185C67">
        <w:rPr>
          <w:rFonts w:hint="eastAsia"/>
        </w:rPr>
        <w:t>IPO</w:t>
      </w:r>
      <w:r w:rsidRPr="00185C67">
        <w:rPr>
          <w:rFonts w:hint="eastAsia"/>
        </w:rPr>
        <w:t>或并购</w:t>
      </w:r>
      <w:r w:rsidRPr="0056148D">
        <w:t>，将可能</w:t>
      </w:r>
      <w:r w:rsidRPr="0056148D">
        <w:rPr>
          <w:rFonts w:hint="eastAsia"/>
        </w:rPr>
        <w:t>触</w:t>
      </w:r>
      <w:r w:rsidRPr="0056148D">
        <w:t>发回购义务。本次股权转让决策系蜜芽宝贝基于保全投资的考虑下作出，</w:t>
      </w:r>
      <w:r>
        <w:rPr>
          <w:rFonts w:hint="eastAsia"/>
        </w:rPr>
        <w:t>交易对价系其以投资成本为基础，并考虑一定的投资利润后</w:t>
      </w:r>
      <w:r w:rsidRPr="0056148D">
        <w:t>与</w:t>
      </w:r>
      <w:r>
        <w:rPr>
          <w:rFonts w:hint="eastAsia"/>
        </w:rPr>
        <w:t>杨裕雄</w:t>
      </w:r>
      <w:r w:rsidRPr="0056148D">
        <w:t>友好协商确定，股权转让作价公允</w:t>
      </w:r>
      <w:r>
        <w:rPr>
          <w:rFonts w:hint="eastAsia"/>
        </w:rPr>
        <w:t>，股权转让的交易对价对应的标的公司整体估值与</w:t>
      </w:r>
      <w:r w:rsidRPr="00805AE9">
        <w:rPr>
          <w:rFonts w:hint="eastAsia"/>
        </w:rPr>
        <w:t>本次重组评估结果存在差异具有合理性</w:t>
      </w:r>
      <w:r>
        <w:rPr>
          <w:rFonts w:hint="eastAsia"/>
        </w:rPr>
        <w:t>。</w:t>
      </w:r>
    </w:p>
    <w:p w14:paraId="0A6F243E" w14:textId="77777777" w:rsidR="00CD798F" w:rsidRPr="00805AE9" w:rsidRDefault="00CD798F" w:rsidP="00CD798F">
      <w:pPr>
        <w:pStyle w:val="005"/>
        <w:spacing w:before="120" w:after="120"/>
        <w:ind w:firstLine="482"/>
        <w:rPr>
          <w:b/>
          <w:bCs/>
        </w:rPr>
      </w:pPr>
      <w:r w:rsidRPr="00805AE9">
        <w:rPr>
          <w:rFonts w:hint="eastAsia"/>
          <w:b/>
          <w:bCs/>
        </w:rPr>
        <w:t>（</w:t>
      </w:r>
      <w:r w:rsidRPr="00805AE9">
        <w:rPr>
          <w:rFonts w:hint="eastAsia"/>
          <w:b/>
          <w:bCs/>
        </w:rPr>
        <w:t>4</w:t>
      </w:r>
      <w:r w:rsidRPr="00805AE9">
        <w:rPr>
          <w:rFonts w:hint="eastAsia"/>
          <w:b/>
          <w:bCs/>
        </w:rPr>
        <w:t>）公司核心管理层持股由平台间接持股变为直接持股</w:t>
      </w:r>
    </w:p>
    <w:p w14:paraId="64CE17D7" w14:textId="77777777" w:rsidR="00CD798F" w:rsidRDefault="00CD798F" w:rsidP="00CD798F">
      <w:pPr>
        <w:pStyle w:val="005"/>
        <w:spacing w:before="120" w:after="120"/>
        <w:ind w:firstLine="480"/>
      </w:pPr>
      <w:r w:rsidRPr="0056148D">
        <w:rPr>
          <w:rFonts w:hint="eastAsia"/>
        </w:rPr>
        <w:t>本次转让系公司持股平台</w:t>
      </w:r>
      <w:r>
        <w:rPr>
          <w:rFonts w:hint="eastAsia"/>
        </w:rPr>
        <w:t>合伙人</w:t>
      </w:r>
      <w:r w:rsidRPr="0056148D">
        <w:rPr>
          <w:rFonts w:hint="eastAsia"/>
        </w:rPr>
        <w:t>杨凯然、张杰波、王佳、胡俊由间接持股转为直接持股，由持股平台将上述股东在平台内的持股份额对应星云开物股权直接转让至自然人股东名下，同时自然人股东在持股平台完成退出</w:t>
      </w:r>
      <w:r>
        <w:rPr>
          <w:rFonts w:hint="eastAsia"/>
        </w:rPr>
        <w:t>，无需实际支付相关对价。</w:t>
      </w:r>
    </w:p>
    <w:p w14:paraId="51759195" w14:textId="77777777" w:rsidR="00CD798F" w:rsidRPr="007E30A6" w:rsidRDefault="00CD798F" w:rsidP="00CD798F">
      <w:pPr>
        <w:pStyle w:val="005"/>
        <w:spacing w:before="120" w:after="120"/>
        <w:ind w:firstLine="480"/>
      </w:pPr>
      <w:r w:rsidRPr="00D03E0C">
        <w:rPr>
          <w:rFonts w:hint="eastAsia"/>
        </w:rPr>
        <w:t>上述内容已在</w:t>
      </w:r>
      <w:r>
        <w:rPr>
          <w:rFonts w:hint="eastAsia"/>
        </w:rPr>
        <w:t>《重组报告书》</w:t>
      </w:r>
      <w:r w:rsidRPr="00D03E0C">
        <w:rPr>
          <w:rFonts w:hint="eastAsia"/>
        </w:rPr>
        <w:t>“第四节</w:t>
      </w:r>
      <w:r w:rsidRPr="00D03E0C">
        <w:rPr>
          <w:rFonts w:hint="eastAsia"/>
        </w:rPr>
        <w:t xml:space="preserve"> </w:t>
      </w:r>
      <w:r w:rsidRPr="00D03E0C">
        <w:rPr>
          <w:rFonts w:hint="eastAsia"/>
        </w:rPr>
        <w:t>交易标的基本情况”之“（三）标的公司最近三年增减资及股权转让情况”补充披露。</w:t>
      </w:r>
    </w:p>
    <w:p w14:paraId="265EF259" w14:textId="77777777" w:rsidR="00CD798F" w:rsidRPr="007E30A6" w:rsidRDefault="00CD798F" w:rsidP="00CD798F">
      <w:pPr>
        <w:pStyle w:val="002"/>
        <w:spacing w:before="120" w:after="120"/>
        <w:ind w:firstLine="482"/>
      </w:pPr>
      <w:r w:rsidRPr="007E30A6">
        <w:t>十一、基于前述事项，结合截至回函日标的资产的实际经营情况与期后业绩、行业政策、市场环境对标的资产经营业绩及估值的影响等，补充说明本次收益法评估相关参数选取是否谨慎、合理，预测过程是否准确、客观，本次交易定价是否公允，是否符合《重组办法》第十一条的规定</w:t>
      </w:r>
    </w:p>
    <w:p w14:paraId="2384056B" w14:textId="77777777" w:rsidR="00CD798F" w:rsidRPr="007E30A6" w:rsidRDefault="00CD798F" w:rsidP="00CD798F">
      <w:pPr>
        <w:pStyle w:val="003"/>
        <w:spacing w:before="120" w:after="120"/>
        <w:ind w:firstLine="482"/>
      </w:pPr>
      <w:r w:rsidRPr="007E30A6">
        <w:t>（一）经营情况与期后业绩的对比</w:t>
      </w:r>
    </w:p>
    <w:p w14:paraId="1AD09F7B" w14:textId="77777777" w:rsidR="00CD798F" w:rsidRPr="00312121" w:rsidRDefault="00CD798F" w:rsidP="00CD798F">
      <w:pPr>
        <w:pStyle w:val="005"/>
        <w:spacing w:before="120" w:after="120"/>
        <w:ind w:firstLine="480"/>
      </w:pPr>
      <w:r w:rsidRPr="002333BF">
        <w:rPr>
          <w:rFonts w:hint="eastAsia"/>
        </w:rPr>
        <w:t>标的公司的经营情况及期后业绩如下：</w:t>
      </w:r>
    </w:p>
    <w:p w14:paraId="508301B5" w14:textId="77777777" w:rsidR="00CD798F" w:rsidRPr="00312121" w:rsidRDefault="00CD798F" w:rsidP="00CD798F">
      <w:pPr>
        <w:keepNext/>
        <w:jc w:val="right"/>
        <w:rPr>
          <w:rFonts w:ascii="Times New Roman" w:hAnsi="Times New Roman"/>
        </w:rPr>
      </w:pPr>
      <w:r w:rsidRPr="00312121">
        <w:rPr>
          <w:rFonts w:ascii="Times New Roman" w:hAnsi="Times New Roman"/>
        </w:rPr>
        <w:t>单位：万元</w:t>
      </w:r>
    </w:p>
    <w:tbl>
      <w:tblPr>
        <w:tblW w:w="8528" w:type="dxa"/>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85"/>
        <w:gridCol w:w="1814"/>
        <w:gridCol w:w="1814"/>
        <w:gridCol w:w="1815"/>
      </w:tblGrid>
      <w:tr w:rsidR="00CD798F" w:rsidRPr="002F5FE5" w14:paraId="71E3CB50" w14:textId="77777777" w:rsidTr="00214723">
        <w:trPr>
          <w:trHeight w:val="397"/>
          <w:tblHeader/>
          <w:jc w:val="center"/>
        </w:trPr>
        <w:tc>
          <w:tcPr>
            <w:tcW w:w="3085" w:type="dxa"/>
            <w:tcMar>
              <w:top w:w="0" w:type="dxa"/>
              <w:left w:w="108" w:type="dxa"/>
              <w:bottom w:w="0" w:type="dxa"/>
              <w:right w:w="108" w:type="dxa"/>
            </w:tcMar>
            <w:vAlign w:val="center"/>
          </w:tcPr>
          <w:p w14:paraId="4CE5564B" w14:textId="77777777" w:rsidR="00CD798F" w:rsidRPr="002F5FE5" w:rsidRDefault="00CD798F" w:rsidP="00214723">
            <w:pPr>
              <w:keepNext/>
              <w:jc w:val="center"/>
              <w:rPr>
                <w:rFonts w:ascii="Times New Roman" w:hAnsi="Times New Roman"/>
                <w:b/>
                <w:szCs w:val="21"/>
              </w:rPr>
            </w:pPr>
            <w:r w:rsidRPr="002F5FE5">
              <w:rPr>
                <w:rFonts w:ascii="Times New Roman" w:hAnsi="Times New Roman"/>
                <w:b/>
                <w:szCs w:val="21"/>
              </w:rPr>
              <w:t>项目</w:t>
            </w:r>
          </w:p>
        </w:tc>
        <w:tc>
          <w:tcPr>
            <w:tcW w:w="1814" w:type="dxa"/>
            <w:tcMar>
              <w:top w:w="0" w:type="dxa"/>
              <w:left w:w="108" w:type="dxa"/>
              <w:bottom w:w="0" w:type="dxa"/>
              <w:right w:w="108" w:type="dxa"/>
            </w:tcMar>
            <w:vAlign w:val="center"/>
          </w:tcPr>
          <w:p w14:paraId="152C5769" w14:textId="77777777" w:rsidR="00CD798F" w:rsidRPr="002F5FE5" w:rsidRDefault="00CD798F" w:rsidP="00214723">
            <w:pPr>
              <w:keepNext/>
              <w:jc w:val="center"/>
              <w:rPr>
                <w:rFonts w:ascii="Times New Roman" w:hAnsi="Times New Roman"/>
                <w:b/>
                <w:szCs w:val="21"/>
              </w:rPr>
            </w:pPr>
            <w:r w:rsidRPr="002F5FE5">
              <w:rPr>
                <w:rFonts w:ascii="Times New Roman" w:hAnsi="Times New Roman"/>
                <w:b/>
                <w:szCs w:val="21"/>
              </w:rPr>
              <w:t>2025</w:t>
            </w:r>
            <w:r w:rsidRPr="002F5FE5">
              <w:rPr>
                <w:rFonts w:ascii="Times New Roman" w:hAnsi="Times New Roman"/>
                <w:b/>
                <w:szCs w:val="21"/>
              </w:rPr>
              <w:t>年度</w:t>
            </w:r>
          </w:p>
        </w:tc>
        <w:tc>
          <w:tcPr>
            <w:tcW w:w="1814" w:type="dxa"/>
            <w:tcMar>
              <w:top w:w="0" w:type="dxa"/>
              <w:left w:w="108" w:type="dxa"/>
              <w:bottom w:w="0" w:type="dxa"/>
              <w:right w:w="108" w:type="dxa"/>
            </w:tcMar>
            <w:vAlign w:val="center"/>
          </w:tcPr>
          <w:p w14:paraId="61221AA7" w14:textId="77777777" w:rsidR="00CD798F" w:rsidRPr="002F5FE5" w:rsidRDefault="00CD798F" w:rsidP="00214723">
            <w:pPr>
              <w:keepNext/>
              <w:jc w:val="center"/>
              <w:rPr>
                <w:rFonts w:ascii="Times New Roman" w:hAnsi="Times New Roman"/>
                <w:b/>
                <w:szCs w:val="21"/>
              </w:rPr>
            </w:pPr>
            <w:r w:rsidRPr="002F5FE5">
              <w:rPr>
                <w:rFonts w:ascii="Times New Roman" w:hAnsi="Times New Roman"/>
                <w:b/>
                <w:szCs w:val="21"/>
              </w:rPr>
              <w:t>2024</w:t>
            </w:r>
            <w:r w:rsidRPr="002F5FE5">
              <w:rPr>
                <w:rFonts w:ascii="Times New Roman" w:hAnsi="Times New Roman"/>
                <w:b/>
                <w:szCs w:val="21"/>
              </w:rPr>
              <w:t>年度</w:t>
            </w:r>
          </w:p>
        </w:tc>
        <w:tc>
          <w:tcPr>
            <w:tcW w:w="1815" w:type="dxa"/>
            <w:tcMar>
              <w:top w:w="0" w:type="dxa"/>
              <w:left w:w="108" w:type="dxa"/>
              <w:bottom w:w="0" w:type="dxa"/>
              <w:right w:w="108" w:type="dxa"/>
            </w:tcMar>
            <w:vAlign w:val="center"/>
          </w:tcPr>
          <w:p w14:paraId="74656BC1" w14:textId="77777777" w:rsidR="00CD798F" w:rsidRPr="002F5FE5" w:rsidRDefault="00CD798F" w:rsidP="00214723">
            <w:pPr>
              <w:keepNext/>
              <w:jc w:val="center"/>
              <w:rPr>
                <w:rFonts w:ascii="Times New Roman" w:hAnsi="Times New Roman"/>
                <w:b/>
                <w:szCs w:val="21"/>
              </w:rPr>
            </w:pPr>
            <w:r w:rsidRPr="002F5FE5">
              <w:rPr>
                <w:rFonts w:ascii="Times New Roman" w:hAnsi="Times New Roman"/>
                <w:b/>
                <w:szCs w:val="21"/>
              </w:rPr>
              <w:t>2023</w:t>
            </w:r>
            <w:r w:rsidRPr="002F5FE5">
              <w:rPr>
                <w:rFonts w:ascii="Times New Roman" w:hAnsi="Times New Roman"/>
                <w:b/>
                <w:szCs w:val="21"/>
              </w:rPr>
              <w:t>年度</w:t>
            </w:r>
          </w:p>
        </w:tc>
      </w:tr>
      <w:tr w:rsidR="00CD798F" w:rsidRPr="002F5FE5" w14:paraId="6289D290" w14:textId="77777777" w:rsidTr="00214723">
        <w:trPr>
          <w:trHeight w:val="397"/>
          <w:jc w:val="center"/>
        </w:trPr>
        <w:tc>
          <w:tcPr>
            <w:tcW w:w="3085" w:type="dxa"/>
            <w:tcMar>
              <w:top w:w="0" w:type="dxa"/>
              <w:left w:w="108" w:type="dxa"/>
              <w:bottom w:w="0" w:type="dxa"/>
              <w:right w:w="108" w:type="dxa"/>
            </w:tcMar>
            <w:vAlign w:val="center"/>
          </w:tcPr>
          <w:p w14:paraId="4AFBB42C" w14:textId="77777777" w:rsidR="00CD798F" w:rsidRPr="002F5FE5" w:rsidRDefault="00CD798F" w:rsidP="00214723">
            <w:pPr>
              <w:rPr>
                <w:rFonts w:ascii="Times New Roman" w:hAnsi="Times New Roman"/>
                <w:szCs w:val="21"/>
              </w:rPr>
            </w:pPr>
            <w:r w:rsidRPr="002F5FE5">
              <w:rPr>
                <w:rFonts w:ascii="Times New Roman" w:hAnsi="Times New Roman"/>
                <w:szCs w:val="21"/>
              </w:rPr>
              <w:t>营业收入</w:t>
            </w:r>
          </w:p>
        </w:tc>
        <w:tc>
          <w:tcPr>
            <w:tcW w:w="1814" w:type="dxa"/>
            <w:tcMar>
              <w:top w:w="0" w:type="dxa"/>
              <w:left w:w="108" w:type="dxa"/>
              <w:bottom w:w="0" w:type="dxa"/>
              <w:right w:w="108" w:type="dxa"/>
            </w:tcMar>
            <w:vAlign w:val="center"/>
          </w:tcPr>
          <w:p w14:paraId="353BDC6B" w14:textId="1B24E47A" w:rsidR="00CD798F" w:rsidRPr="002F5FE5" w:rsidRDefault="00EB3E53" w:rsidP="00214723">
            <w:pPr>
              <w:jc w:val="right"/>
              <w:rPr>
                <w:rFonts w:ascii="Times New Roman" w:hAnsi="Times New Roman"/>
                <w:color w:val="000000"/>
                <w:szCs w:val="21"/>
              </w:rPr>
            </w:pPr>
            <w:r w:rsidRPr="00EB3E53">
              <w:rPr>
                <w:rFonts w:ascii="Times New Roman" w:hAnsi="Times New Roman"/>
                <w:color w:val="000000"/>
                <w:szCs w:val="21"/>
              </w:rPr>
              <w:t>49,800-55,000</w:t>
            </w:r>
          </w:p>
        </w:tc>
        <w:tc>
          <w:tcPr>
            <w:tcW w:w="1814" w:type="dxa"/>
            <w:tcMar>
              <w:top w:w="0" w:type="dxa"/>
              <w:left w:w="108" w:type="dxa"/>
              <w:bottom w:w="0" w:type="dxa"/>
              <w:right w:w="108" w:type="dxa"/>
            </w:tcMar>
            <w:vAlign w:val="center"/>
          </w:tcPr>
          <w:p w14:paraId="5483C5F1"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44,716.44</w:t>
            </w:r>
          </w:p>
        </w:tc>
        <w:tc>
          <w:tcPr>
            <w:tcW w:w="1815" w:type="dxa"/>
            <w:tcMar>
              <w:top w:w="0" w:type="dxa"/>
              <w:left w:w="108" w:type="dxa"/>
              <w:bottom w:w="0" w:type="dxa"/>
              <w:right w:w="108" w:type="dxa"/>
            </w:tcMar>
            <w:vAlign w:val="center"/>
          </w:tcPr>
          <w:p w14:paraId="5E4D9CEB"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38,501.66</w:t>
            </w:r>
          </w:p>
        </w:tc>
      </w:tr>
      <w:tr w:rsidR="00CD798F" w:rsidRPr="002F5FE5" w14:paraId="1BF63EBD" w14:textId="77777777" w:rsidTr="00214723">
        <w:trPr>
          <w:trHeight w:val="397"/>
          <w:jc w:val="center"/>
        </w:trPr>
        <w:tc>
          <w:tcPr>
            <w:tcW w:w="3085" w:type="dxa"/>
            <w:tcMar>
              <w:top w:w="0" w:type="dxa"/>
              <w:left w:w="108" w:type="dxa"/>
              <w:bottom w:w="0" w:type="dxa"/>
              <w:right w:w="108" w:type="dxa"/>
            </w:tcMar>
            <w:vAlign w:val="center"/>
          </w:tcPr>
          <w:p w14:paraId="102A4E8B" w14:textId="77777777" w:rsidR="00CD798F" w:rsidRPr="002F5FE5" w:rsidRDefault="00CD798F" w:rsidP="00214723">
            <w:pPr>
              <w:rPr>
                <w:rFonts w:ascii="Times New Roman" w:hAnsi="Times New Roman"/>
                <w:szCs w:val="21"/>
              </w:rPr>
            </w:pPr>
            <w:bookmarkStart w:id="3" w:name="_Hlk213684982"/>
            <w:r w:rsidRPr="002F5FE5">
              <w:rPr>
                <w:rFonts w:ascii="Times New Roman" w:hAnsi="Times New Roman"/>
                <w:szCs w:val="21"/>
              </w:rPr>
              <w:t>净利润</w:t>
            </w:r>
          </w:p>
        </w:tc>
        <w:tc>
          <w:tcPr>
            <w:tcW w:w="1814" w:type="dxa"/>
            <w:tcMar>
              <w:top w:w="0" w:type="dxa"/>
              <w:left w:w="108" w:type="dxa"/>
              <w:bottom w:w="0" w:type="dxa"/>
              <w:right w:w="108" w:type="dxa"/>
            </w:tcMar>
            <w:vAlign w:val="center"/>
          </w:tcPr>
          <w:p w14:paraId="4213DFEC" w14:textId="48136CCA" w:rsidR="00CD798F" w:rsidRPr="002F5FE5" w:rsidRDefault="00EB3E53" w:rsidP="00214723">
            <w:pPr>
              <w:jc w:val="right"/>
              <w:rPr>
                <w:rFonts w:ascii="Times New Roman" w:hAnsi="Times New Roman"/>
                <w:color w:val="000000"/>
                <w:szCs w:val="21"/>
              </w:rPr>
            </w:pPr>
            <w:r w:rsidRPr="00EB3E53">
              <w:rPr>
                <w:rFonts w:ascii="Times New Roman" w:hAnsi="Times New Roman"/>
                <w:color w:val="000000"/>
                <w:szCs w:val="21"/>
              </w:rPr>
              <w:t>10,500-11,600</w:t>
            </w:r>
          </w:p>
        </w:tc>
        <w:tc>
          <w:tcPr>
            <w:tcW w:w="1814" w:type="dxa"/>
            <w:tcMar>
              <w:top w:w="0" w:type="dxa"/>
              <w:left w:w="108" w:type="dxa"/>
              <w:bottom w:w="0" w:type="dxa"/>
              <w:right w:w="108" w:type="dxa"/>
            </w:tcMar>
            <w:vAlign w:val="center"/>
          </w:tcPr>
          <w:p w14:paraId="0F8227C5"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9,466.96</w:t>
            </w:r>
          </w:p>
        </w:tc>
        <w:tc>
          <w:tcPr>
            <w:tcW w:w="1815" w:type="dxa"/>
            <w:tcMar>
              <w:top w:w="0" w:type="dxa"/>
              <w:left w:w="108" w:type="dxa"/>
              <w:bottom w:w="0" w:type="dxa"/>
              <w:right w:w="108" w:type="dxa"/>
            </w:tcMar>
            <w:vAlign w:val="center"/>
          </w:tcPr>
          <w:p w14:paraId="0F3C6B8A"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3,369.27</w:t>
            </w:r>
          </w:p>
        </w:tc>
      </w:tr>
      <w:tr w:rsidR="00CD798F" w:rsidRPr="002F5FE5" w14:paraId="0BD3CCC5" w14:textId="77777777" w:rsidTr="00214723">
        <w:trPr>
          <w:trHeight w:val="397"/>
          <w:jc w:val="center"/>
        </w:trPr>
        <w:tc>
          <w:tcPr>
            <w:tcW w:w="3085" w:type="dxa"/>
            <w:tcMar>
              <w:top w:w="0" w:type="dxa"/>
              <w:left w:w="108" w:type="dxa"/>
              <w:bottom w:w="0" w:type="dxa"/>
              <w:right w:w="108" w:type="dxa"/>
            </w:tcMar>
            <w:vAlign w:val="center"/>
          </w:tcPr>
          <w:p w14:paraId="50D19593" w14:textId="77777777" w:rsidR="00CD798F" w:rsidRPr="002F5FE5" w:rsidRDefault="00CD798F" w:rsidP="00214723">
            <w:pPr>
              <w:rPr>
                <w:rFonts w:ascii="Times New Roman" w:hAnsi="Times New Roman"/>
                <w:szCs w:val="21"/>
              </w:rPr>
            </w:pPr>
            <w:r w:rsidRPr="002F5FE5">
              <w:rPr>
                <w:rFonts w:ascii="Times New Roman" w:hAnsi="Times New Roman"/>
                <w:szCs w:val="21"/>
              </w:rPr>
              <w:t>归属于母公司所有者的净利润</w:t>
            </w:r>
          </w:p>
        </w:tc>
        <w:tc>
          <w:tcPr>
            <w:tcW w:w="1814" w:type="dxa"/>
            <w:tcMar>
              <w:top w:w="0" w:type="dxa"/>
              <w:left w:w="108" w:type="dxa"/>
              <w:bottom w:w="0" w:type="dxa"/>
              <w:right w:w="108" w:type="dxa"/>
            </w:tcMar>
            <w:vAlign w:val="center"/>
          </w:tcPr>
          <w:p w14:paraId="13641C18" w14:textId="20C1CC35" w:rsidR="00CD798F" w:rsidRPr="002F5FE5" w:rsidRDefault="00EB3E53" w:rsidP="00214723">
            <w:pPr>
              <w:jc w:val="right"/>
              <w:rPr>
                <w:rFonts w:ascii="Times New Roman" w:hAnsi="Times New Roman"/>
                <w:color w:val="000000"/>
                <w:szCs w:val="21"/>
              </w:rPr>
            </w:pPr>
            <w:r w:rsidRPr="00EB3E53">
              <w:rPr>
                <w:rFonts w:ascii="Times New Roman" w:hAnsi="Times New Roman"/>
                <w:color w:val="000000"/>
                <w:szCs w:val="21"/>
              </w:rPr>
              <w:t>9,500-10,500</w:t>
            </w:r>
          </w:p>
        </w:tc>
        <w:tc>
          <w:tcPr>
            <w:tcW w:w="1814" w:type="dxa"/>
            <w:tcMar>
              <w:top w:w="0" w:type="dxa"/>
              <w:left w:w="108" w:type="dxa"/>
              <w:bottom w:w="0" w:type="dxa"/>
              <w:right w:w="108" w:type="dxa"/>
            </w:tcMar>
            <w:vAlign w:val="center"/>
          </w:tcPr>
          <w:p w14:paraId="02968995"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8,666.13</w:t>
            </w:r>
          </w:p>
        </w:tc>
        <w:tc>
          <w:tcPr>
            <w:tcW w:w="1815" w:type="dxa"/>
            <w:tcMar>
              <w:top w:w="0" w:type="dxa"/>
              <w:left w:w="108" w:type="dxa"/>
              <w:bottom w:w="0" w:type="dxa"/>
              <w:right w:w="108" w:type="dxa"/>
            </w:tcMar>
            <w:vAlign w:val="center"/>
          </w:tcPr>
          <w:p w14:paraId="6428C9D5" w14:textId="77777777" w:rsidR="00CD798F" w:rsidRPr="002F5FE5" w:rsidRDefault="00CD798F" w:rsidP="00214723">
            <w:pPr>
              <w:jc w:val="right"/>
              <w:rPr>
                <w:rFonts w:ascii="Times New Roman" w:hAnsi="Times New Roman"/>
                <w:color w:val="000000"/>
                <w:szCs w:val="21"/>
              </w:rPr>
            </w:pPr>
            <w:r w:rsidRPr="002F5FE5">
              <w:rPr>
                <w:rFonts w:ascii="Times New Roman" w:hAnsi="Times New Roman"/>
                <w:color w:val="000000"/>
                <w:szCs w:val="21"/>
              </w:rPr>
              <w:t>3,869.38</w:t>
            </w:r>
          </w:p>
        </w:tc>
      </w:tr>
    </w:tbl>
    <w:bookmarkEnd w:id="3"/>
    <w:p w14:paraId="57636A9F" w14:textId="77777777" w:rsidR="00CD798F" w:rsidRPr="00EB3E53" w:rsidRDefault="00CD798F" w:rsidP="00CD798F">
      <w:pPr>
        <w:pStyle w:val="005"/>
        <w:spacing w:before="120" w:after="120"/>
        <w:ind w:firstLine="400"/>
        <w:rPr>
          <w:sz w:val="20"/>
          <w:szCs w:val="18"/>
          <w:shd w:val="clear" w:color="auto" w:fill="FFFFFF"/>
        </w:rPr>
      </w:pPr>
      <w:r w:rsidRPr="00EB3E53">
        <w:rPr>
          <w:rFonts w:hint="eastAsia"/>
          <w:sz w:val="20"/>
          <w:szCs w:val="18"/>
          <w:shd w:val="clear" w:color="auto" w:fill="FFFFFF"/>
        </w:rPr>
        <w:t>注：以上</w:t>
      </w:r>
      <w:r w:rsidRPr="00EB3E53">
        <w:rPr>
          <w:rFonts w:hint="eastAsia"/>
          <w:sz w:val="20"/>
          <w:szCs w:val="18"/>
          <w:shd w:val="clear" w:color="auto" w:fill="FFFFFF"/>
        </w:rPr>
        <w:t>2025</w:t>
      </w:r>
      <w:r w:rsidRPr="00EB3E53">
        <w:rPr>
          <w:rFonts w:hint="eastAsia"/>
          <w:sz w:val="20"/>
          <w:szCs w:val="18"/>
          <w:shd w:val="clear" w:color="auto" w:fill="FFFFFF"/>
        </w:rPr>
        <w:t>年财务数据未经审计。</w:t>
      </w:r>
    </w:p>
    <w:p w14:paraId="1BFE336D" w14:textId="77777777" w:rsidR="00CD798F" w:rsidRPr="007E30A6" w:rsidRDefault="00CD798F" w:rsidP="00CD798F">
      <w:pPr>
        <w:pStyle w:val="005"/>
        <w:spacing w:before="120" w:after="120"/>
        <w:ind w:firstLine="480"/>
        <w:rPr>
          <w:shd w:val="clear" w:color="auto" w:fill="FFFFFF"/>
        </w:rPr>
      </w:pPr>
      <w:r w:rsidRPr="007E30A6">
        <w:rPr>
          <w:shd w:val="clear" w:color="auto" w:fill="FFFFFF"/>
        </w:rPr>
        <w:t>截至本回复报告出具日，星云开物整体经营状况良好，期后业绩与本次评估收益法预测数据基本接近，预测数据合理。</w:t>
      </w:r>
    </w:p>
    <w:p w14:paraId="02079207" w14:textId="77777777" w:rsidR="00CD798F" w:rsidRPr="007E30A6" w:rsidRDefault="00CD798F" w:rsidP="00CD798F">
      <w:pPr>
        <w:pStyle w:val="003"/>
        <w:spacing w:before="120" w:after="120"/>
        <w:ind w:firstLine="482"/>
      </w:pPr>
      <w:r w:rsidRPr="007E30A6">
        <w:lastRenderedPageBreak/>
        <w:t>（二）行业政策、市场环境对标的资产经营业绩及估值的影响</w:t>
      </w:r>
    </w:p>
    <w:p w14:paraId="7779B735" w14:textId="77777777" w:rsidR="00CD798F" w:rsidRPr="007E30A6" w:rsidRDefault="00CD798F" w:rsidP="00CD798F">
      <w:pPr>
        <w:pStyle w:val="005"/>
        <w:spacing w:before="120" w:after="120"/>
        <w:ind w:firstLine="480"/>
        <w:rPr>
          <w:shd w:val="clear" w:color="auto" w:fill="FFFFFF"/>
        </w:rPr>
      </w:pPr>
      <w:r w:rsidRPr="007E30A6">
        <w:rPr>
          <w:shd w:val="clear" w:color="auto" w:fill="FFFFFF"/>
        </w:rPr>
        <w:t>评估基准日后，影响星云开物生产经营及评估值的行业政策、市场环境未发生重大不利变化。</w:t>
      </w:r>
    </w:p>
    <w:p w14:paraId="137673F4" w14:textId="77777777" w:rsidR="00CD798F" w:rsidRPr="007E30A6" w:rsidRDefault="00CD798F" w:rsidP="00CD798F">
      <w:pPr>
        <w:pStyle w:val="003"/>
        <w:spacing w:before="120" w:after="120"/>
        <w:ind w:firstLine="482"/>
      </w:pPr>
      <w:r w:rsidRPr="007E30A6">
        <w:t>（三）本次收益法评估相关参数选取是否谨慎、合理，预测过程是否准确、客观，本次交易定价是否公允，是否符合《重组办法》第十一条的规定</w:t>
      </w:r>
    </w:p>
    <w:p w14:paraId="424B203F" w14:textId="77777777" w:rsidR="00CD798F" w:rsidRPr="007E30A6" w:rsidRDefault="00CD798F" w:rsidP="00CD798F">
      <w:pPr>
        <w:pStyle w:val="005"/>
        <w:spacing w:before="120" w:after="120"/>
        <w:ind w:firstLine="480"/>
        <w:rPr>
          <w:shd w:val="clear" w:color="auto" w:fill="FFFFFF"/>
        </w:rPr>
      </w:pPr>
      <w:r w:rsidRPr="007E30A6">
        <w:rPr>
          <w:shd w:val="clear" w:color="auto" w:fill="FFFFFF"/>
        </w:rPr>
        <w:t>综上所述，本次收益法评估相关参数选取谨慎、合理，预测过程准确、客观，交易定价公允，符合《重组办法》第十一条的规定。</w:t>
      </w:r>
    </w:p>
    <w:p w14:paraId="5720EB19" w14:textId="77777777" w:rsidR="00CD798F" w:rsidRPr="00672DC2" w:rsidRDefault="00CD798F" w:rsidP="00CD798F">
      <w:pPr>
        <w:spacing w:beforeLines="50" w:before="120" w:line="300" w:lineRule="auto"/>
        <w:ind w:firstLineChars="200" w:firstLine="480"/>
        <w:rPr>
          <w:rFonts w:ascii="Times New Roman" w:hAnsi="Times New Roman"/>
          <w:sz w:val="24"/>
        </w:rPr>
      </w:pPr>
    </w:p>
    <w:p w14:paraId="24E81299" w14:textId="77777777" w:rsidR="00CD798F" w:rsidRPr="000116F4" w:rsidRDefault="00CD798F" w:rsidP="00CD798F">
      <w:pPr>
        <w:spacing w:beforeLines="50" w:before="120" w:line="300" w:lineRule="auto"/>
        <w:ind w:firstLineChars="200" w:firstLine="482"/>
        <w:rPr>
          <w:rFonts w:ascii="Times New Roman" w:hAnsi="Times New Roman"/>
          <w:b/>
          <w:bCs/>
          <w:sz w:val="24"/>
        </w:rPr>
      </w:pPr>
      <w:r w:rsidRPr="000116F4">
        <w:rPr>
          <w:rFonts w:ascii="Times New Roman" w:hAnsi="Times New Roman" w:hint="eastAsia"/>
          <w:b/>
          <w:bCs/>
          <w:sz w:val="24"/>
        </w:rPr>
        <w:t>（</w:t>
      </w:r>
      <w:r>
        <w:rPr>
          <w:rFonts w:ascii="Times New Roman" w:hAnsi="Times New Roman" w:hint="eastAsia"/>
          <w:b/>
          <w:bCs/>
          <w:sz w:val="24"/>
        </w:rPr>
        <w:t>三</w:t>
      </w:r>
      <w:r w:rsidRPr="000116F4">
        <w:rPr>
          <w:rFonts w:ascii="Times New Roman" w:hAnsi="Times New Roman" w:hint="eastAsia"/>
          <w:b/>
          <w:bCs/>
          <w:sz w:val="24"/>
        </w:rPr>
        <w:t>）</w:t>
      </w:r>
      <w:r>
        <w:rPr>
          <w:rFonts w:ascii="Times New Roman" w:hAnsi="Times New Roman" w:hint="eastAsia"/>
          <w:b/>
          <w:bCs/>
          <w:sz w:val="24"/>
        </w:rPr>
        <w:t>评估机构核查过程及核查意见</w:t>
      </w:r>
    </w:p>
    <w:p w14:paraId="761E3C5D" w14:textId="77777777" w:rsidR="00CD798F" w:rsidRPr="007E30A6" w:rsidRDefault="00CD798F" w:rsidP="00CD798F">
      <w:pPr>
        <w:pStyle w:val="003"/>
        <w:spacing w:before="120" w:after="120"/>
        <w:ind w:firstLine="482"/>
      </w:pPr>
      <w:r w:rsidRPr="007E30A6">
        <w:t>（一）核查程序</w:t>
      </w:r>
    </w:p>
    <w:p w14:paraId="00FEB240" w14:textId="77777777" w:rsidR="00CD798F" w:rsidRPr="007E30A6" w:rsidRDefault="00CD798F" w:rsidP="00CD798F">
      <w:pPr>
        <w:pStyle w:val="005"/>
        <w:spacing w:before="120" w:after="120"/>
        <w:ind w:firstLine="480"/>
      </w:pPr>
      <w:r w:rsidRPr="007E30A6">
        <w:t>1</w:t>
      </w:r>
      <w:r w:rsidRPr="007E30A6">
        <w:t>、查阅标的公司报告期收入成本表，访谈标的公司管理层，了解公司各业务未来发展规划、公司主要产品销售未来预计增速与变动趋势，并查阅行业报告及可比公司信息，验证预测期收入和毛利率水平的合理性；复核评估模型关键参数的预测情况；</w:t>
      </w:r>
    </w:p>
    <w:p w14:paraId="4608FB78" w14:textId="77777777" w:rsidR="00CD798F" w:rsidRPr="007E30A6" w:rsidRDefault="00CD798F" w:rsidP="00CD798F">
      <w:pPr>
        <w:pStyle w:val="005"/>
        <w:spacing w:before="120" w:after="120"/>
        <w:ind w:firstLine="480"/>
      </w:pPr>
      <w:r w:rsidRPr="007E30A6">
        <w:t>2</w:t>
      </w:r>
      <w:r w:rsidRPr="007E30A6">
        <w:t>、查阅相关行业分析报告、市场研报信息，并访谈公司管理层，了解标的公司各个业务的市场空间、行业竞争情况、下游智能自助设备行业的发展情况及趋势和标的资产的竞争优劣势；获取主要客户的销售明细和订单资料，并通过走访访谈主要客户了解合作情况；获取新增客户名单，并访谈公司管理层，了解公司未来发展战略和新客户发展情况；获取标的公司报告期内平台接入终端设备数量、客户数量、支付笔数及交易流水规模、服务费率、单用户贡献等核心运营指标和各类硬件设备单价、销量等数据，与同行业公司或同类产品进行对比分析；复核上述参数的预测情况，验证预测期各业务收入预测的合理性及谨慎性；</w:t>
      </w:r>
    </w:p>
    <w:p w14:paraId="61A4099A" w14:textId="77777777" w:rsidR="00CD798F" w:rsidRPr="007E30A6" w:rsidRDefault="00CD798F" w:rsidP="00CD798F">
      <w:pPr>
        <w:pStyle w:val="005"/>
        <w:spacing w:before="120" w:after="120"/>
        <w:ind w:firstLine="480"/>
      </w:pPr>
      <w:r w:rsidRPr="007E30A6">
        <w:t>3</w:t>
      </w:r>
      <w:r w:rsidRPr="007E30A6">
        <w:t>、查阅标的公司报告期收入成本表，访谈标的公司管理层，了解各业务毛利率的主要影响因素及其未来变化情况，查阅同行业可比公司毛利率信息，验证标的公司各业务毛利率预测合理性与谨慎性；</w:t>
      </w:r>
    </w:p>
    <w:p w14:paraId="6D114A89" w14:textId="77777777" w:rsidR="00CD798F" w:rsidRPr="007E30A6" w:rsidRDefault="00CD798F" w:rsidP="00CD798F">
      <w:pPr>
        <w:pStyle w:val="005"/>
        <w:spacing w:before="120" w:after="120"/>
        <w:ind w:firstLine="480"/>
      </w:pPr>
      <w:r w:rsidRPr="007E30A6">
        <w:lastRenderedPageBreak/>
        <w:t>4</w:t>
      </w:r>
      <w:r w:rsidRPr="007E30A6">
        <w:t>、查阅标的公司报告期各期的期间费用构成、变化趋势及费用率水平等资料，分析期间费用变动的原因；访谈标的公司管理层，了解期间费用率低于报告期平均水平且呈现逐年下降趋势的合理性；</w:t>
      </w:r>
    </w:p>
    <w:p w14:paraId="4B6551B2" w14:textId="77777777" w:rsidR="00CD798F" w:rsidRPr="007E30A6" w:rsidRDefault="00CD798F" w:rsidP="00CD798F">
      <w:pPr>
        <w:pStyle w:val="005"/>
        <w:spacing w:before="120" w:after="120"/>
        <w:ind w:firstLine="480"/>
      </w:pPr>
      <w:r w:rsidRPr="007E30A6">
        <w:t>5</w:t>
      </w:r>
      <w:r w:rsidRPr="007E30A6">
        <w:t>、核查评估过程中采取的所得税税率、优惠政策及所得税费用情况；</w:t>
      </w:r>
    </w:p>
    <w:p w14:paraId="08FBF11C" w14:textId="77777777" w:rsidR="00CD798F" w:rsidRPr="007E30A6" w:rsidRDefault="00CD798F" w:rsidP="00CD798F">
      <w:pPr>
        <w:pStyle w:val="005"/>
        <w:spacing w:before="120" w:after="120"/>
        <w:ind w:firstLine="480"/>
      </w:pPr>
      <w:r w:rsidRPr="007E30A6">
        <w:t>6</w:t>
      </w:r>
      <w:r w:rsidRPr="007E30A6">
        <w:t>、查阅并分析标的公司固定资产、无形资产、营运资金规模、存量资产使用、未来销售规模和资本性支出计划等情况；了解标的公司折旧摊销政策；对预测期资本性支出、折旧摊销金额、营运资本金额变动的合理性进行分析；</w:t>
      </w:r>
    </w:p>
    <w:p w14:paraId="445D71AC" w14:textId="77777777" w:rsidR="00CD798F" w:rsidRPr="007E30A6" w:rsidRDefault="00CD798F" w:rsidP="00CD798F">
      <w:pPr>
        <w:pStyle w:val="005"/>
        <w:spacing w:before="120" w:after="120"/>
        <w:ind w:firstLine="480"/>
      </w:pPr>
      <w:r w:rsidRPr="007E30A6">
        <w:t>7</w:t>
      </w:r>
      <w:r w:rsidRPr="007E30A6">
        <w:t>、分析与折现率相关的评估指引、证监会相关文件，核实折现率计算中资本结构选择的合理性；调查了解基准日时标的公司的资本结构以及未来的借款需求情况；收集分析证券市场交易案例的折现率计算方法、相关参数及结果，并与本次评估进行比较分析；</w:t>
      </w:r>
    </w:p>
    <w:p w14:paraId="4FDEBDA8" w14:textId="77777777" w:rsidR="00CD798F" w:rsidRPr="007E30A6" w:rsidRDefault="00CD798F" w:rsidP="00CD798F">
      <w:pPr>
        <w:pStyle w:val="005"/>
        <w:spacing w:before="120" w:after="120"/>
        <w:ind w:firstLine="480"/>
      </w:pPr>
      <w:r w:rsidRPr="007E30A6">
        <w:t>8</w:t>
      </w:r>
      <w:r w:rsidRPr="007E30A6">
        <w:t>、访谈公司管理层，了解湖南小充的经营情况及注销进展；复核长期股权投资的具体测算过程及测算依据，验证股权价值计算的合理性和公允性；</w:t>
      </w:r>
    </w:p>
    <w:p w14:paraId="2F1EBEA2" w14:textId="77777777" w:rsidR="00CD798F" w:rsidRPr="007E30A6" w:rsidRDefault="00CD798F" w:rsidP="00CD798F">
      <w:pPr>
        <w:pStyle w:val="005"/>
        <w:spacing w:before="120" w:after="120"/>
        <w:ind w:firstLine="480"/>
      </w:pPr>
      <w:r w:rsidRPr="007E30A6">
        <w:t>9</w:t>
      </w:r>
      <w:r w:rsidRPr="007E30A6">
        <w:t>、查询可比上市公司及市场可比交易案例情况，对比分析可比上市公司及市场可比交易案例具体业务结构和市净率等估值水平；</w:t>
      </w:r>
    </w:p>
    <w:p w14:paraId="49841635" w14:textId="77777777" w:rsidR="00CD798F" w:rsidRPr="007E30A6" w:rsidRDefault="00CD798F" w:rsidP="00CD798F">
      <w:pPr>
        <w:pStyle w:val="005"/>
        <w:spacing w:before="120" w:after="120"/>
        <w:ind w:firstLine="480"/>
      </w:pPr>
      <w:r w:rsidRPr="007E30A6">
        <w:t>10</w:t>
      </w:r>
      <w:r w:rsidRPr="007E30A6">
        <w:t>、取得并查阅标的公司自设立以来的工商登记资料，历次减资、股权转让的相关协议，增资及股权转让价款支付凭证；访谈公司管理层，了解历次减资、股权转让作价估值依据；</w:t>
      </w:r>
    </w:p>
    <w:p w14:paraId="6B54C26C" w14:textId="77777777" w:rsidR="00CD798F" w:rsidRPr="007E30A6" w:rsidRDefault="00CD798F" w:rsidP="00CD798F">
      <w:pPr>
        <w:pStyle w:val="005"/>
        <w:spacing w:before="120" w:after="120"/>
        <w:ind w:firstLine="480"/>
      </w:pPr>
      <w:r w:rsidRPr="007E30A6">
        <w:t>11</w:t>
      </w:r>
      <w:r w:rsidRPr="007E30A6">
        <w:t>、获取标的公司</w:t>
      </w:r>
      <w:r w:rsidRPr="007E30A6">
        <w:t>2025</w:t>
      </w:r>
      <w:r w:rsidRPr="007E30A6">
        <w:t>年度经营业绩数据；查阅行业研究报告和访谈管理层，了解标的公司所处行业政策、市场环境的变化及对标的公司估值的影响；复核本次收益法评估相关参数选取依据。</w:t>
      </w:r>
    </w:p>
    <w:p w14:paraId="2DB39AE7" w14:textId="77777777" w:rsidR="00CD798F" w:rsidRPr="007E30A6" w:rsidRDefault="00CD798F" w:rsidP="00CD798F">
      <w:pPr>
        <w:pStyle w:val="003"/>
        <w:spacing w:before="120" w:after="120"/>
        <w:ind w:firstLine="482"/>
      </w:pPr>
      <w:r w:rsidRPr="007E30A6">
        <w:t>（二）核查意见</w:t>
      </w:r>
    </w:p>
    <w:p w14:paraId="5E4A5886" w14:textId="77777777" w:rsidR="00CD798F" w:rsidRPr="007E30A6" w:rsidRDefault="00CD798F" w:rsidP="00CD798F">
      <w:pPr>
        <w:pStyle w:val="005"/>
        <w:spacing w:before="120" w:after="120"/>
        <w:ind w:firstLine="480"/>
      </w:pPr>
      <w:r w:rsidRPr="007E30A6">
        <w:t>经核查，</w:t>
      </w:r>
      <w:r>
        <w:rPr>
          <w:rFonts w:hint="eastAsia"/>
        </w:rPr>
        <w:t>评估师</w:t>
      </w:r>
      <w:r w:rsidRPr="007E30A6">
        <w:t>认为：</w:t>
      </w:r>
    </w:p>
    <w:p w14:paraId="6532E6E4" w14:textId="77777777" w:rsidR="00CD798F" w:rsidRPr="007E30A6" w:rsidRDefault="00CD798F" w:rsidP="00CD798F">
      <w:pPr>
        <w:pStyle w:val="005"/>
        <w:spacing w:before="120" w:after="120"/>
        <w:ind w:firstLine="480"/>
      </w:pPr>
      <w:r w:rsidRPr="007E30A6">
        <w:t>1</w:t>
      </w:r>
      <w:r w:rsidRPr="007E30A6">
        <w:t>、收益法评估中预测期各年各业务收入、毛利率等重要评估参数的具体预测情况、</w:t>
      </w:r>
      <w:r w:rsidRPr="007E30A6">
        <w:lastRenderedPageBreak/>
        <w:t>测算过程、测算依据具备合理性。</w:t>
      </w:r>
    </w:p>
    <w:p w14:paraId="6CD0AD57" w14:textId="77777777" w:rsidR="00CD798F" w:rsidRPr="007E30A6" w:rsidRDefault="00CD798F" w:rsidP="00CD798F">
      <w:pPr>
        <w:pStyle w:val="005"/>
        <w:spacing w:before="120" w:after="120"/>
        <w:ind w:firstLine="480"/>
      </w:pPr>
      <w:r w:rsidRPr="007E30A6">
        <w:t>2</w:t>
      </w:r>
      <w:r w:rsidRPr="007E30A6">
        <w:t>、收益法评估中预测期各业务收入的测算，已充分结合标的资产各业务的市场空间、行业竞争情况、下游智能自助设备行业的发展情况及趋势，标的资产的竞争优劣势、与主要客户合作的可持续性、新客户拓展情况，平台接入终端设备数量、客户数量、支付笔数及交易流水规模、服务费率、单用户贡献等核心运营指标和各类硬件设备单价、销量的变动情况、变化趋势、与同行业公司或同类产品的比较情况等，预测依据具备合理性和谨慎性。预测期内</w:t>
      </w:r>
      <w:r w:rsidRPr="007E30A6">
        <w:t>IoT</w:t>
      </w:r>
      <w:r w:rsidRPr="007E30A6">
        <w:t>智能硬件收入相对稳定的情况下</w:t>
      </w:r>
      <w:r w:rsidRPr="007E30A6">
        <w:t>SaaS</w:t>
      </w:r>
      <w:r w:rsidRPr="007E30A6">
        <w:t>云平台、数字增值服务收入维持增长主要系由于标的公司业务模式系通过维持活跃设备规模稳定增长，带动支付用户数量、交易流水等运营数据持续增加，进而支撑</w:t>
      </w:r>
      <w:r w:rsidRPr="007E30A6">
        <w:t>SaaS</w:t>
      </w:r>
      <w:r w:rsidRPr="007E30A6">
        <w:t>云平台、数字增值服务收入维持增长，具备合理性；</w:t>
      </w:r>
    </w:p>
    <w:p w14:paraId="1C96CDC1" w14:textId="77777777" w:rsidR="00CD798F" w:rsidRPr="007E30A6" w:rsidRDefault="00CD798F" w:rsidP="00CD798F">
      <w:pPr>
        <w:pStyle w:val="005"/>
        <w:spacing w:before="120" w:after="120"/>
        <w:ind w:firstLine="480"/>
      </w:pPr>
      <w:r w:rsidRPr="007E30A6">
        <w:t>3</w:t>
      </w:r>
      <w:r w:rsidRPr="007E30A6">
        <w:t>、标的公司预测期内各业务毛利率较报告期、同行业可比公司不存在显著差异等，各业务毛利率预测具备合理性和谨慎性；</w:t>
      </w:r>
    </w:p>
    <w:p w14:paraId="6060355C" w14:textId="77777777" w:rsidR="00CD798F" w:rsidRPr="007E30A6" w:rsidRDefault="00CD798F" w:rsidP="00CD798F">
      <w:pPr>
        <w:pStyle w:val="005"/>
        <w:spacing w:before="120" w:after="120"/>
        <w:ind w:firstLine="480"/>
      </w:pPr>
      <w:r w:rsidRPr="007E30A6">
        <w:t>4</w:t>
      </w:r>
      <w:r w:rsidRPr="007E30A6">
        <w:t>、预测期内期间费用率低于报告期平均水平且呈现逐年下降趋势具备合理性，足以支撑标的资产的持续发展；</w:t>
      </w:r>
    </w:p>
    <w:p w14:paraId="65EBF8DD" w14:textId="77777777" w:rsidR="00CD798F" w:rsidRPr="007E30A6" w:rsidRDefault="00CD798F" w:rsidP="00CD798F">
      <w:pPr>
        <w:pStyle w:val="005"/>
        <w:spacing w:before="120" w:after="120"/>
        <w:ind w:firstLine="480"/>
      </w:pPr>
      <w:r w:rsidRPr="007E30A6">
        <w:t>5</w:t>
      </w:r>
      <w:r w:rsidRPr="007E30A6">
        <w:t>、各子公司业绩及其少数股东权益价值的测算具备合理性和准确性；评估测算使用的所得税税率、优惠政策符合相关法律法规的规定；所得税费用的预测具备合理性和准确性；</w:t>
      </w:r>
    </w:p>
    <w:p w14:paraId="28B72C73" w14:textId="77777777" w:rsidR="00CD798F" w:rsidRPr="007E30A6" w:rsidRDefault="00CD798F" w:rsidP="00CD798F">
      <w:pPr>
        <w:pStyle w:val="005"/>
        <w:spacing w:before="120" w:after="120"/>
        <w:ind w:firstLine="480"/>
      </w:pPr>
      <w:r w:rsidRPr="007E30A6">
        <w:t>6</w:t>
      </w:r>
      <w:r w:rsidRPr="007E30A6">
        <w:t>、折旧与摊销、资本性支出金额呈下降趋势具备合理性，营运资本增加额均为负值主要系由于公司业务模式下应收款项周转率较快导致，具备合理性，与销售规模相匹配；</w:t>
      </w:r>
    </w:p>
    <w:p w14:paraId="1630FC6A" w14:textId="77777777" w:rsidR="00CD798F" w:rsidRPr="007E30A6" w:rsidRDefault="00CD798F" w:rsidP="00CD798F">
      <w:pPr>
        <w:pStyle w:val="005"/>
        <w:spacing w:before="120" w:after="120"/>
        <w:ind w:firstLine="480"/>
      </w:pPr>
      <w:r w:rsidRPr="007E30A6">
        <w:t>7</w:t>
      </w:r>
      <w:r w:rsidRPr="007E30A6">
        <w:t>、折现率确定过程中根据业务特征选取</w:t>
      </w:r>
      <w:r w:rsidRPr="007E30A6">
        <w:t>26</w:t>
      </w:r>
      <w:r w:rsidRPr="007E30A6">
        <w:t>家可比上市</w:t>
      </w:r>
      <w:r>
        <w:rPr>
          <w:rFonts w:hint="eastAsia"/>
        </w:rPr>
        <w:t>公司</w:t>
      </w:r>
      <w:r w:rsidRPr="007E30A6">
        <w:t>，具备合理性；折现率的预测具备合理性和谨慎性；</w:t>
      </w:r>
    </w:p>
    <w:p w14:paraId="705030AB" w14:textId="77777777" w:rsidR="00CD798F" w:rsidRPr="007E30A6" w:rsidRDefault="00CD798F" w:rsidP="00CD798F">
      <w:pPr>
        <w:pStyle w:val="005"/>
        <w:spacing w:before="120" w:after="120"/>
        <w:ind w:firstLine="480"/>
      </w:pPr>
      <w:r w:rsidRPr="007E30A6">
        <w:t>8</w:t>
      </w:r>
      <w:bookmarkStart w:id="4" w:name="_Hlk218951290"/>
      <w:r w:rsidRPr="007E30A6">
        <w:t>、截至本回复出具之日，湖南小充已无开展经营活动，正在进行工商注销备案</w:t>
      </w:r>
      <w:bookmarkEnd w:id="4"/>
      <w:r w:rsidRPr="007E30A6">
        <w:t>，以净资产与股比计算股权价值具备合理性和公允性；</w:t>
      </w:r>
    </w:p>
    <w:p w14:paraId="4F67F8DF" w14:textId="77777777" w:rsidR="00CD798F" w:rsidRPr="007E30A6" w:rsidRDefault="00CD798F" w:rsidP="00CD798F">
      <w:pPr>
        <w:pStyle w:val="005"/>
        <w:spacing w:before="120" w:after="120"/>
        <w:ind w:firstLine="480"/>
      </w:pPr>
      <w:r w:rsidRPr="007E30A6">
        <w:lastRenderedPageBreak/>
        <w:t>9</w:t>
      </w:r>
      <w:r w:rsidRPr="007E30A6">
        <w:t>、标的资产市净率高于可比上市公司主要系受星云开物</w:t>
      </w:r>
      <w:r>
        <w:rPr>
          <w:rFonts w:hint="eastAsia"/>
        </w:rPr>
        <w:t>轻资产</w:t>
      </w:r>
      <w:r w:rsidRPr="007E30A6">
        <w:t>经营模式及报告期内股份回购影响导致，具备合理性；</w:t>
      </w:r>
    </w:p>
    <w:p w14:paraId="62C35A74" w14:textId="77777777" w:rsidR="00CD798F" w:rsidRPr="007E30A6" w:rsidRDefault="00CD798F" w:rsidP="00CD798F">
      <w:pPr>
        <w:pStyle w:val="005"/>
        <w:spacing w:before="120" w:after="120"/>
        <w:ind w:firstLine="480"/>
      </w:pPr>
      <w:r w:rsidRPr="007E30A6">
        <w:t>10</w:t>
      </w:r>
      <w:r w:rsidRPr="007E30A6">
        <w:t>、标的资产最近三年内减资、股权转让的交易对应标的资产的估值及增减值情况主要系根据投资成本或投资成本加一定利息的形式确定，与本次重组评估结果存在差异，具备合理性；</w:t>
      </w:r>
    </w:p>
    <w:p w14:paraId="5C9E2989" w14:textId="0C48F50D" w:rsidR="00CD798F" w:rsidRDefault="00CD798F" w:rsidP="0048188A">
      <w:pPr>
        <w:pStyle w:val="005"/>
        <w:spacing w:before="120" w:after="120"/>
        <w:ind w:firstLine="480"/>
      </w:pPr>
      <w:r w:rsidRPr="007E30A6">
        <w:t>11</w:t>
      </w:r>
      <w:r w:rsidRPr="007E30A6">
        <w:t>、截至本回复出具之日，标的公司期后经营情况良好，行业政策、市场环境未发生重大变动，不存在影响评估结论的重要不确定事项。本次收益法评估相关参数选取谨慎、合理，预测过程准确、客观，交易定价公允，符合《重组办法》第十一条的规定。</w:t>
      </w:r>
      <w:bookmarkEnd w:id="1"/>
    </w:p>
    <w:p w14:paraId="3AAC5572" w14:textId="0400CB4F" w:rsidR="00CD798F" w:rsidRDefault="006A627B" w:rsidP="00CD798F">
      <w:pPr>
        <w:pStyle w:val="001"/>
        <w:spacing w:before="120" w:after="120"/>
        <w:ind w:firstLine="480"/>
      </w:pPr>
      <w:bookmarkStart w:id="5" w:name="_Toc218904450"/>
      <w:r>
        <w:rPr>
          <w:rFonts w:hint="eastAsia"/>
        </w:rPr>
        <w:lastRenderedPageBreak/>
        <w:t>问题</w:t>
      </w:r>
      <w:r>
        <w:rPr>
          <w:rFonts w:hint="eastAsia"/>
        </w:rPr>
        <w:t>2</w:t>
      </w:r>
      <w:r>
        <w:rPr>
          <w:rFonts w:hint="eastAsia"/>
        </w:rPr>
        <w:t>（原</w:t>
      </w:r>
      <w:r w:rsidR="00CD798F">
        <w:t>问题</w:t>
      </w:r>
      <w:r w:rsidR="00CD798F">
        <w:rPr>
          <w:rFonts w:hint="eastAsia"/>
        </w:rPr>
        <w:t>5</w:t>
      </w:r>
      <w:r>
        <w:rPr>
          <w:rFonts w:hint="eastAsia"/>
        </w:rPr>
        <w:t>）</w:t>
      </w:r>
      <w:r w:rsidR="00CD798F">
        <w:t>、</w:t>
      </w:r>
      <w:r w:rsidR="00CD798F" w:rsidRPr="007548AB">
        <w:rPr>
          <w:rFonts w:hint="eastAsia"/>
        </w:rPr>
        <w:t>关于市场法评估</w:t>
      </w:r>
      <w:bookmarkEnd w:id="5"/>
    </w:p>
    <w:p w14:paraId="0056C6BE" w14:textId="77777777" w:rsidR="00CD798F" w:rsidRDefault="00CD798F" w:rsidP="00CD798F">
      <w:pPr>
        <w:pStyle w:val="0050"/>
        <w:spacing w:before="120" w:after="120"/>
        <w:ind w:firstLine="480"/>
      </w:pPr>
      <w:r>
        <w:t>申请文件显示：</w:t>
      </w:r>
      <w:r w:rsidRPr="007548AB">
        <w:rPr>
          <w:rFonts w:hint="eastAsia"/>
        </w:rPr>
        <w:t>（</w:t>
      </w:r>
      <w:r w:rsidRPr="007548AB">
        <w:rPr>
          <w:rFonts w:hint="eastAsia"/>
        </w:rPr>
        <w:t>1</w:t>
      </w:r>
      <w:r w:rsidRPr="007548AB">
        <w:rPr>
          <w:rFonts w:hint="eastAsia"/>
        </w:rPr>
        <w:t>）标的资产股东全部权益的市场法评估值为</w:t>
      </w:r>
      <w:r w:rsidRPr="007548AB">
        <w:rPr>
          <w:rFonts w:hint="eastAsia"/>
        </w:rPr>
        <w:t>13.4</w:t>
      </w:r>
      <w:r w:rsidRPr="007548AB">
        <w:rPr>
          <w:rFonts w:hint="eastAsia"/>
        </w:rPr>
        <w:t>亿元，增值率为</w:t>
      </w:r>
      <w:r w:rsidRPr="007548AB">
        <w:rPr>
          <w:rFonts w:hint="eastAsia"/>
        </w:rPr>
        <w:t>730.32%</w:t>
      </w:r>
      <w:r w:rsidRPr="007548AB">
        <w:rPr>
          <w:rFonts w:hint="eastAsia"/>
        </w:rPr>
        <w:t>。（</w:t>
      </w:r>
      <w:r w:rsidRPr="007548AB">
        <w:rPr>
          <w:rFonts w:hint="eastAsia"/>
        </w:rPr>
        <w:t>2</w:t>
      </w:r>
      <w:r w:rsidRPr="007548AB">
        <w:rPr>
          <w:rFonts w:hint="eastAsia"/>
        </w:rPr>
        <w:t>）市场法评估中选取映翰通、广联达、石基信息</w:t>
      </w:r>
      <w:r w:rsidRPr="007548AB">
        <w:rPr>
          <w:rFonts w:hint="eastAsia"/>
        </w:rPr>
        <w:t>3</w:t>
      </w:r>
      <w:r w:rsidRPr="007548AB">
        <w:rPr>
          <w:rFonts w:hint="eastAsia"/>
        </w:rPr>
        <w:t>家上市公司作为可比公司，采用</w:t>
      </w:r>
      <w:r w:rsidRPr="007548AB">
        <w:rPr>
          <w:rFonts w:hint="eastAsia"/>
        </w:rPr>
        <w:t>EV/S</w:t>
      </w:r>
      <w:r w:rsidRPr="007548AB">
        <w:rPr>
          <w:rFonts w:hint="eastAsia"/>
        </w:rPr>
        <w:t>作为价值比率，并从企业规模、成长能力、盈利能力、运营能力、偿债能力、研发能力六个方面对价值比率进行修正。三家可比公司修正后价值比率</w:t>
      </w:r>
      <w:r w:rsidRPr="007548AB">
        <w:rPr>
          <w:rFonts w:hint="eastAsia"/>
        </w:rPr>
        <w:t>EV/S</w:t>
      </w:r>
      <w:r w:rsidRPr="007548AB">
        <w:rPr>
          <w:rFonts w:hint="eastAsia"/>
        </w:rPr>
        <w:t>分别为</w:t>
      </w:r>
      <w:r w:rsidRPr="007548AB">
        <w:rPr>
          <w:rFonts w:hint="eastAsia"/>
        </w:rPr>
        <w:t>2.57</w:t>
      </w:r>
      <w:r w:rsidRPr="007548AB">
        <w:rPr>
          <w:rFonts w:hint="eastAsia"/>
        </w:rPr>
        <w:t>、</w:t>
      </w:r>
      <w:r w:rsidRPr="007548AB">
        <w:rPr>
          <w:rFonts w:hint="eastAsia"/>
        </w:rPr>
        <w:t>1.89</w:t>
      </w:r>
      <w:r w:rsidRPr="007548AB">
        <w:rPr>
          <w:rFonts w:hint="eastAsia"/>
        </w:rPr>
        <w:t>和</w:t>
      </w:r>
      <w:r w:rsidRPr="007548AB">
        <w:rPr>
          <w:rFonts w:hint="eastAsia"/>
        </w:rPr>
        <w:t>4.91</w:t>
      </w:r>
      <w:r w:rsidRPr="007548AB">
        <w:rPr>
          <w:rFonts w:hint="eastAsia"/>
        </w:rPr>
        <w:t>，存在一定差异</w:t>
      </w:r>
      <w:r>
        <w:t>。</w:t>
      </w:r>
    </w:p>
    <w:p w14:paraId="1C130FB6" w14:textId="77777777" w:rsidR="00CD798F" w:rsidRDefault="00CD798F" w:rsidP="00CD798F">
      <w:pPr>
        <w:pStyle w:val="0050"/>
        <w:spacing w:before="120" w:after="120"/>
        <w:ind w:firstLine="480"/>
      </w:pPr>
      <w:r>
        <w:t>请上市公司补充披露：</w:t>
      </w:r>
      <w:r w:rsidRPr="007548AB">
        <w:rPr>
          <w:rFonts w:hint="eastAsia"/>
        </w:rPr>
        <w:t>（</w:t>
      </w:r>
      <w:r w:rsidRPr="007548AB">
        <w:rPr>
          <w:rFonts w:hint="eastAsia"/>
        </w:rPr>
        <w:t>1</w:t>
      </w:r>
      <w:r w:rsidRPr="007548AB">
        <w:rPr>
          <w:rFonts w:hint="eastAsia"/>
        </w:rPr>
        <w:t>）结合标的资产与映翰通等</w:t>
      </w:r>
      <w:r w:rsidRPr="007548AB">
        <w:rPr>
          <w:rFonts w:hint="eastAsia"/>
        </w:rPr>
        <w:t>3</w:t>
      </w:r>
      <w:r w:rsidRPr="007548AB">
        <w:rPr>
          <w:rFonts w:hint="eastAsia"/>
        </w:rPr>
        <w:t>家上市公司在业务结构、经营模式、企业规模、成长能力、盈利能力、所处经营阶段等方面的对比情况，披露选取的</w:t>
      </w:r>
      <w:r w:rsidRPr="007548AB">
        <w:rPr>
          <w:rFonts w:hint="eastAsia"/>
        </w:rPr>
        <w:t>3</w:t>
      </w:r>
      <w:r w:rsidRPr="007548AB">
        <w:rPr>
          <w:rFonts w:hint="eastAsia"/>
        </w:rPr>
        <w:t>家上市公司是否具有可比性。（</w:t>
      </w:r>
      <w:r w:rsidRPr="007548AB">
        <w:rPr>
          <w:rFonts w:hint="eastAsia"/>
        </w:rPr>
        <w:t>2</w:t>
      </w:r>
      <w:r w:rsidRPr="007548AB">
        <w:rPr>
          <w:rFonts w:hint="eastAsia"/>
        </w:rPr>
        <w:t>）结合标的资产所处行业特点及其发展阶段等因素，补充披露选择</w:t>
      </w:r>
      <w:r w:rsidRPr="007548AB">
        <w:rPr>
          <w:rFonts w:hint="eastAsia"/>
        </w:rPr>
        <w:t>EV/S</w:t>
      </w:r>
      <w:r w:rsidRPr="007548AB">
        <w:rPr>
          <w:rFonts w:hint="eastAsia"/>
        </w:rPr>
        <w:t>作为价值比率的原因及合理性，与行业内其他交易案例是否一致。（</w:t>
      </w:r>
      <w:r w:rsidRPr="007548AB">
        <w:rPr>
          <w:rFonts w:hint="eastAsia"/>
        </w:rPr>
        <w:t>3</w:t>
      </w:r>
      <w:r w:rsidRPr="007548AB">
        <w:rPr>
          <w:rFonts w:hint="eastAsia"/>
        </w:rPr>
        <w:t>）补充披露计算可比企业静态</w:t>
      </w:r>
      <w:r w:rsidRPr="007548AB">
        <w:rPr>
          <w:rFonts w:hint="eastAsia"/>
        </w:rPr>
        <w:t>EV/S</w:t>
      </w:r>
      <w:r w:rsidRPr="007548AB">
        <w:rPr>
          <w:rFonts w:hint="eastAsia"/>
        </w:rPr>
        <w:t>、修正价值比率、计算市场法评估值时所采用的各项指标、参数的取值时间、数据来源及具体测算过程。（</w:t>
      </w:r>
      <w:r w:rsidRPr="007548AB">
        <w:rPr>
          <w:rFonts w:hint="eastAsia"/>
        </w:rPr>
        <w:t>4</w:t>
      </w:r>
      <w:r w:rsidRPr="007548AB">
        <w:rPr>
          <w:rFonts w:hint="eastAsia"/>
        </w:rPr>
        <w:t>）价值比率修正过程中各维度及对应财务指标选取原因、选取依据及合理性，是否能充分体现不同公司的企业价值之间的核心差异，各可比公司调整后</w:t>
      </w:r>
      <w:r w:rsidRPr="007548AB">
        <w:rPr>
          <w:rFonts w:hint="eastAsia"/>
        </w:rPr>
        <w:t>EV/S</w:t>
      </w:r>
      <w:r w:rsidRPr="007548AB">
        <w:rPr>
          <w:rFonts w:hint="eastAsia"/>
        </w:rPr>
        <w:t>指标存在差异的原因及合理性等</w:t>
      </w:r>
      <w:r>
        <w:t>。</w:t>
      </w:r>
    </w:p>
    <w:p w14:paraId="224E84CC" w14:textId="77777777" w:rsidR="00CD798F" w:rsidRDefault="00CD798F" w:rsidP="00CD798F">
      <w:pPr>
        <w:pStyle w:val="0050"/>
        <w:spacing w:before="120" w:after="120"/>
        <w:ind w:firstLine="480"/>
      </w:pPr>
      <w:r w:rsidRPr="007548AB">
        <w:rPr>
          <w:rFonts w:hint="eastAsia"/>
        </w:rPr>
        <w:t>请独立财务顾问和评估师核查并发表明确意见</w:t>
      </w:r>
      <w:r>
        <w:t>。</w:t>
      </w:r>
    </w:p>
    <w:p w14:paraId="39495981" w14:textId="77777777" w:rsidR="00CD798F" w:rsidRPr="00197254" w:rsidRDefault="00CD798F" w:rsidP="00CD798F">
      <w:pPr>
        <w:spacing w:beforeLines="50" w:before="120" w:line="300" w:lineRule="auto"/>
        <w:ind w:firstLineChars="200" w:firstLine="482"/>
        <w:rPr>
          <w:rFonts w:ascii="Times New Roman" w:hAnsi="Times New Roman"/>
          <w:b/>
          <w:bCs/>
          <w:sz w:val="24"/>
        </w:rPr>
      </w:pPr>
      <w:r w:rsidRPr="00197254">
        <w:rPr>
          <w:rFonts w:ascii="Times New Roman" w:hAnsi="Times New Roman" w:hint="eastAsia"/>
          <w:b/>
          <w:bCs/>
          <w:sz w:val="24"/>
        </w:rPr>
        <w:t>回复：</w:t>
      </w:r>
    </w:p>
    <w:p w14:paraId="4DFB8A12" w14:textId="77777777" w:rsidR="00CD798F" w:rsidRPr="00672DC2" w:rsidRDefault="00CD798F" w:rsidP="00CD798F">
      <w:pPr>
        <w:keepNext/>
        <w:keepLines/>
        <w:spacing w:before="120" w:after="120" w:line="360" w:lineRule="auto"/>
        <w:ind w:firstLine="482"/>
        <w:outlineLvl w:val="1"/>
        <w:rPr>
          <w:rFonts w:ascii="宋体" w:hAnsi="宋体" w:hint="eastAsia"/>
          <w:b/>
          <w:bCs/>
          <w:sz w:val="24"/>
          <w:szCs w:val="24"/>
        </w:rPr>
      </w:pPr>
      <w:r w:rsidRPr="00672DC2">
        <w:rPr>
          <w:rFonts w:ascii="宋体" w:hAnsi="宋体"/>
          <w:b/>
          <w:bCs/>
          <w:sz w:val="24"/>
          <w:szCs w:val="24"/>
        </w:rPr>
        <w:t>一、</w:t>
      </w:r>
      <w:r w:rsidRPr="00672DC2">
        <w:rPr>
          <w:rFonts w:ascii="宋体" w:hAnsi="宋体" w:hint="eastAsia"/>
          <w:b/>
          <w:bCs/>
          <w:sz w:val="24"/>
          <w:szCs w:val="24"/>
        </w:rPr>
        <w:t>结合标的资产与映翰通等3家上市公司在业务结构、经营模式、企业规模、成长能力、盈利能力、所处经营阶段等方面的对比情况，披露选取的3家上市公司是否具有可比性。</w:t>
      </w:r>
    </w:p>
    <w:p w14:paraId="45ECB712" w14:textId="77777777" w:rsidR="00CD798F" w:rsidRPr="00336482" w:rsidRDefault="00CD798F" w:rsidP="00CD798F">
      <w:pPr>
        <w:pStyle w:val="005"/>
        <w:spacing w:before="120" w:after="120"/>
        <w:ind w:firstLine="480"/>
      </w:pPr>
      <w:r w:rsidRPr="00336482">
        <w:rPr>
          <w:rFonts w:hint="eastAsia"/>
        </w:rPr>
        <w:t>根据《资产评估执业准则——企业价值》第三十三条：资产评估专业人员应当关注业务结构、经营模式、企业规模、资产配置和使用情况、企业所处经营阶段、成长性、经营风险、财务风险等因素，恰当选择与被评估单位进行比较分析的可比企业。资产评估专业人员所选择的可比企业与被评估单位应当具有可比性。可比企业应当与被评估单位属于同一行业，或者受相同经济因素的影响。</w:t>
      </w:r>
    </w:p>
    <w:p w14:paraId="253801E9" w14:textId="77777777" w:rsidR="00CD798F" w:rsidRPr="00336482" w:rsidRDefault="00CD798F" w:rsidP="00CD798F">
      <w:pPr>
        <w:pStyle w:val="005"/>
        <w:spacing w:before="120" w:after="120"/>
        <w:ind w:firstLine="480"/>
      </w:pPr>
      <w:r w:rsidRPr="00336482">
        <w:rPr>
          <w:rFonts w:hint="eastAsia"/>
        </w:rPr>
        <w:t>本次市场法评估中可比公司的筛选首要考虑为经营模式的一致性，即与标的公司</w:t>
      </w:r>
      <w:r w:rsidRPr="00336482">
        <w:rPr>
          <w:rFonts w:hint="eastAsia"/>
        </w:rPr>
        <w:lastRenderedPageBreak/>
        <w:t>同属于“以物联网（</w:t>
      </w:r>
      <w:r w:rsidRPr="00336482">
        <w:rPr>
          <w:rFonts w:hint="eastAsia"/>
        </w:rPr>
        <w:t>IoT</w:t>
      </w:r>
      <w:r w:rsidRPr="00336482">
        <w:rPr>
          <w:rFonts w:hint="eastAsia"/>
        </w:rPr>
        <w:t>）智能硬件为入口，软件及云服务（</w:t>
      </w:r>
      <w:r>
        <w:rPr>
          <w:rFonts w:hint="eastAsia"/>
        </w:rPr>
        <w:t>SaaS</w:t>
      </w:r>
      <w:r w:rsidRPr="00336482">
        <w:rPr>
          <w:rFonts w:hint="eastAsia"/>
        </w:rPr>
        <w:t>）为长期价值变现载体”的行业范式。在此基础上，综合考虑业务结构、企业规模、成长能力、盈利能力、所处经营阶段等因素后予以确定。具体选取条件见本回复之“问题</w:t>
      </w:r>
      <w:r w:rsidRPr="00336482">
        <w:rPr>
          <w:rFonts w:hint="eastAsia"/>
        </w:rPr>
        <w:t>4</w:t>
      </w:r>
      <w:r w:rsidRPr="00336482">
        <w:rPr>
          <w:rFonts w:hint="eastAsia"/>
        </w:rPr>
        <w:t>、关于收益法评估”之“九、补充说明标的资产市净率高于可比上市公司的原因及合理性；可比上市公司、可比交易案例估值水平存在差异的原因，能否合理反映行业估值水平，与标的资产是否具有可比性”之“（二）可比上市公司、可比交易案例估值水平存在差异的原因，能否合理反映行业估值水平，与标的资产是否具有可比性”之“</w:t>
      </w:r>
      <w:r w:rsidRPr="00336482">
        <w:rPr>
          <w:rFonts w:hint="eastAsia"/>
        </w:rPr>
        <w:t>1</w:t>
      </w:r>
      <w:r w:rsidRPr="00336482">
        <w:rPr>
          <w:rFonts w:hint="eastAsia"/>
        </w:rPr>
        <w:t>、可比上市公司选取方式及估值水平分析”相关内容。</w:t>
      </w:r>
    </w:p>
    <w:p w14:paraId="70AE0F59" w14:textId="77777777" w:rsidR="00CD798F" w:rsidRPr="00336482" w:rsidRDefault="00CD798F" w:rsidP="00CD798F">
      <w:pPr>
        <w:spacing w:before="120" w:after="120"/>
        <w:ind w:firstLine="480"/>
      </w:pPr>
      <w:r w:rsidRPr="00336482">
        <w:rPr>
          <w:rFonts w:hint="eastAsia"/>
        </w:rPr>
        <w:t>标的公司与可比上市公司关于业务结构、经营模式、企业规模等方面的详细对比情况如下：</w:t>
      </w:r>
    </w:p>
    <w:tbl>
      <w:tblPr>
        <w:tblW w:w="6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127"/>
        <w:gridCol w:w="2455"/>
        <w:gridCol w:w="2372"/>
        <w:gridCol w:w="2349"/>
        <w:gridCol w:w="2570"/>
      </w:tblGrid>
      <w:tr w:rsidR="00CD798F" w:rsidRPr="002F5FE5" w14:paraId="03D767FB" w14:textId="77777777" w:rsidTr="00214723">
        <w:trPr>
          <w:cantSplit/>
          <w:trHeight w:val="454"/>
          <w:tblHeader/>
          <w:jc w:val="center"/>
        </w:trPr>
        <w:tc>
          <w:tcPr>
            <w:tcW w:w="518" w:type="pct"/>
            <w:noWrap/>
            <w:vAlign w:val="center"/>
            <w:hideMark/>
          </w:tcPr>
          <w:p w14:paraId="608FC304"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对比维度</w:t>
            </w:r>
          </w:p>
        </w:tc>
        <w:tc>
          <w:tcPr>
            <w:tcW w:w="1129" w:type="pct"/>
            <w:noWrap/>
            <w:vAlign w:val="center"/>
            <w:hideMark/>
          </w:tcPr>
          <w:p w14:paraId="063949B2"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星云开物</w:t>
            </w:r>
          </w:p>
        </w:tc>
        <w:tc>
          <w:tcPr>
            <w:tcW w:w="1091" w:type="pct"/>
            <w:noWrap/>
            <w:vAlign w:val="center"/>
            <w:hideMark/>
          </w:tcPr>
          <w:p w14:paraId="5ECCF1F3"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映翰通（</w:t>
            </w:r>
            <w:r w:rsidRPr="002F5FE5">
              <w:rPr>
                <w:rFonts w:ascii="Times New Roman" w:hAnsi="Times New Roman"/>
                <w:b/>
                <w:color w:val="000000"/>
              </w:rPr>
              <w:t>688080.SH</w:t>
            </w:r>
            <w:r w:rsidRPr="002F5FE5">
              <w:rPr>
                <w:rFonts w:ascii="Times New Roman" w:hAnsi="Times New Roman"/>
                <w:b/>
                <w:color w:val="000000"/>
              </w:rPr>
              <w:t>）</w:t>
            </w:r>
          </w:p>
        </w:tc>
        <w:tc>
          <w:tcPr>
            <w:tcW w:w="1080" w:type="pct"/>
            <w:noWrap/>
            <w:vAlign w:val="center"/>
            <w:hideMark/>
          </w:tcPr>
          <w:p w14:paraId="776AF1A2"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广联达（</w:t>
            </w:r>
            <w:r w:rsidRPr="002F5FE5">
              <w:rPr>
                <w:rFonts w:ascii="Times New Roman" w:hAnsi="Times New Roman"/>
                <w:b/>
                <w:color w:val="000000"/>
              </w:rPr>
              <w:t>002410.SZ</w:t>
            </w:r>
            <w:r w:rsidRPr="002F5FE5">
              <w:rPr>
                <w:rFonts w:ascii="Times New Roman" w:hAnsi="Times New Roman"/>
                <w:b/>
                <w:color w:val="000000"/>
              </w:rPr>
              <w:t>）</w:t>
            </w:r>
          </w:p>
        </w:tc>
        <w:tc>
          <w:tcPr>
            <w:tcW w:w="1183" w:type="pct"/>
            <w:noWrap/>
            <w:vAlign w:val="center"/>
            <w:hideMark/>
          </w:tcPr>
          <w:p w14:paraId="5CC4C571"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石基信息（</w:t>
            </w:r>
            <w:r w:rsidRPr="002F5FE5">
              <w:rPr>
                <w:rFonts w:ascii="Times New Roman" w:hAnsi="Times New Roman"/>
                <w:b/>
                <w:color w:val="000000"/>
              </w:rPr>
              <w:t>002153.SZ</w:t>
            </w:r>
            <w:r w:rsidRPr="002F5FE5">
              <w:rPr>
                <w:rFonts w:ascii="Times New Roman" w:hAnsi="Times New Roman"/>
                <w:b/>
                <w:color w:val="000000"/>
              </w:rPr>
              <w:t>）</w:t>
            </w:r>
          </w:p>
        </w:tc>
      </w:tr>
      <w:tr w:rsidR="00CD798F" w:rsidRPr="002F5FE5" w14:paraId="37441AC0" w14:textId="77777777" w:rsidTr="00214723">
        <w:trPr>
          <w:cantSplit/>
          <w:trHeight w:val="454"/>
          <w:jc w:val="center"/>
        </w:trPr>
        <w:tc>
          <w:tcPr>
            <w:tcW w:w="518" w:type="pct"/>
            <w:vAlign w:val="center"/>
            <w:hideMark/>
          </w:tcPr>
          <w:p w14:paraId="79BCB92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业务结构</w:t>
            </w:r>
          </w:p>
        </w:tc>
        <w:tc>
          <w:tcPr>
            <w:tcW w:w="1129" w:type="pct"/>
            <w:vAlign w:val="center"/>
            <w:hideMark/>
          </w:tcPr>
          <w:p w14:paraId="5819385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•IoT</w:t>
            </w:r>
            <w:r w:rsidRPr="002F5FE5">
              <w:rPr>
                <w:rFonts w:ascii="Times New Roman" w:hAnsi="Times New Roman"/>
                <w:color w:val="000000"/>
              </w:rPr>
              <w:t>智能硬件：通用型模块</w:t>
            </w:r>
            <w:r w:rsidRPr="002F5FE5">
              <w:rPr>
                <w:rFonts w:ascii="Times New Roman" w:hAnsi="Times New Roman"/>
                <w:color w:val="000000"/>
              </w:rPr>
              <w:t>SaaS</w:t>
            </w:r>
            <w:r w:rsidRPr="002F5FE5">
              <w:rPr>
                <w:rFonts w:ascii="Times New Roman" w:hAnsi="Times New Roman"/>
                <w:color w:val="000000"/>
              </w:rPr>
              <w:t>、智能通讯模组、四轮充电桩主板智能刷卡终端等</w:t>
            </w:r>
          </w:p>
          <w:p w14:paraId="5A93033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SaaS</w:t>
            </w:r>
            <w:r w:rsidRPr="002F5FE5">
              <w:rPr>
                <w:rFonts w:ascii="Times New Roman" w:hAnsi="Times New Roman"/>
                <w:color w:val="000000"/>
              </w:rPr>
              <w:t>云平台服务：商家服务、会员服务、收单外包服务等</w:t>
            </w:r>
          </w:p>
          <w:p w14:paraId="54F07714" w14:textId="77777777" w:rsidR="00CD798F" w:rsidRPr="002F5FE5" w:rsidRDefault="00CD798F" w:rsidP="00214723">
            <w:pPr>
              <w:rPr>
                <w:rFonts w:ascii="Times New Roman" w:hAnsi="Times New Roman"/>
              </w:rPr>
            </w:pPr>
            <w:r w:rsidRPr="002F5FE5">
              <w:rPr>
                <w:rFonts w:ascii="Times New Roman" w:hAnsi="Times New Roman"/>
                <w:color w:val="000000"/>
              </w:rPr>
              <w:t>数字增值服务：广告投放、流量引入等</w:t>
            </w:r>
          </w:p>
        </w:tc>
        <w:tc>
          <w:tcPr>
            <w:tcW w:w="1091" w:type="pct"/>
            <w:vAlign w:val="center"/>
            <w:hideMark/>
          </w:tcPr>
          <w:p w14:paraId="2815296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智能终端：工业路由器、工业网关、边缘计算网关</w:t>
            </w:r>
          </w:p>
          <w:p w14:paraId="4EE17CC0"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云平台：</w:t>
            </w:r>
            <w:r w:rsidRPr="002F5FE5">
              <w:rPr>
                <w:rFonts w:ascii="Times New Roman" w:hAnsi="Times New Roman"/>
                <w:color w:val="000000"/>
              </w:rPr>
              <w:t>InGatewayCloud</w:t>
            </w:r>
            <w:r w:rsidRPr="002F5FE5">
              <w:rPr>
                <w:rFonts w:ascii="Times New Roman" w:hAnsi="Times New Roman"/>
                <w:color w:val="000000"/>
              </w:rPr>
              <w:t>、映翰通云平台</w:t>
            </w:r>
          </w:p>
        </w:tc>
        <w:tc>
          <w:tcPr>
            <w:tcW w:w="1080" w:type="pct"/>
            <w:vAlign w:val="center"/>
            <w:hideMark/>
          </w:tcPr>
          <w:p w14:paraId="3B7BBE06"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数字化产品：数字造价、施工、设计软件</w:t>
            </w:r>
          </w:p>
          <w:p w14:paraId="1535B1B7"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云平台：</w:t>
            </w:r>
            <w:r w:rsidRPr="002F5FE5">
              <w:rPr>
                <w:rFonts w:ascii="Times New Roman" w:hAnsi="Times New Roman"/>
                <w:color w:val="000000"/>
              </w:rPr>
              <w:t>BIM</w:t>
            </w:r>
            <w:r w:rsidRPr="002F5FE5">
              <w:rPr>
                <w:rFonts w:ascii="Times New Roman" w:hAnsi="Times New Roman"/>
                <w:color w:val="000000"/>
              </w:rPr>
              <w:t>设计协同平台、建筑业务平台</w:t>
            </w:r>
          </w:p>
        </w:tc>
        <w:tc>
          <w:tcPr>
            <w:tcW w:w="1183" w:type="pct"/>
            <w:vAlign w:val="center"/>
            <w:hideMark/>
          </w:tcPr>
          <w:p w14:paraId="47EF828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信息系统：酒店</w:t>
            </w:r>
            <w:r w:rsidRPr="002F5FE5">
              <w:rPr>
                <w:rFonts w:ascii="Times New Roman" w:hAnsi="Times New Roman"/>
                <w:color w:val="000000"/>
              </w:rPr>
              <w:t>/</w:t>
            </w:r>
            <w:r w:rsidRPr="002F5FE5">
              <w:rPr>
                <w:rFonts w:ascii="Times New Roman" w:hAnsi="Times New Roman"/>
                <w:color w:val="000000"/>
              </w:rPr>
              <w:t>餐饮</w:t>
            </w:r>
            <w:r w:rsidRPr="002F5FE5">
              <w:rPr>
                <w:rFonts w:ascii="Times New Roman" w:hAnsi="Times New Roman"/>
                <w:color w:val="000000"/>
              </w:rPr>
              <w:t>POS</w:t>
            </w:r>
            <w:r w:rsidRPr="002F5FE5">
              <w:rPr>
                <w:rFonts w:ascii="Times New Roman" w:hAnsi="Times New Roman"/>
                <w:color w:val="000000"/>
              </w:rPr>
              <w:t>、支付网关</w:t>
            </w:r>
          </w:p>
          <w:p w14:paraId="4A6F9F6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云平台：酒店云</w:t>
            </w:r>
            <w:r w:rsidRPr="002F5FE5">
              <w:rPr>
                <w:rFonts w:ascii="Times New Roman" w:hAnsi="Times New Roman"/>
                <w:color w:val="000000"/>
              </w:rPr>
              <w:t>PMS</w:t>
            </w:r>
            <w:r w:rsidRPr="002F5FE5">
              <w:rPr>
                <w:rFonts w:ascii="Times New Roman" w:hAnsi="Times New Roman"/>
                <w:color w:val="000000"/>
              </w:rPr>
              <w:t>、餐饮云</w:t>
            </w:r>
            <w:r w:rsidRPr="002F5FE5">
              <w:rPr>
                <w:rFonts w:ascii="Times New Roman" w:hAnsi="Times New Roman"/>
                <w:color w:val="000000"/>
              </w:rPr>
              <w:t>ERP</w:t>
            </w:r>
          </w:p>
        </w:tc>
      </w:tr>
      <w:tr w:rsidR="00CD798F" w:rsidRPr="002F5FE5" w14:paraId="243C93C9" w14:textId="77777777" w:rsidTr="00214723">
        <w:trPr>
          <w:cantSplit/>
          <w:trHeight w:val="454"/>
          <w:jc w:val="center"/>
        </w:trPr>
        <w:tc>
          <w:tcPr>
            <w:tcW w:w="518" w:type="pct"/>
            <w:vAlign w:val="center"/>
            <w:hideMark/>
          </w:tcPr>
          <w:p w14:paraId="4AC2FEC8"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经营模式</w:t>
            </w:r>
          </w:p>
        </w:tc>
        <w:tc>
          <w:tcPr>
            <w:tcW w:w="1129" w:type="pct"/>
            <w:vAlign w:val="center"/>
            <w:hideMark/>
          </w:tcPr>
          <w:p w14:paraId="35B51FFD"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硬件</w:t>
            </w:r>
            <w:r w:rsidRPr="002F5FE5">
              <w:rPr>
                <w:rFonts w:ascii="Times New Roman" w:hAnsi="Times New Roman"/>
                <w:color w:val="000000"/>
              </w:rPr>
              <w:t>+SaaS”</w:t>
            </w:r>
            <w:r w:rsidRPr="002F5FE5">
              <w:rPr>
                <w:rFonts w:ascii="Times New Roman" w:hAnsi="Times New Roman"/>
                <w:color w:val="000000"/>
              </w:rPr>
              <w:t>双轮驱动。通过高性价比智能硬件快速获取客户，持续从</w:t>
            </w:r>
            <w:r w:rsidRPr="002F5FE5">
              <w:rPr>
                <w:rFonts w:ascii="Times New Roman" w:hAnsi="Times New Roman"/>
                <w:color w:val="000000"/>
              </w:rPr>
              <w:t>SaaS</w:t>
            </w:r>
            <w:r w:rsidRPr="002F5FE5">
              <w:rPr>
                <w:rFonts w:ascii="Times New Roman" w:hAnsi="Times New Roman"/>
                <w:color w:val="000000"/>
              </w:rPr>
              <w:t>订阅服务、数据增值服务中获得稳定、高毛利的经常性收入。</w:t>
            </w:r>
          </w:p>
        </w:tc>
        <w:tc>
          <w:tcPr>
            <w:tcW w:w="1091" w:type="pct"/>
            <w:vAlign w:val="center"/>
            <w:hideMark/>
          </w:tcPr>
          <w:p w14:paraId="009904E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硬件</w:t>
            </w:r>
            <w:r w:rsidRPr="002F5FE5">
              <w:rPr>
                <w:rFonts w:ascii="Times New Roman" w:hAnsi="Times New Roman"/>
                <w:color w:val="000000"/>
              </w:rPr>
              <w:t>+</w:t>
            </w:r>
            <w:r w:rsidRPr="002F5FE5">
              <w:rPr>
                <w:rFonts w:ascii="Times New Roman" w:hAnsi="Times New Roman"/>
                <w:color w:val="000000"/>
              </w:rPr>
              <w:t>云服务</w:t>
            </w:r>
            <w:r w:rsidRPr="002F5FE5">
              <w:rPr>
                <w:rFonts w:ascii="Times New Roman" w:hAnsi="Times New Roman"/>
                <w:color w:val="000000"/>
              </w:rPr>
              <w:t>”</w:t>
            </w:r>
            <w:r w:rsidRPr="002F5FE5">
              <w:rPr>
                <w:rFonts w:ascii="Times New Roman" w:hAnsi="Times New Roman"/>
                <w:color w:val="000000"/>
              </w:rPr>
              <w:t>模式。硬件销售是基础，通过云平台提供远程管理、数据分析等增值服务，形成持续性收入。</w:t>
            </w:r>
          </w:p>
        </w:tc>
        <w:tc>
          <w:tcPr>
            <w:tcW w:w="1080" w:type="pct"/>
            <w:vAlign w:val="center"/>
            <w:hideMark/>
          </w:tcPr>
          <w:p w14:paraId="095CE8A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云转型</w:t>
            </w:r>
            <w:r w:rsidRPr="002F5FE5">
              <w:rPr>
                <w:rFonts w:ascii="Times New Roman" w:hAnsi="Times New Roman"/>
                <w:color w:val="000000"/>
              </w:rPr>
              <w:t>”</w:t>
            </w:r>
            <w:r w:rsidRPr="002F5FE5">
              <w:rPr>
                <w:rFonts w:ascii="Times New Roman" w:hAnsi="Times New Roman"/>
                <w:color w:val="000000"/>
              </w:rPr>
              <w:t>模式。已基本完成从传统软件许可向</w:t>
            </w:r>
            <w:r w:rsidRPr="002F5FE5">
              <w:rPr>
                <w:rFonts w:ascii="Times New Roman" w:hAnsi="Times New Roman"/>
                <w:color w:val="000000"/>
              </w:rPr>
              <w:t>“</w:t>
            </w:r>
            <w:r w:rsidRPr="002F5FE5">
              <w:rPr>
                <w:rFonts w:ascii="Times New Roman" w:hAnsi="Times New Roman"/>
                <w:color w:val="000000"/>
              </w:rPr>
              <w:t>云订阅</w:t>
            </w:r>
            <w:r w:rsidRPr="002F5FE5">
              <w:rPr>
                <w:rFonts w:ascii="Times New Roman" w:hAnsi="Times New Roman"/>
                <w:color w:val="000000"/>
              </w:rPr>
              <w:t>”</w:t>
            </w:r>
            <w:r w:rsidRPr="002F5FE5">
              <w:rPr>
                <w:rFonts w:ascii="Times New Roman" w:hAnsi="Times New Roman"/>
                <w:color w:val="000000"/>
              </w:rPr>
              <w:t>模式的转型，收入主要来源于云服务的持续订阅费。</w:t>
            </w:r>
          </w:p>
        </w:tc>
        <w:tc>
          <w:tcPr>
            <w:tcW w:w="1183" w:type="pct"/>
            <w:vAlign w:val="center"/>
            <w:hideMark/>
          </w:tcPr>
          <w:p w14:paraId="4C56425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w:t>
            </w:r>
            <w:r w:rsidRPr="002F5FE5">
              <w:rPr>
                <w:rFonts w:ascii="Times New Roman" w:hAnsi="Times New Roman"/>
                <w:color w:val="000000"/>
              </w:rPr>
              <w:t>软件</w:t>
            </w:r>
            <w:r w:rsidRPr="002F5FE5">
              <w:rPr>
                <w:rFonts w:ascii="Times New Roman" w:hAnsi="Times New Roman"/>
                <w:color w:val="000000"/>
              </w:rPr>
              <w:t>+</w:t>
            </w:r>
            <w:r w:rsidRPr="002F5FE5">
              <w:rPr>
                <w:rFonts w:ascii="Times New Roman" w:hAnsi="Times New Roman"/>
                <w:color w:val="000000"/>
              </w:rPr>
              <w:t>服务</w:t>
            </w:r>
            <w:r w:rsidRPr="002F5FE5">
              <w:rPr>
                <w:rFonts w:ascii="Times New Roman" w:hAnsi="Times New Roman"/>
                <w:color w:val="000000"/>
              </w:rPr>
              <w:t>”</w:t>
            </w:r>
            <w:r w:rsidRPr="002F5FE5">
              <w:rPr>
                <w:rFonts w:ascii="Times New Roman" w:hAnsi="Times New Roman"/>
                <w:color w:val="000000"/>
              </w:rPr>
              <w:t>模式。正加速从本地部署软件向公有云</w:t>
            </w:r>
            <w:r w:rsidRPr="002F5FE5">
              <w:rPr>
                <w:rFonts w:ascii="Times New Roman" w:hAnsi="Times New Roman"/>
                <w:color w:val="000000"/>
              </w:rPr>
              <w:t>SaaS</w:t>
            </w:r>
            <w:r w:rsidRPr="002F5FE5">
              <w:rPr>
                <w:rFonts w:ascii="Times New Roman" w:hAnsi="Times New Roman"/>
                <w:color w:val="000000"/>
              </w:rPr>
              <w:t>模式转型，云业务收入占比持续提升。</w:t>
            </w:r>
          </w:p>
        </w:tc>
      </w:tr>
      <w:tr w:rsidR="00CD798F" w:rsidRPr="002F5FE5" w14:paraId="5FC8E192" w14:textId="77777777" w:rsidTr="00214723">
        <w:trPr>
          <w:cantSplit/>
          <w:trHeight w:val="454"/>
          <w:jc w:val="center"/>
        </w:trPr>
        <w:tc>
          <w:tcPr>
            <w:tcW w:w="518" w:type="pct"/>
            <w:vAlign w:val="center"/>
            <w:hideMark/>
          </w:tcPr>
          <w:p w14:paraId="42FE456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企业规模</w:t>
            </w:r>
          </w:p>
        </w:tc>
        <w:tc>
          <w:tcPr>
            <w:tcW w:w="1129" w:type="pct"/>
            <w:vAlign w:val="center"/>
            <w:hideMark/>
          </w:tcPr>
          <w:p w14:paraId="2FB99A3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营业收入约</w:t>
            </w:r>
            <w:r w:rsidRPr="002F5FE5">
              <w:rPr>
                <w:rFonts w:ascii="Times New Roman" w:hAnsi="Times New Roman"/>
                <w:color w:val="000000"/>
              </w:rPr>
              <w:t>4.5</w:t>
            </w:r>
            <w:r w:rsidRPr="002F5FE5">
              <w:rPr>
                <w:rFonts w:ascii="Times New Roman" w:hAnsi="Times New Roman"/>
                <w:color w:val="000000"/>
              </w:rPr>
              <w:t>亿元，员工超</w:t>
            </w:r>
            <w:r w:rsidRPr="002F5FE5">
              <w:rPr>
                <w:rFonts w:ascii="Times New Roman" w:hAnsi="Times New Roman"/>
                <w:color w:val="000000"/>
              </w:rPr>
              <w:t>500</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年数据），整体处于成长期企业规模水平。</w:t>
            </w:r>
          </w:p>
        </w:tc>
        <w:tc>
          <w:tcPr>
            <w:tcW w:w="1091" w:type="pct"/>
            <w:vAlign w:val="center"/>
            <w:hideMark/>
          </w:tcPr>
          <w:p w14:paraId="7E5F393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营业收入约</w:t>
            </w:r>
            <w:r w:rsidRPr="002F5FE5">
              <w:rPr>
                <w:rFonts w:ascii="Times New Roman" w:hAnsi="Times New Roman"/>
                <w:color w:val="000000"/>
              </w:rPr>
              <w:t>6.1</w:t>
            </w:r>
            <w:r w:rsidRPr="002F5FE5">
              <w:rPr>
                <w:rFonts w:ascii="Times New Roman" w:hAnsi="Times New Roman"/>
                <w:color w:val="000000"/>
              </w:rPr>
              <w:t>亿元，员工</w:t>
            </w:r>
            <w:r w:rsidRPr="002F5FE5">
              <w:rPr>
                <w:rFonts w:ascii="Times New Roman" w:hAnsi="Times New Roman"/>
                <w:color w:val="000000"/>
              </w:rPr>
              <w:t>424</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年数据），具备成熟成长期企业规模。</w:t>
            </w:r>
          </w:p>
        </w:tc>
        <w:tc>
          <w:tcPr>
            <w:tcW w:w="1080" w:type="pct"/>
            <w:vAlign w:val="center"/>
            <w:hideMark/>
          </w:tcPr>
          <w:p w14:paraId="2622635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营业收入约</w:t>
            </w:r>
            <w:r w:rsidRPr="002F5FE5">
              <w:rPr>
                <w:rFonts w:ascii="Times New Roman" w:hAnsi="Times New Roman"/>
                <w:color w:val="000000"/>
              </w:rPr>
              <w:t>62.4</w:t>
            </w:r>
            <w:r w:rsidRPr="002F5FE5">
              <w:rPr>
                <w:rFonts w:ascii="Times New Roman" w:hAnsi="Times New Roman"/>
                <w:color w:val="000000"/>
              </w:rPr>
              <w:t>亿元，员工</w:t>
            </w:r>
            <w:r w:rsidRPr="002F5FE5">
              <w:rPr>
                <w:rFonts w:ascii="Times New Roman" w:hAnsi="Times New Roman"/>
                <w:color w:val="000000"/>
              </w:rPr>
              <w:t>8,463</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年数据），属于大型成熟企业。</w:t>
            </w:r>
          </w:p>
        </w:tc>
        <w:tc>
          <w:tcPr>
            <w:tcW w:w="1183" w:type="pct"/>
            <w:vAlign w:val="center"/>
            <w:hideMark/>
          </w:tcPr>
          <w:p w14:paraId="10491C2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营业收入约</w:t>
            </w:r>
            <w:r w:rsidRPr="002F5FE5">
              <w:rPr>
                <w:rFonts w:ascii="Times New Roman" w:hAnsi="Times New Roman"/>
                <w:color w:val="000000"/>
              </w:rPr>
              <w:t>29.5</w:t>
            </w:r>
            <w:r w:rsidRPr="002F5FE5">
              <w:rPr>
                <w:rFonts w:ascii="Times New Roman" w:hAnsi="Times New Roman"/>
                <w:color w:val="000000"/>
              </w:rPr>
              <w:t>亿元，员工</w:t>
            </w:r>
            <w:r w:rsidRPr="002F5FE5">
              <w:rPr>
                <w:rFonts w:ascii="Times New Roman" w:hAnsi="Times New Roman"/>
                <w:color w:val="000000"/>
              </w:rPr>
              <w:t>5,018</w:t>
            </w:r>
            <w:r w:rsidRPr="002F5FE5">
              <w:rPr>
                <w:rFonts w:ascii="Times New Roman" w:hAnsi="Times New Roman"/>
                <w:color w:val="000000"/>
              </w:rPr>
              <w:t>人（</w:t>
            </w:r>
            <w:r w:rsidRPr="002F5FE5">
              <w:rPr>
                <w:rFonts w:ascii="Times New Roman" w:hAnsi="Times New Roman"/>
                <w:color w:val="000000"/>
              </w:rPr>
              <w:t>2024</w:t>
            </w:r>
            <w:r w:rsidRPr="002F5FE5">
              <w:rPr>
                <w:rFonts w:ascii="Times New Roman" w:hAnsi="Times New Roman"/>
                <w:color w:val="000000"/>
              </w:rPr>
              <w:t>年数据），规模介于中大型之间，处于战略转型阶段。</w:t>
            </w:r>
          </w:p>
        </w:tc>
      </w:tr>
      <w:tr w:rsidR="00CD798F" w:rsidRPr="002F5FE5" w14:paraId="35E08E13" w14:textId="77777777" w:rsidTr="00214723">
        <w:trPr>
          <w:cantSplit/>
          <w:trHeight w:val="454"/>
          <w:jc w:val="center"/>
        </w:trPr>
        <w:tc>
          <w:tcPr>
            <w:tcW w:w="518" w:type="pct"/>
            <w:vAlign w:val="center"/>
            <w:hideMark/>
          </w:tcPr>
          <w:p w14:paraId="3882981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lastRenderedPageBreak/>
              <w:t>成长能力</w:t>
            </w:r>
          </w:p>
        </w:tc>
        <w:tc>
          <w:tcPr>
            <w:tcW w:w="1129" w:type="pct"/>
            <w:vAlign w:val="center"/>
            <w:hideMark/>
          </w:tcPr>
          <w:p w14:paraId="0511CCC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依托覆盖全国</w:t>
            </w:r>
            <w:r w:rsidRPr="002F5FE5">
              <w:rPr>
                <w:rFonts w:ascii="Times New Roman" w:hAnsi="Times New Roman"/>
                <w:color w:val="000000"/>
              </w:rPr>
              <w:t>600</w:t>
            </w:r>
            <w:r w:rsidRPr="002F5FE5">
              <w:rPr>
                <w:rFonts w:ascii="Times New Roman" w:hAnsi="Times New Roman"/>
                <w:color w:val="000000"/>
              </w:rPr>
              <w:t>余城市的</w:t>
            </w:r>
            <w:r w:rsidRPr="002F5FE5">
              <w:rPr>
                <w:rFonts w:ascii="Times New Roman" w:hAnsi="Times New Roman"/>
                <w:color w:val="000000"/>
              </w:rPr>
              <w:t>300</w:t>
            </w:r>
            <w:r w:rsidRPr="002F5FE5">
              <w:rPr>
                <w:rFonts w:ascii="Times New Roman" w:hAnsi="Times New Roman"/>
                <w:color w:val="000000"/>
              </w:rPr>
              <w:t>万</w:t>
            </w:r>
            <w:r w:rsidRPr="002F5FE5">
              <w:rPr>
                <w:rFonts w:ascii="Times New Roman" w:hAnsi="Times New Roman"/>
                <w:color w:val="000000"/>
              </w:rPr>
              <w:t>+</w:t>
            </w:r>
            <w:r w:rsidRPr="002F5FE5">
              <w:rPr>
                <w:rFonts w:ascii="Times New Roman" w:hAnsi="Times New Roman"/>
                <w:color w:val="000000"/>
              </w:rPr>
              <w:t>台高频刚需自助设备网络，在社区充电、校园生活、交通枢纽等场景中形成强大网络效应与客户粘性，</w:t>
            </w:r>
            <w:r w:rsidRPr="002F5FE5">
              <w:rPr>
                <w:rFonts w:ascii="Times New Roman" w:hAnsi="Times New Roman"/>
                <w:color w:val="000000"/>
              </w:rPr>
              <w:t>SaaS</w:t>
            </w:r>
            <w:r w:rsidRPr="002F5FE5">
              <w:rPr>
                <w:rFonts w:ascii="Times New Roman" w:hAnsi="Times New Roman"/>
                <w:color w:val="000000"/>
              </w:rPr>
              <w:t>平台具备可持续变现能力，未来收入有望保持稳健增长。</w:t>
            </w:r>
          </w:p>
        </w:tc>
        <w:tc>
          <w:tcPr>
            <w:tcW w:w="1091" w:type="pct"/>
            <w:vAlign w:val="center"/>
            <w:hideMark/>
          </w:tcPr>
          <w:p w14:paraId="16EAA686"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受益于海外产能释放、</w:t>
            </w:r>
            <w:r w:rsidRPr="002F5FE5">
              <w:rPr>
                <w:rFonts w:ascii="Times New Roman" w:hAnsi="Times New Roman"/>
                <w:color w:val="000000"/>
              </w:rPr>
              <w:t>AI</w:t>
            </w:r>
            <w:r w:rsidRPr="002F5FE5">
              <w:rPr>
                <w:rFonts w:ascii="Times New Roman" w:hAnsi="Times New Roman"/>
                <w:color w:val="000000"/>
              </w:rPr>
              <w:t>边缘计算产品落地及电力</w:t>
            </w:r>
            <w:r w:rsidRPr="002F5FE5">
              <w:rPr>
                <w:rFonts w:ascii="Times New Roman" w:hAnsi="Times New Roman"/>
                <w:color w:val="000000"/>
              </w:rPr>
              <w:t>/</w:t>
            </w:r>
            <w:r w:rsidRPr="002F5FE5">
              <w:rPr>
                <w:rFonts w:ascii="Times New Roman" w:hAnsi="Times New Roman"/>
                <w:color w:val="000000"/>
              </w:rPr>
              <w:t>零售物联网高景气，全球订单饱满，展现出高成长性。</w:t>
            </w:r>
          </w:p>
        </w:tc>
        <w:tc>
          <w:tcPr>
            <w:tcW w:w="1080" w:type="pct"/>
            <w:vAlign w:val="center"/>
            <w:hideMark/>
          </w:tcPr>
          <w:p w14:paraId="4303122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作为建筑信息化龙头，在行业调整期展现韧性，增长主要来自云服务</w:t>
            </w:r>
            <w:r w:rsidRPr="002F5FE5">
              <w:rPr>
                <w:rFonts w:ascii="Times New Roman" w:hAnsi="Times New Roman"/>
                <w:color w:val="000000"/>
              </w:rPr>
              <w:t>ARPU</w:t>
            </w:r>
            <w:r w:rsidRPr="002F5FE5">
              <w:rPr>
                <w:rFonts w:ascii="Times New Roman" w:hAnsi="Times New Roman"/>
                <w:color w:val="000000"/>
              </w:rPr>
              <w:t>值提升及</w:t>
            </w:r>
            <w:r w:rsidRPr="002F5FE5">
              <w:rPr>
                <w:rFonts w:ascii="Times New Roman" w:hAnsi="Times New Roman"/>
                <w:color w:val="000000"/>
              </w:rPr>
              <w:t>AI</w:t>
            </w:r>
            <w:r w:rsidRPr="002F5FE5">
              <w:rPr>
                <w:rFonts w:ascii="Times New Roman" w:hAnsi="Times New Roman"/>
                <w:color w:val="000000"/>
              </w:rPr>
              <w:t>新场景培育，维持低速稳健增长。</w:t>
            </w:r>
          </w:p>
        </w:tc>
        <w:tc>
          <w:tcPr>
            <w:tcW w:w="1183" w:type="pct"/>
            <w:vAlign w:val="center"/>
            <w:hideMark/>
          </w:tcPr>
          <w:p w14:paraId="67DD750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国际酒店云</w:t>
            </w:r>
            <w:r w:rsidRPr="002F5FE5">
              <w:rPr>
                <w:rFonts w:ascii="Times New Roman" w:hAnsi="Times New Roman"/>
                <w:color w:val="000000"/>
              </w:rPr>
              <w:t>PMS</w:t>
            </w:r>
            <w:r w:rsidRPr="002F5FE5">
              <w:rPr>
                <w:rFonts w:ascii="Times New Roman" w:hAnsi="Times New Roman"/>
                <w:color w:val="000000"/>
              </w:rPr>
              <w:t>大客户切换基本完成，</w:t>
            </w:r>
            <w:r w:rsidRPr="002F5FE5">
              <w:rPr>
                <w:rFonts w:ascii="Times New Roman" w:hAnsi="Times New Roman"/>
                <w:color w:val="000000"/>
              </w:rPr>
              <w:t>SaaS</w:t>
            </w:r>
            <w:r w:rsidRPr="002F5FE5">
              <w:rPr>
                <w:rFonts w:ascii="Times New Roman" w:hAnsi="Times New Roman"/>
                <w:color w:val="000000"/>
              </w:rPr>
              <w:t>订阅收入进入加速确认期，云转型成效全面显现，重回恢复性高增长通道。</w:t>
            </w:r>
          </w:p>
        </w:tc>
      </w:tr>
      <w:tr w:rsidR="00CD798F" w:rsidRPr="002F5FE5" w14:paraId="6CCADCBA" w14:textId="77777777" w:rsidTr="00214723">
        <w:trPr>
          <w:cantSplit/>
          <w:trHeight w:val="454"/>
          <w:jc w:val="center"/>
        </w:trPr>
        <w:tc>
          <w:tcPr>
            <w:tcW w:w="518" w:type="pct"/>
            <w:vAlign w:val="center"/>
            <w:hideMark/>
          </w:tcPr>
          <w:p w14:paraId="02B74FA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盈利能力</w:t>
            </w:r>
          </w:p>
        </w:tc>
        <w:tc>
          <w:tcPr>
            <w:tcW w:w="1129" w:type="pct"/>
            <w:vAlign w:val="center"/>
            <w:hideMark/>
          </w:tcPr>
          <w:p w14:paraId="4D76E6C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毛利率为</w:t>
            </w:r>
            <w:r w:rsidRPr="002F5FE5">
              <w:rPr>
                <w:rFonts w:ascii="Times New Roman" w:hAnsi="Times New Roman"/>
                <w:color w:val="000000"/>
              </w:rPr>
              <w:t>62.96%</w:t>
            </w:r>
            <w:r w:rsidRPr="002F5FE5">
              <w:rPr>
                <w:rFonts w:ascii="Times New Roman" w:hAnsi="Times New Roman"/>
                <w:color w:val="000000"/>
              </w:rPr>
              <w:t>，</w:t>
            </w:r>
            <w:r w:rsidRPr="002F5FE5">
              <w:rPr>
                <w:rFonts w:ascii="Times New Roman" w:hAnsi="Times New Roman"/>
                <w:color w:val="000000"/>
              </w:rPr>
              <w:t>EBITDA</w:t>
            </w:r>
            <w:r w:rsidRPr="002F5FE5">
              <w:rPr>
                <w:rFonts w:ascii="Times New Roman" w:hAnsi="Times New Roman"/>
                <w:color w:val="000000"/>
              </w:rPr>
              <w:t>占营业收入比重达</w:t>
            </w:r>
            <w:r w:rsidRPr="002F5FE5">
              <w:rPr>
                <w:rFonts w:ascii="Times New Roman" w:hAnsi="Times New Roman"/>
                <w:color w:val="000000"/>
              </w:rPr>
              <w:t>28.6%</w:t>
            </w:r>
            <w:r w:rsidRPr="002F5FE5">
              <w:rPr>
                <w:rFonts w:ascii="Times New Roman" w:hAnsi="Times New Roman"/>
                <w:color w:val="000000"/>
              </w:rPr>
              <w:t>，净利率为</w:t>
            </w:r>
            <w:r w:rsidRPr="002F5FE5">
              <w:rPr>
                <w:rFonts w:ascii="Times New Roman" w:hAnsi="Times New Roman"/>
                <w:color w:val="000000"/>
              </w:rPr>
              <w:t>19.4%</w:t>
            </w:r>
            <w:r w:rsidRPr="002F5FE5">
              <w:rPr>
                <w:rFonts w:ascii="Times New Roman" w:hAnsi="Times New Roman"/>
                <w:color w:val="000000"/>
              </w:rPr>
              <w:t>，反映出其以高毛利</w:t>
            </w:r>
            <w:r w:rsidRPr="002F5FE5">
              <w:rPr>
                <w:rFonts w:ascii="Times New Roman" w:hAnsi="Times New Roman"/>
                <w:color w:val="000000"/>
              </w:rPr>
              <w:t>SaaS</w:t>
            </w:r>
            <w:r w:rsidRPr="002F5FE5">
              <w:rPr>
                <w:rFonts w:ascii="Times New Roman" w:hAnsi="Times New Roman"/>
                <w:color w:val="000000"/>
              </w:rPr>
              <w:t>服务为核心、轻资产运营为支撑的商业模式已具备较强的盈利转化能力，整体盈利能力较强。</w:t>
            </w:r>
          </w:p>
        </w:tc>
        <w:tc>
          <w:tcPr>
            <w:tcW w:w="1091" w:type="pct"/>
            <w:vAlign w:val="center"/>
            <w:hideMark/>
          </w:tcPr>
          <w:p w14:paraId="6580FDF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毛利率为</w:t>
            </w:r>
            <w:r w:rsidRPr="002F5FE5">
              <w:rPr>
                <w:rFonts w:ascii="Times New Roman" w:hAnsi="Times New Roman"/>
                <w:color w:val="000000"/>
              </w:rPr>
              <w:t>48.2%</w:t>
            </w:r>
            <w:r w:rsidRPr="002F5FE5">
              <w:rPr>
                <w:rFonts w:ascii="Times New Roman" w:hAnsi="Times New Roman"/>
                <w:color w:val="000000"/>
              </w:rPr>
              <w:t>，</w:t>
            </w:r>
            <w:r w:rsidRPr="002F5FE5">
              <w:rPr>
                <w:rFonts w:ascii="Times New Roman" w:hAnsi="Times New Roman"/>
                <w:color w:val="000000"/>
              </w:rPr>
              <w:t>EBITDA</w:t>
            </w:r>
            <w:r w:rsidRPr="002F5FE5">
              <w:rPr>
                <w:rFonts w:ascii="Times New Roman" w:hAnsi="Times New Roman"/>
                <w:color w:val="000000"/>
              </w:rPr>
              <w:t>占比</w:t>
            </w:r>
            <w:r w:rsidRPr="002F5FE5">
              <w:rPr>
                <w:rFonts w:ascii="Times New Roman" w:hAnsi="Times New Roman"/>
                <w:color w:val="000000"/>
              </w:rPr>
              <w:t>22.3%</w:t>
            </w:r>
            <w:r w:rsidRPr="002F5FE5">
              <w:rPr>
                <w:rFonts w:ascii="Times New Roman" w:hAnsi="Times New Roman"/>
                <w:color w:val="000000"/>
              </w:rPr>
              <w:t>，净利率</w:t>
            </w:r>
            <w:r w:rsidRPr="002F5FE5">
              <w:rPr>
                <w:rFonts w:ascii="Times New Roman" w:hAnsi="Times New Roman"/>
                <w:color w:val="000000"/>
              </w:rPr>
              <w:t>15.0%</w:t>
            </w:r>
            <w:r w:rsidRPr="002F5FE5">
              <w:rPr>
                <w:rFonts w:ascii="Times New Roman" w:hAnsi="Times New Roman"/>
                <w:color w:val="000000"/>
              </w:rPr>
              <w:t>，硬件与云服务协同发展，成本及费用控制较为稳健，整体盈利能力良好。</w:t>
            </w:r>
          </w:p>
        </w:tc>
        <w:tc>
          <w:tcPr>
            <w:tcW w:w="1080" w:type="pct"/>
            <w:vAlign w:val="center"/>
            <w:hideMark/>
          </w:tcPr>
          <w:p w14:paraId="209D00F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w:t>
            </w:r>
            <w:r w:rsidRPr="002F5FE5">
              <w:rPr>
                <w:rFonts w:ascii="Times New Roman" w:hAnsi="Times New Roman"/>
                <w:color w:val="000000"/>
              </w:rPr>
              <w:t>89.1%</w:t>
            </w:r>
            <w:r w:rsidRPr="002F5FE5">
              <w:rPr>
                <w:rFonts w:ascii="Times New Roman" w:hAnsi="Times New Roman"/>
                <w:color w:val="000000"/>
              </w:rPr>
              <w:t>，但受持续高强度研发投入及市场拓展支出影响，</w:t>
            </w:r>
            <w:r w:rsidRPr="002F5FE5">
              <w:rPr>
                <w:rFonts w:ascii="Times New Roman" w:hAnsi="Times New Roman"/>
                <w:color w:val="000000"/>
              </w:rPr>
              <w:t>EBITDA</w:t>
            </w:r>
            <w:r w:rsidRPr="002F5FE5">
              <w:rPr>
                <w:rFonts w:ascii="Times New Roman" w:hAnsi="Times New Roman"/>
                <w:color w:val="000000"/>
              </w:rPr>
              <w:t>占比（</w:t>
            </w:r>
            <w:r w:rsidRPr="002F5FE5">
              <w:rPr>
                <w:rFonts w:ascii="Times New Roman" w:hAnsi="Times New Roman"/>
                <w:color w:val="000000"/>
              </w:rPr>
              <w:t>18.5%</w:t>
            </w:r>
            <w:r w:rsidRPr="002F5FE5">
              <w:rPr>
                <w:rFonts w:ascii="Times New Roman" w:hAnsi="Times New Roman"/>
                <w:color w:val="000000"/>
              </w:rPr>
              <w:t>）与净利率（</w:t>
            </w:r>
            <w:r w:rsidRPr="002F5FE5">
              <w:rPr>
                <w:rFonts w:ascii="Times New Roman" w:hAnsi="Times New Roman"/>
                <w:color w:val="000000"/>
              </w:rPr>
              <w:t>10.0%</w:t>
            </w:r>
            <w:r w:rsidRPr="002F5FE5">
              <w:rPr>
                <w:rFonts w:ascii="Times New Roman" w:hAnsi="Times New Roman"/>
                <w:color w:val="000000"/>
              </w:rPr>
              <w:t>）相对偏低，整体盈利能力处于一般水平。</w:t>
            </w:r>
          </w:p>
        </w:tc>
        <w:tc>
          <w:tcPr>
            <w:tcW w:w="1183" w:type="pct"/>
            <w:vAlign w:val="center"/>
            <w:hideMark/>
          </w:tcPr>
          <w:p w14:paraId="423B020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毛利率为</w:t>
            </w:r>
            <w:r w:rsidRPr="002F5FE5">
              <w:rPr>
                <w:rFonts w:ascii="Times New Roman" w:hAnsi="Times New Roman"/>
                <w:color w:val="000000"/>
              </w:rPr>
              <w:t>42.5%</w:t>
            </w:r>
            <w:r w:rsidRPr="002F5FE5">
              <w:rPr>
                <w:rFonts w:ascii="Times New Roman" w:hAnsi="Times New Roman"/>
                <w:color w:val="000000"/>
              </w:rPr>
              <w:t>，</w:t>
            </w:r>
            <w:r w:rsidRPr="002F5FE5">
              <w:rPr>
                <w:rFonts w:ascii="Times New Roman" w:hAnsi="Times New Roman"/>
                <w:color w:val="000000"/>
              </w:rPr>
              <w:t>EBITDA</w:t>
            </w:r>
            <w:r w:rsidRPr="002F5FE5">
              <w:rPr>
                <w:rFonts w:ascii="Times New Roman" w:hAnsi="Times New Roman"/>
                <w:color w:val="000000"/>
              </w:rPr>
              <w:t>占比</w:t>
            </w:r>
            <w:r w:rsidRPr="002F5FE5">
              <w:rPr>
                <w:rFonts w:ascii="Times New Roman" w:hAnsi="Times New Roman"/>
                <w:color w:val="000000"/>
              </w:rPr>
              <w:t>5.2%</w:t>
            </w:r>
            <w:r w:rsidRPr="002F5FE5">
              <w:rPr>
                <w:rFonts w:ascii="Times New Roman" w:hAnsi="Times New Roman"/>
                <w:color w:val="000000"/>
              </w:rPr>
              <w:t>，净利率为</w:t>
            </w:r>
            <w:r w:rsidRPr="002F5FE5">
              <w:rPr>
                <w:rFonts w:ascii="Times New Roman" w:hAnsi="Times New Roman"/>
                <w:color w:val="000000"/>
              </w:rPr>
              <w:t>-8.3%</w:t>
            </w:r>
            <w:r w:rsidRPr="002F5FE5">
              <w:rPr>
                <w:rFonts w:ascii="Times New Roman" w:hAnsi="Times New Roman"/>
                <w:color w:val="000000"/>
              </w:rPr>
              <w:t>，主要系公司正处于国际酒店云</w:t>
            </w:r>
            <w:r w:rsidRPr="002F5FE5">
              <w:rPr>
                <w:rFonts w:ascii="Times New Roman" w:hAnsi="Times New Roman"/>
                <w:color w:val="000000"/>
              </w:rPr>
              <w:t>PMS</w:t>
            </w:r>
            <w:r w:rsidRPr="002F5FE5">
              <w:rPr>
                <w:rFonts w:ascii="Times New Roman" w:hAnsi="Times New Roman"/>
                <w:color w:val="000000"/>
              </w:rPr>
              <w:t>业务的战略投入阶段，相关研发与市场费用前置，当前盈利能力相对较弱，但具有阶段性特征。</w:t>
            </w:r>
          </w:p>
        </w:tc>
      </w:tr>
      <w:tr w:rsidR="00CD798F" w:rsidRPr="002F5FE5" w14:paraId="68F65DEE" w14:textId="77777777" w:rsidTr="00214723">
        <w:trPr>
          <w:cantSplit/>
          <w:trHeight w:val="454"/>
          <w:jc w:val="center"/>
        </w:trPr>
        <w:tc>
          <w:tcPr>
            <w:tcW w:w="518" w:type="pct"/>
            <w:vAlign w:val="center"/>
            <w:hideMark/>
          </w:tcPr>
          <w:p w14:paraId="3D82BF4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所处经营阶段</w:t>
            </w:r>
          </w:p>
        </w:tc>
        <w:tc>
          <w:tcPr>
            <w:tcW w:w="1129" w:type="pct"/>
            <w:vAlign w:val="center"/>
            <w:hideMark/>
          </w:tcPr>
          <w:p w14:paraId="5BF0323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成长期：已完成核心技术与产品的验证，正处于市场快速扩张和规模化复制阶段。</w:t>
            </w:r>
          </w:p>
        </w:tc>
        <w:tc>
          <w:tcPr>
            <w:tcW w:w="1091" w:type="pct"/>
            <w:vAlign w:val="center"/>
            <w:hideMark/>
          </w:tcPr>
          <w:p w14:paraId="28C2A59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成熟成长期：在工业物联网细分市场已建立稳固地位，增长趋于稳健。</w:t>
            </w:r>
          </w:p>
        </w:tc>
        <w:tc>
          <w:tcPr>
            <w:tcW w:w="1080" w:type="pct"/>
            <w:vAlign w:val="center"/>
            <w:hideMark/>
          </w:tcPr>
          <w:p w14:paraId="4E57949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成熟期：在建筑信息化领域占据绝对领先地位，进入高质量发展阶段。</w:t>
            </w:r>
          </w:p>
        </w:tc>
        <w:tc>
          <w:tcPr>
            <w:tcW w:w="1183" w:type="pct"/>
            <w:vAlign w:val="center"/>
            <w:hideMark/>
          </w:tcPr>
          <w:p w14:paraId="10ECD6BA"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战略转型期：正经历从传统软件向云服务的重大战略转型，短期业绩承压。</w:t>
            </w:r>
          </w:p>
        </w:tc>
      </w:tr>
    </w:tbl>
    <w:p w14:paraId="4E7E74C9" w14:textId="77777777" w:rsidR="00CD798F" w:rsidRDefault="00CD798F" w:rsidP="00CD798F">
      <w:pPr>
        <w:pStyle w:val="005"/>
        <w:spacing w:before="120" w:after="120"/>
        <w:ind w:firstLine="480"/>
      </w:pPr>
      <w:r w:rsidRPr="00336482">
        <w:rPr>
          <w:rFonts w:hint="eastAsia"/>
        </w:rPr>
        <w:t>标的公司与</w:t>
      </w:r>
      <w:r>
        <w:rPr>
          <w:rFonts w:hint="eastAsia"/>
        </w:rPr>
        <w:t>上述</w:t>
      </w:r>
      <w:r w:rsidRPr="00336482">
        <w:rPr>
          <w:rFonts w:hint="eastAsia"/>
        </w:rPr>
        <w:t>三家可比上市公司在业务结构、企业规模、成长能力、盈利能力及所处发展阶段上存在一定差异，但可比上市公司的经营模式与标的公司核心逻辑具有一致性</w:t>
      </w:r>
      <w:r>
        <w:rPr>
          <w:rFonts w:hint="eastAsia"/>
        </w:rPr>
        <w:t>。</w:t>
      </w:r>
      <w:r w:rsidRPr="00336482">
        <w:rPr>
          <w:rFonts w:hint="eastAsia"/>
        </w:rPr>
        <w:t>本次标的评估过程中已针对企业规模、成长能力、盈利能力等财务指标进行修正，充分考虑上述因素对评估值造成的影响，标的公司与本次市场法评估选取的</w:t>
      </w:r>
      <w:r w:rsidRPr="00336482">
        <w:rPr>
          <w:rFonts w:hint="eastAsia"/>
        </w:rPr>
        <w:t>3</w:t>
      </w:r>
      <w:r w:rsidRPr="00336482">
        <w:rPr>
          <w:rFonts w:hint="eastAsia"/>
        </w:rPr>
        <w:t>家上市公司具备可比性。</w:t>
      </w:r>
    </w:p>
    <w:p w14:paraId="6453307D" w14:textId="77777777" w:rsidR="00CD798F" w:rsidRPr="006E621F" w:rsidRDefault="00CD798F" w:rsidP="00CD798F">
      <w:pPr>
        <w:pStyle w:val="005"/>
        <w:spacing w:before="120" w:after="120"/>
        <w:ind w:firstLine="480"/>
      </w:pPr>
      <w:r w:rsidRPr="006E621F">
        <w:rPr>
          <w:rFonts w:hint="eastAsia"/>
        </w:rPr>
        <w:t>上述内容已在《重组报告书》“第六节</w:t>
      </w:r>
      <w:r w:rsidRPr="006E621F">
        <w:t xml:space="preserve"> </w:t>
      </w:r>
      <w:r w:rsidRPr="006E621F">
        <w:rPr>
          <w:rFonts w:hint="eastAsia"/>
        </w:rPr>
        <w:t>交易标的评估情况”之“二、标的公司评估基本情况”之“（四）市场法的评估情况及分析”之“</w:t>
      </w:r>
      <w:r w:rsidRPr="006E621F">
        <w:t>1</w:t>
      </w:r>
      <w:r w:rsidRPr="006E621F">
        <w:rPr>
          <w:rFonts w:hint="eastAsia"/>
        </w:rPr>
        <w:t>、市场法模型”之“（</w:t>
      </w:r>
      <w:r w:rsidRPr="006E621F">
        <w:t>1</w:t>
      </w:r>
      <w:r w:rsidRPr="006E621F">
        <w:rPr>
          <w:rFonts w:hint="eastAsia"/>
        </w:rPr>
        <w:t>）选取可比企业”补充披露。</w:t>
      </w:r>
    </w:p>
    <w:p w14:paraId="667813B5" w14:textId="77777777" w:rsidR="00CD798F" w:rsidRPr="00672DC2" w:rsidRDefault="00CD798F" w:rsidP="00CD798F">
      <w:pPr>
        <w:keepNext/>
        <w:keepLines/>
        <w:spacing w:before="120" w:after="120" w:line="360" w:lineRule="auto"/>
        <w:ind w:firstLine="482"/>
        <w:outlineLvl w:val="1"/>
        <w:rPr>
          <w:rFonts w:ascii="宋体" w:hAnsi="宋体" w:hint="eastAsia"/>
          <w:b/>
          <w:bCs/>
          <w:sz w:val="24"/>
          <w:szCs w:val="24"/>
        </w:rPr>
      </w:pPr>
      <w:r w:rsidRPr="00672DC2">
        <w:rPr>
          <w:rFonts w:ascii="宋体" w:hAnsi="宋体" w:hint="eastAsia"/>
          <w:b/>
          <w:bCs/>
          <w:sz w:val="24"/>
          <w:szCs w:val="24"/>
        </w:rPr>
        <w:lastRenderedPageBreak/>
        <w:t>二</w:t>
      </w:r>
      <w:r w:rsidRPr="00672DC2">
        <w:rPr>
          <w:rFonts w:ascii="宋体" w:hAnsi="宋体"/>
          <w:b/>
          <w:bCs/>
          <w:sz w:val="24"/>
          <w:szCs w:val="24"/>
        </w:rPr>
        <w:t>、</w:t>
      </w:r>
      <w:r w:rsidRPr="00672DC2">
        <w:rPr>
          <w:rFonts w:ascii="宋体" w:hAnsi="宋体" w:hint="eastAsia"/>
          <w:b/>
          <w:bCs/>
          <w:sz w:val="24"/>
          <w:szCs w:val="24"/>
        </w:rPr>
        <w:t>结合标的资产所处行业特点及其发展阶段等因素，补充披露选择EV/S作为价值比率的原因及合理性，与行业内其他交易案例是否一致。</w:t>
      </w:r>
    </w:p>
    <w:p w14:paraId="279900F7" w14:textId="77777777" w:rsidR="00CD798F" w:rsidRPr="00672DC2" w:rsidRDefault="00CD798F" w:rsidP="00CD798F">
      <w:pPr>
        <w:keepNext/>
        <w:keepLines/>
        <w:spacing w:before="120" w:after="120" w:line="360" w:lineRule="auto"/>
        <w:ind w:firstLine="482"/>
        <w:outlineLvl w:val="2"/>
        <w:rPr>
          <w:rFonts w:ascii="宋体" w:hAnsi="宋体" w:hint="eastAsia"/>
          <w:b/>
          <w:bCs/>
          <w:sz w:val="24"/>
          <w:szCs w:val="24"/>
        </w:rPr>
      </w:pPr>
      <w:bookmarkStart w:id="6" w:name="_Hlk220169890"/>
      <w:r w:rsidRPr="00672DC2">
        <w:rPr>
          <w:rFonts w:ascii="宋体" w:hAnsi="宋体" w:hint="eastAsia"/>
          <w:b/>
          <w:bCs/>
          <w:sz w:val="24"/>
          <w:szCs w:val="24"/>
        </w:rPr>
        <w:t>（一）根据线性回归分析及近期案例，市盈率及市净率适用性较低</w:t>
      </w:r>
    </w:p>
    <w:p w14:paraId="33C6C106"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为判断不同价值比率对标的公司所属行业的适用性，本次评估以</w:t>
      </w:r>
      <w:r w:rsidRPr="002F5FE5">
        <w:rPr>
          <w:rFonts w:ascii="Times New Roman" w:hAnsi="Times New Roman"/>
          <w:sz w:val="24"/>
          <w:szCs w:val="24"/>
        </w:rPr>
        <w:t>A</w:t>
      </w:r>
      <w:r w:rsidRPr="002F5FE5">
        <w:rPr>
          <w:rFonts w:ascii="Times New Roman" w:hAnsi="Times New Roman"/>
          <w:sz w:val="24"/>
          <w:szCs w:val="24"/>
        </w:rPr>
        <w:t>股资本市场</w:t>
      </w:r>
      <w:r w:rsidRPr="002F5FE5">
        <w:rPr>
          <w:rFonts w:ascii="Times New Roman" w:hAnsi="Times New Roman"/>
          <w:sz w:val="24"/>
          <w:szCs w:val="24"/>
        </w:rPr>
        <w:t>26</w:t>
      </w:r>
      <w:r w:rsidRPr="002F5FE5">
        <w:rPr>
          <w:rFonts w:ascii="Times New Roman" w:hAnsi="Times New Roman"/>
          <w:sz w:val="24"/>
          <w:szCs w:val="24"/>
        </w:rPr>
        <w:t>家从事物联网或</w:t>
      </w:r>
      <w:r w:rsidRPr="002F5FE5">
        <w:rPr>
          <w:rFonts w:ascii="Times New Roman" w:hAnsi="Times New Roman"/>
          <w:sz w:val="24"/>
          <w:szCs w:val="24"/>
        </w:rPr>
        <w:t>SaaS</w:t>
      </w:r>
      <w:r w:rsidRPr="002F5FE5">
        <w:rPr>
          <w:rFonts w:ascii="Times New Roman" w:hAnsi="Times New Roman"/>
          <w:sz w:val="24"/>
          <w:szCs w:val="24"/>
        </w:rPr>
        <w:t>业务相关的上市公司作为样本，对上市公司价值与净利润、净资产、营业收入之间的相关性进行线性回归分析，线性回归结果显示，企业价值与营业收入比率</w:t>
      </w:r>
      <w:r w:rsidRPr="002F5FE5">
        <w:rPr>
          <w:rFonts w:ascii="Times New Roman" w:hAnsi="Times New Roman"/>
          <w:sz w:val="24"/>
          <w:szCs w:val="24"/>
        </w:rPr>
        <w:t>(EV/S)</w:t>
      </w:r>
      <w:r w:rsidRPr="002F5FE5">
        <w:rPr>
          <w:rFonts w:ascii="Times New Roman" w:hAnsi="Times New Roman"/>
          <w:sz w:val="24"/>
          <w:szCs w:val="24"/>
        </w:rPr>
        <w:t>、市销率</w:t>
      </w:r>
      <w:r w:rsidRPr="002F5FE5">
        <w:rPr>
          <w:rFonts w:ascii="Times New Roman" w:hAnsi="Times New Roman"/>
          <w:sz w:val="24"/>
          <w:szCs w:val="24"/>
        </w:rPr>
        <w:t>(P/S)</w:t>
      </w:r>
      <w:r w:rsidRPr="002F5FE5">
        <w:rPr>
          <w:rFonts w:ascii="Times New Roman" w:hAnsi="Times New Roman"/>
          <w:sz w:val="24"/>
          <w:szCs w:val="24"/>
        </w:rPr>
        <w:t>、市净率</w:t>
      </w:r>
      <w:r w:rsidRPr="002F5FE5">
        <w:rPr>
          <w:rFonts w:ascii="Times New Roman" w:hAnsi="Times New Roman"/>
          <w:sz w:val="24"/>
          <w:szCs w:val="24"/>
        </w:rPr>
        <w:t xml:space="preserve">(P/B) </w:t>
      </w:r>
      <w:r w:rsidRPr="002F5FE5">
        <w:rPr>
          <w:rFonts w:ascii="Times New Roman" w:hAnsi="Times New Roman"/>
          <w:sz w:val="24"/>
          <w:szCs w:val="24"/>
        </w:rPr>
        <w:t>相关系数显著高于市盈率</w:t>
      </w:r>
      <w:r w:rsidRPr="002F5FE5">
        <w:rPr>
          <w:rFonts w:ascii="Times New Roman" w:hAnsi="Times New Roman"/>
          <w:sz w:val="24"/>
          <w:szCs w:val="24"/>
        </w:rPr>
        <w:t>(P/E)</w:t>
      </w:r>
      <w:r w:rsidRPr="002F5FE5">
        <w:rPr>
          <w:rFonts w:ascii="Times New Roman" w:hAnsi="Times New Roman"/>
          <w:sz w:val="24"/>
          <w:szCs w:val="24"/>
        </w:rPr>
        <w:t>，具体如下表所示：</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977"/>
        <w:gridCol w:w="1856"/>
        <w:gridCol w:w="1718"/>
        <w:gridCol w:w="1705"/>
        <w:gridCol w:w="1805"/>
      </w:tblGrid>
      <w:tr w:rsidR="00CD798F" w:rsidRPr="002F5FE5" w14:paraId="36B4694F" w14:textId="77777777" w:rsidTr="00214723">
        <w:trPr>
          <w:cantSplit/>
          <w:trHeight w:val="454"/>
          <w:tblHeader/>
          <w:jc w:val="center"/>
        </w:trPr>
        <w:tc>
          <w:tcPr>
            <w:tcW w:w="1091" w:type="pct"/>
            <w:noWrap/>
            <w:vAlign w:val="center"/>
          </w:tcPr>
          <w:p w14:paraId="6AE7CCFB" w14:textId="77777777" w:rsidR="00CD798F" w:rsidRPr="002F5FE5" w:rsidRDefault="00CD798F" w:rsidP="00214723">
            <w:pPr>
              <w:keepNext/>
              <w:rPr>
                <w:rFonts w:ascii="Times New Roman" w:hAnsi="Times New Roman"/>
                <w:bCs/>
                <w:color w:val="000000"/>
              </w:rPr>
            </w:pPr>
            <w:r w:rsidRPr="002F5FE5">
              <w:rPr>
                <w:rFonts w:ascii="Times New Roman" w:hAnsi="Times New Roman"/>
                <w:bCs/>
                <w:color w:val="000000"/>
              </w:rPr>
              <w:t>因变量</w:t>
            </w:r>
          </w:p>
        </w:tc>
        <w:tc>
          <w:tcPr>
            <w:tcW w:w="2913" w:type="pct"/>
            <w:gridSpan w:val="3"/>
            <w:noWrap/>
            <w:vAlign w:val="center"/>
          </w:tcPr>
          <w:p w14:paraId="59AFB62A"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P</w:t>
            </w:r>
          </w:p>
        </w:tc>
        <w:tc>
          <w:tcPr>
            <w:tcW w:w="996" w:type="pct"/>
            <w:noWrap/>
            <w:vAlign w:val="center"/>
          </w:tcPr>
          <w:p w14:paraId="44EC4233"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EV</w:t>
            </w:r>
          </w:p>
        </w:tc>
      </w:tr>
      <w:tr w:rsidR="00CD798F" w:rsidRPr="002F5FE5" w14:paraId="72D00A1E" w14:textId="77777777" w:rsidTr="00214723">
        <w:trPr>
          <w:cantSplit/>
          <w:trHeight w:val="454"/>
          <w:jc w:val="center"/>
        </w:trPr>
        <w:tc>
          <w:tcPr>
            <w:tcW w:w="1091" w:type="pct"/>
            <w:vAlign w:val="center"/>
          </w:tcPr>
          <w:p w14:paraId="4238B9D1"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自变量</w:t>
            </w:r>
          </w:p>
        </w:tc>
        <w:tc>
          <w:tcPr>
            <w:tcW w:w="1024" w:type="pct"/>
            <w:vAlign w:val="center"/>
          </w:tcPr>
          <w:p w14:paraId="153D50A8" w14:textId="77777777" w:rsidR="00CD798F" w:rsidRPr="002F5FE5" w:rsidRDefault="00CD798F" w:rsidP="00214723">
            <w:pPr>
              <w:jc w:val="center"/>
              <w:rPr>
                <w:rFonts w:ascii="Times New Roman" w:hAnsi="Times New Roman"/>
                <w:b/>
                <w:bCs/>
              </w:rPr>
            </w:pPr>
            <w:r w:rsidRPr="002F5FE5">
              <w:rPr>
                <w:rFonts w:ascii="Times New Roman" w:hAnsi="Times New Roman"/>
                <w:b/>
                <w:bCs/>
              </w:rPr>
              <w:t>B</w:t>
            </w:r>
          </w:p>
        </w:tc>
        <w:tc>
          <w:tcPr>
            <w:tcW w:w="948" w:type="pct"/>
            <w:vAlign w:val="center"/>
          </w:tcPr>
          <w:p w14:paraId="6C4C0CAD" w14:textId="77777777" w:rsidR="00CD798F" w:rsidRPr="002F5FE5" w:rsidRDefault="00CD798F" w:rsidP="00214723">
            <w:pPr>
              <w:jc w:val="center"/>
              <w:rPr>
                <w:rFonts w:ascii="Times New Roman" w:hAnsi="Times New Roman"/>
                <w:b/>
                <w:bCs/>
                <w:color w:val="000000"/>
              </w:rPr>
            </w:pPr>
            <w:r w:rsidRPr="002F5FE5">
              <w:rPr>
                <w:rFonts w:ascii="Times New Roman" w:hAnsi="Times New Roman"/>
                <w:b/>
                <w:bCs/>
                <w:color w:val="000000"/>
              </w:rPr>
              <w:t>E</w:t>
            </w:r>
          </w:p>
        </w:tc>
        <w:tc>
          <w:tcPr>
            <w:tcW w:w="941" w:type="pct"/>
            <w:vAlign w:val="center"/>
          </w:tcPr>
          <w:p w14:paraId="3C8F4C46" w14:textId="77777777" w:rsidR="00CD798F" w:rsidRPr="002F5FE5" w:rsidRDefault="00CD798F" w:rsidP="00214723">
            <w:pPr>
              <w:jc w:val="center"/>
              <w:rPr>
                <w:rFonts w:ascii="Times New Roman" w:hAnsi="Times New Roman"/>
                <w:b/>
                <w:bCs/>
                <w:color w:val="000000"/>
              </w:rPr>
            </w:pPr>
            <w:r w:rsidRPr="002F5FE5">
              <w:rPr>
                <w:rFonts w:ascii="Times New Roman" w:hAnsi="Times New Roman"/>
                <w:b/>
                <w:bCs/>
                <w:color w:val="000000"/>
              </w:rPr>
              <w:t>S</w:t>
            </w:r>
          </w:p>
        </w:tc>
        <w:tc>
          <w:tcPr>
            <w:tcW w:w="996" w:type="pct"/>
            <w:vAlign w:val="center"/>
          </w:tcPr>
          <w:p w14:paraId="606DE3FB" w14:textId="77777777" w:rsidR="00CD798F" w:rsidRPr="002F5FE5" w:rsidRDefault="00CD798F" w:rsidP="00214723">
            <w:pPr>
              <w:jc w:val="center"/>
              <w:rPr>
                <w:rFonts w:ascii="Times New Roman" w:hAnsi="Times New Roman"/>
                <w:b/>
                <w:bCs/>
                <w:color w:val="000000"/>
              </w:rPr>
            </w:pPr>
            <w:r w:rsidRPr="002F5FE5">
              <w:rPr>
                <w:rFonts w:ascii="Times New Roman" w:hAnsi="Times New Roman"/>
                <w:b/>
                <w:bCs/>
                <w:color w:val="000000"/>
              </w:rPr>
              <w:t>S</w:t>
            </w:r>
          </w:p>
        </w:tc>
      </w:tr>
      <w:tr w:rsidR="00CD798F" w:rsidRPr="002F5FE5" w14:paraId="16AA7846" w14:textId="77777777" w:rsidTr="00214723">
        <w:trPr>
          <w:cantSplit/>
          <w:trHeight w:val="454"/>
          <w:jc w:val="center"/>
        </w:trPr>
        <w:tc>
          <w:tcPr>
            <w:tcW w:w="1091" w:type="pct"/>
            <w:vAlign w:val="center"/>
          </w:tcPr>
          <w:p w14:paraId="32211D5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相关系数</w:t>
            </w:r>
          </w:p>
        </w:tc>
        <w:tc>
          <w:tcPr>
            <w:tcW w:w="1024" w:type="pct"/>
            <w:vAlign w:val="center"/>
          </w:tcPr>
          <w:p w14:paraId="3B6FFAA9"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0.6930</w:t>
            </w:r>
          </w:p>
        </w:tc>
        <w:tc>
          <w:tcPr>
            <w:tcW w:w="948" w:type="pct"/>
            <w:vAlign w:val="center"/>
          </w:tcPr>
          <w:p w14:paraId="51EFEDA0"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0.1865</w:t>
            </w:r>
          </w:p>
        </w:tc>
        <w:tc>
          <w:tcPr>
            <w:tcW w:w="941" w:type="pct"/>
            <w:vAlign w:val="center"/>
          </w:tcPr>
          <w:p w14:paraId="7C7BF0DB"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0.6827</w:t>
            </w:r>
          </w:p>
        </w:tc>
        <w:tc>
          <w:tcPr>
            <w:tcW w:w="996" w:type="pct"/>
            <w:vAlign w:val="center"/>
          </w:tcPr>
          <w:p w14:paraId="39D40AA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0.7058</w:t>
            </w:r>
          </w:p>
        </w:tc>
      </w:tr>
      <w:tr w:rsidR="00CD798F" w:rsidRPr="002F5FE5" w14:paraId="7BD2618F" w14:textId="77777777" w:rsidTr="00214723">
        <w:trPr>
          <w:cantSplit/>
          <w:trHeight w:val="454"/>
          <w:jc w:val="center"/>
        </w:trPr>
        <w:tc>
          <w:tcPr>
            <w:tcW w:w="1091" w:type="pct"/>
            <w:vAlign w:val="center"/>
          </w:tcPr>
          <w:p w14:paraId="24D4DEB6"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拟合度</w:t>
            </w:r>
          </w:p>
        </w:tc>
        <w:tc>
          <w:tcPr>
            <w:tcW w:w="1024" w:type="pct"/>
            <w:vAlign w:val="center"/>
          </w:tcPr>
          <w:p w14:paraId="1570B85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0.4803</w:t>
            </w:r>
          </w:p>
        </w:tc>
        <w:tc>
          <w:tcPr>
            <w:tcW w:w="948" w:type="pct"/>
            <w:vAlign w:val="center"/>
          </w:tcPr>
          <w:p w14:paraId="205BF137"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0.0348</w:t>
            </w:r>
          </w:p>
        </w:tc>
        <w:tc>
          <w:tcPr>
            <w:tcW w:w="941" w:type="pct"/>
            <w:vAlign w:val="center"/>
          </w:tcPr>
          <w:p w14:paraId="0241932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0.4661</w:t>
            </w:r>
          </w:p>
        </w:tc>
        <w:tc>
          <w:tcPr>
            <w:tcW w:w="996" w:type="pct"/>
            <w:vAlign w:val="center"/>
          </w:tcPr>
          <w:p w14:paraId="28B67C7C"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0.4982</w:t>
            </w:r>
          </w:p>
        </w:tc>
      </w:tr>
      <w:tr w:rsidR="00CD798F" w:rsidRPr="002F5FE5" w14:paraId="3792C2A3" w14:textId="77777777" w:rsidTr="00214723">
        <w:trPr>
          <w:cantSplit/>
          <w:trHeight w:val="454"/>
          <w:jc w:val="center"/>
        </w:trPr>
        <w:tc>
          <w:tcPr>
            <w:tcW w:w="1091" w:type="pct"/>
            <w:vAlign w:val="center"/>
          </w:tcPr>
          <w:p w14:paraId="50F5AADA"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观测值</w:t>
            </w:r>
          </w:p>
        </w:tc>
        <w:tc>
          <w:tcPr>
            <w:tcW w:w="1024" w:type="pct"/>
            <w:vAlign w:val="center"/>
          </w:tcPr>
          <w:p w14:paraId="7BA8496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26</w:t>
            </w:r>
          </w:p>
        </w:tc>
        <w:tc>
          <w:tcPr>
            <w:tcW w:w="948" w:type="pct"/>
            <w:vAlign w:val="center"/>
          </w:tcPr>
          <w:p w14:paraId="0215F1CF"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26</w:t>
            </w:r>
          </w:p>
        </w:tc>
        <w:tc>
          <w:tcPr>
            <w:tcW w:w="941" w:type="pct"/>
            <w:vAlign w:val="center"/>
          </w:tcPr>
          <w:p w14:paraId="1EEA349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26</w:t>
            </w:r>
          </w:p>
        </w:tc>
        <w:tc>
          <w:tcPr>
            <w:tcW w:w="996" w:type="pct"/>
            <w:vAlign w:val="center"/>
          </w:tcPr>
          <w:p w14:paraId="19F06D0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26</w:t>
            </w:r>
          </w:p>
        </w:tc>
      </w:tr>
      <w:tr w:rsidR="00CD798F" w:rsidRPr="002F5FE5" w14:paraId="1D7553D1" w14:textId="77777777" w:rsidTr="00214723">
        <w:trPr>
          <w:cantSplit/>
          <w:trHeight w:val="454"/>
          <w:jc w:val="center"/>
        </w:trPr>
        <w:tc>
          <w:tcPr>
            <w:tcW w:w="1091" w:type="pct"/>
            <w:vAlign w:val="center"/>
          </w:tcPr>
          <w:p w14:paraId="1441CA0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价值比率</w:t>
            </w:r>
          </w:p>
        </w:tc>
        <w:tc>
          <w:tcPr>
            <w:tcW w:w="1024" w:type="pct"/>
            <w:vAlign w:val="center"/>
          </w:tcPr>
          <w:p w14:paraId="3AF0F83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P/B</w:t>
            </w:r>
          </w:p>
        </w:tc>
        <w:tc>
          <w:tcPr>
            <w:tcW w:w="948" w:type="pct"/>
            <w:vAlign w:val="center"/>
          </w:tcPr>
          <w:p w14:paraId="497019BF"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P/E</w:t>
            </w:r>
          </w:p>
        </w:tc>
        <w:tc>
          <w:tcPr>
            <w:tcW w:w="941" w:type="pct"/>
            <w:vAlign w:val="center"/>
          </w:tcPr>
          <w:p w14:paraId="6C98893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P/S</w:t>
            </w:r>
          </w:p>
        </w:tc>
        <w:tc>
          <w:tcPr>
            <w:tcW w:w="996" w:type="pct"/>
            <w:vAlign w:val="center"/>
          </w:tcPr>
          <w:p w14:paraId="32D4816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EV/S</w:t>
            </w:r>
          </w:p>
        </w:tc>
      </w:tr>
    </w:tbl>
    <w:p w14:paraId="391D3505"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线性回归分析中，相关系数</w:t>
      </w:r>
      <w:r w:rsidRPr="002F5FE5">
        <w:rPr>
          <w:rFonts w:ascii="Times New Roman" w:hAnsi="Times New Roman"/>
          <w:sz w:val="24"/>
          <w:szCs w:val="24"/>
        </w:rPr>
        <w:t>&lt;0.5</w:t>
      </w:r>
      <w:r w:rsidRPr="002F5FE5">
        <w:rPr>
          <w:rFonts w:ascii="Times New Roman" w:hAnsi="Times New Roman"/>
          <w:sz w:val="24"/>
          <w:szCs w:val="24"/>
        </w:rPr>
        <w:t>则相关性较弱，根据回归结果，市盈率</w:t>
      </w:r>
      <w:r w:rsidRPr="002F5FE5">
        <w:rPr>
          <w:rFonts w:ascii="Times New Roman" w:hAnsi="Times New Roman"/>
          <w:sz w:val="24"/>
          <w:szCs w:val="24"/>
        </w:rPr>
        <w:t>P/E</w:t>
      </w:r>
      <w:r w:rsidRPr="002F5FE5">
        <w:rPr>
          <w:rFonts w:ascii="Times New Roman" w:hAnsi="Times New Roman"/>
          <w:sz w:val="24"/>
          <w:szCs w:val="24"/>
        </w:rPr>
        <w:t>指标相关性小于</w:t>
      </w:r>
      <w:r w:rsidRPr="002F5FE5">
        <w:rPr>
          <w:rFonts w:ascii="Times New Roman" w:hAnsi="Times New Roman"/>
          <w:sz w:val="24"/>
          <w:szCs w:val="24"/>
        </w:rPr>
        <w:t>0.5</w:t>
      </w:r>
      <w:r w:rsidRPr="002F5FE5">
        <w:rPr>
          <w:rFonts w:ascii="Times New Roman" w:hAnsi="Times New Roman"/>
          <w:sz w:val="24"/>
          <w:szCs w:val="24"/>
        </w:rPr>
        <w:t>，即市盈率</w:t>
      </w:r>
      <w:r w:rsidRPr="002F5FE5">
        <w:rPr>
          <w:rFonts w:ascii="Times New Roman" w:hAnsi="Times New Roman"/>
          <w:sz w:val="24"/>
          <w:szCs w:val="24"/>
        </w:rPr>
        <w:t>P/E</w:t>
      </w:r>
      <w:r w:rsidRPr="002F5FE5">
        <w:rPr>
          <w:rFonts w:ascii="Times New Roman" w:hAnsi="Times New Roman"/>
          <w:sz w:val="24"/>
          <w:szCs w:val="24"/>
        </w:rPr>
        <w:t>指标无法准确反映</w:t>
      </w:r>
      <w:r w:rsidRPr="002F5FE5">
        <w:rPr>
          <w:rFonts w:ascii="Times New Roman" w:hAnsi="Times New Roman"/>
          <w:sz w:val="24"/>
          <w:szCs w:val="24"/>
        </w:rPr>
        <w:t>A</w:t>
      </w:r>
      <w:r w:rsidRPr="002F5FE5">
        <w:rPr>
          <w:rFonts w:ascii="Times New Roman" w:hAnsi="Times New Roman"/>
          <w:sz w:val="24"/>
          <w:szCs w:val="24"/>
        </w:rPr>
        <w:t>股物联网或</w:t>
      </w:r>
      <w:r w:rsidRPr="002F5FE5">
        <w:rPr>
          <w:rFonts w:ascii="Times New Roman" w:hAnsi="Times New Roman"/>
          <w:sz w:val="24"/>
          <w:szCs w:val="24"/>
        </w:rPr>
        <w:t>SaaS</w:t>
      </w:r>
      <w:r w:rsidRPr="002F5FE5">
        <w:rPr>
          <w:rFonts w:ascii="Times New Roman" w:hAnsi="Times New Roman"/>
          <w:sz w:val="24"/>
          <w:szCs w:val="24"/>
        </w:rPr>
        <w:t>业务企业价值，其作为价值比率的适用性较低。</w:t>
      </w:r>
    </w:p>
    <w:p w14:paraId="3087CE38"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标的公司专注于为智能自助设备运营商提供</w:t>
      </w:r>
      <w:r w:rsidRPr="002F5FE5">
        <w:rPr>
          <w:rFonts w:ascii="Times New Roman" w:hAnsi="Times New Roman"/>
          <w:sz w:val="24"/>
          <w:szCs w:val="24"/>
        </w:rPr>
        <w:t>“IoT</w:t>
      </w:r>
      <w:r w:rsidRPr="002F5FE5">
        <w:rPr>
          <w:rFonts w:ascii="Times New Roman" w:hAnsi="Times New Roman"/>
          <w:sz w:val="24"/>
          <w:szCs w:val="24"/>
        </w:rPr>
        <w:t>智能硬件</w:t>
      </w:r>
      <w:r w:rsidRPr="002F5FE5">
        <w:rPr>
          <w:rFonts w:ascii="Times New Roman" w:hAnsi="Times New Roman"/>
          <w:sz w:val="24"/>
          <w:szCs w:val="24"/>
        </w:rPr>
        <w:t>+SaaS</w:t>
      </w:r>
      <w:r w:rsidRPr="002F5FE5">
        <w:rPr>
          <w:rFonts w:ascii="Times New Roman" w:hAnsi="Times New Roman"/>
          <w:sz w:val="24"/>
          <w:szCs w:val="24"/>
        </w:rPr>
        <w:t>云平台</w:t>
      </w:r>
      <w:r w:rsidRPr="002F5FE5">
        <w:rPr>
          <w:rFonts w:ascii="Times New Roman" w:hAnsi="Times New Roman"/>
          <w:sz w:val="24"/>
          <w:szCs w:val="24"/>
        </w:rPr>
        <w:t>”</w:t>
      </w:r>
      <w:r w:rsidRPr="002F5FE5">
        <w:rPr>
          <w:rFonts w:ascii="Times New Roman" w:hAnsi="Times New Roman"/>
          <w:sz w:val="24"/>
          <w:szCs w:val="24"/>
        </w:rPr>
        <w:t>一体化解决方案，所属行业为</w:t>
      </w:r>
      <w:r w:rsidRPr="002F5FE5">
        <w:rPr>
          <w:rFonts w:ascii="Times New Roman" w:hAnsi="Times New Roman"/>
          <w:sz w:val="24"/>
          <w:szCs w:val="24"/>
        </w:rPr>
        <w:t>“</w:t>
      </w:r>
      <w:r w:rsidRPr="002F5FE5">
        <w:rPr>
          <w:rFonts w:ascii="Times New Roman" w:hAnsi="Times New Roman"/>
          <w:sz w:val="24"/>
          <w:szCs w:val="24"/>
        </w:rPr>
        <w:t>信息系统集成和物联网技术服务</w:t>
      </w:r>
      <w:r w:rsidRPr="002F5FE5">
        <w:rPr>
          <w:rFonts w:ascii="Times New Roman" w:hAnsi="Times New Roman"/>
          <w:sz w:val="24"/>
          <w:szCs w:val="24"/>
        </w:rPr>
        <w:t>”</w:t>
      </w:r>
      <w:r w:rsidRPr="002F5FE5">
        <w:rPr>
          <w:rFonts w:ascii="Times New Roman" w:hAnsi="Times New Roman"/>
          <w:sz w:val="24"/>
          <w:szCs w:val="24"/>
        </w:rPr>
        <w:t>（</w:t>
      </w:r>
      <w:r w:rsidRPr="002F5FE5">
        <w:rPr>
          <w:rFonts w:ascii="Times New Roman" w:hAnsi="Times New Roman"/>
          <w:sz w:val="24"/>
          <w:szCs w:val="24"/>
        </w:rPr>
        <w:t>I653</w:t>
      </w:r>
      <w:r w:rsidRPr="002F5FE5">
        <w:rPr>
          <w:rFonts w:ascii="Times New Roman" w:hAnsi="Times New Roman"/>
          <w:sz w:val="24"/>
          <w:szCs w:val="24"/>
        </w:rPr>
        <w:t>），属于物联网行业大类。该行业核心价值不在于自身资产，而在于</w:t>
      </w:r>
      <w:r w:rsidRPr="002F5FE5">
        <w:rPr>
          <w:rFonts w:ascii="Times New Roman" w:hAnsi="Times New Roman"/>
          <w:sz w:val="24"/>
          <w:szCs w:val="24"/>
        </w:rPr>
        <w:t>IoT</w:t>
      </w:r>
      <w:r w:rsidRPr="002F5FE5">
        <w:rPr>
          <w:rFonts w:ascii="Times New Roman" w:hAnsi="Times New Roman"/>
          <w:sz w:val="24"/>
          <w:szCs w:val="24"/>
        </w:rPr>
        <w:t>硬件与</w:t>
      </w:r>
      <w:r w:rsidRPr="002F5FE5">
        <w:rPr>
          <w:rFonts w:ascii="Times New Roman" w:hAnsi="Times New Roman"/>
          <w:sz w:val="24"/>
          <w:szCs w:val="24"/>
        </w:rPr>
        <w:t>SaaS</w:t>
      </w:r>
      <w:r w:rsidRPr="002F5FE5">
        <w:rPr>
          <w:rFonts w:ascii="Times New Roman" w:hAnsi="Times New Roman"/>
          <w:sz w:val="24"/>
          <w:szCs w:val="24"/>
        </w:rPr>
        <w:t>平台的协同能力、设备连接规模、客户资源及数据服务能力。行业公司均呈现轻资产特征，企业价值与资产规模关联性较弱，且轻资产企业通常包含大量无形资源，如客户关系、品牌、团队等价值，而市净率</w:t>
      </w:r>
      <w:r w:rsidRPr="002F5FE5">
        <w:rPr>
          <w:rFonts w:ascii="Times New Roman" w:hAnsi="Times New Roman"/>
          <w:sz w:val="24"/>
          <w:szCs w:val="24"/>
        </w:rPr>
        <w:t>P/B</w:t>
      </w:r>
      <w:r w:rsidRPr="002F5FE5">
        <w:rPr>
          <w:rFonts w:ascii="Times New Roman" w:hAnsi="Times New Roman"/>
          <w:sz w:val="24"/>
          <w:szCs w:val="24"/>
        </w:rPr>
        <w:t>估值直接以账面净资产为基准，无法体现这些无形资源的价值，因此市净率</w:t>
      </w:r>
      <w:r w:rsidRPr="002F5FE5">
        <w:rPr>
          <w:rFonts w:ascii="Times New Roman" w:hAnsi="Times New Roman"/>
          <w:sz w:val="24"/>
          <w:szCs w:val="24"/>
        </w:rPr>
        <w:t>P/B</w:t>
      </w:r>
      <w:r w:rsidRPr="002F5FE5">
        <w:rPr>
          <w:rFonts w:ascii="Times New Roman" w:hAnsi="Times New Roman"/>
          <w:sz w:val="24"/>
          <w:szCs w:val="24"/>
        </w:rPr>
        <w:t>指标适用性较弱，难以衡量企业真实价值。</w:t>
      </w:r>
    </w:p>
    <w:p w14:paraId="64FF062B" w14:textId="77777777" w:rsidR="00CD798F" w:rsidRPr="00672DC2" w:rsidRDefault="00CD798F" w:rsidP="00CD798F">
      <w:pPr>
        <w:spacing w:before="120" w:after="120" w:line="360" w:lineRule="auto"/>
        <w:ind w:firstLine="480"/>
        <w:rPr>
          <w:rFonts w:ascii="宋体" w:hAnsi="宋体" w:hint="eastAsia"/>
          <w:sz w:val="24"/>
          <w:szCs w:val="24"/>
        </w:rPr>
      </w:pPr>
      <w:r w:rsidRPr="002F5FE5">
        <w:rPr>
          <w:rFonts w:ascii="Times New Roman" w:hAnsi="Times New Roman"/>
          <w:sz w:val="24"/>
          <w:szCs w:val="24"/>
        </w:rPr>
        <w:lastRenderedPageBreak/>
        <w:t>经检索，近年来并购重组案例中轻资产类型的企业，均未采用市净率</w:t>
      </w:r>
      <w:r w:rsidRPr="002F5FE5">
        <w:rPr>
          <w:rFonts w:ascii="Times New Roman" w:hAnsi="Times New Roman"/>
          <w:sz w:val="24"/>
          <w:szCs w:val="24"/>
        </w:rPr>
        <w:t>P/B</w:t>
      </w:r>
      <w:r w:rsidRPr="002F5FE5">
        <w:rPr>
          <w:rFonts w:ascii="Times New Roman" w:hAnsi="Times New Roman"/>
          <w:sz w:val="24"/>
          <w:szCs w:val="24"/>
        </w:rPr>
        <w:t>指标作为价值比例，其本质原因是对于轻资产类型的企业，公司的技术和人才积累乃至客户关系等无形资产是其经营的核心资产，这些在轻资产企业账面无法或难以完整体现，也因此导致市净率</w:t>
      </w:r>
      <w:r w:rsidRPr="002F5FE5">
        <w:rPr>
          <w:rFonts w:ascii="Times New Roman" w:hAnsi="Times New Roman"/>
          <w:sz w:val="24"/>
          <w:szCs w:val="24"/>
        </w:rPr>
        <w:t>P/B</w:t>
      </w:r>
      <w:r w:rsidRPr="002F5FE5">
        <w:rPr>
          <w:rFonts w:ascii="Times New Roman" w:hAnsi="Times New Roman"/>
          <w:sz w:val="24"/>
          <w:szCs w:val="24"/>
        </w:rPr>
        <w:t>在此类企业的适用性较差，在此类重组案例中亦未被选用。综上，根据线性回归分析及近期案例，市盈率</w:t>
      </w:r>
      <w:r w:rsidRPr="002F5FE5">
        <w:rPr>
          <w:rFonts w:ascii="Times New Roman" w:hAnsi="Times New Roman"/>
          <w:sz w:val="24"/>
          <w:szCs w:val="24"/>
        </w:rPr>
        <w:t>P/E</w:t>
      </w:r>
      <w:r w:rsidRPr="002F5FE5">
        <w:rPr>
          <w:rFonts w:ascii="Times New Roman" w:hAnsi="Times New Roman"/>
          <w:sz w:val="24"/>
          <w:szCs w:val="24"/>
        </w:rPr>
        <w:t>和市净率</w:t>
      </w:r>
      <w:r w:rsidRPr="002F5FE5">
        <w:rPr>
          <w:rFonts w:ascii="Times New Roman" w:hAnsi="Times New Roman"/>
          <w:sz w:val="24"/>
          <w:szCs w:val="24"/>
        </w:rPr>
        <w:t>P/B</w:t>
      </w:r>
      <w:r w:rsidRPr="002F5FE5">
        <w:rPr>
          <w:rFonts w:ascii="Times New Roman" w:hAnsi="Times New Roman"/>
          <w:sz w:val="24"/>
          <w:szCs w:val="24"/>
        </w:rPr>
        <w:t>作为价值比率的适用性较低，本次评估未选用市盈率</w:t>
      </w:r>
      <w:r w:rsidRPr="002F5FE5">
        <w:rPr>
          <w:rFonts w:ascii="Times New Roman" w:hAnsi="Times New Roman"/>
          <w:sz w:val="24"/>
          <w:szCs w:val="24"/>
        </w:rPr>
        <w:t>P/E</w:t>
      </w:r>
      <w:r w:rsidRPr="002F5FE5">
        <w:rPr>
          <w:rFonts w:ascii="Times New Roman" w:hAnsi="Times New Roman"/>
          <w:sz w:val="24"/>
          <w:szCs w:val="24"/>
        </w:rPr>
        <w:t>和市净率</w:t>
      </w:r>
      <w:r w:rsidRPr="002F5FE5">
        <w:rPr>
          <w:rFonts w:ascii="Times New Roman" w:hAnsi="Times New Roman"/>
          <w:sz w:val="24"/>
          <w:szCs w:val="24"/>
        </w:rPr>
        <w:t>P/B</w:t>
      </w:r>
      <w:r w:rsidRPr="002F5FE5">
        <w:rPr>
          <w:rFonts w:ascii="Times New Roman" w:hAnsi="Times New Roman"/>
          <w:sz w:val="24"/>
          <w:szCs w:val="24"/>
        </w:rPr>
        <w:t>作为价值比率具备合理性。</w:t>
      </w:r>
    </w:p>
    <w:p w14:paraId="269C98EF" w14:textId="77777777" w:rsidR="00CD798F" w:rsidRPr="00672DC2" w:rsidRDefault="00CD798F" w:rsidP="00CD798F">
      <w:pPr>
        <w:keepNext/>
        <w:keepLines/>
        <w:spacing w:before="120" w:after="120" w:line="360" w:lineRule="auto"/>
        <w:ind w:firstLine="482"/>
        <w:outlineLvl w:val="2"/>
        <w:rPr>
          <w:rFonts w:ascii="宋体" w:hAnsi="宋体" w:hint="eastAsia"/>
          <w:b/>
          <w:bCs/>
          <w:sz w:val="24"/>
          <w:szCs w:val="24"/>
        </w:rPr>
      </w:pPr>
      <w:r w:rsidRPr="00672DC2">
        <w:rPr>
          <w:rFonts w:ascii="宋体" w:hAnsi="宋体" w:hint="eastAsia"/>
          <w:b/>
          <w:bCs/>
          <w:sz w:val="24"/>
          <w:szCs w:val="24"/>
        </w:rPr>
        <w:t>（二）选择企业价值与营业收入比率（EV/S）作为比准价值比率具有合理性，符合行业惯例及可比交易案例</w:t>
      </w:r>
    </w:p>
    <w:p w14:paraId="60A3BF38" w14:textId="77777777" w:rsidR="00CD798F" w:rsidRPr="00672DC2" w:rsidRDefault="00CD798F" w:rsidP="00CD798F">
      <w:pPr>
        <w:keepNext/>
        <w:keepLines/>
        <w:spacing w:before="120" w:after="120" w:line="360" w:lineRule="auto"/>
        <w:ind w:firstLine="482"/>
        <w:outlineLvl w:val="3"/>
        <w:rPr>
          <w:rFonts w:ascii="宋体" w:hAnsi="宋体" w:hint="eastAsia"/>
          <w:b/>
          <w:bCs/>
          <w:sz w:val="24"/>
          <w:szCs w:val="24"/>
        </w:rPr>
      </w:pPr>
      <w:r w:rsidRPr="00672DC2">
        <w:rPr>
          <w:rFonts w:ascii="宋体" w:hAnsi="宋体" w:hint="eastAsia"/>
          <w:b/>
          <w:bCs/>
          <w:sz w:val="24"/>
          <w:szCs w:val="24"/>
        </w:rPr>
        <w:t>1、选择企业价值与营业收入比率（EV/S）作为比准价值比率具有合理性</w:t>
      </w:r>
    </w:p>
    <w:p w14:paraId="04EBC29B"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根据《资产评估准则</w:t>
      </w:r>
      <w:r w:rsidRPr="002F5FE5">
        <w:rPr>
          <w:rFonts w:ascii="Times New Roman" w:hAnsi="Times New Roman"/>
          <w:sz w:val="24"/>
          <w:szCs w:val="24"/>
        </w:rPr>
        <w:t>——</w:t>
      </w:r>
      <w:r w:rsidRPr="002F5FE5">
        <w:rPr>
          <w:rFonts w:ascii="Times New Roman" w:hAnsi="Times New Roman"/>
          <w:sz w:val="24"/>
          <w:szCs w:val="24"/>
        </w:rPr>
        <w:t>企业价值》（中评协〔</w:t>
      </w:r>
      <w:r w:rsidRPr="002F5FE5">
        <w:rPr>
          <w:rFonts w:ascii="Times New Roman" w:hAnsi="Times New Roman"/>
          <w:sz w:val="24"/>
          <w:szCs w:val="24"/>
        </w:rPr>
        <w:t>2018</w:t>
      </w:r>
      <w:r w:rsidRPr="002F5FE5">
        <w:rPr>
          <w:rFonts w:ascii="Times New Roman" w:hAnsi="Times New Roman"/>
          <w:sz w:val="24"/>
          <w:szCs w:val="24"/>
        </w:rPr>
        <w:t>〕</w:t>
      </w:r>
      <w:r w:rsidRPr="002F5FE5">
        <w:rPr>
          <w:rFonts w:ascii="Times New Roman" w:hAnsi="Times New Roman"/>
          <w:sz w:val="24"/>
          <w:szCs w:val="24"/>
        </w:rPr>
        <w:t>38</w:t>
      </w:r>
      <w:r w:rsidRPr="002F5FE5">
        <w:rPr>
          <w:rFonts w:ascii="Times New Roman" w:hAnsi="Times New Roman"/>
          <w:sz w:val="24"/>
          <w:szCs w:val="24"/>
        </w:rPr>
        <w:t>号）第三十四条，价值比率通常包括盈利比率、资产比率、收入比率和其他特定比率。在选择、计算、应用价值比率时，应当考虑（一）选择的价值比率有利于合理确定评估对象的价值；（二）计算价值比率的数据口径及计算方式一致；（三）对可比企业和被评估单位间的差异进行合理调整。</w:t>
      </w:r>
    </w:p>
    <w:p w14:paraId="63956011"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本次市场法评估选取的价值比率为企业价值与营业收入比率（</w:t>
      </w:r>
      <w:r w:rsidRPr="002F5FE5">
        <w:rPr>
          <w:rFonts w:ascii="Times New Roman" w:hAnsi="Times New Roman"/>
          <w:sz w:val="24"/>
          <w:szCs w:val="24"/>
        </w:rPr>
        <w:t>EV/S</w:t>
      </w:r>
      <w:r w:rsidRPr="002F5FE5">
        <w:rPr>
          <w:rFonts w:ascii="Times New Roman" w:hAnsi="Times New Roman"/>
          <w:sz w:val="24"/>
          <w:szCs w:val="24"/>
        </w:rPr>
        <w:t>），理由如下：</w:t>
      </w:r>
    </w:p>
    <w:p w14:paraId="74934902"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w:t>
      </w:r>
      <w:r w:rsidRPr="002F5FE5">
        <w:rPr>
          <w:rFonts w:ascii="Times New Roman" w:hAnsi="Times New Roman"/>
          <w:sz w:val="24"/>
          <w:szCs w:val="24"/>
        </w:rPr>
        <w:t>1</w:t>
      </w:r>
      <w:r w:rsidRPr="002F5FE5">
        <w:rPr>
          <w:rFonts w:ascii="Times New Roman" w:hAnsi="Times New Roman"/>
          <w:sz w:val="24"/>
          <w:szCs w:val="24"/>
        </w:rPr>
        <w:t>）随着近几年的发展，标的公司营业收入已初具规模，部分细分领域（如智慧生活类）市场份额已形成竞争优势。由于标的公司</w:t>
      </w:r>
      <w:r w:rsidRPr="002F5FE5">
        <w:rPr>
          <w:rFonts w:ascii="Times New Roman" w:hAnsi="Times New Roman"/>
          <w:sz w:val="24"/>
          <w:szCs w:val="24"/>
        </w:rPr>
        <w:t>“IoT+SaaS</w:t>
      </w:r>
      <w:r w:rsidRPr="002F5FE5">
        <w:rPr>
          <w:rFonts w:ascii="Times New Roman" w:hAnsi="Times New Roman"/>
          <w:sz w:val="24"/>
          <w:szCs w:val="24"/>
        </w:rPr>
        <w:t>模式</w:t>
      </w:r>
      <w:r w:rsidRPr="002F5FE5">
        <w:rPr>
          <w:rFonts w:ascii="Times New Roman" w:hAnsi="Times New Roman"/>
          <w:sz w:val="24"/>
          <w:szCs w:val="24"/>
        </w:rPr>
        <w:t>”</w:t>
      </w:r>
      <w:r w:rsidRPr="002F5FE5">
        <w:rPr>
          <w:rFonts w:ascii="Times New Roman" w:hAnsi="Times New Roman"/>
          <w:sz w:val="24"/>
          <w:szCs w:val="24"/>
        </w:rPr>
        <w:t>的价值创造需要高度依赖业务规模，通过前期市场拓展，逐步积累设备连接数、</w:t>
      </w:r>
      <w:r w:rsidRPr="002F5FE5">
        <w:rPr>
          <w:rFonts w:ascii="Times New Roman" w:hAnsi="Times New Roman"/>
          <w:sz w:val="24"/>
          <w:szCs w:val="24"/>
        </w:rPr>
        <w:t>SaaS</w:t>
      </w:r>
      <w:r w:rsidRPr="002F5FE5">
        <w:rPr>
          <w:rFonts w:ascii="Times New Roman" w:hAnsi="Times New Roman"/>
          <w:sz w:val="24"/>
          <w:szCs w:val="24"/>
        </w:rPr>
        <w:t>订阅客户数以转化为营业收入，营业收入更能反映企业在行业内的地位，选用营业收入比率更能衡量企业价值。</w:t>
      </w:r>
    </w:p>
    <w:p w14:paraId="5164D3F4"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w:t>
      </w:r>
      <w:r w:rsidRPr="002F5FE5">
        <w:rPr>
          <w:rFonts w:ascii="Times New Roman" w:hAnsi="Times New Roman"/>
          <w:sz w:val="24"/>
          <w:szCs w:val="24"/>
        </w:rPr>
        <w:t>2</w:t>
      </w:r>
      <w:r w:rsidRPr="002F5FE5">
        <w:rPr>
          <w:rFonts w:ascii="Times New Roman" w:hAnsi="Times New Roman"/>
          <w:sz w:val="24"/>
          <w:szCs w:val="24"/>
        </w:rPr>
        <w:t>）</w:t>
      </w:r>
      <w:r w:rsidRPr="002F5FE5">
        <w:rPr>
          <w:rFonts w:ascii="Times New Roman" w:hAnsi="Times New Roman"/>
          <w:sz w:val="24"/>
          <w:szCs w:val="24"/>
        </w:rPr>
        <w:t>IoT+SaaS</w:t>
      </w:r>
      <w:r w:rsidRPr="002F5FE5">
        <w:rPr>
          <w:rFonts w:ascii="Times New Roman" w:hAnsi="Times New Roman"/>
          <w:sz w:val="24"/>
          <w:szCs w:val="24"/>
        </w:rPr>
        <w:t>行业成长期企业普遍遵循</w:t>
      </w:r>
      <w:r w:rsidRPr="002F5FE5">
        <w:rPr>
          <w:rFonts w:ascii="Times New Roman" w:hAnsi="Times New Roman"/>
          <w:sz w:val="24"/>
          <w:szCs w:val="24"/>
        </w:rPr>
        <w:t>“</w:t>
      </w:r>
      <w:r w:rsidRPr="002F5FE5">
        <w:rPr>
          <w:rFonts w:ascii="Times New Roman" w:hAnsi="Times New Roman"/>
          <w:sz w:val="24"/>
          <w:szCs w:val="24"/>
        </w:rPr>
        <w:t>先拓展规模、后释放盈利</w:t>
      </w:r>
      <w:r w:rsidRPr="002F5FE5">
        <w:rPr>
          <w:rFonts w:ascii="Times New Roman" w:hAnsi="Times New Roman"/>
          <w:sz w:val="24"/>
          <w:szCs w:val="24"/>
        </w:rPr>
        <w:t>”</w:t>
      </w:r>
      <w:r w:rsidRPr="002F5FE5">
        <w:rPr>
          <w:rFonts w:ascii="Times New Roman" w:hAnsi="Times New Roman"/>
          <w:sz w:val="24"/>
          <w:szCs w:val="24"/>
        </w:rPr>
        <w:t>的发展规律，核心目标是扩大智能自助设备连接规模、积累</w:t>
      </w:r>
      <w:r w:rsidRPr="002F5FE5">
        <w:rPr>
          <w:rFonts w:ascii="Times New Roman" w:hAnsi="Times New Roman"/>
          <w:sz w:val="24"/>
          <w:szCs w:val="24"/>
        </w:rPr>
        <w:t>SaaS</w:t>
      </w:r>
      <w:r w:rsidRPr="002F5FE5">
        <w:rPr>
          <w:rFonts w:ascii="Times New Roman" w:hAnsi="Times New Roman"/>
          <w:sz w:val="24"/>
          <w:szCs w:val="24"/>
        </w:rPr>
        <w:t>订阅客户，短期内盈利水平难以匹配业务成长速度。现阶段行业内企业更注重提高产品种类覆盖面、提升体现市场地位的收入规模、持续向平台型公司转型，而非注重利润指标。</w:t>
      </w:r>
      <w:r w:rsidRPr="002F5FE5">
        <w:rPr>
          <w:rFonts w:ascii="Times New Roman" w:hAnsi="Times New Roman"/>
          <w:sz w:val="24"/>
          <w:szCs w:val="24"/>
        </w:rPr>
        <w:t>EV/S</w:t>
      </w:r>
      <w:r w:rsidRPr="002F5FE5">
        <w:rPr>
          <w:rFonts w:ascii="Times New Roman" w:hAnsi="Times New Roman"/>
          <w:sz w:val="24"/>
          <w:szCs w:val="24"/>
        </w:rPr>
        <w:t>不依赖盈利指标，仅聚焦营收规模及增长趋势，可充分体现企业规模扩张背后的长期价值，避免因短期盈</w:t>
      </w:r>
      <w:r w:rsidRPr="002F5FE5">
        <w:rPr>
          <w:rFonts w:ascii="Times New Roman" w:hAnsi="Times New Roman"/>
          <w:sz w:val="24"/>
          <w:szCs w:val="24"/>
        </w:rPr>
        <w:lastRenderedPageBreak/>
        <w:t>利偏低导致的估值低估，完全适配行业成长期的价值评估需求。</w:t>
      </w:r>
    </w:p>
    <w:p w14:paraId="242405CB"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w:t>
      </w:r>
      <w:r w:rsidRPr="002F5FE5">
        <w:rPr>
          <w:rFonts w:ascii="Times New Roman" w:hAnsi="Times New Roman"/>
          <w:sz w:val="24"/>
          <w:szCs w:val="24"/>
        </w:rPr>
        <w:t>3</w:t>
      </w:r>
      <w:r w:rsidRPr="002F5FE5">
        <w:rPr>
          <w:rFonts w:ascii="Times New Roman" w:hAnsi="Times New Roman"/>
          <w:sz w:val="24"/>
          <w:szCs w:val="24"/>
        </w:rPr>
        <w:t>）企业价值类收入价值比率</w:t>
      </w:r>
      <w:r w:rsidRPr="002F5FE5">
        <w:rPr>
          <w:rFonts w:ascii="Times New Roman" w:hAnsi="Times New Roman"/>
          <w:sz w:val="24"/>
          <w:szCs w:val="24"/>
        </w:rPr>
        <w:t>EV/S</w:t>
      </w:r>
      <w:r w:rsidRPr="002F5FE5">
        <w:rPr>
          <w:rFonts w:ascii="Times New Roman" w:hAnsi="Times New Roman"/>
          <w:sz w:val="24"/>
          <w:szCs w:val="24"/>
        </w:rPr>
        <w:t>较权益类收入价值比率</w:t>
      </w:r>
      <w:r w:rsidRPr="002F5FE5">
        <w:rPr>
          <w:rFonts w:ascii="Times New Roman" w:hAnsi="Times New Roman"/>
          <w:sz w:val="24"/>
          <w:szCs w:val="24"/>
        </w:rPr>
        <w:t>P/S</w:t>
      </w:r>
      <w:r w:rsidRPr="002F5FE5">
        <w:rPr>
          <w:rFonts w:ascii="Times New Roman" w:hAnsi="Times New Roman"/>
          <w:sz w:val="24"/>
          <w:szCs w:val="24"/>
        </w:rPr>
        <w:t>口径更匹配，收入价值比率中的</w:t>
      </w:r>
      <w:r w:rsidRPr="002F5FE5">
        <w:rPr>
          <w:rFonts w:ascii="Times New Roman" w:hAnsi="Times New Roman"/>
          <w:sz w:val="24"/>
          <w:szCs w:val="24"/>
        </w:rPr>
        <w:t>S</w:t>
      </w:r>
      <w:r w:rsidRPr="002F5FE5">
        <w:rPr>
          <w:rFonts w:ascii="Times New Roman" w:hAnsi="Times New Roman"/>
          <w:sz w:val="24"/>
          <w:szCs w:val="24"/>
        </w:rPr>
        <w:t>来自于合并报表的收入，包括了少数股东对应的收入。股权价值</w:t>
      </w:r>
      <w:r w:rsidRPr="002F5FE5">
        <w:rPr>
          <w:rFonts w:ascii="Times New Roman" w:hAnsi="Times New Roman"/>
          <w:sz w:val="24"/>
          <w:szCs w:val="24"/>
        </w:rPr>
        <w:t>P</w:t>
      </w:r>
      <w:r w:rsidRPr="002F5FE5">
        <w:rPr>
          <w:rFonts w:ascii="Times New Roman" w:hAnsi="Times New Roman"/>
          <w:sz w:val="24"/>
          <w:szCs w:val="24"/>
        </w:rPr>
        <w:t>对应的是合并报表归属于母公司所有者的股权价值，企业价值</w:t>
      </w:r>
      <w:r w:rsidRPr="002F5FE5">
        <w:rPr>
          <w:rFonts w:ascii="Times New Roman" w:hAnsi="Times New Roman"/>
          <w:sz w:val="24"/>
          <w:szCs w:val="24"/>
        </w:rPr>
        <w:t xml:space="preserve">E </w:t>
      </w:r>
      <w:r w:rsidRPr="002F5FE5">
        <w:rPr>
          <w:rFonts w:ascii="Times New Roman" w:hAnsi="Times New Roman"/>
          <w:sz w:val="24"/>
          <w:szCs w:val="24"/>
        </w:rPr>
        <w:t>属于整体价值，包含股权价值与债权价值，其中股权价值即包括归属母公司所有者的股权价值，也包括归属于少数股东的权益价值。因此，</w:t>
      </w:r>
      <w:r w:rsidRPr="002F5FE5">
        <w:rPr>
          <w:rFonts w:ascii="Times New Roman" w:hAnsi="Times New Roman"/>
          <w:sz w:val="24"/>
          <w:szCs w:val="24"/>
        </w:rPr>
        <w:t>EV</w:t>
      </w:r>
      <w:r w:rsidRPr="002F5FE5">
        <w:rPr>
          <w:rFonts w:ascii="Times New Roman" w:hAnsi="Times New Roman"/>
          <w:sz w:val="24"/>
          <w:szCs w:val="24"/>
        </w:rPr>
        <w:t>作为企业整体价值，相对于归属于母公司所有者的股权价值</w:t>
      </w:r>
      <w:r w:rsidRPr="002F5FE5">
        <w:rPr>
          <w:rFonts w:ascii="Times New Roman" w:hAnsi="Times New Roman"/>
          <w:sz w:val="24"/>
          <w:szCs w:val="24"/>
        </w:rPr>
        <w:t>P</w:t>
      </w:r>
      <w:r w:rsidRPr="002F5FE5">
        <w:rPr>
          <w:rFonts w:ascii="Times New Roman" w:hAnsi="Times New Roman"/>
          <w:sz w:val="24"/>
          <w:szCs w:val="24"/>
        </w:rPr>
        <w:t>而言，与公司整体销售收入的口径更为匹配。本次评估采用企业价值与营业收入比率（</w:t>
      </w:r>
      <w:r w:rsidRPr="002F5FE5">
        <w:rPr>
          <w:rFonts w:ascii="Times New Roman" w:hAnsi="Times New Roman"/>
          <w:sz w:val="24"/>
          <w:szCs w:val="24"/>
        </w:rPr>
        <w:t>EV/S</w:t>
      </w:r>
      <w:r w:rsidRPr="002F5FE5">
        <w:rPr>
          <w:rFonts w:ascii="Times New Roman" w:hAnsi="Times New Roman"/>
          <w:sz w:val="24"/>
          <w:szCs w:val="24"/>
        </w:rPr>
        <w:t>），可以降低可比上市公司与标的公司因账面货币资金、资本结构、上市公司与非上市公司之间的历史融资规模等方面存在差异而产生的影响，有助于分析标的公司价值基础的稳定性和可靠性，又能合理反应标的公司的市场价值。</w:t>
      </w:r>
    </w:p>
    <w:p w14:paraId="14FF0189" w14:textId="77777777" w:rsidR="00CD798F" w:rsidRPr="00672DC2" w:rsidRDefault="00CD798F" w:rsidP="00CD798F">
      <w:pPr>
        <w:spacing w:before="120" w:after="120" w:line="360" w:lineRule="auto"/>
        <w:ind w:firstLine="480"/>
        <w:rPr>
          <w:rFonts w:ascii="宋体" w:hAnsi="宋体" w:hint="eastAsia"/>
          <w:sz w:val="24"/>
          <w:szCs w:val="24"/>
        </w:rPr>
      </w:pPr>
      <w:r w:rsidRPr="002F5FE5">
        <w:rPr>
          <w:rFonts w:ascii="Times New Roman" w:hAnsi="Times New Roman"/>
          <w:sz w:val="24"/>
          <w:szCs w:val="24"/>
        </w:rPr>
        <w:t>综上所属，标的公司目前处于成长期，核心发展目标为提高产品种类覆盖面、拓展细分领域客户、扩大业务规模，收入增长是现阶段核心价值驱动因素，本次选择企业价值与营业收入比率（</w:t>
      </w:r>
      <w:r w:rsidRPr="002F5FE5">
        <w:rPr>
          <w:rFonts w:ascii="Times New Roman" w:hAnsi="Times New Roman"/>
          <w:sz w:val="24"/>
          <w:szCs w:val="24"/>
        </w:rPr>
        <w:t>EV/S</w:t>
      </w:r>
      <w:r w:rsidRPr="002F5FE5">
        <w:rPr>
          <w:rFonts w:ascii="Times New Roman" w:hAnsi="Times New Roman"/>
          <w:sz w:val="24"/>
          <w:szCs w:val="24"/>
        </w:rPr>
        <w:t>）作为价值比率具有合理性。</w:t>
      </w:r>
    </w:p>
    <w:p w14:paraId="15EA8E82" w14:textId="77777777" w:rsidR="00CD798F" w:rsidRPr="00672DC2" w:rsidRDefault="00CD798F" w:rsidP="00CD798F">
      <w:pPr>
        <w:keepNext/>
        <w:keepLines/>
        <w:spacing w:before="120" w:after="120" w:line="360" w:lineRule="auto"/>
        <w:ind w:firstLine="482"/>
        <w:outlineLvl w:val="3"/>
        <w:rPr>
          <w:rFonts w:ascii="宋体" w:hAnsi="宋体" w:hint="eastAsia"/>
          <w:b/>
          <w:bCs/>
          <w:sz w:val="24"/>
          <w:szCs w:val="24"/>
        </w:rPr>
      </w:pPr>
      <w:r w:rsidRPr="00672DC2">
        <w:rPr>
          <w:rFonts w:ascii="宋体" w:hAnsi="宋体"/>
          <w:b/>
          <w:bCs/>
          <w:sz w:val="24"/>
          <w:szCs w:val="24"/>
        </w:rPr>
        <w:t>2</w:t>
      </w:r>
      <w:r w:rsidRPr="00672DC2">
        <w:rPr>
          <w:rFonts w:ascii="宋体" w:hAnsi="宋体" w:hint="eastAsia"/>
          <w:b/>
          <w:bCs/>
          <w:sz w:val="24"/>
          <w:szCs w:val="24"/>
        </w:rPr>
        <w:t>、从市场案例来看，选用企业价值与营业收入比率符合行业惯例</w:t>
      </w:r>
    </w:p>
    <w:p w14:paraId="6269CB5F"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经查询，近期软件和信息技术服务行业重大资产重组市场案例较少，考虑到标的公司主营物联网、</w:t>
      </w:r>
      <w:r w:rsidRPr="002F5FE5">
        <w:rPr>
          <w:rFonts w:ascii="Times New Roman" w:hAnsi="Times New Roman"/>
          <w:sz w:val="24"/>
          <w:szCs w:val="24"/>
        </w:rPr>
        <w:t>SaaS</w:t>
      </w:r>
      <w:r w:rsidRPr="002F5FE5">
        <w:rPr>
          <w:rFonts w:ascii="Times New Roman" w:hAnsi="Times New Roman"/>
          <w:sz w:val="24"/>
          <w:szCs w:val="24"/>
        </w:rPr>
        <w:t>相关服务，核心资产为技术研发能力、客户资源、平台运营能力、知识产权等无形资产，固定资产等有形资产占比极低，具备轻资产运营的典型特征。近</w:t>
      </w:r>
      <w:r w:rsidRPr="002F5FE5">
        <w:rPr>
          <w:rFonts w:ascii="Times New Roman" w:hAnsi="Times New Roman"/>
          <w:sz w:val="24"/>
          <w:szCs w:val="24"/>
        </w:rPr>
        <w:t>1</w:t>
      </w:r>
      <w:r w:rsidRPr="002F5FE5">
        <w:rPr>
          <w:rFonts w:ascii="Times New Roman" w:hAnsi="Times New Roman"/>
          <w:sz w:val="24"/>
          <w:szCs w:val="24"/>
        </w:rPr>
        <w:t>年内具备轻资产运营特征行业重大重组项目中，</w:t>
      </w:r>
      <w:r w:rsidRPr="002F5FE5">
        <w:rPr>
          <w:rFonts w:ascii="Times New Roman" w:hAnsi="Times New Roman"/>
          <w:sz w:val="24"/>
          <w:szCs w:val="24"/>
        </w:rPr>
        <w:t>EV/S</w:t>
      </w:r>
      <w:r w:rsidRPr="002F5FE5">
        <w:rPr>
          <w:rFonts w:ascii="Times New Roman" w:hAnsi="Times New Roman"/>
          <w:sz w:val="24"/>
          <w:szCs w:val="24"/>
        </w:rPr>
        <w:t>为被主要采用的价值比率之一，多家上市公司重组估值中均以该比率作为市场法比准指标（见下表）：</w:t>
      </w:r>
    </w:p>
    <w:tbl>
      <w:tblPr>
        <w:tblW w:w="5376"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68"/>
        <w:gridCol w:w="1476"/>
        <w:gridCol w:w="1775"/>
        <w:gridCol w:w="1937"/>
        <w:gridCol w:w="1393"/>
        <w:gridCol w:w="1393"/>
      </w:tblGrid>
      <w:tr w:rsidR="00CD798F" w:rsidRPr="002F5FE5" w14:paraId="56C3FA54" w14:textId="77777777" w:rsidTr="00214723">
        <w:trPr>
          <w:cantSplit/>
          <w:trHeight w:val="454"/>
          <w:tblHeader/>
          <w:jc w:val="center"/>
        </w:trPr>
        <w:tc>
          <w:tcPr>
            <w:tcW w:w="907" w:type="pct"/>
            <w:vAlign w:val="center"/>
          </w:tcPr>
          <w:p w14:paraId="0FABD38E"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股票代码</w:t>
            </w:r>
          </w:p>
        </w:tc>
        <w:tc>
          <w:tcPr>
            <w:tcW w:w="757" w:type="pct"/>
            <w:noWrap/>
            <w:vAlign w:val="center"/>
          </w:tcPr>
          <w:p w14:paraId="4DDFB278"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上市公司</w:t>
            </w:r>
          </w:p>
        </w:tc>
        <w:tc>
          <w:tcPr>
            <w:tcW w:w="911" w:type="pct"/>
            <w:vAlign w:val="center"/>
          </w:tcPr>
          <w:p w14:paraId="19CE952A"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标的公司</w:t>
            </w:r>
          </w:p>
        </w:tc>
        <w:tc>
          <w:tcPr>
            <w:tcW w:w="994" w:type="pct"/>
            <w:vAlign w:val="center"/>
          </w:tcPr>
          <w:p w14:paraId="253D317E"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主营业务</w:t>
            </w:r>
          </w:p>
        </w:tc>
        <w:tc>
          <w:tcPr>
            <w:tcW w:w="715" w:type="pct"/>
            <w:vAlign w:val="center"/>
          </w:tcPr>
          <w:p w14:paraId="37A08252"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评估基准日</w:t>
            </w:r>
          </w:p>
        </w:tc>
        <w:tc>
          <w:tcPr>
            <w:tcW w:w="715" w:type="pct"/>
            <w:noWrap/>
            <w:vAlign w:val="center"/>
          </w:tcPr>
          <w:p w14:paraId="23B44B93"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价值比率</w:t>
            </w:r>
          </w:p>
        </w:tc>
      </w:tr>
      <w:tr w:rsidR="00CD798F" w:rsidRPr="002F5FE5" w14:paraId="2DFE2967" w14:textId="77777777" w:rsidTr="00214723">
        <w:trPr>
          <w:cantSplit/>
          <w:trHeight w:val="454"/>
          <w:jc w:val="center"/>
        </w:trPr>
        <w:tc>
          <w:tcPr>
            <w:tcW w:w="907" w:type="pct"/>
            <w:vAlign w:val="center"/>
          </w:tcPr>
          <w:p w14:paraId="37673DA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300757.SZ</w:t>
            </w:r>
          </w:p>
        </w:tc>
        <w:tc>
          <w:tcPr>
            <w:tcW w:w="757" w:type="pct"/>
            <w:noWrap/>
            <w:vAlign w:val="center"/>
          </w:tcPr>
          <w:p w14:paraId="0EB456E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罗博特科</w:t>
            </w:r>
          </w:p>
        </w:tc>
        <w:tc>
          <w:tcPr>
            <w:tcW w:w="911" w:type="pct"/>
            <w:vAlign w:val="center"/>
          </w:tcPr>
          <w:p w14:paraId="3775C63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FSG</w:t>
            </w:r>
            <w:r>
              <w:rPr>
                <w:rFonts w:ascii="Times New Roman" w:hAnsi="Times New Roman"/>
                <w:color w:val="000000"/>
              </w:rPr>
              <w:t xml:space="preserve"> </w:t>
            </w:r>
            <w:r w:rsidRPr="002F5FE5">
              <w:rPr>
                <w:rFonts w:ascii="Times New Roman" w:hAnsi="Times New Roman"/>
                <w:color w:val="000000"/>
              </w:rPr>
              <w:t>Group</w:t>
            </w:r>
          </w:p>
        </w:tc>
        <w:tc>
          <w:tcPr>
            <w:tcW w:w="994" w:type="pct"/>
            <w:vAlign w:val="center"/>
          </w:tcPr>
          <w:p w14:paraId="3C41E29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半导体自动化微组装及精密测试设备的设计、研发、生产和销售</w:t>
            </w:r>
          </w:p>
        </w:tc>
        <w:tc>
          <w:tcPr>
            <w:tcW w:w="715" w:type="pct"/>
            <w:vAlign w:val="center"/>
          </w:tcPr>
          <w:p w14:paraId="469F17B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2024/07/31</w:t>
            </w:r>
          </w:p>
        </w:tc>
        <w:tc>
          <w:tcPr>
            <w:tcW w:w="715" w:type="pct"/>
            <w:noWrap/>
            <w:vAlign w:val="center"/>
          </w:tcPr>
          <w:p w14:paraId="605EC02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EV/Sales</w:t>
            </w:r>
          </w:p>
        </w:tc>
      </w:tr>
      <w:tr w:rsidR="00CD798F" w:rsidRPr="002F5FE5" w14:paraId="5CF4EB49" w14:textId="77777777" w:rsidTr="00214723">
        <w:trPr>
          <w:cantSplit/>
          <w:trHeight w:val="454"/>
          <w:jc w:val="center"/>
        </w:trPr>
        <w:tc>
          <w:tcPr>
            <w:tcW w:w="907" w:type="pct"/>
            <w:vAlign w:val="center"/>
          </w:tcPr>
          <w:p w14:paraId="0A8725B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0268.HK</w:t>
            </w:r>
          </w:p>
        </w:tc>
        <w:tc>
          <w:tcPr>
            <w:tcW w:w="757" w:type="pct"/>
            <w:noWrap/>
            <w:vAlign w:val="center"/>
          </w:tcPr>
          <w:p w14:paraId="7DBEBA6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金蝶国际</w:t>
            </w:r>
          </w:p>
        </w:tc>
        <w:tc>
          <w:tcPr>
            <w:tcW w:w="911" w:type="pct"/>
            <w:vAlign w:val="center"/>
          </w:tcPr>
          <w:p w14:paraId="19017129"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云之家</w:t>
            </w:r>
          </w:p>
        </w:tc>
        <w:tc>
          <w:tcPr>
            <w:tcW w:w="994" w:type="pct"/>
            <w:vAlign w:val="center"/>
          </w:tcPr>
          <w:p w14:paraId="675EFBD9"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企业协同办公系统集成研发和销售</w:t>
            </w:r>
          </w:p>
        </w:tc>
        <w:tc>
          <w:tcPr>
            <w:tcW w:w="715" w:type="pct"/>
            <w:vAlign w:val="center"/>
          </w:tcPr>
          <w:p w14:paraId="41F09863"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2025/04/30</w:t>
            </w:r>
          </w:p>
        </w:tc>
        <w:tc>
          <w:tcPr>
            <w:tcW w:w="715" w:type="pct"/>
            <w:noWrap/>
            <w:vAlign w:val="center"/>
          </w:tcPr>
          <w:p w14:paraId="4612DEAA"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EV/Sales</w:t>
            </w:r>
          </w:p>
        </w:tc>
      </w:tr>
      <w:tr w:rsidR="00CD798F" w:rsidRPr="002F5FE5" w14:paraId="5FDFB983" w14:textId="77777777" w:rsidTr="00214723">
        <w:trPr>
          <w:cantSplit/>
          <w:trHeight w:val="454"/>
          <w:jc w:val="center"/>
        </w:trPr>
        <w:tc>
          <w:tcPr>
            <w:tcW w:w="907" w:type="pct"/>
            <w:vAlign w:val="center"/>
          </w:tcPr>
          <w:p w14:paraId="3AF32CF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688368.SH</w:t>
            </w:r>
          </w:p>
        </w:tc>
        <w:tc>
          <w:tcPr>
            <w:tcW w:w="757" w:type="pct"/>
            <w:noWrap/>
            <w:vAlign w:val="center"/>
          </w:tcPr>
          <w:p w14:paraId="1E1079E3"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晶丰明源</w:t>
            </w:r>
          </w:p>
        </w:tc>
        <w:tc>
          <w:tcPr>
            <w:tcW w:w="911" w:type="pct"/>
            <w:vAlign w:val="center"/>
          </w:tcPr>
          <w:p w14:paraId="7920CCDB"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易冲科技</w:t>
            </w:r>
          </w:p>
        </w:tc>
        <w:tc>
          <w:tcPr>
            <w:tcW w:w="994" w:type="pct"/>
            <w:vAlign w:val="center"/>
          </w:tcPr>
          <w:p w14:paraId="7A5FF420"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芯片研发、设计与销售</w:t>
            </w:r>
          </w:p>
        </w:tc>
        <w:tc>
          <w:tcPr>
            <w:tcW w:w="715" w:type="pct"/>
            <w:vAlign w:val="center"/>
          </w:tcPr>
          <w:p w14:paraId="4E25788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2024/12/31</w:t>
            </w:r>
          </w:p>
        </w:tc>
        <w:tc>
          <w:tcPr>
            <w:tcW w:w="715" w:type="pct"/>
            <w:noWrap/>
            <w:vAlign w:val="center"/>
          </w:tcPr>
          <w:p w14:paraId="0E8D5AC4"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EV/Sales</w:t>
            </w:r>
          </w:p>
        </w:tc>
      </w:tr>
    </w:tbl>
    <w:p w14:paraId="24DCCC28"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lastRenderedPageBreak/>
        <w:t>因此，本次交易选用企业价值与营业收入比率符合轻资产类型企业并购的惯例及市场案例相关应用情况。</w:t>
      </w:r>
    </w:p>
    <w:p w14:paraId="4590CDC8" w14:textId="77777777" w:rsidR="00CD798F" w:rsidRPr="002F5FE5" w:rsidRDefault="00CD798F" w:rsidP="00CD798F">
      <w:pPr>
        <w:spacing w:before="120" w:after="120" w:line="360" w:lineRule="auto"/>
        <w:ind w:firstLine="480"/>
        <w:rPr>
          <w:rFonts w:ascii="Times New Roman" w:hAnsi="Times New Roman"/>
          <w:sz w:val="24"/>
          <w:szCs w:val="24"/>
        </w:rPr>
      </w:pPr>
      <w:r w:rsidRPr="002F5FE5">
        <w:rPr>
          <w:rFonts w:ascii="Times New Roman" w:hAnsi="Times New Roman"/>
          <w:sz w:val="24"/>
          <w:szCs w:val="24"/>
        </w:rPr>
        <w:t>上述内容已在《重组报告书》</w:t>
      </w:r>
      <w:r w:rsidRPr="002F5FE5">
        <w:rPr>
          <w:rFonts w:ascii="Times New Roman" w:hAnsi="Times New Roman"/>
          <w:sz w:val="24"/>
          <w:szCs w:val="24"/>
        </w:rPr>
        <w:t>“</w:t>
      </w:r>
      <w:r w:rsidRPr="002F5FE5">
        <w:rPr>
          <w:rFonts w:ascii="Times New Roman" w:hAnsi="Times New Roman"/>
          <w:sz w:val="24"/>
          <w:szCs w:val="24"/>
        </w:rPr>
        <w:t>第六节</w:t>
      </w:r>
      <w:r w:rsidRPr="002F5FE5">
        <w:rPr>
          <w:rFonts w:ascii="Times New Roman" w:hAnsi="Times New Roman"/>
          <w:sz w:val="24"/>
          <w:szCs w:val="24"/>
        </w:rPr>
        <w:t xml:space="preserve"> </w:t>
      </w:r>
      <w:r w:rsidRPr="002F5FE5">
        <w:rPr>
          <w:rFonts w:ascii="Times New Roman" w:hAnsi="Times New Roman"/>
          <w:sz w:val="24"/>
          <w:szCs w:val="24"/>
        </w:rPr>
        <w:t>交易标的评估情况</w:t>
      </w:r>
      <w:r w:rsidRPr="002F5FE5">
        <w:rPr>
          <w:rFonts w:ascii="Times New Roman" w:hAnsi="Times New Roman"/>
          <w:sz w:val="24"/>
          <w:szCs w:val="24"/>
        </w:rPr>
        <w:t>”</w:t>
      </w:r>
      <w:r w:rsidRPr="002F5FE5">
        <w:rPr>
          <w:rFonts w:ascii="Times New Roman" w:hAnsi="Times New Roman"/>
          <w:sz w:val="24"/>
          <w:szCs w:val="24"/>
        </w:rPr>
        <w:t>之</w:t>
      </w:r>
      <w:r w:rsidRPr="002F5FE5">
        <w:rPr>
          <w:rFonts w:ascii="Times New Roman" w:hAnsi="Times New Roman"/>
          <w:sz w:val="24"/>
          <w:szCs w:val="24"/>
        </w:rPr>
        <w:t>“</w:t>
      </w:r>
      <w:r w:rsidRPr="002F5FE5">
        <w:rPr>
          <w:rFonts w:ascii="Times New Roman" w:hAnsi="Times New Roman"/>
          <w:sz w:val="24"/>
          <w:szCs w:val="24"/>
        </w:rPr>
        <w:t>二、标的公司评估基本情况</w:t>
      </w:r>
      <w:r w:rsidRPr="002F5FE5">
        <w:rPr>
          <w:rFonts w:ascii="Times New Roman" w:hAnsi="Times New Roman"/>
          <w:sz w:val="24"/>
          <w:szCs w:val="24"/>
        </w:rPr>
        <w:t>”</w:t>
      </w:r>
      <w:r w:rsidRPr="002F5FE5">
        <w:rPr>
          <w:rFonts w:ascii="Times New Roman" w:hAnsi="Times New Roman"/>
          <w:sz w:val="24"/>
          <w:szCs w:val="24"/>
        </w:rPr>
        <w:t>之</w:t>
      </w:r>
      <w:r w:rsidRPr="002F5FE5">
        <w:rPr>
          <w:rFonts w:ascii="Times New Roman" w:hAnsi="Times New Roman"/>
          <w:sz w:val="24"/>
          <w:szCs w:val="24"/>
        </w:rPr>
        <w:t>“</w:t>
      </w:r>
      <w:r w:rsidRPr="002F5FE5">
        <w:rPr>
          <w:rFonts w:ascii="Times New Roman" w:hAnsi="Times New Roman"/>
          <w:sz w:val="24"/>
          <w:szCs w:val="24"/>
        </w:rPr>
        <w:t>（四）市场法的评估情况及分析</w:t>
      </w:r>
      <w:r w:rsidRPr="002F5FE5">
        <w:rPr>
          <w:rFonts w:ascii="Times New Roman" w:hAnsi="Times New Roman"/>
          <w:sz w:val="24"/>
          <w:szCs w:val="24"/>
        </w:rPr>
        <w:t>”</w:t>
      </w:r>
      <w:r w:rsidRPr="002F5FE5">
        <w:rPr>
          <w:rFonts w:ascii="Times New Roman" w:hAnsi="Times New Roman"/>
          <w:sz w:val="24"/>
          <w:szCs w:val="24"/>
        </w:rPr>
        <w:t>之</w:t>
      </w:r>
      <w:r w:rsidRPr="002F5FE5">
        <w:rPr>
          <w:rFonts w:ascii="Times New Roman" w:hAnsi="Times New Roman"/>
          <w:sz w:val="24"/>
          <w:szCs w:val="24"/>
        </w:rPr>
        <w:t>“1</w:t>
      </w:r>
      <w:r w:rsidRPr="002F5FE5">
        <w:rPr>
          <w:rFonts w:ascii="Times New Roman" w:hAnsi="Times New Roman"/>
          <w:sz w:val="24"/>
          <w:szCs w:val="24"/>
        </w:rPr>
        <w:t>、市场法模型</w:t>
      </w:r>
      <w:r w:rsidRPr="002F5FE5">
        <w:rPr>
          <w:rFonts w:ascii="Times New Roman" w:hAnsi="Times New Roman"/>
          <w:sz w:val="24"/>
          <w:szCs w:val="24"/>
        </w:rPr>
        <w:t>”</w:t>
      </w:r>
      <w:r w:rsidRPr="002F5FE5">
        <w:rPr>
          <w:rFonts w:ascii="Times New Roman" w:hAnsi="Times New Roman"/>
          <w:sz w:val="24"/>
          <w:szCs w:val="24"/>
        </w:rPr>
        <w:t>之</w:t>
      </w:r>
      <w:r w:rsidRPr="002F5FE5">
        <w:rPr>
          <w:rFonts w:ascii="Times New Roman" w:hAnsi="Times New Roman"/>
          <w:sz w:val="24"/>
          <w:szCs w:val="24"/>
        </w:rPr>
        <w:t>“</w:t>
      </w:r>
      <w:r w:rsidRPr="002F5FE5">
        <w:rPr>
          <w:rFonts w:ascii="Times New Roman" w:hAnsi="Times New Roman"/>
          <w:sz w:val="24"/>
          <w:szCs w:val="24"/>
        </w:rPr>
        <w:t>（</w:t>
      </w:r>
      <w:r w:rsidRPr="002F5FE5">
        <w:rPr>
          <w:rFonts w:ascii="Times New Roman" w:hAnsi="Times New Roman"/>
          <w:sz w:val="24"/>
          <w:szCs w:val="24"/>
        </w:rPr>
        <w:t>1</w:t>
      </w:r>
      <w:r w:rsidRPr="002F5FE5">
        <w:rPr>
          <w:rFonts w:ascii="Times New Roman" w:hAnsi="Times New Roman"/>
          <w:sz w:val="24"/>
          <w:szCs w:val="24"/>
        </w:rPr>
        <w:t>）选取可比企业</w:t>
      </w:r>
      <w:r w:rsidRPr="002F5FE5">
        <w:rPr>
          <w:rFonts w:ascii="Times New Roman" w:hAnsi="Times New Roman"/>
          <w:sz w:val="24"/>
          <w:szCs w:val="24"/>
        </w:rPr>
        <w:t>”</w:t>
      </w:r>
      <w:r w:rsidRPr="002F5FE5">
        <w:rPr>
          <w:rFonts w:ascii="Times New Roman" w:hAnsi="Times New Roman"/>
          <w:sz w:val="24"/>
          <w:szCs w:val="24"/>
        </w:rPr>
        <w:t>补充披露。</w:t>
      </w:r>
    </w:p>
    <w:bookmarkEnd w:id="6"/>
    <w:p w14:paraId="5F3354C9" w14:textId="77777777" w:rsidR="00CD798F" w:rsidRPr="002F5FE5" w:rsidRDefault="00CD798F" w:rsidP="00CD798F">
      <w:pPr>
        <w:keepNext/>
        <w:keepLines/>
        <w:spacing w:before="120" w:after="120" w:line="360" w:lineRule="auto"/>
        <w:ind w:firstLine="482"/>
        <w:outlineLvl w:val="1"/>
        <w:rPr>
          <w:rFonts w:ascii="宋体" w:hAnsi="宋体" w:hint="eastAsia"/>
          <w:b/>
          <w:bCs/>
          <w:sz w:val="24"/>
          <w:szCs w:val="24"/>
        </w:rPr>
      </w:pPr>
      <w:r w:rsidRPr="002F5FE5">
        <w:rPr>
          <w:rFonts w:ascii="宋体" w:hAnsi="宋体" w:hint="eastAsia"/>
          <w:b/>
          <w:bCs/>
          <w:sz w:val="24"/>
          <w:szCs w:val="24"/>
        </w:rPr>
        <w:t>三</w:t>
      </w:r>
      <w:r w:rsidRPr="002F5FE5">
        <w:rPr>
          <w:rFonts w:ascii="宋体" w:hAnsi="宋体"/>
          <w:b/>
          <w:bCs/>
          <w:sz w:val="24"/>
          <w:szCs w:val="24"/>
        </w:rPr>
        <w:t>、</w:t>
      </w:r>
      <w:r w:rsidRPr="002F5FE5">
        <w:rPr>
          <w:rFonts w:ascii="宋体" w:hAnsi="宋体" w:hint="eastAsia"/>
          <w:b/>
          <w:bCs/>
          <w:sz w:val="24"/>
          <w:szCs w:val="24"/>
        </w:rPr>
        <w:t>补充披露计算可比企业静态EV/S、修正价值比率、计算市场法评估值时所采用的各项指标、参数的取值时间、数据来源及具体测算过程。</w:t>
      </w:r>
    </w:p>
    <w:p w14:paraId="4F4888C6" w14:textId="77777777" w:rsidR="00CD798F" w:rsidRPr="002F5FE5" w:rsidRDefault="00CD798F" w:rsidP="00CD798F">
      <w:pPr>
        <w:keepNext/>
        <w:keepLines/>
        <w:spacing w:before="120" w:after="120" w:line="360" w:lineRule="auto"/>
        <w:ind w:firstLine="482"/>
        <w:outlineLvl w:val="2"/>
        <w:rPr>
          <w:rFonts w:ascii="宋体" w:hAnsi="宋体" w:hint="eastAsia"/>
          <w:b/>
          <w:bCs/>
          <w:sz w:val="24"/>
          <w:szCs w:val="24"/>
        </w:rPr>
      </w:pPr>
      <w:r w:rsidRPr="002F5FE5">
        <w:rPr>
          <w:rFonts w:ascii="宋体" w:hAnsi="宋体" w:hint="eastAsia"/>
          <w:b/>
          <w:bCs/>
          <w:sz w:val="24"/>
          <w:szCs w:val="24"/>
        </w:rPr>
        <w:t>（一）可比企业静态EV/S测算过程</w:t>
      </w:r>
    </w:p>
    <w:tbl>
      <w:tblPr>
        <w:tblW w:w="5576"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27"/>
        <w:gridCol w:w="2346"/>
        <w:gridCol w:w="1629"/>
        <w:gridCol w:w="1807"/>
        <w:gridCol w:w="1696"/>
      </w:tblGrid>
      <w:tr w:rsidR="00CD798F" w:rsidRPr="002F5FE5" w14:paraId="6F895249" w14:textId="77777777" w:rsidTr="00214723">
        <w:trPr>
          <w:cantSplit/>
          <w:trHeight w:val="454"/>
          <w:tblHeader/>
          <w:jc w:val="center"/>
        </w:trPr>
        <w:tc>
          <w:tcPr>
            <w:tcW w:w="1300" w:type="pct"/>
            <w:noWrap/>
            <w:vAlign w:val="center"/>
          </w:tcPr>
          <w:p w14:paraId="2CB3E108"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项目</w:t>
            </w:r>
          </w:p>
        </w:tc>
        <w:tc>
          <w:tcPr>
            <w:tcW w:w="1161" w:type="pct"/>
            <w:vAlign w:val="center"/>
          </w:tcPr>
          <w:p w14:paraId="0BCCC63A"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字母或计算公式</w:t>
            </w:r>
          </w:p>
        </w:tc>
        <w:tc>
          <w:tcPr>
            <w:tcW w:w="806" w:type="pct"/>
            <w:vAlign w:val="center"/>
          </w:tcPr>
          <w:p w14:paraId="49DD5C23"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映翰通</w:t>
            </w:r>
          </w:p>
        </w:tc>
        <w:tc>
          <w:tcPr>
            <w:tcW w:w="894" w:type="pct"/>
            <w:noWrap/>
            <w:vAlign w:val="center"/>
          </w:tcPr>
          <w:p w14:paraId="4C2485FA"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广联达</w:t>
            </w:r>
          </w:p>
        </w:tc>
        <w:tc>
          <w:tcPr>
            <w:tcW w:w="839" w:type="pct"/>
            <w:noWrap/>
            <w:vAlign w:val="center"/>
          </w:tcPr>
          <w:p w14:paraId="3034AACD"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石基信息</w:t>
            </w:r>
          </w:p>
        </w:tc>
      </w:tr>
      <w:tr w:rsidR="00CD798F" w:rsidRPr="002F5FE5" w14:paraId="7C2ED3B0" w14:textId="77777777" w:rsidTr="00214723">
        <w:trPr>
          <w:cantSplit/>
          <w:trHeight w:val="454"/>
          <w:jc w:val="center"/>
        </w:trPr>
        <w:tc>
          <w:tcPr>
            <w:tcW w:w="1300" w:type="pct"/>
            <w:noWrap/>
            <w:vAlign w:val="center"/>
          </w:tcPr>
          <w:p w14:paraId="0226B63B"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调整前股权价值</w:t>
            </w:r>
          </w:p>
        </w:tc>
        <w:tc>
          <w:tcPr>
            <w:tcW w:w="1161" w:type="pct"/>
            <w:vAlign w:val="center"/>
          </w:tcPr>
          <w:p w14:paraId="2229A4B7"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A</w:t>
            </w:r>
          </w:p>
        </w:tc>
        <w:tc>
          <w:tcPr>
            <w:tcW w:w="806" w:type="pct"/>
            <w:vAlign w:val="center"/>
          </w:tcPr>
          <w:p w14:paraId="32A0CB90"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391,586.89</w:t>
            </w:r>
          </w:p>
        </w:tc>
        <w:tc>
          <w:tcPr>
            <w:tcW w:w="894" w:type="pct"/>
            <w:noWrap/>
            <w:vAlign w:val="center"/>
          </w:tcPr>
          <w:p w14:paraId="5DAE1DF1"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2,269,226.74</w:t>
            </w:r>
          </w:p>
        </w:tc>
        <w:tc>
          <w:tcPr>
            <w:tcW w:w="839" w:type="pct"/>
            <w:noWrap/>
            <w:vAlign w:val="center"/>
          </w:tcPr>
          <w:p w14:paraId="7BBF7D17"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2,571,322.13</w:t>
            </w:r>
          </w:p>
        </w:tc>
      </w:tr>
      <w:tr w:rsidR="00CD798F" w:rsidRPr="002F5FE5" w14:paraId="0000362E" w14:textId="77777777" w:rsidTr="00214723">
        <w:trPr>
          <w:cantSplit/>
          <w:trHeight w:val="454"/>
          <w:jc w:val="center"/>
        </w:trPr>
        <w:tc>
          <w:tcPr>
            <w:tcW w:w="1300" w:type="pct"/>
            <w:noWrap/>
            <w:vAlign w:val="center"/>
          </w:tcPr>
          <w:p w14:paraId="2B7BFC5A"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付息债务价值</w:t>
            </w:r>
          </w:p>
        </w:tc>
        <w:tc>
          <w:tcPr>
            <w:tcW w:w="1161" w:type="pct"/>
            <w:vAlign w:val="center"/>
          </w:tcPr>
          <w:p w14:paraId="4E8CD472"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B</w:t>
            </w:r>
          </w:p>
        </w:tc>
        <w:tc>
          <w:tcPr>
            <w:tcW w:w="806" w:type="pct"/>
            <w:vAlign w:val="center"/>
          </w:tcPr>
          <w:p w14:paraId="0BBF0BC2"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0.00</w:t>
            </w:r>
          </w:p>
        </w:tc>
        <w:tc>
          <w:tcPr>
            <w:tcW w:w="894" w:type="pct"/>
            <w:noWrap/>
            <w:vAlign w:val="center"/>
          </w:tcPr>
          <w:p w14:paraId="3B32CBF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5,123.04</w:t>
            </w:r>
          </w:p>
        </w:tc>
        <w:tc>
          <w:tcPr>
            <w:tcW w:w="839" w:type="pct"/>
            <w:noWrap/>
            <w:vAlign w:val="center"/>
          </w:tcPr>
          <w:p w14:paraId="26C8CA28"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9,623.25</w:t>
            </w:r>
          </w:p>
        </w:tc>
      </w:tr>
      <w:tr w:rsidR="00CD798F" w:rsidRPr="002F5FE5" w14:paraId="54F0882E" w14:textId="77777777" w:rsidTr="00214723">
        <w:trPr>
          <w:cantSplit/>
          <w:trHeight w:val="454"/>
          <w:jc w:val="center"/>
        </w:trPr>
        <w:tc>
          <w:tcPr>
            <w:tcW w:w="1300" w:type="pct"/>
            <w:noWrap/>
            <w:vAlign w:val="center"/>
          </w:tcPr>
          <w:p w14:paraId="232B276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少数股东权益价值</w:t>
            </w:r>
          </w:p>
        </w:tc>
        <w:tc>
          <w:tcPr>
            <w:tcW w:w="1161" w:type="pct"/>
            <w:vAlign w:val="center"/>
          </w:tcPr>
          <w:p w14:paraId="49945A96"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C</w:t>
            </w:r>
          </w:p>
        </w:tc>
        <w:tc>
          <w:tcPr>
            <w:tcW w:w="806" w:type="pct"/>
            <w:vAlign w:val="center"/>
          </w:tcPr>
          <w:p w14:paraId="5B6419E3"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307.61</w:t>
            </w:r>
          </w:p>
        </w:tc>
        <w:tc>
          <w:tcPr>
            <w:tcW w:w="894" w:type="pct"/>
            <w:noWrap/>
            <w:vAlign w:val="center"/>
          </w:tcPr>
          <w:p w14:paraId="2A41FACC"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12,779.38</w:t>
            </w:r>
          </w:p>
        </w:tc>
        <w:tc>
          <w:tcPr>
            <w:tcW w:w="839" w:type="pct"/>
            <w:noWrap/>
            <w:vAlign w:val="center"/>
          </w:tcPr>
          <w:p w14:paraId="403F3C13"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83,976.43</w:t>
            </w:r>
          </w:p>
        </w:tc>
      </w:tr>
      <w:tr w:rsidR="00CD798F" w:rsidRPr="002F5FE5" w14:paraId="33365C43" w14:textId="77777777" w:rsidTr="00214723">
        <w:trPr>
          <w:cantSplit/>
          <w:trHeight w:val="454"/>
          <w:jc w:val="center"/>
        </w:trPr>
        <w:tc>
          <w:tcPr>
            <w:tcW w:w="1300" w:type="pct"/>
            <w:noWrap/>
            <w:vAlign w:val="center"/>
          </w:tcPr>
          <w:p w14:paraId="2AA54067"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缺乏流动性折扣</w:t>
            </w:r>
          </w:p>
        </w:tc>
        <w:tc>
          <w:tcPr>
            <w:tcW w:w="1161" w:type="pct"/>
            <w:vAlign w:val="center"/>
          </w:tcPr>
          <w:p w14:paraId="20A4744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D</w:t>
            </w:r>
          </w:p>
        </w:tc>
        <w:tc>
          <w:tcPr>
            <w:tcW w:w="806" w:type="pct"/>
            <w:vAlign w:val="center"/>
          </w:tcPr>
          <w:p w14:paraId="600D9EDC"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33.51%</w:t>
            </w:r>
          </w:p>
        </w:tc>
        <w:tc>
          <w:tcPr>
            <w:tcW w:w="894" w:type="pct"/>
            <w:noWrap/>
            <w:vAlign w:val="center"/>
          </w:tcPr>
          <w:p w14:paraId="05943A50"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33.51%</w:t>
            </w:r>
          </w:p>
        </w:tc>
        <w:tc>
          <w:tcPr>
            <w:tcW w:w="839" w:type="pct"/>
            <w:noWrap/>
            <w:vAlign w:val="center"/>
          </w:tcPr>
          <w:p w14:paraId="228DC11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33.51%</w:t>
            </w:r>
          </w:p>
        </w:tc>
      </w:tr>
      <w:tr w:rsidR="00CD798F" w:rsidRPr="002F5FE5" w14:paraId="3B6FE330" w14:textId="77777777" w:rsidTr="00214723">
        <w:trPr>
          <w:cantSplit/>
          <w:trHeight w:val="454"/>
          <w:jc w:val="center"/>
        </w:trPr>
        <w:tc>
          <w:tcPr>
            <w:tcW w:w="1300" w:type="pct"/>
            <w:noWrap/>
            <w:vAlign w:val="center"/>
          </w:tcPr>
          <w:p w14:paraId="477E514D"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调整前企业价值（</w:t>
            </w:r>
            <w:r w:rsidRPr="002F5FE5">
              <w:rPr>
                <w:rFonts w:ascii="Times New Roman" w:hAnsi="Times New Roman"/>
                <w:color w:val="000000"/>
              </w:rPr>
              <w:t>EV</w:t>
            </w:r>
            <w:r w:rsidRPr="002F5FE5">
              <w:rPr>
                <w:rFonts w:ascii="Times New Roman" w:hAnsi="Times New Roman"/>
                <w:color w:val="000000"/>
              </w:rPr>
              <w:t>）</w:t>
            </w:r>
          </w:p>
        </w:tc>
        <w:tc>
          <w:tcPr>
            <w:tcW w:w="1161" w:type="pct"/>
            <w:vAlign w:val="center"/>
          </w:tcPr>
          <w:p w14:paraId="5401E471"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E=A*(1-D)+B+C</w:t>
            </w:r>
          </w:p>
        </w:tc>
        <w:tc>
          <w:tcPr>
            <w:tcW w:w="806" w:type="pct"/>
            <w:vAlign w:val="center"/>
          </w:tcPr>
          <w:p w14:paraId="67A5AB5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260,658.46</w:t>
            </w:r>
          </w:p>
        </w:tc>
        <w:tc>
          <w:tcPr>
            <w:tcW w:w="894" w:type="pct"/>
            <w:noWrap/>
            <w:vAlign w:val="center"/>
          </w:tcPr>
          <w:p w14:paraId="59AB6F8A"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1,526,622.80</w:t>
            </w:r>
          </w:p>
        </w:tc>
        <w:tc>
          <w:tcPr>
            <w:tcW w:w="839" w:type="pct"/>
            <w:noWrap/>
            <w:vAlign w:val="center"/>
          </w:tcPr>
          <w:p w14:paraId="20E2E4CA"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1,803,171.50</w:t>
            </w:r>
          </w:p>
        </w:tc>
      </w:tr>
      <w:tr w:rsidR="00CD798F" w:rsidRPr="002F5FE5" w14:paraId="54A477C2" w14:textId="77777777" w:rsidTr="00214723">
        <w:trPr>
          <w:cantSplit/>
          <w:trHeight w:val="454"/>
          <w:jc w:val="center"/>
        </w:trPr>
        <w:tc>
          <w:tcPr>
            <w:tcW w:w="1300" w:type="pct"/>
            <w:noWrap/>
            <w:vAlign w:val="center"/>
          </w:tcPr>
          <w:p w14:paraId="4E6B7F0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非经营性资产、负债及溢余资产价值</w:t>
            </w:r>
          </w:p>
        </w:tc>
        <w:tc>
          <w:tcPr>
            <w:tcW w:w="1161" w:type="pct"/>
            <w:vAlign w:val="center"/>
          </w:tcPr>
          <w:p w14:paraId="0CF61507"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F</w:t>
            </w:r>
          </w:p>
        </w:tc>
        <w:tc>
          <w:tcPr>
            <w:tcW w:w="806" w:type="pct"/>
            <w:vAlign w:val="center"/>
          </w:tcPr>
          <w:p w14:paraId="57917852"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5,444.01</w:t>
            </w:r>
          </w:p>
        </w:tc>
        <w:tc>
          <w:tcPr>
            <w:tcW w:w="894" w:type="pct"/>
            <w:noWrap/>
            <w:vAlign w:val="center"/>
          </w:tcPr>
          <w:p w14:paraId="02C1C64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149,142.27</w:t>
            </w:r>
          </w:p>
        </w:tc>
        <w:tc>
          <w:tcPr>
            <w:tcW w:w="839" w:type="pct"/>
            <w:noWrap/>
            <w:vAlign w:val="center"/>
          </w:tcPr>
          <w:p w14:paraId="5EE00EC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31,605.72</w:t>
            </w:r>
          </w:p>
        </w:tc>
      </w:tr>
      <w:tr w:rsidR="00CD798F" w:rsidRPr="002F5FE5" w14:paraId="30545DE3" w14:textId="77777777" w:rsidTr="00214723">
        <w:trPr>
          <w:cantSplit/>
          <w:trHeight w:val="454"/>
          <w:jc w:val="center"/>
        </w:trPr>
        <w:tc>
          <w:tcPr>
            <w:tcW w:w="1300" w:type="pct"/>
            <w:noWrap/>
            <w:vAlign w:val="center"/>
          </w:tcPr>
          <w:p w14:paraId="4493418A"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调整后企业价值（</w:t>
            </w:r>
            <w:r w:rsidRPr="002F5FE5">
              <w:rPr>
                <w:rFonts w:ascii="Times New Roman" w:hAnsi="Times New Roman"/>
                <w:color w:val="000000"/>
              </w:rPr>
              <w:t>EV</w:t>
            </w:r>
            <w:r w:rsidRPr="002F5FE5">
              <w:rPr>
                <w:rFonts w:ascii="Times New Roman" w:hAnsi="Times New Roman"/>
                <w:color w:val="000000"/>
              </w:rPr>
              <w:t>）</w:t>
            </w:r>
          </w:p>
        </w:tc>
        <w:tc>
          <w:tcPr>
            <w:tcW w:w="1161" w:type="pct"/>
            <w:vAlign w:val="center"/>
          </w:tcPr>
          <w:p w14:paraId="604632D5"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G=E-F</w:t>
            </w:r>
          </w:p>
        </w:tc>
        <w:tc>
          <w:tcPr>
            <w:tcW w:w="806" w:type="pct"/>
            <w:vAlign w:val="center"/>
          </w:tcPr>
          <w:p w14:paraId="0018FE3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255,214.46</w:t>
            </w:r>
          </w:p>
        </w:tc>
        <w:tc>
          <w:tcPr>
            <w:tcW w:w="894" w:type="pct"/>
            <w:noWrap/>
            <w:vAlign w:val="center"/>
          </w:tcPr>
          <w:p w14:paraId="59DCEF2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1,377,480.53</w:t>
            </w:r>
          </w:p>
        </w:tc>
        <w:tc>
          <w:tcPr>
            <w:tcW w:w="839" w:type="pct"/>
            <w:noWrap/>
            <w:vAlign w:val="center"/>
          </w:tcPr>
          <w:p w14:paraId="0BCF71F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1,771,565.78</w:t>
            </w:r>
          </w:p>
        </w:tc>
      </w:tr>
      <w:tr w:rsidR="00CD798F" w:rsidRPr="002F5FE5" w14:paraId="3634BE4A" w14:textId="77777777" w:rsidTr="00214723">
        <w:trPr>
          <w:cantSplit/>
          <w:trHeight w:val="454"/>
          <w:jc w:val="center"/>
        </w:trPr>
        <w:tc>
          <w:tcPr>
            <w:tcW w:w="1300" w:type="pct"/>
            <w:noWrap/>
            <w:vAlign w:val="center"/>
          </w:tcPr>
          <w:p w14:paraId="2FA28DA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货币资金</w:t>
            </w:r>
          </w:p>
        </w:tc>
        <w:tc>
          <w:tcPr>
            <w:tcW w:w="1161" w:type="pct"/>
            <w:vAlign w:val="center"/>
          </w:tcPr>
          <w:p w14:paraId="0A22193E"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H</w:t>
            </w:r>
          </w:p>
        </w:tc>
        <w:tc>
          <w:tcPr>
            <w:tcW w:w="806" w:type="pct"/>
            <w:vAlign w:val="center"/>
          </w:tcPr>
          <w:p w14:paraId="592F0882"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82,419.17</w:t>
            </w:r>
          </w:p>
        </w:tc>
        <w:tc>
          <w:tcPr>
            <w:tcW w:w="894" w:type="pct"/>
            <w:noWrap/>
            <w:vAlign w:val="center"/>
          </w:tcPr>
          <w:p w14:paraId="7C664AC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244,843.37</w:t>
            </w:r>
          </w:p>
        </w:tc>
        <w:tc>
          <w:tcPr>
            <w:tcW w:w="839" w:type="pct"/>
            <w:noWrap/>
            <w:vAlign w:val="center"/>
          </w:tcPr>
          <w:p w14:paraId="7B4F8F2D"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402,452.88</w:t>
            </w:r>
          </w:p>
        </w:tc>
      </w:tr>
      <w:tr w:rsidR="00CD798F" w:rsidRPr="002F5FE5" w14:paraId="65A9CC2D" w14:textId="77777777" w:rsidTr="00214723">
        <w:trPr>
          <w:cantSplit/>
          <w:trHeight w:val="454"/>
          <w:jc w:val="center"/>
        </w:trPr>
        <w:tc>
          <w:tcPr>
            <w:tcW w:w="1300" w:type="pct"/>
            <w:noWrap/>
            <w:vAlign w:val="center"/>
          </w:tcPr>
          <w:p w14:paraId="2074E9F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调整后企业价值（</w:t>
            </w:r>
            <w:r w:rsidRPr="002F5FE5">
              <w:rPr>
                <w:rFonts w:ascii="Times New Roman" w:hAnsi="Times New Roman"/>
                <w:color w:val="000000"/>
              </w:rPr>
              <w:t>EV</w:t>
            </w:r>
            <w:r w:rsidRPr="002F5FE5">
              <w:rPr>
                <w:rFonts w:ascii="Times New Roman" w:hAnsi="Times New Roman"/>
                <w:color w:val="000000"/>
              </w:rPr>
              <w:t>）（不含货币资金）</w:t>
            </w:r>
          </w:p>
        </w:tc>
        <w:tc>
          <w:tcPr>
            <w:tcW w:w="1161" w:type="pct"/>
            <w:vAlign w:val="center"/>
          </w:tcPr>
          <w:p w14:paraId="40413EDD"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I=G-H</w:t>
            </w:r>
          </w:p>
        </w:tc>
        <w:tc>
          <w:tcPr>
            <w:tcW w:w="806" w:type="pct"/>
            <w:vAlign w:val="center"/>
          </w:tcPr>
          <w:p w14:paraId="221587B8"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172,795.29</w:t>
            </w:r>
          </w:p>
        </w:tc>
        <w:tc>
          <w:tcPr>
            <w:tcW w:w="894" w:type="pct"/>
            <w:noWrap/>
            <w:vAlign w:val="center"/>
          </w:tcPr>
          <w:p w14:paraId="2F0452B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1,132,637.16</w:t>
            </w:r>
          </w:p>
        </w:tc>
        <w:tc>
          <w:tcPr>
            <w:tcW w:w="839" w:type="pct"/>
            <w:noWrap/>
            <w:vAlign w:val="center"/>
          </w:tcPr>
          <w:p w14:paraId="53E72601"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1,369,112.90</w:t>
            </w:r>
          </w:p>
        </w:tc>
      </w:tr>
      <w:tr w:rsidR="00CD798F" w:rsidRPr="002F5FE5" w14:paraId="26C6273B" w14:textId="77777777" w:rsidTr="00214723">
        <w:trPr>
          <w:cantSplit/>
          <w:trHeight w:val="454"/>
          <w:jc w:val="center"/>
        </w:trPr>
        <w:tc>
          <w:tcPr>
            <w:tcW w:w="1300" w:type="pct"/>
            <w:noWrap/>
            <w:vAlign w:val="center"/>
          </w:tcPr>
          <w:p w14:paraId="3E0AD60E"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营业收入（</w:t>
            </w:r>
            <w:r w:rsidRPr="002F5FE5">
              <w:rPr>
                <w:rFonts w:ascii="Times New Roman" w:hAnsi="Times New Roman"/>
                <w:color w:val="000000"/>
              </w:rPr>
              <w:t>S</w:t>
            </w:r>
            <w:r w:rsidRPr="002F5FE5">
              <w:rPr>
                <w:rFonts w:ascii="Times New Roman" w:hAnsi="Times New Roman"/>
                <w:color w:val="000000"/>
              </w:rPr>
              <w:t>）</w:t>
            </w:r>
            <w:r w:rsidRPr="002F5FE5">
              <w:rPr>
                <w:rFonts w:ascii="Times New Roman" w:hAnsi="Times New Roman"/>
                <w:color w:val="000000"/>
              </w:rPr>
              <w:t>-</w:t>
            </w:r>
            <w:r w:rsidRPr="002F5FE5">
              <w:rPr>
                <w:rFonts w:ascii="Times New Roman" w:hAnsi="Times New Roman"/>
                <w:color w:val="000000"/>
              </w:rPr>
              <w:t>静态</w:t>
            </w:r>
            <w:r w:rsidRPr="002F5FE5">
              <w:rPr>
                <w:rFonts w:ascii="Times New Roman" w:hAnsi="Times New Roman"/>
                <w:color w:val="000000"/>
              </w:rPr>
              <w:t>2024</w:t>
            </w:r>
          </w:p>
        </w:tc>
        <w:tc>
          <w:tcPr>
            <w:tcW w:w="1161" w:type="pct"/>
            <w:vAlign w:val="center"/>
          </w:tcPr>
          <w:p w14:paraId="40C2ACA8"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J</w:t>
            </w:r>
          </w:p>
        </w:tc>
        <w:tc>
          <w:tcPr>
            <w:tcW w:w="806" w:type="pct"/>
            <w:vAlign w:val="center"/>
          </w:tcPr>
          <w:p w14:paraId="07666D25"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61,173.62</w:t>
            </w:r>
          </w:p>
        </w:tc>
        <w:tc>
          <w:tcPr>
            <w:tcW w:w="894" w:type="pct"/>
            <w:noWrap/>
            <w:vAlign w:val="center"/>
          </w:tcPr>
          <w:p w14:paraId="7F75DC2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620,287.40</w:t>
            </w:r>
          </w:p>
        </w:tc>
        <w:tc>
          <w:tcPr>
            <w:tcW w:w="839" w:type="pct"/>
            <w:noWrap/>
            <w:vAlign w:val="center"/>
          </w:tcPr>
          <w:p w14:paraId="678CFCA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293,386.16</w:t>
            </w:r>
          </w:p>
        </w:tc>
      </w:tr>
      <w:tr w:rsidR="00CD798F" w:rsidRPr="002F5FE5" w14:paraId="72CFA1B7" w14:textId="77777777" w:rsidTr="00214723">
        <w:trPr>
          <w:cantSplit/>
          <w:trHeight w:val="454"/>
          <w:jc w:val="center"/>
        </w:trPr>
        <w:tc>
          <w:tcPr>
            <w:tcW w:w="1300" w:type="pct"/>
            <w:noWrap/>
            <w:vAlign w:val="center"/>
          </w:tcPr>
          <w:p w14:paraId="1ADBC69F"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静态</w:t>
            </w:r>
            <w:r w:rsidRPr="002F5FE5">
              <w:rPr>
                <w:rFonts w:ascii="Times New Roman" w:hAnsi="Times New Roman"/>
                <w:color w:val="000000"/>
              </w:rPr>
              <w:t>EV/S</w:t>
            </w:r>
          </w:p>
        </w:tc>
        <w:tc>
          <w:tcPr>
            <w:tcW w:w="1161" w:type="pct"/>
            <w:vAlign w:val="center"/>
          </w:tcPr>
          <w:p w14:paraId="7C5F8079" w14:textId="77777777" w:rsidR="00CD798F" w:rsidRPr="002F5FE5" w:rsidRDefault="00CD798F" w:rsidP="00214723">
            <w:pPr>
              <w:jc w:val="center"/>
              <w:rPr>
                <w:rFonts w:ascii="Times New Roman" w:hAnsi="Times New Roman"/>
                <w:color w:val="000000"/>
              </w:rPr>
            </w:pPr>
            <w:r w:rsidRPr="002F5FE5">
              <w:rPr>
                <w:rFonts w:ascii="Times New Roman" w:hAnsi="Times New Roman"/>
                <w:color w:val="000000"/>
              </w:rPr>
              <w:t>K</w:t>
            </w:r>
            <w:r w:rsidRPr="002F5FE5">
              <w:rPr>
                <w:rFonts w:ascii="Times New Roman" w:hAnsi="Times New Roman"/>
                <w:color w:val="000000"/>
              </w:rPr>
              <w:t>＝</w:t>
            </w:r>
            <w:r w:rsidRPr="002F5FE5">
              <w:rPr>
                <w:rFonts w:ascii="Times New Roman" w:hAnsi="Times New Roman"/>
                <w:color w:val="000000"/>
              </w:rPr>
              <w:t>I÷J</w:t>
            </w:r>
          </w:p>
        </w:tc>
        <w:tc>
          <w:tcPr>
            <w:tcW w:w="806" w:type="pct"/>
            <w:vAlign w:val="center"/>
          </w:tcPr>
          <w:p w14:paraId="76D0A36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2.82</w:t>
            </w:r>
          </w:p>
        </w:tc>
        <w:tc>
          <w:tcPr>
            <w:tcW w:w="894" w:type="pct"/>
            <w:noWrap/>
            <w:vAlign w:val="center"/>
          </w:tcPr>
          <w:p w14:paraId="3D1AAE5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1.83</w:t>
            </w:r>
          </w:p>
        </w:tc>
        <w:tc>
          <w:tcPr>
            <w:tcW w:w="839" w:type="pct"/>
            <w:noWrap/>
            <w:vAlign w:val="center"/>
          </w:tcPr>
          <w:p w14:paraId="43A02C48"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4.67</w:t>
            </w:r>
          </w:p>
        </w:tc>
      </w:tr>
    </w:tbl>
    <w:p w14:paraId="227BE856" w14:textId="77777777" w:rsidR="00CD798F" w:rsidRPr="00672DC2" w:rsidRDefault="00CD798F" w:rsidP="00CD798F">
      <w:pPr>
        <w:keepNext/>
        <w:keepLines/>
        <w:spacing w:before="120" w:after="120" w:line="360" w:lineRule="auto"/>
        <w:ind w:firstLine="482"/>
        <w:outlineLvl w:val="2"/>
        <w:rPr>
          <w:rFonts w:ascii="宋体" w:hAnsi="宋体" w:hint="eastAsia"/>
          <w:b/>
          <w:bCs/>
          <w:sz w:val="24"/>
          <w:szCs w:val="24"/>
        </w:rPr>
      </w:pPr>
      <w:r w:rsidRPr="00672DC2">
        <w:rPr>
          <w:rFonts w:ascii="宋体" w:hAnsi="宋体" w:hint="eastAsia"/>
          <w:b/>
          <w:bCs/>
          <w:sz w:val="24"/>
          <w:szCs w:val="24"/>
        </w:rPr>
        <w:t>（二）采用的各项指标、参数的取值时间、数据来源及具体测算过程</w:t>
      </w:r>
    </w:p>
    <w:p w14:paraId="068CF2A7" w14:textId="77777777" w:rsidR="00CD798F" w:rsidRPr="00672DC2" w:rsidRDefault="00CD798F" w:rsidP="00CD798F">
      <w:pPr>
        <w:keepNext/>
        <w:keepLines/>
        <w:spacing w:before="120" w:after="120" w:line="360" w:lineRule="auto"/>
        <w:ind w:firstLine="482"/>
        <w:outlineLvl w:val="3"/>
        <w:rPr>
          <w:rFonts w:ascii="宋体" w:hAnsi="宋体" w:hint="eastAsia"/>
          <w:b/>
          <w:bCs/>
          <w:sz w:val="24"/>
          <w:szCs w:val="24"/>
        </w:rPr>
      </w:pPr>
      <w:r w:rsidRPr="00672DC2">
        <w:rPr>
          <w:rFonts w:ascii="宋体" w:hAnsi="宋体" w:hint="eastAsia"/>
          <w:b/>
          <w:bCs/>
          <w:sz w:val="24"/>
          <w:szCs w:val="24"/>
        </w:rPr>
        <w:t>1、调整前股权价值</w:t>
      </w:r>
    </w:p>
    <w:p w14:paraId="6845A81D" w14:textId="77777777" w:rsidR="00CD798F" w:rsidRPr="00672DC2" w:rsidRDefault="00CD798F" w:rsidP="00CD798F">
      <w:pPr>
        <w:spacing w:before="120" w:after="120" w:line="360" w:lineRule="auto"/>
        <w:ind w:firstLine="480"/>
        <w:rPr>
          <w:rFonts w:ascii="宋体" w:hAnsi="宋体" w:hint="eastAsia"/>
          <w:sz w:val="24"/>
          <w:szCs w:val="24"/>
        </w:rPr>
      </w:pPr>
      <w:r w:rsidRPr="00672DC2">
        <w:rPr>
          <w:rFonts w:ascii="宋体" w:hAnsi="宋体" w:hint="eastAsia"/>
          <w:sz w:val="24"/>
          <w:szCs w:val="24"/>
        </w:rPr>
        <w:t>调整前的股权价值＝基准日总股本×控制权比例×基准日收盘价×（1＋控制权比例）×控制权溢价＋基准日总股本×基准日收盘价×（1－控制权比例）</w:t>
      </w:r>
    </w:p>
    <w:p w14:paraId="534F4A42" w14:textId="68A17555" w:rsidR="00CD798F" w:rsidRPr="00672DC2" w:rsidRDefault="00CD798F" w:rsidP="00CD798F">
      <w:pPr>
        <w:spacing w:before="120" w:after="120" w:line="360" w:lineRule="auto"/>
        <w:ind w:firstLine="480"/>
        <w:rPr>
          <w:rFonts w:ascii="宋体" w:hAnsi="宋体" w:hint="eastAsia"/>
          <w:sz w:val="24"/>
          <w:szCs w:val="24"/>
        </w:rPr>
      </w:pPr>
      <w:r w:rsidRPr="00672DC2">
        <w:rPr>
          <w:rFonts w:ascii="宋体" w:hAnsi="宋体" w:hint="eastAsia"/>
          <w:sz w:val="24"/>
          <w:szCs w:val="24"/>
        </w:rPr>
        <w:lastRenderedPageBreak/>
        <w:t>上市公司的股价系基于其公开市场正常交易形成的价格，该价格代表少数股权的交易价格，由于本次的评估对象是股东全部权益价值，因此需将上市公司股价还原为全口径股权价值，调整控制权因素对可比公司全口径</w:t>
      </w:r>
      <w:r w:rsidR="0048188A" w:rsidRPr="005B4E5B">
        <w:rPr>
          <w:rFonts w:ascii="宋体" w:hAnsi="宋体" w:hint="eastAsia"/>
          <w:sz w:val="24"/>
          <w:szCs w:val="24"/>
        </w:rPr>
        <w:t>股权</w:t>
      </w:r>
      <w:r w:rsidRPr="00672DC2">
        <w:rPr>
          <w:rFonts w:ascii="宋体" w:hAnsi="宋体" w:hint="eastAsia"/>
          <w:sz w:val="24"/>
          <w:szCs w:val="24"/>
        </w:rPr>
        <w:t>价值的影响。</w:t>
      </w:r>
    </w:p>
    <w:p w14:paraId="23E0AB22" w14:textId="77777777" w:rsidR="00CD798F" w:rsidRPr="00672DC2" w:rsidRDefault="00CD798F" w:rsidP="00CD798F">
      <w:pPr>
        <w:spacing w:before="120" w:after="120" w:line="360" w:lineRule="auto"/>
        <w:ind w:firstLine="480"/>
        <w:rPr>
          <w:rFonts w:ascii="宋体" w:hAnsi="宋体" w:hint="eastAsia"/>
          <w:sz w:val="24"/>
          <w:szCs w:val="24"/>
        </w:rPr>
      </w:pPr>
      <w:r w:rsidRPr="00672DC2">
        <w:rPr>
          <w:rFonts w:ascii="宋体" w:hAnsi="宋体" w:hint="eastAsia"/>
          <w:sz w:val="24"/>
          <w:szCs w:val="24"/>
        </w:rPr>
        <w:t>本次可比企业基准日总股本、基准日收盘价信息如下表所示：</w:t>
      </w:r>
    </w:p>
    <w:p w14:paraId="7D11F311" w14:textId="77777777" w:rsidR="00CD798F" w:rsidRPr="00672DC2" w:rsidRDefault="00CD798F" w:rsidP="00CD798F">
      <w:pPr>
        <w:spacing w:before="120" w:after="120" w:line="360" w:lineRule="auto"/>
        <w:ind w:firstLine="482"/>
        <w:rPr>
          <w:rFonts w:ascii="宋体" w:hAnsi="宋体" w:hint="eastAsia"/>
          <w:b/>
          <w:bCs/>
          <w:sz w:val="24"/>
          <w:szCs w:val="24"/>
        </w:rPr>
      </w:pPr>
      <w:r w:rsidRPr="00672DC2">
        <w:rPr>
          <w:rFonts w:ascii="宋体" w:hAnsi="宋体" w:hint="eastAsia"/>
          <w:b/>
          <w:bCs/>
          <w:sz w:val="24"/>
          <w:szCs w:val="24"/>
        </w:rPr>
        <w:t>（</w:t>
      </w:r>
      <w:r w:rsidRPr="00672DC2">
        <w:rPr>
          <w:rFonts w:ascii="宋体" w:hAnsi="宋体"/>
          <w:b/>
          <w:bCs/>
          <w:sz w:val="24"/>
          <w:szCs w:val="24"/>
        </w:rPr>
        <w:t>1</w:t>
      </w:r>
      <w:r w:rsidRPr="00672DC2">
        <w:rPr>
          <w:rFonts w:ascii="宋体" w:hAnsi="宋体" w:hint="eastAsia"/>
          <w:b/>
          <w:bCs/>
          <w:sz w:val="24"/>
          <w:szCs w:val="24"/>
        </w:rPr>
        <w:t>）基准日总股本、基准日收盘价</w:t>
      </w:r>
    </w:p>
    <w:p w14:paraId="34A6CA76" w14:textId="77777777" w:rsidR="00CD798F" w:rsidRPr="00672DC2" w:rsidRDefault="00CD798F" w:rsidP="00CD798F">
      <w:pPr>
        <w:spacing w:before="120" w:after="120" w:line="360" w:lineRule="auto"/>
        <w:ind w:firstLine="480"/>
        <w:rPr>
          <w:rFonts w:ascii="宋体" w:hAnsi="宋体" w:hint="eastAsia"/>
          <w:sz w:val="24"/>
          <w:szCs w:val="24"/>
        </w:rPr>
      </w:pPr>
      <w:r w:rsidRPr="00672DC2">
        <w:rPr>
          <w:rFonts w:ascii="宋体" w:hAnsi="宋体" w:hint="eastAsia"/>
          <w:sz w:val="24"/>
          <w:szCs w:val="24"/>
        </w:rPr>
        <w:t>本次可比企业基准日总股本、基准日收盘价信息如下表所示：</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037"/>
        <w:gridCol w:w="1611"/>
        <w:gridCol w:w="1593"/>
        <w:gridCol w:w="1910"/>
        <w:gridCol w:w="1910"/>
      </w:tblGrid>
      <w:tr w:rsidR="00CD798F" w:rsidRPr="002F5FE5" w14:paraId="493A8A7C" w14:textId="77777777" w:rsidTr="00214723">
        <w:trPr>
          <w:cantSplit/>
          <w:trHeight w:val="454"/>
          <w:tblHeader/>
          <w:jc w:val="center"/>
        </w:trPr>
        <w:tc>
          <w:tcPr>
            <w:tcW w:w="1124" w:type="pct"/>
            <w:noWrap/>
            <w:vAlign w:val="center"/>
          </w:tcPr>
          <w:p w14:paraId="7DB1F14C"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项目</w:t>
            </w:r>
          </w:p>
        </w:tc>
        <w:tc>
          <w:tcPr>
            <w:tcW w:w="889" w:type="pct"/>
            <w:vAlign w:val="center"/>
          </w:tcPr>
          <w:p w14:paraId="2E82E80C"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截止日期</w:t>
            </w:r>
          </w:p>
        </w:tc>
        <w:tc>
          <w:tcPr>
            <w:tcW w:w="879" w:type="pct"/>
            <w:vAlign w:val="center"/>
          </w:tcPr>
          <w:p w14:paraId="6F0CDC83"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映翰通</w:t>
            </w:r>
          </w:p>
        </w:tc>
        <w:tc>
          <w:tcPr>
            <w:tcW w:w="1054" w:type="pct"/>
            <w:noWrap/>
            <w:vAlign w:val="center"/>
          </w:tcPr>
          <w:p w14:paraId="5B748AB8"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广联达</w:t>
            </w:r>
          </w:p>
        </w:tc>
        <w:tc>
          <w:tcPr>
            <w:tcW w:w="1054" w:type="pct"/>
            <w:noWrap/>
            <w:vAlign w:val="center"/>
          </w:tcPr>
          <w:p w14:paraId="20FA9BDF"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石基信息</w:t>
            </w:r>
          </w:p>
        </w:tc>
      </w:tr>
      <w:tr w:rsidR="00CD798F" w:rsidRPr="002F5FE5" w14:paraId="59CCD398" w14:textId="77777777" w:rsidTr="00214723">
        <w:trPr>
          <w:cantSplit/>
          <w:trHeight w:val="454"/>
          <w:jc w:val="center"/>
        </w:trPr>
        <w:tc>
          <w:tcPr>
            <w:tcW w:w="1124" w:type="pct"/>
            <w:noWrap/>
            <w:vAlign w:val="center"/>
          </w:tcPr>
          <w:p w14:paraId="65DF9408"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总股本（万股）</w:t>
            </w:r>
          </w:p>
        </w:tc>
        <w:tc>
          <w:tcPr>
            <w:tcW w:w="889" w:type="pct"/>
            <w:vAlign w:val="center"/>
          </w:tcPr>
          <w:p w14:paraId="4D3EE0B4"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2025/06/30</w:t>
            </w:r>
          </w:p>
        </w:tc>
        <w:tc>
          <w:tcPr>
            <w:tcW w:w="879" w:type="pct"/>
            <w:vAlign w:val="center"/>
          </w:tcPr>
          <w:p w14:paraId="003F4584"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7,385.1842</w:t>
            </w:r>
          </w:p>
        </w:tc>
        <w:tc>
          <w:tcPr>
            <w:tcW w:w="1054" w:type="pct"/>
            <w:noWrap/>
            <w:vAlign w:val="center"/>
          </w:tcPr>
          <w:p w14:paraId="165A908E"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165,194.4342</w:t>
            </w:r>
          </w:p>
        </w:tc>
        <w:tc>
          <w:tcPr>
            <w:tcW w:w="1054" w:type="pct"/>
            <w:noWrap/>
            <w:vAlign w:val="center"/>
          </w:tcPr>
          <w:p w14:paraId="2B68428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272,919.3841</w:t>
            </w:r>
          </w:p>
        </w:tc>
      </w:tr>
      <w:tr w:rsidR="00CD798F" w:rsidRPr="002F5FE5" w14:paraId="4694A2B3" w14:textId="77777777" w:rsidTr="00214723">
        <w:trPr>
          <w:cantSplit/>
          <w:trHeight w:val="454"/>
          <w:jc w:val="center"/>
        </w:trPr>
        <w:tc>
          <w:tcPr>
            <w:tcW w:w="1124" w:type="pct"/>
            <w:noWrap/>
            <w:vAlign w:val="center"/>
          </w:tcPr>
          <w:p w14:paraId="21DE5420"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收盘价（元</w:t>
            </w:r>
            <w:r w:rsidRPr="002F5FE5">
              <w:rPr>
                <w:rFonts w:ascii="Times New Roman" w:hAnsi="Times New Roman"/>
                <w:color w:val="000000"/>
              </w:rPr>
              <w:t>/</w:t>
            </w:r>
            <w:r w:rsidRPr="002F5FE5">
              <w:rPr>
                <w:rFonts w:ascii="Times New Roman" w:hAnsi="Times New Roman"/>
                <w:color w:val="000000"/>
              </w:rPr>
              <w:t>股）</w:t>
            </w:r>
          </w:p>
        </w:tc>
        <w:tc>
          <w:tcPr>
            <w:tcW w:w="889" w:type="pct"/>
            <w:vAlign w:val="center"/>
          </w:tcPr>
          <w:p w14:paraId="694E044C"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2025/06/30</w:t>
            </w:r>
          </w:p>
        </w:tc>
        <w:tc>
          <w:tcPr>
            <w:tcW w:w="879" w:type="pct"/>
            <w:vAlign w:val="center"/>
          </w:tcPr>
          <w:p w14:paraId="7107CC0C"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50.89</w:t>
            </w:r>
          </w:p>
        </w:tc>
        <w:tc>
          <w:tcPr>
            <w:tcW w:w="1054" w:type="pct"/>
            <w:noWrap/>
            <w:vAlign w:val="center"/>
          </w:tcPr>
          <w:p w14:paraId="532BCC8A"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13.41</w:t>
            </w:r>
          </w:p>
        </w:tc>
        <w:tc>
          <w:tcPr>
            <w:tcW w:w="1054" w:type="pct"/>
            <w:noWrap/>
            <w:vAlign w:val="center"/>
          </w:tcPr>
          <w:p w14:paraId="52529E6D"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8.66</w:t>
            </w:r>
          </w:p>
        </w:tc>
      </w:tr>
    </w:tbl>
    <w:p w14:paraId="4F328478"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注：数据来源自</w:t>
      </w:r>
      <w:r w:rsidRPr="00B339EC">
        <w:rPr>
          <w:rFonts w:ascii="Times New Roman" w:hAnsi="Times New Roman"/>
          <w:sz w:val="24"/>
          <w:szCs w:val="24"/>
        </w:rPr>
        <w:t>iFind</w:t>
      </w:r>
    </w:p>
    <w:p w14:paraId="6010C875" w14:textId="77777777" w:rsidR="00CD798F" w:rsidRPr="00672DC2" w:rsidRDefault="00CD798F" w:rsidP="00CD798F">
      <w:pPr>
        <w:spacing w:before="120" w:after="120" w:line="360" w:lineRule="auto"/>
        <w:ind w:firstLine="482"/>
        <w:rPr>
          <w:rFonts w:ascii="宋体" w:hAnsi="宋体" w:hint="eastAsia"/>
          <w:b/>
          <w:bCs/>
          <w:sz w:val="24"/>
          <w:szCs w:val="24"/>
        </w:rPr>
      </w:pPr>
      <w:r w:rsidRPr="00672DC2">
        <w:rPr>
          <w:rFonts w:ascii="宋体" w:hAnsi="宋体" w:hint="eastAsia"/>
          <w:b/>
          <w:bCs/>
          <w:sz w:val="24"/>
          <w:szCs w:val="24"/>
        </w:rPr>
        <w:t>（</w:t>
      </w:r>
      <w:r w:rsidRPr="00672DC2">
        <w:rPr>
          <w:rFonts w:ascii="宋体" w:hAnsi="宋体"/>
          <w:b/>
          <w:bCs/>
          <w:sz w:val="24"/>
          <w:szCs w:val="24"/>
        </w:rPr>
        <w:t>2</w:t>
      </w:r>
      <w:r w:rsidRPr="00672DC2">
        <w:rPr>
          <w:rFonts w:ascii="宋体" w:hAnsi="宋体" w:hint="eastAsia"/>
          <w:b/>
          <w:bCs/>
          <w:sz w:val="24"/>
          <w:szCs w:val="24"/>
        </w:rPr>
        <w:t>）控制权比例</w:t>
      </w:r>
    </w:p>
    <w:p w14:paraId="7EE71AAC" w14:textId="77777777" w:rsidR="00CD798F" w:rsidRPr="00672DC2" w:rsidRDefault="00CD798F" w:rsidP="00CD798F">
      <w:pPr>
        <w:spacing w:before="120" w:after="120" w:line="360" w:lineRule="auto"/>
        <w:ind w:firstLine="480"/>
        <w:rPr>
          <w:rFonts w:ascii="宋体" w:hAnsi="宋体" w:hint="eastAsia"/>
          <w:sz w:val="24"/>
          <w:szCs w:val="24"/>
        </w:rPr>
      </w:pPr>
      <w:r w:rsidRPr="00672DC2">
        <w:rPr>
          <w:rFonts w:ascii="宋体" w:hAnsi="宋体" w:hint="eastAsia"/>
          <w:sz w:val="24"/>
          <w:szCs w:val="24"/>
        </w:rPr>
        <w:t>可比企业实际控制人及其一致行动人截至评估基准日的合计持股比例如下：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16"/>
        <w:gridCol w:w="1856"/>
        <w:gridCol w:w="2013"/>
        <w:gridCol w:w="1439"/>
        <w:gridCol w:w="1437"/>
      </w:tblGrid>
      <w:tr w:rsidR="00CD798F" w:rsidRPr="00672DC2" w14:paraId="569F28F2" w14:textId="77777777" w:rsidTr="00214723">
        <w:trPr>
          <w:cantSplit/>
          <w:trHeight w:val="454"/>
          <w:tblHeader/>
          <w:jc w:val="center"/>
        </w:trPr>
        <w:tc>
          <w:tcPr>
            <w:tcW w:w="1278" w:type="pct"/>
            <w:noWrap/>
            <w:vAlign w:val="center"/>
          </w:tcPr>
          <w:p w14:paraId="02F74774" w14:textId="77777777" w:rsidR="00CD798F" w:rsidRPr="00672DC2" w:rsidRDefault="00CD798F" w:rsidP="00214723">
            <w:pPr>
              <w:keepNext/>
              <w:jc w:val="center"/>
              <w:rPr>
                <w:rFonts w:ascii="宋体" w:hAnsi="宋体" w:hint="eastAsia"/>
                <w:b/>
                <w:color w:val="000000"/>
              </w:rPr>
            </w:pPr>
            <w:r w:rsidRPr="00672DC2">
              <w:rPr>
                <w:rFonts w:ascii="宋体" w:hAnsi="宋体" w:hint="eastAsia"/>
                <w:b/>
                <w:color w:val="000000"/>
              </w:rPr>
              <w:t>项目</w:t>
            </w:r>
          </w:p>
        </w:tc>
        <w:tc>
          <w:tcPr>
            <w:tcW w:w="1024" w:type="pct"/>
            <w:vAlign w:val="center"/>
          </w:tcPr>
          <w:p w14:paraId="637CD021" w14:textId="77777777" w:rsidR="00CD798F" w:rsidRPr="00672DC2" w:rsidRDefault="00CD798F" w:rsidP="00214723">
            <w:pPr>
              <w:keepNext/>
              <w:jc w:val="center"/>
              <w:rPr>
                <w:rFonts w:ascii="宋体" w:hAnsi="宋体" w:hint="eastAsia"/>
                <w:b/>
                <w:color w:val="000000"/>
              </w:rPr>
            </w:pPr>
            <w:r w:rsidRPr="00672DC2">
              <w:rPr>
                <w:rFonts w:ascii="宋体" w:hAnsi="宋体" w:hint="eastAsia"/>
                <w:b/>
                <w:color w:val="000000"/>
              </w:rPr>
              <w:t>截止日期</w:t>
            </w:r>
          </w:p>
        </w:tc>
        <w:tc>
          <w:tcPr>
            <w:tcW w:w="1111" w:type="pct"/>
            <w:vAlign w:val="center"/>
          </w:tcPr>
          <w:p w14:paraId="46497B86" w14:textId="77777777" w:rsidR="00CD798F" w:rsidRPr="00672DC2" w:rsidRDefault="00CD798F" w:rsidP="00214723">
            <w:pPr>
              <w:keepNext/>
              <w:jc w:val="center"/>
              <w:rPr>
                <w:rFonts w:ascii="宋体" w:hAnsi="宋体" w:hint="eastAsia"/>
                <w:b/>
                <w:color w:val="000000"/>
              </w:rPr>
            </w:pPr>
            <w:r w:rsidRPr="00672DC2">
              <w:rPr>
                <w:rFonts w:ascii="宋体" w:hAnsi="宋体" w:hint="eastAsia"/>
                <w:b/>
                <w:color w:val="000000"/>
              </w:rPr>
              <w:t>映翰通</w:t>
            </w:r>
          </w:p>
        </w:tc>
        <w:tc>
          <w:tcPr>
            <w:tcW w:w="794" w:type="pct"/>
            <w:noWrap/>
            <w:vAlign w:val="center"/>
          </w:tcPr>
          <w:p w14:paraId="0C14A5FD" w14:textId="77777777" w:rsidR="00CD798F" w:rsidRPr="00672DC2" w:rsidRDefault="00CD798F" w:rsidP="00214723">
            <w:pPr>
              <w:keepNext/>
              <w:jc w:val="center"/>
              <w:rPr>
                <w:rFonts w:ascii="宋体" w:hAnsi="宋体" w:hint="eastAsia"/>
                <w:b/>
                <w:color w:val="000000"/>
              </w:rPr>
            </w:pPr>
            <w:r w:rsidRPr="00672DC2">
              <w:rPr>
                <w:rFonts w:ascii="宋体" w:hAnsi="宋体" w:hint="eastAsia"/>
                <w:b/>
                <w:color w:val="000000"/>
              </w:rPr>
              <w:t>广联达</w:t>
            </w:r>
          </w:p>
        </w:tc>
        <w:tc>
          <w:tcPr>
            <w:tcW w:w="793" w:type="pct"/>
            <w:noWrap/>
            <w:vAlign w:val="center"/>
          </w:tcPr>
          <w:p w14:paraId="0F309A61" w14:textId="77777777" w:rsidR="00CD798F" w:rsidRPr="00672DC2" w:rsidRDefault="00CD798F" w:rsidP="00214723">
            <w:pPr>
              <w:keepNext/>
              <w:jc w:val="center"/>
              <w:rPr>
                <w:rFonts w:ascii="宋体" w:hAnsi="宋体" w:hint="eastAsia"/>
                <w:b/>
                <w:color w:val="000000"/>
              </w:rPr>
            </w:pPr>
            <w:r w:rsidRPr="00672DC2">
              <w:rPr>
                <w:rFonts w:ascii="宋体" w:hAnsi="宋体" w:hint="eastAsia"/>
                <w:b/>
                <w:color w:val="000000"/>
              </w:rPr>
              <w:t>石基信息</w:t>
            </w:r>
          </w:p>
        </w:tc>
      </w:tr>
      <w:tr w:rsidR="00CD798F" w:rsidRPr="00672DC2" w14:paraId="0B2E3BF8" w14:textId="77777777" w:rsidTr="00214723">
        <w:trPr>
          <w:cantSplit/>
          <w:trHeight w:val="454"/>
          <w:jc w:val="center"/>
        </w:trPr>
        <w:tc>
          <w:tcPr>
            <w:tcW w:w="1278" w:type="pct"/>
            <w:noWrap/>
            <w:vAlign w:val="center"/>
          </w:tcPr>
          <w:p w14:paraId="32F29E1D" w14:textId="77777777" w:rsidR="00CD798F" w:rsidRPr="00672DC2" w:rsidRDefault="00CD798F" w:rsidP="00214723">
            <w:pPr>
              <w:rPr>
                <w:rFonts w:ascii="宋体" w:hAnsi="宋体" w:hint="eastAsia"/>
                <w:color w:val="000000"/>
              </w:rPr>
            </w:pPr>
            <w:r w:rsidRPr="00672DC2">
              <w:rPr>
                <w:rFonts w:ascii="宋体" w:hAnsi="宋体" w:hint="eastAsia"/>
                <w:color w:val="000000"/>
              </w:rPr>
              <w:t>实际控制人及其一致行动人持股比例</w:t>
            </w:r>
          </w:p>
        </w:tc>
        <w:tc>
          <w:tcPr>
            <w:tcW w:w="1024" w:type="pct"/>
            <w:vAlign w:val="center"/>
          </w:tcPr>
          <w:p w14:paraId="20A87BFB" w14:textId="77777777" w:rsidR="00CD798F" w:rsidRPr="00672DC2" w:rsidRDefault="00CD798F" w:rsidP="00214723">
            <w:pPr>
              <w:rPr>
                <w:rFonts w:ascii="宋体" w:hAnsi="宋体" w:hint="eastAsia"/>
                <w:color w:val="000000"/>
              </w:rPr>
            </w:pPr>
            <w:r w:rsidRPr="00672DC2">
              <w:rPr>
                <w:rFonts w:ascii="宋体" w:hAnsi="宋体" w:hint="eastAsia"/>
                <w:color w:val="000000"/>
              </w:rPr>
              <w:t>2025/06/30</w:t>
            </w:r>
          </w:p>
        </w:tc>
        <w:tc>
          <w:tcPr>
            <w:tcW w:w="1111" w:type="pct"/>
            <w:vAlign w:val="center"/>
          </w:tcPr>
          <w:p w14:paraId="7AA8FD8F" w14:textId="77777777" w:rsidR="00CD798F" w:rsidRPr="00672DC2" w:rsidRDefault="00CD798F" w:rsidP="00214723">
            <w:pPr>
              <w:jc w:val="right"/>
              <w:rPr>
                <w:rFonts w:ascii="宋体" w:hAnsi="宋体" w:hint="eastAsia"/>
                <w:color w:val="000000"/>
              </w:rPr>
            </w:pPr>
            <w:r w:rsidRPr="00672DC2">
              <w:rPr>
                <w:rFonts w:ascii="宋体" w:hAnsi="宋体" w:hint="eastAsia"/>
                <w:color w:val="000000"/>
              </w:rPr>
              <w:t>27.72%</w:t>
            </w:r>
          </w:p>
        </w:tc>
        <w:tc>
          <w:tcPr>
            <w:tcW w:w="794" w:type="pct"/>
            <w:noWrap/>
            <w:vAlign w:val="center"/>
          </w:tcPr>
          <w:p w14:paraId="40144BB0" w14:textId="77777777" w:rsidR="00CD798F" w:rsidRPr="00672DC2" w:rsidRDefault="00CD798F" w:rsidP="00214723">
            <w:pPr>
              <w:jc w:val="right"/>
              <w:rPr>
                <w:rFonts w:ascii="宋体" w:hAnsi="宋体" w:hint="eastAsia"/>
                <w:color w:val="000000"/>
              </w:rPr>
            </w:pPr>
            <w:r w:rsidRPr="00672DC2">
              <w:rPr>
                <w:rFonts w:ascii="宋体" w:hAnsi="宋体" w:hint="eastAsia"/>
                <w:color w:val="000000"/>
              </w:rPr>
              <w:t>16.11%</w:t>
            </w:r>
          </w:p>
        </w:tc>
        <w:tc>
          <w:tcPr>
            <w:tcW w:w="793" w:type="pct"/>
            <w:noWrap/>
            <w:vAlign w:val="center"/>
          </w:tcPr>
          <w:p w14:paraId="65A878C6" w14:textId="77777777" w:rsidR="00CD798F" w:rsidRPr="00672DC2" w:rsidRDefault="00CD798F" w:rsidP="00214723">
            <w:pPr>
              <w:jc w:val="right"/>
              <w:rPr>
                <w:rFonts w:ascii="宋体" w:hAnsi="宋体" w:hint="eastAsia"/>
                <w:color w:val="000000"/>
              </w:rPr>
            </w:pPr>
            <w:r w:rsidRPr="00672DC2">
              <w:rPr>
                <w:rFonts w:ascii="宋体" w:hAnsi="宋体" w:hint="eastAsia"/>
                <w:color w:val="000000"/>
              </w:rPr>
              <w:t>58.15%</w:t>
            </w:r>
          </w:p>
        </w:tc>
      </w:tr>
    </w:tbl>
    <w:p w14:paraId="07BF4C20" w14:textId="77777777" w:rsidR="00CD798F" w:rsidRPr="00B339EC" w:rsidRDefault="00CD798F" w:rsidP="00CD798F">
      <w:pPr>
        <w:spacing w:before="120" w:after="120" w:line="360" w:lineRule="auto"/>
        <w:ind w:firstLine="480"/>
        <w:rPr>
          <w:rFonts w:ascii="Times New Roman" w:hAnsi="Times New Roman"/>
          <w:sz w:val="20"/>
          <w:szCs w:val="20"/>
        </w:rPr>
      </w:pPr>
      <w:r w:rsidRPr="00B339EC">
        <w:rPr>
          <w:rFonts w:ascii="Times New Roman" w:hAnsi="Times New Roman"/>
          <w:sz w:val="20"/>
          <w:szCs w:val="20"/>
        </w:rPr>
        <w:t>注：数据来源自</w:t>
      </w:r>
      <w:r w:rsidRPr="00B339EC">
        <w:rPr>
          <w:rFonts w:ascii="Times New Roman" w:hAnsi="Times New Roman"/>
          <w:sz w:val="20"/>
          <w:szCs w:val="20"/>
        </w:rPr>
        <w:t>iFind</w:t>
      </w:r>
    </w:p>
    <w:p w14:paraId="50D80F7C" w14:textId="77777777" w:rsidR="00CD798F" w:rsidRPr="00672DC2" w:rsidRDefault="00CD798F" w:rsidP="00CD798F">
      <w:pPr>
        <w:spacing w:before="120" w:after="120" w:line="360" w:lineRule="auto"/>
        <w:ind w:firstLine="480"/>
        <w:rPr>
          <w:rFonts w:ascii="宋体" w:hAnsi="宋体" w:hint="eastAsia"/>
          <w:b/>
          <w:bCs/>
          <w:sz w:val="24"/>
          <w:szCs w:val="24"/>
        </w:rPr>
      </w:pPr>
      <w:r w:rsidRPr="00672DC2">
        <w:rPr>
          <w:rFonts w:ascii="宋体" w:hAnsi="宋体" w:hint="eastAsia"/>
          <w:b/>
          <w:bCs/>
          <w:sz w:val="24"/>
          <w:szCs w:val="24"/>
        </w:rPr>
        <w:t>（</w:t>
      </w:r>
      <w:r w:rsidRPr="00672DC2">
        <w:rPr>
          <w:rFonts w:ascii="宋体" w:hAnsi="宋体"/>
          <w:b/>
          <w:bCs/>
          <w:sz w:val="24"/>
          <w:szCs w:val="24"/>
        </w:rPr>
        <w:t>3</w:t>
      </w:r>
      <w:r w:rsidRPr="00672DC2">
        <w:rPr>
          <w:rFonts w:ascii="宋体" w:hAnsi="宋体" w:hint="eastAsia"/>
          <w:b/>
          <w:bCs/>
          <w:sz w:val="24"/>
          <w:szCs w:val="24"/>
        </w:rPr>
        <w:t>）控制权溢价</w:t>
      </w:r>
    </w:p>
    <w:p w14:paraId="0BD6FA2B"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控制权溢价系利用</w:t>
      </w:r>
      <w:r w:rsidRPr="00B339EC">
        <w:rPr>
          <w:rFonts w:ascii="Times New Roman" w:hAnsi="Times New Roman"/>
          <w:sz w:val="24"/>
          <w:szCs w:val="24"/>
        </w:rPr>
        <w:t>Wind</w:t>
      </w:r>
      <w:r w:rsidRPr="00B339EC">
        <w:rPr>
          <w:rFonts w:ascii="Times New Roman" w:hAnsi="Times New Roman"/>
          <w:sz w:val="24"/>
          <w:szCs w:val="24"/>
        </w:rPr>
        <w:t>资讯、</w:t>
      </w:r>
      <w:r w:rsidRPr="00B339EC">
        <w:rPr>
          <w:rFonts w:ascii="Times New Roman" w:hAnsi="Times New Roman"/>
          <w:sz w:val="24"/>
          <w:szCs w:val="24"/>
        </w:rPr>
        <w:t>CVSource</w:t>
      </w:r>
      <w:r w:rsidRPr="00B339EC">
        <w:rPr>
          <w:rFonts w:ascii="Times New Roman" w:hAnsi="Times New Roman"/>
          <w:sz w:val="24"/>
          <w:szCs w:val="24"/>
        </w:rPr>
        <w:t>数据库和产权交易所网站发布的数据，分析对比少数股权交易并购案例市盈率和控股权交易并购案例市盈率，本次评估选取的控制权溢价为</w:t>
      </w:r>
      <w:r w:rsidRPr="00B339EC">
        <w:rPr>
          <w:rFonts w:ascii="Times New Roman" w:hAnsi="Times New Roman"/>
          <w:sz w:val="24"/>
          <w:szCs w:val="24"/>
        </w:rPr>
        <w:t>15.12%</w:t>
      </w:r>
      <w:r w:rsidRPr="00B339EC">
        <w:rPr>
          <w:rFonts w:ascii="Times New Roman" w:hAnsi="Times New Roman"/>
          <w:sz w:val="24"/>
          <w:szCs w:val="24"/>
        </w:rPr>
        <w:t>，具体计算方式如下：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2368"/>
        <w:gridCol w:w="1615"/>
        <w:gridCol w:w="926"/>
        <w:gridCol w:w="1615"/>
        <w:gridCol w:w="926"/>
        <w:gridCol w:w="1611"/>
      </w:tblGrid>
      <w:tr w:rsidR="00CD798F" w:rsidRPr="00B339EC" w14:paraId="6DE475EB" w14:textId="77777777" w:rsidTr="00214723">
        <w:trPr>
          <w:cantSplit/>
          <w:trHeight w:val="454"/>
          <w:tblHeader/>
          <w:jc w:val="center"/>
        </w:trPr>
        <w:tc>
          <w:tcPr>
            <w:tcW w:w="1307" w:type="pct"/>
            <w:vMerge w:val="restart"/>
            <w:vAlign w:val="center"/>
            <w:hideMark/>
          </w:tcPr>
          <w:p w14:paraId="5147E93C"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项目</w:t>
            </w:r>
          </w:p>
        </w:tc>
        <w:tc>
          <w:tcPr>
            <w:tcW w:w="1401" w:type="pct"/>
            <w:gridSpan w:val="2"/>
            <w:vAlign w:val="center"/>
            <w:hideMark/>
          </w:tcPr>
          <w:p w14:paraId="4ECB83AE"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少数股权交易</w:t>
            </w:r>
          </w:p>
        </w:tc>
        <w:tc>
          <w:tcPr>
            <w:tcW w:w="1401" w:type="pct"/>
            <w:gridSpan w:val="2"/>
            <w:vAlign w:val="center"/>
            <w:hideMark/>
          </w:tcPr>
          <w:p w14:paraId="70877EBA"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控股权交易</w:t>
            </w:r>
          </w:p>
        </w:tc>
        <w:tc>
          <w:tcPr>
            <w:tcW w:w="890" w:type="pct"/>
            <w:vMerge w:val="restart"/>
            <w:vAlign w:val="center"/>
            <w:hideMark/>
          </w:tcPr>
          <w:p w14:paraId="1915A194"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控股权溢价率</w:t>
            </w:r>
          </w:p>
        </w:tc>
      </w:tr>
      <w:tr w:rsidR="00CD798F" w:rsidRPr="00B339EC" w14:paraId="228ABB52" w14:textId="77777777" w:rsidTr="00214723">
        <w:trPr>
          <w:cantSplit/>
          <w:trHeight w:val="454"/>
          <w:tblHeader/>
          <w:jc w:val="center"/>
        </w:trPr>
        <w:tc>
          <w:tcPr>
            <w:tcW w:w="1307" w:type="pct"/>
            <w:vMerge/>
            <w:vAlign w:val="center"/>
            <w:hideMark/>
          </w:tcPr>
          <w:p w14:paraId="708C9953" w14:textId="77777777" w:rsidR="00CD798F" w:rsidRPr="00B339EC" w:rsidRDefault="00CD798F" w:rsidP="00214723">
            <w:pPr>
              <w:keepNext/>
              <w:jc w:val="center"/>
              <w:rPr>
                <w:rFonts w:ascii="Times New Roman" w:hAnsi="Times New Roman"/>
                <w:b/>
                <w:color w:val="000000"/>
              </w:rPr>
            </w:pPr>
          </w:p>
        </w:tc>
        <w:tc>
          <w:tcPr>
            <w:tcW w:w="891" w:type="pct"/>
            <w:vAlign w:val="center"/>
            <w:hideMark/>
          </w:tcPr>
          <w:p w14:paraId="5CE30727"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并购案例数量</w:t>
            </w:r>
          </w:p>
        </w:tc>
        <w:tc>
          <w:tcPr>
            <w:tcW w:w="511" w:type="pct"/>
            <w:vAlign w:val="center"/>
            <w:hideMark/>
          </w:tcPr>
          <w:p w14:paraId="0C9642B4"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市盈率</w:t>
            </w:r>
          </w:p>
        </w:tc>
        <w:tc>
          <w:tcPr>
            <w:tcW w:w="891" w:type="pct"/>
            <w:vAlign w:val="center"/>
            <w:hideMark/>
          </w:tcPr>
          <w:p w14:paraId="7B89BD91"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并购案例数量</w:t>
            </w:r>
          </w:p>
        </w:tc>
        <w:tc>
          <w:tcPr>
            <w:tcW w:w="511" w:type="pct"/>
            <w:vAlign w:val="center"/>
            <w:hideMark/>
          </w:tcPr>
          <w:p w14:paraId="6E3A5D22" w14:textId="77777777" w:rsidR="00CD798F" w:rsidRPr="00B339EC" w:rsidRDefault="00CD798F" w:rsidP="00214723">
            <w:pPr>
              <w:keepNext/>
              <w:jc w:val="center"/>
              <w:rPr>
                <w:rFonts w:ascii="Times New Roman" w:hAnsi="Times New Roman"/>
                <w:b/>
                <w:color w:val="000000"/>
              </w:rPr>
            </w:pPr>
            <w:r w:rsidRPr="00B339EC">
              <w:rPr>
                <w:rFonts w:ascii="Times New Roman" w:hAnsi="Times New Roman"/>
                <w:b/>
                <w:color w:val="000000"/>
              </w:rPr>
              <w:t>市盈率</w:t>
            </w:r>
          </w:p>
        </w:tc>
        <w:tc>
          <w:tcPr>
            <w:tcW w:w="890" w:type="pct"/>
            <w:vMerge/>
            <w:vAlign w:val="center"/>
            <w:hideMark/>
          </w:tcPr>
          <w:p w14:paraId="5013CC20" w14:textId="77777777" w:rsidR="00CD798F" w:rsidRPr="00B339EC" w:rsidRDefault="00CD798F" w:rsidP="00214723">
            <w:pPr>
              <w:keepNext/>
              <w:jc w:val="center"/>
              <w:rPr>
                <w:rFonts w:ascii="Times New Roman" w:hAnsi="Times New Roman"/>
                <w:b/>
                <w:color w:val="000000"/>
              </w:rPr>
            </w:pPr>
          </w:p>
        </w:tc>
      </w:tr>
      <w:tr w:rsidR="00CD798F" w:rsidRPr="00B339EC" w14:paraId="40806179" w14:textId="77777777" w:rsidTr="00214723">
        <w:trPr>
          <w:cantSplit/>
          <w:trHeight w:val="454"/>
          <w:jc w:val="center"/>
        </w:trPr>
        <w:tc>
          <w:tcPr>
            <w:tcW w:w="1307" w:type="pct"/>
            <w:vAlign w:val="center"/>
          </w:tcPr>
          <w:p w14:paraId="3F410E82" w14:textId="77777777" w:rsidR="00CD798F" w:rsidRPr="00B339EC" w:rsidRDefault="00CD798F" w:rsidP="00214723">
            <w:pPr>
              <w:jc w:val="center"/>
              <w:rPr>
                <w:rFonts w:ascii="Times New Roman" w:hAnsi="Times New Roman"/>
                <w:color w:val="000000"/>
              </w:rPr>
            </w:pPr>
            <w:r w:rsidRPr="00B339EC">
              <w:rPr>
                <w:rFonts w:ascii="Times New Roman" w:hAnsi="Times New Roman"/>
                <w:b/>
                <w:bCs/>
                <w:color w:val="000000"/>
              </w:rPr>
              <w:t>平均值</w:t>
            </w:r>
          </w:p>
        </w:tc>
        <w:tc>
          <w:tcPr>
            <w:tcW w:w="891" w:type="pct"/>
            <w:noWrap/>
            <w:vAlign w:val="center"/>
            <w:hideMark/>
          </w:tcPr>
          <w:p w14:paraId="3DD66346" w14:textId="77777777" w:rsidR="00CD798F" w:rsidRPr="00B339EC" w:rsidRDefault="00CD798F" w:rsidP="00214723">
            <w:pPr>
              <w:jc w:val="right"/>
              <w:rPr>
                <w:rFonts w:ascii="Times New Roman" w:hAnsi="Times New Roman"/>
                <w:b/>
                <w:bCs/>
                <w:color w:val="000000"/>
              </w:rPr>
            </w:pPr>
            <w:r w:rsidRPr="00B339EC">
              <w:rPr>
                <w:rFonts w:ascii="Times New Roman" w:hAnsi="Times New Roman"/>
                <w:b/>
                <w:bCs/>
                <w:color w:val="000000"/>
              </w:rPr>
              <w:t>8,808</w:t>
            </w:r>
          </w:p>
        </w:tc>
        <w:tc>
          <w:tcPr>
            <w:tcW w:w="511" w:type="pct"/>
            <w:noWrap/>
            <w:vAlign w:val="center"/>
            <w:hideMark/>
          </w:tcPr>
          <w:p w14:paraId="64AB4A4C" w14:textId="77777777" w:rsidR="00CD798F" w:rsidRPr="00B339EC" w:rsidRDefault="00CD798F" w:rsidP="00214723">
            <w:pPr>
              <w:jc w:val="right"/>
              <w:rPr>
                <w:rFonts w:ascii="Times New Roman" w:hAnsi="Times New Roman"/>
                <w:b/>
                <w:bCs/>
                <w:color w:val="000000"/>
              </w:rPr>
            </w:pPr>
            <w:r w:rsidRPr="00B339EC">
              <w:rPr>
                <w:rFonts w:ascii="Times New Roman" w:hAnsi="Times New Roman"/>
                <w:b/>
                <w:bCs/>
                <w:color w:val="000000"/>
              </w:rPr>
              <w:t>18.74</w:t>
            </w:r>
          </w:p>
        </w:tc>
        <w:tc>
          <w:tcPr>
            <w:tcW w:w="891" w:type="pct"/>
            <w:noWrap/>
            <w:vAlign w:val="center"/>
            <w:hideMark/>
          </w:tcPr>
          <w:p w14:paraId="1A4E2598" w14:textId="77777777" w:rsidR="00CD798F" w:rsidRPr="00B339EC" w:rsidRDefault="00CD798F" w:rsidP="00214723">
            <w:pPr>
              <w:jc w:val="right"/>
              <w:rPr>
                <w:rFonts w:ascii="Times New Roman" w:hAnsi="Times New Roman"/>
                <w:b/>
                <w:bCs/>
                <w:color w:val="000000"/>
              </w:rPr>
            </w:pPr>
            <w:r w:rsidRPr="00B339EC">
              <w:rPr>
                <w:rFonts w:ascii="Times New Roman" w:hAnsi="Times New Roman"/>
                <w:b/>
                <w:bCs/>
                <w:color w:val="000000"/>
              </w:rPr>
              <w:t>6,655</w:t>
            </w:r>
          </w:p>
        </w:tc>
        <w:tc>
          <w:tcPr>
            <w:tcW w:w="511" w:type="pct"/>
            <w:noWrap/>
            <w:vAlign w:val="center"/>
            <w:hideMark/>
          </w:tcPr>
          <w:p w14:paraId="430505D8" w14:textId="77777777" w:rsidR="00CD798F" w:rsidRPr="00B339EC" w:rsidRDefault="00CD798F" w:rsidP="00214723">
            <w:pPr>
              <w:jc w:val="right"/>
              <w:rPr>
                <w:rFonts w:ascii="Times New Roman" w:hAnsi="Times New Roman"/>
                <w:b/>
                <w:bCs/>
                <w:color w:val="000000"/>
              </w:rPr>
            </w:pPr>
            <w:r w:rsidRPr="00B339EC">
              <w:rPr>
                <w:rFonts w:ascii="Times New Roman" w:hAnsi="Times New Roman"/>
                <w:b/>
                <w:bCs/>
                <w:color w:val="000000"/>
              </w:rPr>
              <w:t>21.58</w:t>
            </w:r>
          </w:p>
        </w:tc>
        <w:tc>
          <w:tcPr>
            <w:tcW w:w="890" w:type="pct"/>
            <w:noWrap/>
            <w:vAlign w:val="center"/>
            <w:hideMark/>
          </w:tcPr>
          <w:p w14:paraId="32BE1034" w14:textId="77777777" w:rsidR="00CD798F" w:rsidRPr="00B339EC" w:rsidRDefault="00CD798F" w:rsidP="00214723">
            <w:pPr>
              <w:jc w:val="right"/>
              <w:rPr>
                <w:rFonts w:ascii="Times New Roman" w:hAnsi="Times New Roman"/>
                <w:b/>
                <w:bCs/>
                <w:color w:val="000000"/>
              </w:rPr>
            </w:pPr>
            <w:r w:rsidRPr="00B339EC">
              <w:rPr>
                <w:rFonts w:ascii="Times New Roman" w:hAnsi="Times New Roman"/>
                <w:b/>
                <w:bCs/>
                <w:color w:val="000000"/>
              </w:rPr>
              <w:t>15.12%</w:t>
            </w:r>
          </w:p>
        </w:tc>
      </w:tr>
    </w:tbl>
    <w:p w14:paraId="18283CD8" w14:textId="77777777" w:rsidR="00CD798F" w:rsidRPr="002F5FE5" w:rsidRDefault="00CD798F" w:rsidP="00CD798F">
      <w:pPr>
        <w:ind w:firstLine="420"/>
        <w:rPr>
          <w:rFonts w:ascii="宋体" w:hAnsi="宋体" w:hint="eastAsia"/>
          <w:bCs/>
          <w:szCs w:val="21"/>
        </w:rPr>
      </w:pPr>
      <w:r w:rsidRPr="002F5FE5">
        <w:rPr>
          <w:rFonts w:ascii="宋体" w:hAnsi="宋体" w:hint="eastAsia"/>
          <w:bCs/>
          <w:szCs w:val="21"/>
        </w:rPr>
        <w:lastRenderedPageBreak/>
        <w:t>注：数据来源自Wind资讯、CVSource、产权交易所</w:t>
      </w:r>
    </w:p>
    <w:p w14:paraId="5AB2F4CC" w14:textId="77777777" w:rsidR="00CD798F" w:rsidRPr="002F5FE5" w:rsidRDefault="00CD798F" w:rsidP="00CD798F">
      <w:pPr>
        <w:keepNext/>
        <w:keepLines/>
        <w:spacing w:before="120" w:after="120"/>
        <w:ind w:firstLine="482"/>
        <w:outlineLvl w:val="3"/>
        <w:rPr>
          <w:rFonts w:ascii="宋体" w:hAnsi="宋体" w:hint="eastAsia"/>
          <w:b/>
          <w:bCs/>
          <w:sz w:val="24"/>
          <w:szCs w:val="24"/>
        </w:rPr>
      </w:pPr>
      <w:r w:rsidRPr="002F5FE5">
        <w:rPr>
          <w:rFonts w:ascii="宋体" w:hAnsi="宋体" w:hint="eastAsia"/>
          <w:b/>
          <w:bCs/>
          <w:sz w:val="24"/>
          <w:szCs w:val="24"/>
        </w:rPr>
        <w:t>2、付息债务价值</w:t>
      </w:r>
    </w:p>
    <w:p w14:paraId="1E661725" w14:textId="77777777" w:rsidR="00CD798F" w:rsidRPr="002F5FE5" w:rsidRDefault="00CD798F" w:rsidP="00CD798F">
      <w:pPr>
        <w:spacing w:before="120" w:after="120" w:line="360" w:lineRule="auto"/>
        <w:ind w:firstLine="480"/>
        <w:rPr>
          <w:rFonts w:ascii="宋体" w:hAnsi="宋体" w:hint="eastAsia"/>
          <w:sz w:val="24"/>
          <w:szCs w:val="24"/>
        </w:rPr>
      </w:pPr>
      <w:r w:rsidRPr="002F5FE5">
        <w:rPr>
          <w:rFonts w:ascii="宋体" w:hAnsi="宋体" w:hint="eastAsia"/>
          <w:sz w:val="24"/>
          <w:szCs w:val="24"/>
        </w:rPr>
        <w:t>付息债务主要包括短期借款、一年内到期的长期借款及长期借款，付息债务价值按照可比企业公开披露的定期报告中的账面价值确认。</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580"/>
        <w:gridCol w:w="1827"/>
        <w:gridCol w:w="1827"/>
        <w:gridCol w:w="1827"/>
      </w:tblGrid>
      <w:tr w:rsidR="00CD798F" w:rsidRPr="002F5FE5" w14:paraId="26124411" w14:textId="77777777" w:rsidTr="00214723">
        <w:trPr>
          <w:cantSplit/>
          <w:trHeight w:val="454"/>
          <w:tblHeader/>
          <w:jc w:val="center"/>
        </w:trPr>
        <w:tc>
          <w:tcPr>
            <w:tcW w:w="1975" w:type="pct"/>
            <w:noWrap/>
            <w:vAlign w:val="center"/>
          </w:tcPr>
          <w:p w14:paraId="4D92A289"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付息债务</w:t>
            </w:r>
          </w:p>
        </w:tc>
        <w:tc>
          <w:tcPr>
            <w:tcW w:w="1008" w:type="pct"/>
            <w:vAlign w:val="center"/>
          </w:tcPr>
          <w:p w14:paraId="0D722F2D"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映翰通</w:t>
            </w:r>
          </w:p>
        </w:tc>
        <w:tc>
          <w:tcPr>
            <w:tcW w:w="1008" w:type="pct"/>
            <w:noWrap/>
            <w:vAlign w:val="center"/>
          </w:tcPr>
          <w:p w14:paraId="708876CF"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广联达</w:t>
            </w:r>
          </w:p>
        </w:tc>
        <w:tc>
          <w:tcPr>
            <w:tcW w:w="1008" w:type="pct"/>
            <w:noWrap/>
            <w:vAlign w:val="center"/>
          </w:tcPr>
          <w:p w14:paraId="3E42DC82" w14:textId="77777777" w:rsidR="00CD798F" w:rsidRPr="002F5FE5" w:rsidRDefault="00CD798F" w:rsidP="00214723">
            <w:pPr>
              <w:keepNext/>
              <w:jc w:val="center"/>
              <w:rPr>
                <w:rFonts w:ascii="Times New Roman" w:hAnsi="Times New Roman"/>
                <w:b/>
                <w:color w:val="000000"/>
              </w:rPr>
            </w:pPr>
            <w:r w:rsidRPr="002F5FE5">
              <w:rPr>
                <w:rFonts w:ascii="Times New Roman" w:hAnsi="Times New Roman"/>
                <w:b/>
                <w:color w:val="000000"/>
              </w:rPr>
              <w:t>石基信息</w:t>
            </w:r>
          </w:p>
        </w:tc>
      </w:tr>
      <w:tr w:rsidR="00CD798F" w:rsidRPr="002F5FE5" w14:paraId="5E932200" w14:textId="77777777" w:rsidTr="00214723">
        <w:trPr>
          <w:cantSplit/>
          <w:trHeight w:val="454"/>
          <w:jc w:val="center"/>
        </w:trPr>
        <w:tc>
          <w:tcPr>
            <w:tcW w:w="1975" w:type="pct"/>
            <w:noWrap/>
            <w:vAlign w:val="center"/>
          </w:tcPr>
          <w:p w14:paraId="25C9F5AD"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短期借款</w:t>
            </w:r>
          </w:p>
        </w:tc>
        <w:tc>
          <w:tcPr>
            <w:tcW w:w="1008" w:type="pct"/>
            <w:vAlign w:val="center"/>
          </w:tcPr>
          <w:p w14:paraId="4FE2BBD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c>
          <w:tcPr>
            <w:tcW w:w="1008" w:type="pct"/>
            <w:noWrap/>
            <w:vAlign w:val="center"/>
          </w:tcPr>
          <w:p w14:paraId="484D510B"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623.04</w:t>
            </w:r>
          </w:p>
        </w:tc>
        <w:tc>
          <w:tcPr>
            <w:tcW w:w="1008" w:type="pct"/>
            <w:noWrap/>
            <w:vAlign w:val="center"/>
          </w:tcPr>
          <w:p w14:paraId="592AEB56"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9,623.25</w:t>
            </w:r>
          </w:p>
        </w:tc>
      </w:tr>
      <w:tr w:rsidR="00CD798F" w:rsidRPr="002F5FE5" w14:paraId="3701060E" w14:textId="77777777" w:rsidTr="00214723">
        <w:trPr>
          <w:cantSplit/>
          <w:trHeight w:val="454"/>
          <w:jc w:val="center"/>
        </w:trPr>
        <w:tc>
          <w:tcPr>
            <w:tcW w:w="1975" w:type="pct"/>
            <w:noWrap/>
            <w:vAlign w:val="center"/>
          </w:tcPr>
          <w:p w14:paraId="4D8C3915"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一年内到期的长期负债</w:t>
            </w:r>
          </w:p>
        </w:tc>
        <w:tc>
          <w:tcPr>
            <w:tcW w:w="1008" w:type="pct"/>
            <w:vAlign w:val="center"/>
          </w:tcPr>
          <w:p w14:paraId="1776C7BA"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c>
          <w:tcPr>
            <w:tcW w:w="1008" w:type="pct"/>
            <w:noWrap/>
            <w:vAlign w:val="center"/>
          </w:tcPr>
          <w:p w14:paraId="42D8F007"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300.00</w:t>
            </w:r>
          </w:p>
        </w:tc>
        <w:tc>
          <w:tcPr>
            <w:tcW w:w="1008" w:type="pct"/>
            <w:noWrap/>
            <w:vAlign w:val="center"/>
          </w:tcPr>
          <w:p w14:paraId="177D24F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r>
      <w:tr w:rsidR="00CD798F" w:rsidRPr="002F5FE5" w14:paraId="12F235F0" w14:textId="77777777" w:rsidTr="00214723">
        <w:trPr>
          <w:cantSplit/>
          <w:trHeight w:val="454"/>
          <w:jc w:val="center"/>
        </w:trPr>
        <w:tc>
          <w:tcPr>
            <w:tcW w:w="1975" w:type="pct"/>
            <w:noWrap/>
            <w:vAlign w:val="center"/>
          </w:tcPr>
          <w:p w14:paraId="3D522280" w14:textId="77777777" w:rsidR="00CD798F" w:rsidRPr="002F5FE5" w:rsidRDefault="00CD798F" w:rsidP="00214723">
            <w:pPr>
              <w:rPr>
                <w:rFonts w:ascii="Times New Roman" w:hAnsi="Times New Roman"/>
                <w:color w:val="000000"/>
              </w:rPr>
            </w:pPr>
            <w:r w:rsidRPr="002F5FE5">
              <w:rPr>
                <w:rFonts w:ascii="Times New Roman" w:hAnsi="Times New Roman"/>
                <w:color w:val="000000"/>
              </w:rPr>
              <w:t>长期借款</w:t>
            </w:r>
          </w:p>
        </w:tc>
        <w:tc>
          <w:tcPr>
            <w:tcW w:w="1008" w:type="pct"/>
            <w:vAlign w:val="center"/>
          </w:tcPr>
          <w:p w14:paraId="1302530F"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c>
          <w:tcPr>
            <w:tcW w:w="1008" w:type="pct"/>
            <w:noWrap/>
            <w:vAlign w:val="center"/>
          </w:tcPr>
          <w:p w14:paraId="5B390FA9"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4,200.00</w:t>
            </w:r>
          </w:p>
        </w:tc>
        <w:tc>
          <w:tcPr>
            <w:tcW w:w="1008" w:type="pct"/>
            <w:noWrap/>
            <w:vAlign w:val="center"/>
          </w:tcPr>
          <w:p w14:paraId="371A9C7D" w14:textId="77777777" w:rsidR="00CD798F" w:rsidRPr="002F5FE5" w:rsidRDefault="00CD798F" w:rsidP="00214723">
            <w:pPr>
              <w:jc w:val="right"/>
              <w:rPr>
                <w:rFonts w:ascii="Times New Roman" w:hAnsi="Times New Roman"/>
                <w:color w:val="000000"/>
              </w:rPr>
            </w:pPr>
            <w:r w:rsidRPr="002F5FE5">
              <w:rPr>
                <w:rFonts w:ascii="Times New Roman" w:hAnsi="Times New Roman"/>
                <w:color w:val="000000"/>
              </w:rPr>
              <w:t>-</w:t>
            </w:r>
          </w:p>
        </w:tc>
      </w:tr>
      <w:tr w:rsidR="00CD798F" w:rsidRPr="002F5FE5" w14:paraId="114B9A0A" w14:textId="77777777" w:rsidTr="00214723">
        <w:trPr>
          <w:cantSplit/>
          <w:trHeight w:val="454"/>
          <w:jc w:val="center"/>
        </w:trPr>
        <w:tc>
          <w:tcPr>
            <w:tcW w:w="1975" w:type="pct"/>
            <w:noWrap/>
            <w:vAlign w:val="center"/>
          </w:tcPr>
          <w:p w14:paraId="710BF973" w14:textId="77777777" w:rsidR="00CD798F" w:rsidRPr="002F5FE5" w:rsidRDefault="00CD798F" w:rsidP="00214723">
            <w:pPr>
              <w:jc w:val="center"/>
              <w:rPr>
                <w:rFonts w:ascii="Times New Roman" w:hAnsi="Times New Roman"/>
                <w:b/>
                <w:color w:val="000000"/>
              </w:rPr>
            </w:pPr>
            <w:r w:rsidRPr="002F5FE5">
              <w:rPr>
                <w:rFonts w:ascii="Times New Roman" w:hAnsi="Times New Roman"/>
                <w:b/>
                <w:color w:val="000000"/>
              </w:rPr>
              <w:t>合计</w:t>
            </w:r>
          </w:p>
        </w:tc>
        <w:tc>
          <w:tcPr>
            <w:tcW w:w="1008" w:type="pct"/>
            <w:vAlign w:val="center"/>
          </w:tcPr>
          <w:p w14:paraId="736D92A2"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rPr>
              <w:t>-</w:t>
            </w:r>
          </w:p>
        </w:tc>
        <w:tc>
          <w:tcPr>
            <w:tcW w:w="1008" w:type="pct"/>
            <w:noWrap/>
            <w:vAlign w:val="center"/>
          </w:tcPr>
          <w:p w14:paraId="4D9F3362"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rPr>
              <w:t>5,123.04</w:t>
            </w:r>
          </w:p>
        </w:tc>
        <w:tc>
          <w:tcPr>
            <w:tcW w:w="1008" w:type="pct"/>
            <w:noWrap/>
            <w:vAlign w:val="center"/>
          </w:tcPr>
          <w:p w14:paraId="6F830B0B" w14:textId="77777777" w:rsidR="00CD798F" w:rsidRPr="002F5FE5" w:rsidRDefault="00CD798F" w:rsidP="00214723">
            <w:pPr>
              <w:jc w:val="right"/>
              <w:rPr>
                <w:rFonts w:ascii="Times New Roman" w:hAnsi="Times New Roman"/>
                <w:b/>
                <w:color w:val="000000"/>
              </w:rPr>
            </w:pPr>
            <w:r w:rsidRPr="002F5FE5">
              <w:rPr>
                <w:rFonts w:ascii="Times New Roman" w:hAnsi="Times New Roman"/>
                <w:b/>
                <w:color w:val="000000"/>
              </w:rPr>
              <w:t>9,623.25</w:t>
            </w:r>
          </w:p>
        </w:tc>
      </w:tr>
    </w:tbl>
    <w:p w14:paraId="1C611A9F" w14:textId="77777777" w:rsidR="00CD798F" w:rsidRPr="00B339EC" w:rsidRDefault="00CD798F" w:rsidP="00CD798F">
      <w:pPr>
        <w:spacing w:line="360" w:lineRule="auto"/>
        <w:ind w:firstLine="420"/>
        <w:rPr>
          <w:rFonts w:ascii="Times New Roman" w:hAnsi="Times New Roman"/>
          <w:bCs/>
          <w:sz w:val="24"/>
          <w:szCs w:val="24"/>
        </w:rPr>
      </w:pPr>
      <w:r w:rsidRPr="00B339EC">
        <w:rPr>
          <w:rFonts w:ascii="Times New Roman" w:hAnsi="Times New Roman"/>
          <w:bCs/>
          <w:sz w:val="24"/>
          <w:szCs w:val="24"/>
        </w:rPr>
        <w:t>注：数据来源自可比企业</w:t>
      </w:r>
      <w:r w:rsidRPr="00B339EC">
        <w:rPr>
          <w:rFonts w:ascii="Times New Roman" w:hAnsi="Times New Roman"/>
          <w:bCs/>
          <w:sz w:val="24"/>
          <w:szCs w:val="24"/>
        </w:rPr>
        <w:t>2025</w:t>
      </w:r>
      <w:r w:rsidRPr="00B339EC">
        <w:rPr>
          <w:rFonts w:ascii="Times New Roman" w:hAnsi="Times New Roman"/>
          <w:bCs/>
          <w:sz w:val="24"/>
          <w:szCs w:val="24"/>
        </w:rPr>
        <w:t>年半年度报告</w:t>
      </w:r>
    </w:p>
    <w:p w14:paraId="544706F3" w14:textId="77777777" w:rsidR="00CD798F" w:rsidRPr="002F5FE5" w:rsidRDefault="00CD798F" w:rsidP="00CD798F">
      <w:pPr>
        <w:keepNext/>
        <w:keepLines/>
        <w:spacing w:before="120" w:after="120" w:line="360" w:lineRule="auto"/>
        <w:ind w:firstLine="482"/>
        <w:outlineLvl w:val="3"/>
        <w:rPr>
          <w:rFonts w:ascii="宋体" w:hAnsi="宋体" w:hint="eastAsia"/>
          <w:b/>
          <w:bCs/>
          <w:sz w:val="24"/>
          <w:szCs w:val="24"/>
        </w:rPr>
      </w:pPr>
      <w:r w:rsidRPr="002F5FE5">
        <w:rPr>
          <w:rFonts w:ascii="宋体" w:hAnsi="宋体" w:hint="eastAsia"/>
          <w:b/>
          <w:bCs/>
          <w:sz w:val="24"/>
          <w:szCs w:val="24"/>
        </w:rPr>
        <w:t>3、少数股东权益价值</w:t>
      </w:r>
    </w:p>
    <w:p w14:paraId="43E2732A" w14:textId="77777777" w:rsidR="00CD798F" w:rsidRPr="002F5FE5" w:rsidRDefault="00CD798F" w:rsidP="00CD798F">
      <w:pPr>
        <w:spacing w:before="120" w:after="120" w:line="360" w:lineRule="auto"/>
        <w:ind w:firstLine="480"/>
        <w:rPr>
          <w:rFonts w:ascii="宋体" w:hAnsi="宋体" w:hint="eastAsia"/>
          <w:sz w:val="24"/>
          <w:szCs w:val="24"/>
        </w:rPr>
      </w:pPr>
      <w:r w:rsidRPr="002F5FE5">
        <w:rPr>
          <w:rFonts w:ascii="宋体" w:hAnsi="宋体" w:hint="eastAsia"/>
          <w:sz w:val="24"/>
          <w:szCs w:val="24"/>
        </w:rPr>
        <w:t>少数股东权益价值按照可比企业公开披露的定期报告中的账面价值确认。</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012"/>
        <w:gridCol w:w="1732"/>
        <w:gridCol w:w="2155"/>
        <w:gridCol w:w="2162"/>
      </w:tblGrid>
      <w:tr w:rsidR="00CD798F" w:rsidRPr="00B339EC" w14:paraId="25C94B78" w14:textId="77777777" w:rsidTr="00214723">
        <w:trPr>
          <w:cantSplit/>
          <w:trHeight w:val="454"/>
          <w:tblHeader/>
          <w:jc w:val="center"/>
        </w:trPr>
        <w:tc>
          <w:tcPr>
            <w:tcW w:w="1662" w:type="pct"/>
            <w:noWrap/>
            <w:vAlign w:val="center"/>
          </w:tcPr>
          <w:p w14:paraId="6168F8C2" w14:textId="77777777" w:rsidR="00CD798F" w:rsidRPr="00B339EC" w:rsidRDefault="00CD798F" w:rsidP="00214723">
            <w:pPr>
              <w:keepNext/>
              <w:jc w:val="center"/>
              <w:rPr>
                <w:rFonts w:ascii="Times New Roman" w:hAnsi="Times New Roman"/>
                <w:b/>
                <w:color w:val="000000"/>
                <w:szCs w:val="21"/>
              </w:rPr>
            </w:pPr>
            <w:r w:rsidRPr="00B339EC">
              <w:rPr>
                <w:rFonts w:ascii="Times New Roman" w:hAnsi="Times New Roman"/>
                <w:b/>
                <w:color w:val="000000"/>
                <w:szCs w:val="21"/>
              </w:rPr>
              <w:t>项目</w:t>
            </w:r>
            <w:r w:rsidRPr="00B339EC">
              <w:rPr>
                <w:rFonts w:ascii="Times New Roman" w:hAnsi="Times New Roman"/>
                <w:b/>
                <w:color w:val="000000"/>
                <w:szCs w:val="21"/>
              </w:rPr>
              <w:t>\</w:t>
            </w:r>
            <w:r w:rsidRPr="00B339EC">
              <w:rPr>
                <w:rFonts w:ascii="Times New Roman" w:hAnsi="Times New Roman"/>
                <w:b/>
                <w:color w:val="000000"/>
                <w:szCs w:val="21"/>
              </w:rPr>
              <w:t>公司</w:t>
            </w:r>
          </w:p>
        </w:tc>
        <w:tc>
          <w:tcPr>
            <w:tcW w:w="956" w:type="pct"/>
            <w:vAlign w:val="center"/>
          </w:tcPr>
          <w:p w14:paraId="131C16E7" w14:textId="77777777" w:rsidR="00CD798F" w:rsidRPr="00B339EC" w:rsidRDefault="00CD798F" w:rsidP="00214723">
            <w:pPr>
              <w:keepNext/>
              <w:jc w:val="center"/>
              <w:rPr>
                <w:rFonts w:ascii="Times New Roman" w:hAnsi="Times New Roman"/>
                <w:b/>
                <w:color w:val="000000"/>
                <w:szCs w:val="21"/>
              </w:rPr>
            </w:pPr>
            <w:r w:rsidRPr="00B339EC">
              <w:rPr>
                <w:rFonts w:ascii="Times New Roman" w:hAnsi="Times New Roman"/>
                <w:b/>
                <w:color w:val="000000"/>
                <w:szCs w:val="21"/>
              </w:rPr>
              <w:t>映翰通</w:t>
            </w:r>
          </w:p>
        </w:tc>
        <w:tc>
          <w:tcPr>
            <w:tcW w:w="1189" w:type="pct"/>
            <w:noWrap/>
            <w:vAlign w:val="center"/>
          </w:tcPr>
          <w:p w14:paraId="37A74907" w14:textId="77777777" w:rsidR="00CD798F" w:rsidRPr="00B339EC" w:rsidRDefault="00CD798F" w:rsidP="00214723">
            <w:pPr>
              <w:keepNext/>
              <w:jc w:val="center"/>
              <w:rPr>
                <w:rFonts w:ascii="Times New Roman" w:hAnsi="Times New Roman"/>
                <w:b/>
                <w:color w:val="000000"/>
                <w:szCs w:val="21"/>
              </w:rPr>
            </w:pPr>
            <w:r w:rsidRPr="00B339EC">
              <w:rPr>
                <w:rFonts w:ascii="Times New Roman" w:hAnsi="Times New Roman"/>
                <w:b/>
                <w:color w:val="000000"/>
                <w:szCs w:val="21"/>
              </w:rPr>
              <w:t>广联达</w:t>
            </w:r>
          </w:p>
        </w:tc>
        <w:tc>
          <w:tcPr>
            <w:tcW w:w="1193" w:type="pct"/>
            <w:noWrap/>
            <w:vAlign w:val="center"/>
          </w:tcPr>
          <w:p w14:paraId="27A9525C" w14:textId="77777777" w:rsidR="00CD798F" w:rsidRPr="00B339EC" w:rsidRDefault="00CD798F" w:rsidP="00214723">
            <w:pPr>
              <w:keepNext/>
              <w:jc w:val="center"/>
              <w:rPr>
                <w:rFonts w:ascii="Times New Roman" w:hAnsi="Times New Roman"/>
                <w:b/>
                <w:color w:val="000000"/>
                <w:szCs w:val="21"/>
              </w:rPr>
            </w:pPr>
            <w:r w:rsidRPr="00B339EC">
              <w:rPr>
                <w:rFonts w:ascii="Times New Roman" w:hAnsi="Times New Roman"/>
                <w:b/>
                <w:color w:val="000000"/>
                <w:szCs w:val="21"/>
              </w:rPr>
              <w:t>石基信息</w:t>
            </w:r>
          </w:p>
        </w:tc>
      </w:tr>
      <w:tr w:rsidR="00CD798F" w:rsidRPr="00B339EC" w14:paraId="7F757139" w14:textId="77777777" w:rsidTr="00214723">
        <w:trPr>
          <w:cantSplit/>
          <w:trHeight w:val="454"/>
          <w:jc w:val="center"/>
        </w:trPr>
        <w:tc>
          <w:tcPr>
            <w:tcW w:w="1662" w:type="pct"/>
            <w:noWrap/>
            <w:vAlign w:val="center"/>
          </w:tcPr>
          <w:p w14:paraId="36610F57" w14:textId="77777777" w:rsidR="00CD798F" w:rsidRPr="00B339EC" w:rsidRDefault="00CD798F" w:rsidP="00214723">
            <w:pPr>
              <w:jc w:val="center"/>
              <w:rPr>
                <w:rFonts w:ascii="Times New Roman" w:hAnsi="Times New Roman"/>
                <w:color w:val="000000"/>
                <w:szCs w:val="21"/>
              </w:rPr>
            </w:pPr>
            <w:r w:rsidRPr="00B339EC">
              <w:rPr>
                <w:rFonts w:ascii="Times New Roman" w:hAnsi="Times New Roman"/>
                <w:color w:val="000000"/>
                <w:szCs w:val="21"/>
              </w:rPr>
              <w:t>少数股东权益价值</w:t>
            </w:r>
          </w:p>
        </w:tc>
        <w:tc>
          <w:tcPr>
            <w:tcW w:w="956" w:type="pct"/>
            <w:vAlign w:val="center"/>
          </w:tcPr>
          <w:p w14:paraId="449640CA" w14:textId="77777777" w:rsidR="00CD798F" w:rsidRPr="00B339EC" w:rsidRDefault="00CD798F" w:rsidP="00214723">
            <w:pPr>
              <w:jc w:val="right"/>
              <w:rPr>
                <w:rFonts w:ascii="Times New Roman" w:hAnsi="Times New Roman"/>
                <w:color w:val="000000"/>
                <w:szCs w:val="21"/>
              </w:rPr>
            </w:pPr>
            <w:r w:rsidRPr="00B339EC">
              <w:rPr>
                <w:rFonts w:ascii="Times New Roman" w:hAnsi="Times New Roman"/>
                <w:color w:val="000000"/>
                <w:szCs w:val="21"/>
              </w:rPr>
              <w:t>307.61</w:t>
            </w:r>
          </w:p>
        </w:tc>
        <w:tc>
          <w:tcPr>
            <w:tcW w:w="1189" w:type="pct"/>
            <w:noWrap/>
            <w:vAlign w:val="center"/>
          </w:tcPr>
          <w:p w14:paraId="53406A76" w14:textId="77777777" w:rsidR="00CD798F" w:rsidRPr="00B339EC" w:rsidRDefault="00CD798F" w:rsidP="00214723">
            <w:pPr>
              <w:jc w:val="right"/>
              <w:rPr>
                <w:rFonts w:ascii="Times New Roman" w:hAnsi="Times New Roman"/>
                <w:color w:val="000000"/>
                <w:szCs w:val="21"/>
              </w:rPr>
            </w:pPr>
            <w:r w:rsidRPr="00B339EC">
              <w:rPr>
                <w:rFonts w:ascii="Times New Roman" w:hAnsi="Times New Roman"/>
                <w:color w:val="000000"/>
                <w:szCs w:val="21"/>
              </w:rPr>
              <w:t>12,779.38</w:t>
            </w:r>
          </w:p>
        </w:tc>
        <w:tc>
          <w:tcPr>
            <w:tcW w:w="1193" w:type="pct"/>
            <w:noWrap/>
            <w:vAlign w:val="center"/>
          </w:tcPr>
          <w:p w14:paraId="69410BFA" w14:textId="77777777" w:rsidR="00CD798F" w:rsidRPr="00B339EC" w:rsidRDefault="00CD798F" w:rsidP="00214723">
            <w:pPr>
              <w:jc w:val="right"/>
              <w:rPr>
                <w:rFonts w:ascii="Times New Roman" w:hAnsi="Times New Roman"/>
                <w:color w:val="000000"/>
                <w:szCs w:val="21"/>
              </w:rPr>
            </w:pPr>
            <w:r w:rsidRPr="00B339EC">
              <w:rPr>
                <w:rFonts w:ascii="Times New Roman" w:hAnsi="Times New Roman"/>
                <w:color w:val="000000"/>
                <w:szCs w:val="21"/>
              </w:rPr>
              <w:t>83,976.43</w:t>
            </w:r>
          </w:p>
        </w:tc>
      </w:tr>
    </w:tbl>
    <w:p w14:paraId="57859E21" w14:textId="77777777" w:rsidR="00CD798F" w:rsidRPr="00B339EC" w:rsidRDefault="00CD798F" w:rsidP="00CD798F">
      <w:pPr>
        <w:spacing w:line="360" w:lineRule="auto"/>
        <w:ind w:firstLine="420"/>
        <w:rPr>
          <w:rFonts w:ascii="Times New Roman" w:hAnsi="Times New Roman"/>
          <w:bCs/>
          <w:sz w:val="24"/>
          <w:szCs w:val="24"/>
        </w:rPr>
      </w:pPr>
      <w:r w:rsidRPr="00B339EC">
        <w:rPr>
          <w:rFonts w:ascii="Times New Roman" w:hAnsi="Times New Roman"/>
          <w:bCs/>
          <w:sz w:val="24"/>
          <w:szCs w:val="24"/>
        </w:rPr>
        <w:t>注：数据来源自可比企业</w:t>
      </w:r>
      <w:r w:rsidRPr="00B339EC">
        <w:rPr>
          <w:rFonts w:ascii="Times New Roman" w:hAnsi="Times New Roman"/>
          <w:bCs/>
          <w:sz w:val="24"/>
          <w:szCs w:val="24"/>
        </w:rPr>
        <w:t>2025</w:t>
      </w:r>
      <w:r w:rsidRPr="00B339EC">
        <w:rPr>
          <w:rFonts w:ascii="Times New Roman" w:hAnsi="Times New Roman"/>
          <w:bCs/>
          <w:sz w:val="24"/>
          <w:szCs w:val="24"/>
        </w:rPr>
        <w:t>年半年度报告</w:t>
      </w:r>
    </w:p>
    <w:p w14:paraId="3C102CBC" w14:textId="77777777" w:rsidR="00CD798F" w:rsidRPr="002F5FE5" w:rsidRDefault="00CD798F" w:rsidP="00CD798F">
      <w:pPr>
        <w:keepNext/>
        <w:keepLines/>
        <w:spacing w:before="120" w:after="120" w:line="360" w:lineRule="auto"/>
        <w:ind w:firstLine="482"/>
        <w:outlineLvl w:val="3"/>
        <w:rPr>
          <w:rFonts w:ascii="宋体" w:hAnsi="宋体" w:hint="eastAsia"/>
          <w:b/>
          <w:bCs/>
          <w:sz w:val="24"/>
          <w:szCs w:val="24"/>
        </w:rPr>
      </w:pPr>
      <w:r w:rsidRPr="002F5FE5">
        <w:rPr>
          <w:rFonts w:ascii="宋体" w:hAnsi="宋体" w:hint="eastAsia"/>
          <w:b/>
          <w:bCs/>
          <w:sz w:val="24"/>
          <w:szCs w:val="24"/>
        </w:rPr>
        <w:t>4、调整前的企业价值</w:t>
      </w:r>
    </w:p>
    <w:p w14:paraId="5390EC7B"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调整前的企业价值＝调整前的股权价值</w:t>
      </w:r>
      <w:r w:rsidRPr="00B339EC">
        <w:rPr>
          <w:rFonts w:ascii="Times New Roman" w:hAnsi="Times New Roman"/>
          <w:sz w:val="24"/>
          <w:szCs w:val="24"/>
        </w:rPr>
        <w:t>×</w:t>
      </w:r>
      <w:r w:rsidRPr="00B339EC">
        <w:rPr>
          <w:rFonts w:ascii="Times New Roman" w:hAnsi="Times New Roman"/>
          <w:sz w:val="24"/>
          <w:szCs w:val="24"/>
        </w:rPr>
        <w:t>（</w:t>
      </w:r>
      <w:r w:rsidRPr="00B339EC">
        <w:rPr>
          <w:rFonts w:ascii="Times New Roman" w:hAnsi="Times New Roman"/>
          <w:sz w:val="24"/>
          <w:szCs w:val="24"/>
        </w:rPr>
        <w:t>1</w:t>
      </w:r>
      <w:r w:rsidRPr="00B339EC">
        <w:rPr>
          <w:rFonts w:ascii="Times New Roman" w:hAnsi="Times New Roman"/>
          <w:sz w:val="24"/>
          <w:szCs w:val="24"/>
        </w:rPr>
        <w:t>－缺乏流动性折扣）＋付息债务价值＋少数股东权益价值</w:t>
      </w:r>
    </w:p>
    <w:p w14:paraId="79CD0FC2"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对于流动性折扣，本次评估以</w:t>
      </w:r>
      <w:r w:rsidRPr="00B339EC">
        <w:rPr>
          <w:rFonts w:ascii="Times New Roman" w:hAnsi="Times New Roman"/>
          <w:sz w:val="24"/>
          <w:szCs w:val="24"/>
        </w:rPr>
        <w:t>A</w:t>
      </w:r>
      <w:r w:rsidRPr="00B339EC">
        <w:rPr>
          <w:rFonts w:ascii="Times New Roman" w:hAnsi="Times New Roman"/>
          <w:sz w:val="24"/>
          <w:szCs w:val="24"/>
        </w:rPr>
        <w:t>股上市公司首次公开发行股票的发行价格与该股票正式上市后的交易价格之间的差额进行测算。具体测算方式如下：</w:t>
      </w:r>
    </w:p>
    <w:p w14:paraId="4AE286F4"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w:t>
      </w:r>
      <w:r w:rsidRPr="00B339EC">
        <w:rPr>
          <w:rFonts w:ascii="Times New Roman" w:hAnsi="Times New Roman"/>
          <w:sz w:val="24"/>
          <w:szCs w:val="24"/>
        </w:rPr>
        <w:t>1</w:t>
      </w:r>
      <w:r w:rsidRPr="00B339EC">
        <w:rPr>
          <w:rFonts w:ascii="Times New Roman" w:hAnsi="Times New Roman"/>
          <w:sz w:val="24"/>
          <w:szCs w:val="24"/>
        </w:rPr>
        <w:t>）根据可比企业所属行业分类，选取</w:t>
      </w:r>
      <w:r w:rsidRPr="00B339EC">
        <w:rPr>
          <w:rFonts w:ascii="Times New Roman" w:hAnsi="Times New Roman"/>
          <w:sz w:val="24"/>
          <w:szCs w:val="24"/>
        </w:rPr>
        <w:t>A</w:t>
      </w:r>
      <w:r w:rsidRPr="00B339EC">
        <w:rPr>
          <w:rFonts w:ascii="Times New Roman" w:hAnsi="Times New Roman"/>
          <w:sz w:val="24"/>
          <w:szCs w:val="24"/>
        </w:rPr>
        <w:t>股市场同属上述分类的上市公司；</w:t>
      </w:r>
    </w:p>
    <w:p w14:paraId="6F6013AF"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w:t>
      </w:r>
      <w:r w:rsidRPr="00B339EC">
        <w:rPr>
          <w:rFonts w:ascii="Times New Roman" w:hAnsi="Times New Roman"/>
          <w:sz w:val="24"/>
          <w:szCs w:val="24"/>
        </w:rPr>
        <w:t>2</w:t>
      </w:r>
      <w:r w:rsidRPr="00B339EC">
        <w:rPr>
          <w:rFonts w:ascii="Times New Roman" w:hAnsi="Times New Roman"/>
          <w:sz w:val="24"/>
          <w:szCs w:val="24"/>
        </w:rPr>
        <w:t>）筛选出距评估基准日（</w:t>
      </w:r>
      <w:r w:rsidRPr="00B339EC">
        <w:rPr>
          <w:rFonts w:ascii="Times New Roman" w:hAnsi="Times New Roman"/>
          <w:sz w:val="24"/>
          <w:szCs w:val="24"/>
        </w:rPr>
        <w:t>2025</w:t>
      </w:r>
      <w:r w:rsidRPr="00B339EC">
        <w:rPr>
          <w:rFonts w:ascii="Times New Roman" w:hAnsi="Times New Roman"/>
          <w:sz w:val="24"/>
          <w:szCs w:val="24"/>
        </w:rPr>
        <w:t>年</w:t>
      </w:r>
      <w:r w:rsidRPr="00B339EC">
        <w:rPr>
          <w:rFonts w:ascii="Times New Roman" w:hAnsi="Times New Roman"/>
          <w:sz w:val="24"/>
          <w:szCs w:val="24"/>
        </w:rPr>
        <w:t>6</w:t>
      </w:r>
      <w:r w:rsidRPr="00B339EC">
        <w:rPr>
          <w:rFonts w:ascii="Times New Roman" w:hAnsi="Times New Roman"/>
          <w:sz w:val="24"/>
          <w:szCs w:val="24"/>
        </w:rPr>
        <w:t>月</w:t>
      </w:r>
      <w:r w:rsidRPr="00B339EC">
        <w:rPr>
          <w:rFonts w:ascii="Times New Roman" w:hAnsi="Times New Roman"/>
          <w:sz w:val="24"/>
          <w:szCs w:val="24"/>
        </w:rPr>
        <w:t>30</w:t>
      </w:r>
      <w:r w:rsidRPr="00B339EC">
        <w:rPr>
          <w:rFonts w:ascii="Times New Roman" w:hAnsi="Times New Roman"/>
          <w:sz w:val="24"/>
          <w:szCs w:val="24"/>
        </w:rPr>
        <w:t>日）上市已满一年的</w:t>
      </w:r>
      <w:r w:rsidRPr="00B339EC">
        <w:rPr>
          <w:rFonts w:ascii="Times New Roman" w:hAnsi="Times New Roman"/>
          <w:sz w:val="24"/>
          <w:szCs w:val="24"/>
        </w:rPr>
        <w:t>A</w:t>
      </w:r>
      <w:r w:rsidRPr="00B339EC">
        <w:rPr>
          <w:rFonts w:ascii="Times New Roman" w:hAnsi="Times New Roman"/>
          <w:sz w:val="24"/>
          <w:szCs w:val="24"/>
        </w:rPr>
        <w:t>股上市公司；</w:t>
      </w:r>
    </w:p>
    <w:p w14:paraId="53E000A2"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w:t>
      </w:r>
      <w:r w:rsidRPr="00B339EC">
        <w:rPr>
          <w:rFonts w:ascii="Times New Roman" w:hAnsi="Times New Roman"/>
          <w:sz w:val="24"/>
          <w:szCs w:val="24"/>
        </w:rPr>
        <w:t>3</w:t>
      </w:r>
      <w:r w:rsidRPr="00B339EC">
        <w:rPr>
          <w:rFonts w:ascii="Times New Roman" w:hAnsi="Times New Roman"/>
          <w:sz w:val="24"/>
          <w:szCs w:val="24"/>
        </w:rPr>
        <w:t>）获取并比较筛选出的</w:t>
      </w:r>
      <w:r w:rsidRPr="00B339EC">
        <w:rPr>
          <w:rFonts w:ascii="Times New Roman" w:hAnsi="Times New Roman"/>
          <w:sz w:val="24"/>
          <w:szCs w:val="24"/>
        </w:rPr>
        <w:t>A</w:t>
      </w:r>
      <w:r w:rsidRPr="00B339EC">
        <w:rPr>
          <w:rFonts w:ascii="Times New Roman" w:hAnsi="Times New Roman"/>
          <w:sz w:val="24"/>
          <w:szCs w:val="24"/>
        </w:rPr>
        <w:t>股上市公司首次公开发行股票的发行价格与其上市后</w:t>
      </w:r>
      <w:r w:rsidRPr="00B339EC">
        <w:rPr>
          <w:rFonts w:ascii="Times New Roman" w:hAnsi="Times New Roman"/>
          <w:sz w:val="24"/>
          <w:szCs w:val="24"/>
        </w:rPr>
        <w:lastRenderedPageBreak/>
        <w:t>第</w:t>
      </w:r>
      <w:r w:rsidRPr="00B339EC">
        <w:rPr>
          <w:rFonts w:ascii="Times New Roman" w:hAnsi="Times New Roman"/>
          <w:sz w:val="24"/>
          <w:szCs w:val="24"/>
        </w:rPr>
        <w:t>90</w:t>
      </w:r>
      <w:r w:rsidRPr="00B339EC">
        <w:rPr>
          <w:rFonts w:ascii="Times New Roman" w:hAnsi="Times New Roman"/>
          <w:sz w:val="24"/>
          <w:szCs w:val="24"/>
        </w:rPr>
        <w:t>交易日、</w:t>
      </w:r>
      <w:r w:rsidRPr="00B339EC">
        <w:rPr>
          <w:rFonts w:ascii="Times New Roman" w:hAnsi="Times New Roman"/>
          <w:sz w:val="24"/>
          <w:szCs w:val="24"/>
        </w:rPr>
        <w:t>120</w:t>
      </w:r>
      <w:r w:rsidRPr="00B339EC">
        <w:rPr>
          <w:rFonts w:ascii="Times New Roman" w:hAnsi="Times New Roman"/>
          <w:sz w:val="24"/>
          <w:szCs w:val="24"/>
        </w:rPr>
        <w:t>日以及</w:t>
      </w:r>
      <w:r w:rsidRPr="00B339EC">
        <w:rPr>
          <w:rFonts w:ascii="Times New Roman" w:hAnsi="Times New Roman"/>
          <w:sz w:val="24"/>
          <w:szCs w:val="24"/>
        </w:rPr>
        <w:t>250</w:t>
      </w:r>
      <w:r w:rsidRPr="00B339EC">
        <w:rPr>
          <w:rFonts w:ascii="Times New Roman" w:hAnsi="Times New Roman"/>
          <w:sz w:val="24"/>
          <w:szCs w:val="24"/>
        </w:rPr>
        <w:t>日收盘价的差异，计算得到流动性折扣平均值为</w:t>
      </w:r>
      <w:r w:rsidRPr="00B339EC">
        <w:rPr>
          <w:rFonts w:ascii="Times New Roman" w:hAnsi="Times New Roman"/>
          <w:sz w:val="24"/>
          <w:szCs w:val="24"/>
        </w:rPr>
        <w:t>33.51%</w:t>
      </w:r>
      <w:r w:rsidRPr="00B339EC">
        <w:rPr>
          <w:rFonts w:ascii="Times New Roman" w:hAnsi="Times New Roman"/>
          <w:sz w:val="24"/>
          <w:szCs w:val="24"/>
        </w:rPr>
        <w:t>。</w:t>
      </w:r>
    </w:p>
    <w:p w14:paraId="53851B98"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5</w:t>
      </w:r>
      <w:r w:rsidRPr="00B339EC">
        <w:rPr>
          <w:rFonts w:ascii="Times New Roman" w:hAnsi="Times New Roman"/>
          <w:sz w:val="24"/>
          <w:szCs w:val="24"/>
        </w:rPr>
        <w:t>、溢余资产价值、非经营性资产及负债</w:t>
      </w:r>
    </w:p>
    <w:p w14:paraId="348080C5"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溢余性资产是指与企业经营收益无直接关系的、超过企业经营所需的多余资产，主要包括溢余现金等。由于较难根据可比企业公开披露的定期报告准确获得可比企业是否存在溢余现金及其金额，故本次评估对可比企业及标的公司均未考虑剔除溢余资产。</w:t>
      </w:r>
    </w:p>
    <w:p w14:paraId="40D8C448" w14:textId="77777777" w:rsidR="00CD798F" w:rsidRPr="00B339EC" w:rsidRDefault="00CD798F" w:rsidP="00CD798F">
      <w:pPr>
        <w:spacing w:before="120" w:after="120" w:line="360" w:lineRule="auto"/>
        <w:ind w:firstLine="480"/>
        <w:rPr>
          <w:rFonts w:ascii="Times New Roman" w:hAnsi="Times New Roman"/>
          <w:sz w:val="24"/>
          <w:szCs w:val="24"/>
        </w:rPr>
      </w:pPr>
      <w:r w:rsidRPr="00B339EC">
        <w:rPr>
          <w:rFonts w:ascii="Times New Roman" w:hAnsi="Times New Roman"/>
          <w:sz w:val="24"/>
          <w:szCs w:val="24"/>
        </w:rPr>
        <w:t>非经营性资产、负债是指与企业正常经营收益无直接关系的，包括不产生收益，或是能产生收益但是未纳入本次收益预测范围的资产及相关负债。主要包括参股的其他权益工具投资、其他流动资产、递延所得税资产、递延所得税负债、投资性房地产、应收利息、应付利息、预计负债等。本次评估根据可比企业公开披露的</w:t>
      </w:r>
      <w:r w:rsidRPr="00B339EC">
        <w:rPr>
          <w:rFonts w:ascii="Times New Roman" w:hAnsi="Times New Roman"/>
          <w:sz w:val="24"/>
          <w:szCs w:val="24"/>
        </w:rPr>
        <w:t>2025</w:t>
      </w:r>
      <w:r w:rsidRPr="00B339EC">
        <w:rPr>
          <w:rFonts w:ascii="Times New Roman" w:hAnsi="Times New Roman"/>
          <w:sz w:val="24"/>
          <w:szCs w:val="24"/>
        </w:rPr>
        <w:t>年半年度报告中的财务报告信息，识别出可比企业的非经营性资产及负债，具体情况如下：</w:t>
      </w:r>
    </w:p>
    <w:p w14:paraId="56EED945" w14:textId="77777777" w:rsidR="00CD798F" w:rsidRPr="003B070B" w:rsidRDefault="00CD798F" w:rsidP="00CD798F">
      <w:pPr>
        <w:spacing w:before="120" w:after="120" w:line="360" w:lineRule="auto"/>
        <w:ind w:firstLine="482"/>
        <w:rPr>
          <w:rFonts w:ascii="宋体" w:hAnsi="宋体" w:hint="eastAsia"/>
          <w:b/>
          <w:bCs/>
          <w:sz w:val="24"/>
          <w:szCs w:val="24"/>
        </w:rPr>
      </w:pPr>
      <w:r w:rsidRPr="003B070B">
        <w:rPr>
          <w:rFonts w:ascii="宋体" w:hAnsi="宋体" w:hint="eastAsia"/>
          <w:b/>
          <w:bCs/>
          <w:sz w:val="24"/>
          <w:szCs w:val="24"/>
        </w:rPr>
        <w:t>（</w:t>
      </w:r>
      <w:r w:rsidRPr="003B070B">
        <w:rPr>
          <w:rFonts w:ascii="宋体" w:hAnsi="宋体"/>
          <w:b/>
          <w:bCs/>
          <w:sz w:val="24"/>
          <w:szCs w:val="24"/>
        </w:rPr>
        <w:t>1</w:t>
      </w:r>
      <w:r w:rsidRPr="003B070B">
        <w:rPr>
          <w:rFonts w:ascii="宋体" w:hAnsi="宋体" w:hint="eastAsia"/>
          <w:b/>
          <w:bCs/>
          <w:sz w:val="24"/>
          <w:szCs w:val="24"/>
        </w:rPr>
        <w:t>）映翰通</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0"/>
        <w:gridCol w:w="2015"/>
        <w:gridCol w:w="4199"/>
        <w:gridCol w:w="1867"/>
      </w:tblGrid>
      <w:tr w:rsidR="00CD798F" w:rsidRPr="00D95B42" w14:paraId="1C35A17E" w14:textId="77777777" w:rsidTr="00214723">
        <w:trPr>
          <w:cantSplit/>
          <w:trHeight w:val="454"/>
          <w:tblHeader/>
          <w:jc w:val="center"/>
        </w:trPr>
        <w:tc>
          <w:tcPr>
            <w:tcW w:w="541" w:type="pct"/>
            <w:vAlign w:val="center"/>
          </w:tcPr>
          <w:p w14:paraId="2412011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类别</w:t>
            </w:r>
          </w:p>
        </w:tc>
        <w:tc>
          <w:tcPr>
            <w:tcW w:w="1112" w:type="pct"/>
            <w:noWrap/>
            <w:vAlign w:val="center"/>
          </w:tcPr>
          <w:p w14:paraId="61C16F3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科目</w:t>
            </w:r>
          </w:p>
        </w:tc>
        <w:tc>
          <w:tcPr>
            <w:tcW w:w="2316" w:type="pct"/>
            <w:vAlign w:val="center"/>
          </w:tcPr>
          <w:p w14:paraId="54D4FF07"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资产性质</w:t>
            </w:r>
          </w:p>
        </w:tc>
        <w:tc>
          <w:tcPr>
            <w:tcW w:w="1030" w:type="pct"/>
            <w:noWrap/>
            <w:vAlign w:val="center"/>
          </w:tcPr>
          <w:p w14:paraId="0A488C28"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账面价值（万元）</w:t>
            </w:r>
          </w:p>
        </w:tc>
      </w:tr>
      <w:tr w:rsidR="00CD798F" w:rsidRPr="00D95B42" w14:paraId="5E71EF88" w14:textId="77777777" w:rsidTr="00214723">
        <w:trPr>
          <w:cantSplit/>
          <w:trHeight w:val="454"/>
          <w:jc w:val="center"/>
        </w:trPr>
        <w:tc>
          <w:tcPr>
            <w:tcW w:w="541" w:type="pct"/>
            <w:vMerge w:val="restart"/>
            <w:vAlign w:val="center"/>
          </w:tcPr>
          <w:p w14:paraId="508112C6"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非经营性资产</w:t>
            </w:r>
          </w:p>
        </w:tc>
        <w:tc>
          <w:tcPr>
            <w:tcW w:w="1112" w:type="pct"/>
            <w:noWrap/>
            <w:vAlign w:val="center"/>
          </w:tcPr>
          <w:p w14:paraId="02BA120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长期股权投资</w:t>
            </w:r>
          </w:p>
        </w:tc>
        <w:tc>
          <w:tcPr>
            <w:tcW w:w="2316" w:type="pct"/>
            <w:vAlign w:val="center"/>
          </w:tcPr>
          <w:p w14:paraId="3752065C"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联营投资</w:t>
            </w:r>
          </w:p>
        </w:tc>
        <w:tc>
          <w:tcPr>
            <w:tcW w:w="1030" w:type="pct"/>
            <w:noWrap/>
            <w:vAlign w:val="center"/>
          </w:tcPr>
          <w:p w14:paraId="60CAC84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3,697.02</w:t>
            </w:r>
          </w:p>
        </w:tc>
      </w:tr>
      <w:tr w:rsidR="00CD798F" w:rsidRPr="00D95B42" w14:paraId="2664D146" w14:textId="77777777" w:rsidTr="00214723">
        <w:trPr>
          <w:cantSplit/>
          <w:trHeight w:val="454"/>
          <w:jc w:val="center"/>
        </w:trPr>
        <w:tc>
          <w:tcPr>
            <w:tcW w:w="541" w:type="pct"/>
            <w:vMerge/>
            <w:vAlign w:val="center"/>
          </w:tcPr>
          <w:p w14:paraId="53FF26E5" w14:textId="77777777" w:rsidR="00CD798F" w:rsidRPr="00D95B42" w:rsidRDefault="00CD798F" w:rsidP="00214723">
            <w:pPr>
              <w:rPr>
                <w:rFonts w:ascii="Times New Roman" w:hAnsi="Times New Roman"/>
                <w:color w:val="000000"/>
              </w:rPr>
            </w:pPr>
          </w:p>
        </w:tc>
        <w:tc>
          <w:tcPr>
            <w:tcW w:w="1112" w:type="pct"/>
            <w:noWrap/>
            <w:vAlign w:val="center"/>
          </w:tcPr>
          <w:p w14:paraId="7E840E0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其他权益工具投资</w:t>
            </w:r>
          </w:p>
        </w:tc>
        <w:tc>
          <w:tcPr>
            <w:tcW w:w="2316" w:type="pct"/>
            <w:vAlign w:val="center"/>
          </w:tcPr>
          <w:p w14:paraId="2B1A555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投资</w:t>
            </w:r>
          </w:p>
        </w:tc>
        <w:tc>
          <w:tcPr>
            <w:tcW w:w="1030" w:type="pct"/>
            <w:noWrap/>
            <w:vAlign w:val="center"/>
          </w:tcPr>
          <w:p w14:paraId="2C49CDB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1,084.16</w:t>
            </w:r>
          </w:p>
        </w:tc>
      </w:tr>
      <w:tr w:rsidR="00CD798F" w:rsidRPr="00D95B42" w14:paraId="00B5FA29" w14:textId="77777777" w:rsidTr="00214723">
        <w:trPr>
          <w:cantSplit/>
          <w:trHeight w:val="454"/>
          <w:jc w:val="center"/>
        </w:trPr>
        <w:tc>
          <w:tcPr>
            <w:tcW w:w="541" w:type="pct"/>
            <w:vMerge/>
            <w:vAlign w:val="center"/>
          </w:tcPr>
          <w:p w14:paraId="04BD3955" w14:textId="77777777" w:rsidR="00CD798F" w:rsidRPr="00D95B42" w:rsidRDefault="00CD798F" w:rsidP="00214723">
            <w:pPr>
              <w:rPr>
                <w:rFonts w:ascii="Times New Roman" w:hAnsi="Times New Roman"/>
                <w:color w:val="000000"/>
              </w:rPr>
            </w:pPr>
          </w:p>
        </w:tc>
        <w:tc>
          <w:tcPr>
            <w:tcW w:w="1112" w:type="pct"/>
            <w:noWrap/>
            <w:vAlign w:val="center"/>
          </w:tcPr>
          <w:p w14:paraId="6A4D2F9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递延所得税资产</w:t>
            </w:r>
          </w:p>
        </w:tc>
        <w:tc>
          <w:tcPr>
            <w:tcW w:w="2316" w:type="pct"/>
            <w:vAlign w:val="center"/>
          </w:tcPr>
          <w:p w14:paraId="2E28B40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资产减值准备、内部交易未实现利润、可抵扣亏损、股份支付等可抵扣暂时性差异</w:t>
            </w:r>
          </w:p>
        </w:tc>
        <w:tc>
          <w:tcPr>
            <w:tcW w:w="1030" w:type="pct"/>
            <w:noWrap/>
            <w:vAlign w:val="center"/>
          </w:tcPr>
          <w:p w14:paraId="6A8EBB5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722.42</w:t>
            </w:r>
          </w:p>
        </w:tc>
      </w:tr>
      <w:tr w:rsidR="00CD798F" w:rsidRPr="00D95B42" w14:paraId="4E66A98C" w14:textId="77777777" w:rsidTr="00214723">
        <w:trPr>
          <w:cantSplit/>
          <w:trHeight w:val="454"/>
          <w:jc w:val="center"/>
        </w:trPr>
        <w:tc>
          <w:tcPr>
            <w:tcW w:w="541" w:type="pct"/>
            <w:vMerge/>
            <w:vAlign w:val="center"/>
          </w:tcPr>
          <w:p w14:paraId="604AAC8B" w14:textId="77777777" w:rsidR="00CD798F" w:rsidRPr="00D95B42" w:rsidRDefault="00CD798F" w:rsidP="00214723">
            <w:pPr>
              <w:rPr>
                <w:rFonts w:ascii="Times New Roman" w:hAnsi="Times New Roman"/>
                <w:color w:val="000000"/>
              </w:rPr>
            </w:pPr>
          </w:p>
        </w:tc>
        <w:tc>
          <w:tcPr>
            <w:tcW w:w="3429" w:type="pct"/>
            <w:gridSpan w:val="2"/>
            <w:noWrap/>
            <w:vAlign w:val="center"/>
          </w:tcPr>
          <w:p w14:paraId="2BCA2C70"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小计</w:t>
            </w:r>
          </w:p>
        </w:tc>
        <w:tc>
          <w:tcPr>
            <w:tcW w:w="1030" w:type="pct"/>
            <w:noWrap/>
            <w:vAlign w:val="center"/>
          </w:tcPr>
          <w:p w14:paraId="06177EC3"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5,503.60</w:t>
            </w:r>
          </w:p>
        </w:tc>
      </w:tr>
      <w:tr w:rsidR="00CD798F" w:rsidRPr="00D95B42" w14:paraId="0AB6D1D0" w14:textId="77777777" w:rsidTr="00214723">
        <w:trPr>
          <w:cantSplit/>
          <w:trHeight w:val="454"/>
          <w:jc w:val="center"/>
        </w:trPr>
        <w:tc>
          <w:tcPr>
            <w:tcW w:w="541" w:type="pct"/>
            <w:vMerge w:val="restart"/>
            <w:vAlign w:val="center"/>
          </w:tcPr>
          <w:p w14:paraId="53834E3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非经营性资产</w:t>
            </w:r>
          </w:p>
        </w:tc>
        <w:tc>
          <w:tcPr>
            <w:tcW w:w="1112" w:type="pct"/>
            <w:noWrap/>
            <w:vAlign w:val="center"/>
          </w:tcPr>
          <w:p w14:paraId="6F5CF64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递延所得税负债</w:t>
            </w:r>
          </w:p>
        </w:tc>
        <w:tc>
          <w:tcPr>
            <w:tcW w:w="2316" w:type="pct"/>
            <w:vAlign w:val="center"/>
          </w:tcPr>
          <w:p w14:paraId="5C60577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固定资产加速折旧等应纳税暂时性差异</w:t>
            </w:r>
          </w:p>
        </w:tc>
        <w:tc>
          <w:tcPr>
            <w:tcW w:w="1030" w:type="pct"/>
            <w:noWrap/>
            <w:vAlign w:val="center"/>
          </w:tcPr>
          <w:p w14:paraId="77080BB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59.59</w:t>
            </w:r>
          </w:p>
        </w:tc>
      </w:tr>
      <w:tr w:rsidR="00CD798F" w:rsidRPr="00D95B42" w14:paraId="4AE8EDEA" w14:textId="77777777" w:rsidTr="00214723">
        <w:trPr>
          <w:cantSplit/>
          <w:trHeight w:val="454"/>
          <w:jc w:val="center"/>
        </w:trPr>
        <w:tc>
          <w:tcPr>
            <w:tcW w:w="541" w:type="pct"/>
            <w:vMerge/>
            <w:vAlign w:val="center"/>
          </w:tcPr>
          <w:p w14:paraId="229BDA20" w14:textId="77777777" w:rsidR="00CD798F" w:rsidRPr="00D95B42" w:rsidRDefault="00CD798F" w:rsidP="00214723">
            <w:pPr>
              <w:rPr>
                <w:rFonts w:ascii="Times New Roman" w:hAnsi="Times New Roman"/>
                <w:color w:val="000000"/>
              </w:rPr>
            </w:pPr>
          </w:p>
        </w:tc>
        <w:tc>
          <w:tcPr>
            <w:tcW w:w="3429" w:type="pct"/>
            <w:gridSpan w:val="2"/>
            <w:noWrap/>
            <w:vAlign w:val="center"/>
          </w:tcPr>
          <w:p w14:paraId="500BD4FE"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小计</w:t>
            </w:r>
          </w:p>
        </w:tc>
        <w:tc>
          <w:tcPr>
            <w:tcW w:w="1030" w:type="pct"/>
            <w:noWrap/>
            <w:vAlign w:val="center"/>
          </w:tcPr>
          <w:p w14:paraId="70F6E62B"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59.59</w:t>
            </w:r>
          </w:p>
        </w:tc>
      </w:tr>
      <w:tr w:rsidR="00CD798F" w:rsidRPr="00D95B42" w14:paraId="7F413242" w14:textId="77777777" w:rsidTr="00214723">
        <w:trPr>
          <w:cantSplit/>
          <w:trHeight w:val="454"/>
          <w:jc w:val="center"/>
        </w:trPr>
        <w:tc>
          <w:tcPr>
            <w:tcW w:w="3970" w:type="pct"/>
            <w:gridSpan w:val="3"/>
            <w:vAlign w:val="center"/>
          </w:tcPr>
          <w:p w14:paraId="64FC123B"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非经营性资产净值</w:t>
            </w:r>
          </w:p>
        </w:tc>
        <w:tc>
          <w:tcPr>
            <w:tcW w:w="1030" w:type="pct"/>
            <w:noWrap/>
            <w:vAlign w:val="center"/>
          </w:tcPr>
          <w:p w14:paraId="355454AD"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5,444.01</w:t>
            </w:r>
          </w:p>
        </w:tc>
      </w:tr>
    </w:tbl>
    <w:p w14:paraId="0331FDC6" w14:textId="77777777" w:rsidR="00CD798F" w:rsidRPr="003B070B" w:rsidRDefault="00CD798F" w:rsidP="00CD798F">
      <w:pPr>
        <w:spacing w:before="120" w:after="120" w:line="360" w:lineRule="auto"/>
        <w:ind w:firstLine="482"/>
        <w:rPr>
          <w:rFonts w:ascii="宋体" w:hAnsi="宋体" w:hint="eastAsia"/>
          <w:b/>
          <w:bCs/>
          <w:sz w:val="24"/>
          <w:szCs w:val="24"/>
        </w:rPr>
      </w:pPr>
      <w:r w:rsidRPr="003B070B">
        <w:rPr>
          <w:rFonts w:ascii="宋体" w:hAnsi="宋体" w:hint="eastAsia"/>
          <w:b/>
          <w:bCs/>
          <w:sz w:val="24"/>
          <w:szCs w:val="24"/>
        </w:rPr>
        <w:t>（</w:t>
      </w:r>
      <w:r w:rsidRPr="003B070B">
        <w:rPr>
          <w:rFonts w:ascii="宋体" w:hAnsi="宋体"/>
          <w:b/>
          <w:bCs/>
          <w:sz w:val="24"/>
          <w:szCs w:val="24"/>
        </w:rPr>
        <w:t>2</w:t>
      </w:r>
      <w:r w:rsidRPr="003B070B">
        <w:rPr>
          <w:rFonts w:ascii="宋体" w:hAnsi="宋体" w:hint="eastAsia"/>
          <w:b/>
          <w:bCs/>
          <w:sz w:val="24"/>
          <w:szCs w:val="24"/>
        </w:rPr>
        <w:t>）广联达</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60"/>
        <w:gridCol w:w="2202"/>
        <w:gridCol w:w="4196"/>
        <w:gridCol w:w="1903"/>
      </w:tblGrid>
      <w:tr w:rsidR="00CD798F" w:rsidRPr="00D95B42" w14:paraId="35569D84" w14:textId="77777777" w:rsidTr="00214723">
        <w:trPr>
          <w:cantSplit/>
          <w:trHeight w:val="454"/>
          <w:tblHeader/>
          <w:jc w:val="center"/>
        </w:trPr>
        <w:tc>
          <w:tcPr>
            <w:tcW w:w="439" w:type="pct"/>
            <w:vAlign w:val="center"/>
          </w:tcPr>
          <w:p w14:paraId="2FE148B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类别</w:t>
            </w:r>
          </w:p>
        </w:tc>
        <w:tc>
          <w:tcPr>
            <w:tcW w:w="1235" w:type="pct"/>
            <w:noWrap/>
            <w:vAlign w:val="center"/>
          </w:tcPr>
          <w:p w14:paraId="70AF0EE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科目</w:t>
            </w:r>
          </w:p>
        </w:tc>
        <w:tc>
          <w:tcPr>
            <w:tcW w:w="2335" w:type="pct"/>
            <w:vAlign w:val="center"/>
          </w:tcPr>
          <w:p w14:paraId="06DCED19"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资产性质</w:t>
            </w:r>
          </w:p>
        </w:tc>
        <w:tc>
          <w:tcPr>
            <w:tcW w:w="992" w:type="pct"/>
            <w:noWrap/>
            <w:vAlign w:val="center"/>
          </w:tcPr>
          <w:p w14:paraId="64809EB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账面价值（万元）</w:t>
            </w:r>
          </w:p>
        </w:tc>
      </w:tr>
      <w:tr w:rsidR="00CD798F" w:rsidRPr="00D95B42" w14:paraId="77D000C0" w14:textId="77777777" w:rsidTr="00214723">
        <w:trPr>
          <w:cantSplit/>
          <w:trHeight w:val="454"/>
          <w:jc w:val="center"/>
        </w:trPr>
        <w:tc>
          <w:tcPr>
            <w:tcW w:w="439" w:type="pct"/>
            <w:vMerge w:val="restart"/>
            <w:vAlign w:val="center"/>
          </w:tcPr>
          <w:p w14:paraId="56E59729"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非经</w:t>
            </w:r>
            <w:r w:rsidRPr="00D95B42">
              <w:rPr>
                <w:rFonts w:ascii="Times New Roman" w:hAnsi="Times New Roman"/>
                <w:color w:val="000000"/>
              </w:rPr>
              <w:lastRenderedPageBreak/>
              <w:t>营性资产</w:t>
            </w:r>
          </w:p>
        </w:tc>
        <w:tc>
          <w:tcPr>
            <w:tcW w:w="1235" w:type="pct"/>
            <w:noWrap/>
            <w:vAlign w:val="center"/>
          </w:tcPr>
          <w:p w14:paraId="40E4E14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lastRenderedPageBreak/>
              <w:t>交易性金融资产</w:t>
            </w:r>
          </w:p>
        </w:tc>
        <w:tc>
          <w:tcPr>
            <w:tcW w:w="2335" w:type="pct"/>
            <w:vAlign w:val="center"/>
          </w:tcPr>
          <w:p w14:paraId="27A425E9"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理财产品</w:t>
            </w:r>
          </w:p>
        </w:tc>
        <w:tc>
          <w:tcPr>
            <w:tcW w:w="992" w:type="pct"/>
            <w:noWrap/>
            <w:vAlign w:val="center"/>
          </w:tcPr>
          <w:p w14:paraId="5F4F147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30,000.00</w:t>
            </w:r>
          </w:p>
        </w:tc>
      </w:tr>
      <w:tr w:rsidR="00CD798F" w:rsidRPr="00D95B42" w14:paraId="6C237589" w14:textId="77777777" w:rsidTr="00214723">
        <w:trPr>
          <w:cantSplit/>
          <w:trHeight w:val="454"/>
          <w:jc w:val="center"/>
        </w:trPr>
        <w:tc>
          <w:tcPr>
            <w:tcW w:w="439" w:type="pct"/>
            <w:vMerge/>
            <w:vAlign w:val="center"/>
          </w:tcPr>
          <w:p w14:paraId="01B9AD74" w14:textId="77777777" w:rsidR="00CD798F" w:rsidRPr="00D95B42" w:rsidRDefault="00CD798F" w:rsidP="00214723">
            <w:pPr>
              <w:rPr>
                <w:rFonts w:ascii="Times New Roman" w:hAnsi="Times New Roman"/>
                <w:color w:val="000000"/>
              </w:rPr>
            </w:pPr>
          </w:p>
        </w:tc>
        <w:tc>
          <w:tcPr>
            <w:tcW w:w="1235" w:type="pct"/>
            <w:noWrap/>
            <w:vAlign w:val="center"/>
          </w:tcPr>
          <w:p w14:paraId="4B3FFD9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其他应收款</w:t>
            </w:r>
          </w:p>
        </w:tc>
        <w:tc>
          <w:tcPr>
            <w:tcW w:w="2335" w:type="pct"/>
            <w:vAlign w:val="center"/>
          </w:tcPr>
          <w:p w14:paraId="70F0DB3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应收股利</w:t>
            </w:r>
          </w:p>
        </w:tc>
        <w:tc>
          <w:tcPr>
            <w:tcW w:w="992" w:type="pct"/>
            <w:noWrap/>
            <w:vAlign w:val="center"/>
          </w:tcPr>
          <w:p w14:paraId="63165E1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152.45</w:t>
            </w:r>
          </w:p>
        </w:tc>
      </w:tr>
      <w:tr w:rsidR="00CD798F" w:rsidRPr="00D95B42" w14:paraId="7291BD41" w14:textId="77777777" w:rsidTr="00214723">
        <w:trPr>
          <w:cantSplit/>
          <w:trHeight w:val="454"/>
          <w:jc w:val="center"/>
        </w:trPr>
        <w:tc>
          <w:tcPr>
            <w:tcW w:w="439" w:type="pct"/>
            <w:vMerge/>
            <w:vAlign w:val="center"/>
          </w:tcPr>
          <w:p w14:paraId="2760EDED" w14:textId="77777777" w:rsidR="00CD798F" w:rsidRPr="00D95B42" w:rsidRDefault="00CD798F" w:rsidP="00214723">
            <w:pPr>
              <w:rPr>
                <w:rFonts w:ascii="Times New Roman" w:hAnsi="Times New Roman"/>
                <w:color w:val="000000"/>
              </w:rPr>
            </w:pPr>
          </w:p>
        </w:tc>
        <w:tc>
          <w:tcPr>
            <w:tcW w:w="1235" w:type="pct"/>
            <w:noWrap/>
            <w:vAlign w:val="center"/>
          </w:tcPr>
          <w:p w14:paraId="4C9458F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其他应收款</w:t>
            </w:r>
          </w:p>
        </w:tc>
        <w:tc>
          <w:tcPr>
            <w:tcW w:w="2335" w:type="pct"/>
            <w:vAlign w:val="center"/>
          </w:tcPr>
          <w:p w14:paraId="7225DA96"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转让股权未收款</w:t>
            </w:r>
          </w:p>
        </w:tc>
        <w:tc>
          <w:tcPr>
            <w:tcW w:w="992" w:type="pct"/>
            <w:noWrap/>
            <w:vAlign w:val="center"/>
          </w:tcPr>
          <w:p w14:paraId="313FAB0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52.75</w:t>
            </w:r>
          </w:p>
        </w:tc>
      </w:tr>
      <w:tr w:rsidR="00CD798F" w:rsidRPr="00D95B42" w14:paraId="7C734522" w14:textId="77777777" w:rsidTr="00214723">
        <w:trPr>
          <w:cantSplit/>
          <w:trHeight w:val="454"/>
          <w:jc w:val="center"/>
        </w:trPr>
        <w:tc>
          <w:tcPr>
            <w:tcW w:w="439" w:type="pct"/>
            <w:vMerge/>
            <w:vAlign w:val="center"/>
          </w:tcPr>
          <w:p w14:paraId="5C1654E8" w14:textId="77777777" w:rsidR="00CD798F" w:rsidRPr="00D95B42" w:rsidRDefault="00CD798F" w:rsidP="00214723">
            <w:pPr>
              <w:rPr>
                <w:rFonts w:ascii="Times New Roman" w:hAnsi="Times New Roman"/>
                <w:color w:val="000000"/>
              </w:rPr>
            </w:pPr>
          </w:p>
        </w:tc>
        <w:tc>
          <w:tcPr>
            <w:tcW w:w="1235" w:type="pct"/>
            <w:noWrap/>
            <w:vAlign w:val="center"/>
          </w:tcPr>
          <w:p w14:paraId="5FC4308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其他流动资产</w:t>
            </w:r>
          </w:p>
        </w:tc>
        <w:tc>
          <w:tcPr>
            <w:tcW w:w="2335" w:type="pct"/>
            <w:vAlign w:val="center"/>
          </w:tcPr>
          <w:p w14:paraId="0485B81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理财产品、预缴税金</w:t>
            </w:r>
          </w:p>
        </w:tc>
        <w:tc>
          <w:tcPr>
            <w:tcW w:w="992" w:type="pct"/>
            <w:noWrap/>
            <w:vAlign w:val="center"/>
          </w:tcPr>
          <w:p w14:paraId="18F4A53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7,892.93</w:t>
            </w:r>
          </w:p>
        </w:tc>
      </w:tr>
      <w:tr w:rsidR="00CD798F" w:rsidRPr="00D95B42" w14:paraId="7A375510" w14:textId="77777777" w:rsidTr="00214723">
        <w:trPr>
          <w:cantSplit/>
          <w:trHeight w:val="454"/>
          <w:jc w:val="center"/>
        </w:trPr>
        <w:tc>
          <w:tcPr>
            <w:tcW w:w="439" w:type="pct"/>
            <w:vMerge/>
            <w:vAlign w:val="center"/>
          </w:tcPr>
          <w:p w14:paraId="6D3029DA" w14:textId="77777777" w:rsidR="00CD798F" w:rsidRPr="00D95B42" w:rsidRDefault="00CD798F" w:rsidP="00214723">
            <w:pPr>
              <w:rPr>
                <w:rFonts w:ascii="Times New Roman" w:hAnsi="Times New Roman"/>
                <w:color w:val="000000"/>
              </w:rPr>
            </w:pPr>
          </w:p>
        </w:tc>
        <w:tc>
          <w:tcPr>
            <w:tcW w:w="1235" w:type="pct"/>
            <w:noWrap/>
            <w:vAlign w:val="center"/>
          </w:tcPr>
          <w:p w14:paraId="6BC27DD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发放贷款及垫款</w:t>
            </w:r>
          </w:p>
        </w:tc>
        <w:tc>
          <w:tcPr>
            <w:tcW w:w="2335" w:type="pct"/>
            <w:vAlign w:val="center"/>
          </w:tcPr>
          <w:p w14:paraId="1F618AE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发放贷款及垫款</w:t>
            </w:r>
          </w:p>
        </w:tc>
        <w:tc>
          <w:tcPr>
            <w:tcW w:w="992" w:type="pct"/>
            <w:noWrap/>
            <w:vAlign w:val="center"/>
          </w:tcPr>
          <w:p w14:paraId="7C198604"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47,530.93</w:t>
            </w:r>
          </w:p>
        </w:tc>
      </w:tr>
      <w:tr w:rsidR="00CD798F" w:rsidRPr="00D95B42" w14:paraId="276D3279" w14:textId="77777777" w:rsidTr="00214723">
        <w:trPr>
          <w:cantSplit/>
          <w:trHeight w:val="454"/>
          <w:jc w:val="center"/>
        </w:trPr>
        <w:tc>
          <w:tcPr>
            <w:tcW w:w="439" w:type="pct"/>
            <w:vMerge/>
            <w:vAlign w:val="center"/>
          </w:tcPr>
          <w:p w14:paraId="37C752B4" w14:textId="77777777" w:rsidR="00CD798F" w:rsidRPr="00D95B42" w:rsidRDefault="00CD798F" w:rsidP="00214723">
            <w:pPr>
              <w:rPr>
                <w:rFonts w:ascii="Times New Roman" w:hAnsi="Times New Roman"/>
                <w:color w:val="000000"/>
              </w:rPr>
            </w:pPr>
          </w:p>
        </w:tc>
        <w:tc>
          <w:tcPr>
            <w:tcW w:w="1235" w:type="pct"/>
            <w:noWrap/>
            <w:vAlign w:val="center"/>
          </w:tcPr>
          <w:p w14:paraId="74BCA206"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长期股权投资</w:t>
            </w:r>
          </w:p>
        </w:tc>
        <w:tc>
          <w:tcPr>
            <w:tcW w:w="2335" w:type="pct"/>
            <w:vAlign w:val="center"/>
          </w:tcPr>
          <w:p w14:paraId="03A0A9D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联营投资</w:t>
            </w:r>
          </w:p>
        </w:tc>
        <w:tc>
          <w:tcPr>
            <w:tcW w:w="992" w:type="pct"/>
            <w:noWrap/>
            <w:vAlign w:val="center"/>
          </w:tcPr>
          <w:p w14:paraId="45A0085A"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22,887.15</w:t>
            </w:r>
          </w:p>
        </w:tc>
      </w:tr>
      <w:tr w:rsidR="00CD798F" w:rsidRPr="00D95B42" w14:paraId="593C41C5" w14:textId="77777777" w:rsidTr="00214723">
        <w:trPr>
          <w:cantSplit/>
          <w:trHeight w:val="454"/>
          <w:jc w:val="center"/>
        </w:trPr>
        <w:tc>
          <w:tcPr>
            <w:tcW w:w="439" w:type="pct"/>
            <w:vMerge/>
            <w:vAlign w:val="center"/>
          </w:tcPr>
          <w:p w14:paraId="23361444" w14:textId="77777777" w:rsidR="00CD798F" w:rsidRPr="00D95B42" w:rsidRDefault="00CD798F" w:rsidP="00214723">
            <w:pPr>
              <w:rPr>
                <w:rFonts w:ascii="Times New Roman" w:hAnsi="Times New Roman"/>
                <w:color w:val="000000"/>
              </w:rPr>
            </w:pPr>
          </w:p>
        </w:tc>
        <w:tc>
          <w:tcPr>
            <w:tcW w:w="1235" w:type="pct"/>
            <w:noWrap/>
            <w:vAlign w:val="center"/>
          </w:tcPr>
          <w:p w14:paraId="6CB4330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其他权益工具投资</w:t>
            </w:r>
          </w:p>
        </w:tc>
        <w:tc>
          <w:tcPr>
            <w:tcW w:w="2335" w:type="pct"/>
            <w:vAlign w:val="center"/>
          </w:tcPr>
          <w:p w14:paraId="58170BA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投资</w:t>
            </w:r>
          </w:p>
        </w:tc>
        <w:tc>
          <w:tcPr>
            <w:tcW w:w="992" w:type="pct"/>
            <w:noWrap/>
            <w:vAlign w:val="center"/>
          </w:tcPr>
          <w:p w14:paraId="0726093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27,244.47</w:t>
            </w:r>
          </w:p>
        </w:tc>
      </w:tr>
      <w:tr w:rsidR="00CD798F" w:rsidRPr="00D95B42" w14:paraId="1EEFC259" w14:textId="77777777" w:rsidTr="00214723">
        <w:trPr>
          <w:cantSplit/>
          <w:trHeight w:val="454"/>
          <w:jc w:val="center"/>
        </w:trPr>
        <w:tc>
          <w:tcPr>
            <w:tcW w:w="439" w:type="pct"/>
            <w:vMerge/>
            <w:vAlign w:val="center"/>
          </w:tcPr>
          <w:p w14:paraId="77B404A5" w14:textId="77777777" w:rsidR="00CD798F" w:rsidRPr="00D95B42" w:rsidRDefault="00CD798F" w:rsidP="00214723">
            <w:pPr>
              <w:rPr>
                <w:rFonts w:ascii="Times New Roman" w:hAnsi="Times New Roman"/>
                <w:color w:val="000000"/>
              </w:rPr>
            </w:pPr>
          </w:p>
        </w:tc>
        <w:tc>
          <w:tcPr>
            <w:tcW w:w="1235" w:type="pct"/>
            <w:noWrap/>
            <w:vAlign w:val="center"/>
          </w:tcPr>
          <w:p w14:paraId="5023253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其他非流动金融资产</w:t>
            </w:r>
          </w:p>
        </w:tc>
        <w:tc>
          <w:tcPr>
            <w:tcW w:w="2335" w:type="pct"/>
            <w:vAlign w:val="center"/>
          </w:tcPr>
          <w:p w14:paraId="6F58028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投资</w:t>
            </w:r>
          </w:p>
        </w:tc>
        <w:tc>
          <w:tcPr>
            <w:tcW w:w="992" w:type="pct"/>
            <w:noWrap/>
            <w:vAlign w:val="center"/>
          </w:tcPr>
          <w:p w14:paraId="1E64DFF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7,961.61</w:t>
            </w:r>
          </w:p>
        </w:tc>
      </w:tr>
      <w:tr w:rsidR="00CD798F" w:rsidRPr="00D95B42" w14:paraId="34DB1F75" w14:textId="77777777" w:rsidTr="00214723">
        <w:trPr>
          <w:cantSplit/>
          <w:trHeight w:val="454"/>
          <w:jc w:val="center"/>
        </w:trPr>
        <w:tc>
          <w:tcPr>
            <w:tcW w:w="439" w:type="pct"/>
            <w:vMerge/>
            <w:vAlign w:val="center"/>
          </w:tcPr>
          <w:p w14:paraId="6EFF80BC" w14:textId="77777777" w:rsidR="00CD798F" w:rsidRPr="00D95B42" w:rsidRDefault="00CD798F" w:rsidP="00214723">
            <w:pPr>
              <w:rPr>
                <w:rFonts w:ascii="Times New Roman" w:hAnsi="Times New Roman"/>
                <w:color w:val="000000"/>
              </w:rPr>
            </w:pPr>
          </w:p>
        </w:tc>
        <w:tc>
          <w:tcPr>
            <w:tcW w:w="1235" w:type="pct"/>
            <w:noWrap/>
            <w:vAlign w:val="center"/>
          </w:tcPr>
          <w:p w14:paraId="5AFA932C"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递延所得税资产</w:t>
            </w:r>
          </w:p>
        </w:tc>
        <w:tc>
          <w:tcPr>
            <w:tcW w:w="2335" w:type="pct"/>
            <w:vAlign w:val="center"/>
          </w:tcPr>
          <w:p w14:paraId="59ECE7F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资产减值准备、可抵扣亏损、无形资产摊销年限差异、股权激励成本、其他权益工具投资公允价值变动等可抵扣暂时性差异</w:t>
            </w:r>
          </w:p>
        </w:tc>
        <w:tc>
          <w:tcPr>
            <w:tcW w:w="992" w:type="pct"/>
            <w:noWrap/>
            <w:vAlign w:val="center"/>
          </w:tcPr>
          <w:p w14:paraId="708B8E33"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10,437.41</w:t>
            </w:r>
          </w:p>
        </w:tc>
      </w:tr>
      <w:tr w:rsidR="00CD798F" w:rsidRPr="00D95B42" w14:paraId="4F6A9441" w14:textId="77777777" w:rsidTr="00214723">
        <w:trPr>
          <w:cantSplit/>
          <w:trHeight w:val="454"/>
          <w:jc w:val="center"/>
        </w:trPr>
        <w:tc>
          <w:tcPr>
            <w:tcW w:w="439" w:type="pct"/>
            <w:vMerge/>
            <w:vAlign w:val="center"/>
          </w:tcPr>
          <w:p w14:paraId="555298C1" w14:textId="77777777" w:rsidR="00CD798F" w:rsidRPr="00D95B42" w:rsidRDefault="00CD798F" w:rsidP="00214723">
            <w:pPr>
              <w:rPr>
                <w:rFonts w:ascii="Times New Roman" w:hAnsi="Times New Roman"/>
                <w:color w:val="000000"/>
              </w:rPr>
            </w:pPr>
          </w:p>
        </w:tc>
        <w:tc>
          <w:tcPr>
            <w:tcW w:w="3569" w:type="pct"/>
            <w:gridSpan w:val="2"/>
            <w:noWrap/>
            <w:vAlign w:val="center"/>
          </w:tcPr>
          <w:p w14:paraId="5CBB085E"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小计</w:t>
            </w:r>
          </w:p>
        </w:tc>
        <w:tc>
          <w:tcPr>
            <w:tcW w:w="992" w:type="pct"/>
            <w:noWrap/>
            <w:vAlign w:val="center"/>
          </w:tcPr>
          <w:p w14:paraId="0E3CD957"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154,159.70</w:t>
            </w:r>
          </w:p>
        </w:tc>
      </w:tr>
      <w:tr w:rsidR="00CD798F" w:rsidRPr="00D95B42" w14:paraId="792832BB" w14:textId="77777777" w:rsidTr="00214723">
        <w:trPr>
          <w:cantSplit/>
          <w:trHeight w:val="454"/>
          <w:jc w:val="center"/>
        </w:trPr>
        <w:tc>
          <w:tcPr>
            <w:tcW w:w="439" w:type="pct"/>
            <w:vMerge w:val="restart"/>
            <w:vAlign w:val="center"/>
          </w:tcPr>
          <w:p w14:paraId="46C65D8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非经营性负债</w:t>
            </w:r>
          </w:p>
        </w:tc>
        <w:tc>
          <w:tcPr>
            <w:tcW w:w="1235" w:type="pct"/>
            <w:noWrap/>
            <w:vAlign w:val="center"/>
          </w:tcPr>
          <w:p w14:paraId="42FFBF3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递延所得税负债</w:t>
            </w:r>
          </w:p>
        </w:tc>
        <w:tc>
          <w:tcPr>
            <w:tcW w:w="2335" w:type="pct"/>
            <w:vAlign w:val="center"/>
          </w:tcPr>
          <w:p w14:paraId="685693E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非同一控制下企业合并评估增值等应纳税暂时性差异</w:t>
            </w:r>
          </w:p>
        </w:tc>
        <w:tc>
          <w:tcPr>
            <w:tcW w:w="992" w:type="pct"/>
            <w:noWrap/>
            <w:vAlign w:val="center"/>
          </w:tcPr>
          <w:p w14:paraId="5C746A8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639.56</w:t>
            </w:r>
          </w:p>
        </w:tc>
      </w:tr>
      <w:tr w:rsidR="00CD798F" w:rsidRPr="00D95B42" w14:paraId="4EE4DA08" w14:textId="77777777" w:rsidTr="00214723">
        <w:trPr>
          <w:cantSplit/>
          <w:trHeight w:val="454"/>
          <w:jc w:val="center"/>
        </w:trPr>
        <w:tc>
          <w:tcPr>
            <w:tcW w:w="439" w:type="pct"/>
            <w:vMerge/>
            <w:vAlign w:val="center"/>
          </w:tcPr>
          <w:p w14:paraId="162F20C7" w14:textId="77777777" w:rsidR="00CD798F" w:rsidRPr="00D95B42" w:rsidRDefault="00CD798F" w:rsidP="00214723">
            <w:pPr>
              <w:rPr>
                <w:rFonts w:ascii="Times New Roman" w:hAnsi="Times New Roman"/>
                <w:color w:val="000000"/>
              </w:rPr>
            </w:pPr>
          </w:p>
        </w:tc>
        <w:tc>
          <w:tcPr>
            <w:tcW w:w="1235" w:type="pct"/>
            <w:noWrap/>
            <w:vAlign w:val="center"/>
          </w:tcPr>
          <w:p w14:paraId="29093B0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递延收益</w:t>
            </w:r>
          </w:p>
        </w:tc>
        <w:tc>
          <w:tcPr>
            <w:tcW w:w="2335" w:type="pct"/>
            <w:vAlign w:val="center"/>
          </w:tcPr>
          <w:p w14:paraId="622B238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政府补助</w:t>
            </w:r>
          </w:p>
        </w:tc>
        <w:tc>
          <w:tcPr>
            <w:tcW w:w="992" w:type="pct"/>
            <w:noWrap/>
            <w:vAlign w:val="center"/>
          </w:tcPr>
          <w:p w14:paraId="2BFE1E8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4,377.87</w:t>
            </w:r>
          </w:p>
        </w:tc>
      </w:tr>
      <w:tr w:rsidR="00CD798F" w:rsidRPr="00D95B42" w14:paraId="3F3BE7BA" w14:textId="77777777" w:rsidTr="00214723">
        <w:trPr>
          <w:cantSplit/>
          <w:trHeight w:val="454"/>
          <w:jc w:val="center"/>
        </w:trPr>
        <w:tc>
          <w:tcPr>
            <w:tcW w:w="439" w:type="pct"/>
            <w:vMerge/>
            <w:vAlign w:val="center"/>
          </w:tcPr>
          <w:p w14:paraId="3C8D5453" w14:textId="77777777" w:rsidR="00CD798F" w:rsidRPr="00D95B42" w:rsidRDefault="00CD798F" w:rsidP="00214723">
            <w:pPr>
              <w:rPr>
                <w:rFonts w:ascii="Times New Roman" w:hAnsi="Times New Roman"/>
                <w:color w:val="000000"/>
              </w:rPr>
            </w:pPr>
          </w:p>
        </w:tc>
        <w:tc>
          <w:tcPr>
            <w:tcW w:w="3569" w:type="pct"/>
            <w:gridSpan w:val="2"/>
            <w:noWrap/>
            <w:vAlign w:val="center"/>
          </w:tcPr>
          <w:p w14:paraId="14E8D1D1"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小计</w:t>
            </w:r>
          </w:p>
        </w:tc>
        <w:tc>
          <w:tcPr>
            <w:tcW w:w="992" w:type="pct"/>
            <w:noWrap/>
            <w:vAlign w:val="center"/>
          </w:tcPr>
          <w:p w14:paraId="42C5F45A"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5,017.43</w:t>
            </w:r>
          </w:p>
        </w:tc>
      </w:tr>
      <w:tr w:rsidR="00CD798F" w:rsidRPr="00D95B42" w14:paraId="1D2C8589" w14:textId="77777777" w:rsidTr="00214723">
        <w:trPr>
          <w:cantSplit/>
          <w:trHeight w:val="454"/>
          <w:jc w:val="center"/>
        </w:trPr>
        <w:tc>
          <w:tcPr>
            <w:tcW w:w="4008" w:type="pct"/>
            <w:gridSpan w:val="3"/>
            <w:vAlign w:val="center"/>
          </w:tcPr>
          <w:p w14:paraId="7835ABE6"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非经营性资产净值</w:t>
            </w:r>
          </w:p>
        </w:tc>
        <w:tc>
          <w:tcPr>
            <w:tcW w:w="992" w:type="pct"/>
            <w:noWrap/>
            <w:vAlign w:val="center"/>
          </w:tcPr>
          <w:p w14:paraId="3E1094E2"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149,142.27</w:t>
            </w:r>
          </w:p>
        </w:tc>
      </w:tr>
    </w:tbl>
    <w:p w14:paraId="500B8DAB" w14:textId="77777777" w:rsidR="00CD798F" w:rsidRPr="003B070B" w:rsidRDefault="00CD798F" w:rsidP="00CD798F">
      <w:pPr>
        <w:spacing w:before="120" w:after="120" w:line="360" w:lineRule="auto"/>
        <w:ind w:firstLine="482"/>
        <w:rPr>
          <w:rFonts w:ascii="宋体" w:hAnsi="宋体" w:hint="eastAsia"/>
          <w:b/>
          <w:bCs/>
          <w:sz w:val="24"/>
          <w:szCs w:val="24"/>
        </w:rPr>
      </w:pPr>
      <w:r w:rsidRPr="003B070B">
        <w:rPr>
          <w:rFonts w:ascii="宋体" w:hAnsi="宋体" w:hint="eastAsia"/>
          <w:b/>
          <w:bCs/>
          <w:sz w:val="24"/>
          <w:szCs w:val="24"/>
        </w:rPr>
        <w:t>（</w:t>
      </w:r>
      <w:r w:rsidRPr="003B070B">
        <w:rPr>
          <w:rFonts w:ascii="宋体" w:hAnsi="宋体"/>
          <w:b/>
          <w:bCs/>
          <w:sz w:val="24"/>
          <w:szCs w:val="24"/>
        </w:rPr>
        <w:t>3</w:t>
      </w:r>
      <w:r w:rsidRPr="003B070B">
        <w:rPr>
          <w:rFonts w:ascii="宋体" w:hAnsi="宋体" w:hint="eastAsia"/>
          <w:b/>
          <w:bCs/>
          <w:sz w:val="24"/>
          <w:szCs w:val="24"/>
        </w:rPr>
        <w:t>）石基信息</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86"/>
        <w:gridCol w:w="2203"/>
        <w:gridCol w:w="4169"/>
        <w:gridCol w:w="1903"/>
      </w:tblGrid>
      <w:tr w:rsidR="00CD798F" w:rsidRPr="00D95B42" w14:paraId="2474068E" w14:textId="77777777" w:rsidTr="00214723">
        <w:trPr>
          <w:cantSplit/>
          <w:trHeight w:val="454"/>
          <w:tblHeader/>
          <w:jc w:val="center"/>
        </w:trPr>
        <w:tc>
          <w:tcPr>
            <w:tcW w:w="453" w:type="pct"/>
            <w:vAlign w:val="center"/>
          </w:tcPr>
          <w:p w14:paraId="6646BC19"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类别</w:t>
            </w:r>
          </w:p>
        </w:tc>
        <w:tc>
          <w:tcPr>
            <w:tcW w:w="1235" w:type="pct"/>
            <w:noWrap/>
            <w:vAlign w:val="center"/>
          </w:tcPr>
          <w:p w14:paraId="42AB094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科目</w:t>
            </w:r>
          </w:p>
        </w:tc>
        <w:tc>
          <w:tcPr>
            <w:tcW w:w="2320" w:type="pct"/>
            <w:vAlign w:val="center"/>
          </w:tcPr>
          <w:p w14:paraId="368F24AF"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资产性质</w:t>
            </w:r>
          </w:p>
        </w:tc>
        <w:tc>
          <w:tcPr>
            <w:tcW w:w="992" w:type="pct"/>
            <w:noWrap/>
            <w:vAlign w:val="center"/>
          </w:tcPr>
          <w:p w14:paraId="2C7F232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账面价值（万元）</w:t>
            </w:r>
          </w:p>
        </w:tc>
      </w:tr>
      <w:tr w:rsidR="00CD798F" w:rsidRPr="00D95B42" w14:paraId="5EB738CB" w14:textId="77777777" w:rsidTr="00214723">
        <w:trPr>
          <w:cantSplit/>
          <w:trHeight w:val="454"/>
          <w:jc w:val="center"/>
        </w:trPr>
        <w:tc>
          <w:tcPr>
            <w:tcW w:w="453" w:type="pct"/>
            <w:vMerge w:val="restart"/>
            <w:vAlign w:val="center"/>
          </w:tcPr>
          <w:p w14:paraId="122C2D56"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非经营性资产</w:t>
            </w:r>
          </w:p>
        </w:tc>
        <w:tc>
          <w:tcPr>
            <w:tcW w:w="1235" w:type="pct"/>
            <w:noWrap/>
            <w:vAlign w:val="center"/>
          </w:tcPr>
          <w:p w14:paraId="43D3F51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交易性金融资产</w:t>
            </w:r>
          </w:p>
        </w:tc>
        <w:tc>
          <w:tcPr>
            <w:tcW w:w="2320" w:type="pct"/>
            <w:vAlign w:val="center"/>
          </w:tcPr>
          <w:p w14:paraId="356F2E3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理财产品</w:t>
            </w:r>
          </w:p>
        </w:tc>
        <w:tc>
          <w:tcPr>
            <w:tcW w:w="992" w:type="pct"/>
            <w:noWrap/>
            <w:vAlign w:val="center"/>
          </w:tcPr>
          <w:p w14:paraId="054C647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1,478.93</w:t>
            </w:r>
          </w:p>
        </w:tc>
      </w:tr>
      <w:tr w:rsidR="00CD798F" w:rsidRPr="00D95B42" w14:paraId="61B06896" w14:textId="77777777" w:rsidTr="00214723">
        <w:trPr>
          <w:cantSplit/>
          <w:trHeight w:val="454"/>
          <w:jc w:val="center"/>
        </w:trPr>
        <w:tc>
          <w:tcPr>
            <w:tcW w:w="453" w:type="pct"/>
            <w:vMerge/>
            <w:vAlign w:val="center"/>
          </w:tcPr>
          <w:p w14:paraId="360A9E7C" w14:textId="77777777" w:rsidR="00CD798F" w:rsidRPr="00D95B42" w:rsidRDefault="00CD798F" w:rsidP="00214723">
            <w:pPr>
              <w:rPr>
                <w:rFonts w:ascii="Times New Roman" w:hAnsi="Times New Roman"/>
                <w:color w:val="000000"/>
              </w:rPr>
            </w:pPr>
          </w:p>
        </w:tc>
        <w:tc>
          <w:tcPr>
            <w:tcW w:w="1235" w:type="pct"/>
            <w:noWrap/>
            <w:vAlign w:val="center"/>
          </w:tcPr>
          <w:p w14:paraId="506ED39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其他应收款</w:t>
            </w:r>
          </w:p>
        </w:tc>
        <w:tc>
          <w:tcPr>
            <w:tcW w:w="2320" w:type="pct"/>
            <w:vAlign w:val="center"/>
          </w:tcPr>
          <w:p w14:paraId="46B8FC56"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股权回购款</w:t>
            </w:r>
          </w:p>
        </w:tc>
        <w:tc>
          <w:tcPr>
            <w:tcW w:w="992" w:type="pct"/>
            <w:noWrap/>
            <w:vAlign w:val="center"/>
          </w:tcPr>
          <w:p w14:paraId="41B541F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16,334.51</w:t>
            </w:r>
          </w:p>
        </w:tc>
      </w:tr>
      <w:tr w:rsidR="00CD798F" w:rsidRPr="00D95B42" w14:paraId="691DEC9F" w14:textId="77777777" w:rsidTr="00214723">
        <w:trPr>
          <w:cantSplit/>
          <w:trHeight w:val="454"/>
          <w:jc w:val="center"/>
        </w:trPr>
        <w:tc>
          <w:tcPr>
            <w:tcW w:w="453" w:type="pct"/>
            <w:vMerge/>
            <w:vAlign w:val="center"/>
          </w:tcPr>
          <w:p w14:paraId="47A923C0" w14:textId="77777777" w:rsidR="00CD798F" w:rsidRPr="00D95B42" w:rsidRDefault="00CD798F" w:rsidP="00214723">
            <w:pPr>
              <w:rPr>
                <w:rFonts w:ascii="Times New Roman" w:hAnsi="Times New Roman"/>
                <w:color w:val="000000"/>
              </w:rPr>
            </w:pPr>
          </w:p>
        </w:tc>
        <w:tc>
          <w:tcPr>
            <w:tcW w:w="1235" w:type="pct"/>
            <w:noWrap/>
            <w:vAlign w:val="center"/>
          </w:tcPr>
          <w:p w14:paraId="3ECD4DBF"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其他流动资产</w:t>
            </w:r>
          </w:p>
        </w:tc>
        <w:tc>
          <w:tcPr>
            <w:tcW w:w="2320" w:type="pct"/>
            <w:vAlign w:val="center"/>
          </w:tcPr>
          <w:p w14:paraId="652C7FC9"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预缴税金</w:t>
            </w:r>
          </w:p>
        </w:tc>
        <w:tc>
          <w:tcPr>
            <w:tcW w:w="992" w:type="pct"/>
            <w:noWrap/>
            <w:vAlign w:val="center"/>
          </w:tcPr>
          <w:p w14:paraId="772F355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1,500.64</w:t>
            </w:r>
          </w:p>
        </w:tc>
      </w:tr>
      <w:tr w:rsidR="00CD798F" w:rsidRPr="00D95B42" w14:paraId="642C63FB" w14:textId="77777777" w:rsidTr="00214723">
        <w:trPr>
          <w:cantSplit/>
          <w:trHeight w:val="454"/>
          <w:jc w:val="center"/>
        </w:trPr>
        <w:tc>
          <w:tcPr>
            <w:tcW w:w="453" w:type="pct"/>
            <w:vMerge/>
            <w:vAlign w:val="center"/>
          </w:tcPr>
          <w:p w14:paraId="3C0B7B96" w14:textId="77777777" w:rsidR="00CD798F" w:rsidRPr="00D95B42" w:rsidRDefault="00CD798F" w:rsidP="00214723">
            <w:pPr>
              <w:rPr>
                <w:rFonts w:ascii="Times New Roman" w:hAnsi="Times New Roman"/>
                <w:color w:val="000000"/>
              </w:rPr>
            </w:pPr>
          </w:p>
        </w:tc>
        <w:tc>
          <w:tcPr>
            <w:tcW w:w="1235" w:type="pct"/>
            <w:noWrap/>
            <w:vAlign w:val="center"/>
          </w:tcPr>
          <w:p w14:paraId="1F90EB9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长期股权投资</w:t>
            </w:r>
          </w:p>
        </w:tc>
        <w:tc>
          <w:tcPr>
            <w:tcW w:w="2320" w:type="pct"/>
            <w:vAlign w:val="center"/>
          </w:tcPr>
          <w:p w14:paraId="15AA6E8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联营投资</w:t>
            </w:r>
          </w:p>
        </w:tc>
        <w:tc>
          <w:tcPr>
            <w:tcW w:w="992" w:type="pct"/>
            <w:noWrap/>
            <w:vAlign w:val="center"/>
          </w:tcPr>
          <w:p w14:paraId="465FCC4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9,759.49</w:t>
            </w:r>
          </w:p>
        </w:tc>
      </w:tr>
      <w:tr w:rsidR="00CD798F" w:rsidRPr="00D95B42" w14:paraId="6B9206F8" w14:textId="77777777" w:rsidTr="00214723">
        <w:trPr>
          <w:cantSplit/>
          <w:trHeight w:val="454"/>
          <w:jc w:val="center"/>
        </w:trPr>
        <w:tc>
          <w:tcPr>
            <w:tcW w:w="453" w:type="pct"/>
            <w:vMerge/>
            <w:vAlign w:val="center"/>
          </w:tcPr>
          <w:p w14:paraId="16048A20" w14:textId="77777777" w:rsidR="00CD798F" w:rsidRPr="00D95B42" w:rsidRDefault="00CD798F" w:rsidP="00214723">
            <w:pPr>
              <w:rPr>
                <w:rFonts w:ascii="Times New Roman" w:hAnsi="Times New Roman"/>
                <w:color w:val="000000"/>
              </w:rPr>
            </w:pPr>
          </w:p>
        </w:tc>
        <w:tc>
          <w:tcPr>
            <w:tcW w:w="1235" w:type="pct"/>
            <w:noWrap/>
            <w:vAlign w:val="center"/>
          </w:tcPr>
          <w:p w14:paraId="47339D5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其他非流动金融资产</w:t>
            </w:r>
          </w:p>
        </w:tc>
        <w:tc>
          <w:tcPr>
            <w:tcW w:w="2320" w:type="pct"/>
            <w:vAlign w:val="center"/>
          </w:tcPr>
          <w:p w14:paraId="22287A96"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投资</w:t>
            </w:r>
          </w:p>
        </w:tc>
        <w:tc>
          <w:tcPr>
            <w:tcW w:w="992" w:type="pct"/>
            <w:noWrap/>
            <w:vAlign w:val="center"/>
          </w:tcPr>
          <w:p w14:paraId="05F38DC2"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121.20</w:t>
            </w:r>
          </w:p>
        </w:tc>
      </w:tr>
      <w:tr w:rsidR="00CD798F" w:rsidRPr="00D95B42" w14:paraId="2EA2742A" w14:textId="77777777" w:rsidTr="00214723">
        <w:trPr>
          <w:cantSplit/>
          <w:trHeight w:val="454"/>
          <w:jc w:val="center"/>
        </w:trPr>
        <w:tc>
          <w:tcPr>
            <w:tcW w:w="453" w:type="pct"/>
            <w:vMerge/>
            <w:vAlign w:val="center"/>
          </w:tcPr>
          <w:p w14:paraId="5C223A79" w14:textId="77777777" w:rsidR="00CD798F" w:rsidRPr="00D95B42" w:rsidRDefault="00CD798F" w:rsidP="00214723">
            <w:pPr>
              <w:rPr>
                <w:rFonts w:ascii="Times New Roman" w:hAnsi="Times New Roman"/>
                <w:color w:val="000000"/>
              </w:rPr>
            </w:pPr>
          </w:p>
        </w:tc>
        <w:tc>
          <w:tcPr>
            <w:tcW w:w="1235" w:type="pct"/>
            <w:noWrap/>
            <w:vAlign w:val="center"/>
          </w:tcPr>
          <w:p w14:paraId="282A20D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投资性房地产</w:t>
            </w:r>
          </w:p>
        </w:tc>
        <w:tc>
          <w:tcPr>
            <w:tcW w:w="2320" w:type="pct"/>
            <w:vAlign w:val="center"/>
          </w:tcPr>
          <w:p w14:paraId="733A3BE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出租自有物业</w:t>
            </w:r>
          </w:p>
        </w:tc>
        <w:tc>
          <w:tcPr>
            <w:tcW w:w="992" w:type="pct"/>
            <w:noWrap/>
            <w:vAlign w:val="center"/>
          </w:tcPr>
          <w:p w14:paraId="1C1A0E47"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2,511.32</w:t>
            </w:r>
          </w:p>
        </w:tc>
      </w:tr>
      <w:tr w:rsidR="00CD798F" w:rsidRPr="00D95B42" w14:paraId="209FD547" w14:textId="77777777" w:rsidTr="00214723">
        <w:trPr>
          <w:cantSplit/>
          <w:trHeight w:val="454"/>
          <w:jc w:val="center"/>
        </w:trPr>
        <w:tc>
          <w:tcPr>
            <w:tcW w:w="453" w:type="pct"/>
            <w:vMerge/>
            <w:vAlign w:val="center"/>
          </w:tcPr>
          <w:p w14:paraId="294F35D8" w14:textId="77777777" w:rsidR="00CD798F" w:rsidRPr="00D95B42" w:rsidRDefault="00CD798F" w:rsidP="00214723">
            <w:pPr>
              <w:rPr>
                <w:rFonts w:ascii="Times New Roman" w:hAnsi="Times New Roman"/>
                <w:color w:val="000000"/>
              </w:rPr>
            </w:pPr>
          </w:p>
        </w:tc>
        <w:tc>
          <w:tcPr>
            <w:tcW w:w="1235" w:type="pct"/>
            <w:noWrap/>
            <w:vAlign w:val="center"/>
          </w:tcPr>
          <w:p w14:paraId="5ED156F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递延所得税资产</w:t>
            </w:r>
          </w:p>
        </w:tc>
        <w:tc>
          <w:tcPr>
            <w:tcW w:w="2320" w:type="pct"/>
            <w:vAlign w:val="center"/>
          </w:tcPr>
          <w:p w14:paraId="2003189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资产减值准备、内部交易未实现利润、可抵扣亏损、预提费用、无形资产摊销差异、股份支付等可抵扣暂时性差异</w:t>
            </w:r>
          </w:p>
        </w:tc>
        <w:tc>
          <w:tcPr>
            <w:tcW w:w="992" w:type="pct"/>
            <w:noWrap/>
            <w:vAlign w:val="center"/>
          </w:tcPr>
          <w:p w14:paraId="31D3ACF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13,627.92</w:t>
            </w:r>
          </w:p>
        </w:tc>
      </w:tr>
      <w:tr w:rsidR="00CD798F" w:rsidRPr="00D95B42" w14:paraId="75697792" w14:textId="77777777" w:rsidTr="00214723">
        <w:trPr>
          <w:cantSplit/>
          <w:trHeight w:val="454"/>
          <w:jc w:val="center"/>
        </w:trPr>
        <w:tc>
          <w:tcPr>
            <w:tcW w:w="453" w:type="pct"/>
            <w:vMerge/>
            <w:vAlign w:val="center"/>
          </w:tcPr>
          <w:p w14:paraId="2EC5D232" w14:textId="77777777" w:rsidR="00CD798F" w:rsidRPr="00D95B42" w:rsidRDefault="00CD798F" w:rsidP="00214723">
            <w:pPr>
              <w:rPr>
                <w:rFonts w:ascii="Times New Roman" w:hAnsi="Times New Roman"/>
                <w:color w:val="000000"/>
              </w:rPr>
            </w:pPr>
          </w:p>
        </w:tc>
        <w:tc>
          <w:tcPr>
            <w:tcW w:w="1235" w:type="pct"/>
            <w:noWrap/>
            <w:vAlign w:val="center"/>
          </w:tcPr>
          <w:p w14:paraId="761D93F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其他非流动资产</w:t>
            </w:r>
          </w:p>
        </w:tc>
        <w:tc>
          <w:tcPr>
            <w:tcW w:w="2320" w:type="pct"/>
            <w:vAlign w:val="center"/>
          </w:tcPr>
          <w:p w14:paraId="67C34A38"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拟处置股权、抵账房产、长期存款</w:t>
            </w:r>
          </w:p>
        </w:tc>
        <w:tc>
          <w:tcPr>
            <w:tcW w:w="992" w:type="pct"/>
            <w:noWrap/>
            <w:vAlign w:val="center"/>
          </w:tcPr>
          <w:p w14:paraId="4A03232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3,643.36</w:t>
            </w:r>
          </w:p>
        </w:tc>
      </w:tr>
      <w:tr w:rsidR="00CD798F" w:rsidRPr="00D95B42" w14:paraId="3B1622AA" w14:textId="77777777" w:rsidTr="00214723">
        <w:trPr>
          <w:cantSplit/>
          <w:trHeight w:val="454"/>
          <w:jc w:val="center"/>
        </w:trPr>
        <w:tc>
          <w:tcPr>
            <w:tcW w:w="453" w:type="pct"/>
            <w:vMerge/>
            <w:vAlign w:val="center"/>
          </w:tcPr>
          <w:p w14:paraId="6A1D1067" w14:textId="77777777" w:rsidR="00CD798F" w:rsidRPr="00D95B42" w:rsidRDefault="00CD798F" w:rsidP="00214723">
            <w:pPr>
              <w:rPr>
                <w:rFonts w:ascii="Times New Roman" w:hAnsi="Times New Roman"/>
                <w:color w:val="000000"/>
              </w:rPr>
            </w:pPr>
          </w:p>
        </w:tc>
        <w:tc>
          <w:tcPr>
            <w:tcW w:w="3555" w:type="pct"/>
            <w:gridSpan w:val="2"/>
            <w:noWrap/>
            <w:vAlign w:val="center"/>
          </w:tcPr>
          <w:p w14:paraId="780B1CB3"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小计</w:t>
            </w:r>
          </w:p>
        </w:tc>
        <w:tc>
          <w:tcPr>
            <w:tcW w:w="992" w:type="pct"/>
            <w:noWrap/>
            <w:vAlign w:val="center"/>
          </w:tcPr>
          <w:p w14:paraId="5D5904B3"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48,977.37</w:t>
            </w:r>
          </w:p>
        </w:tc>
      </w:tr>
      <w:tr w:rsidR="00CD798F" w:rsidRPr="00D95B42" w14:paraId="4F75B048" w14:textId="77777777" w:rsidTr="00214723">
        <w:trPr>
          <w:cantSplit/>
          <w:trHeight w:val="454"/>
          <w:jc w:val="center"/>
        </w:trPr>
        <w:tc>
          <w:tcPr>
            <w:tcW w:w="453" w:type="pct"/>
            <w:vMerge w:val="restart"/>
            <w:vAlign w:val="center"/>
          </w:tcPr>
          <w:p w14:paraId="5B3CB337"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非经营性负债</w:t>
            </w:r>
          </w:p>
        </w:tc>
        <w:tc>
          <w:tcPr>
            <w:tcW w:w="1235" w:type="pct"/>
            <w:noWrap/>
            <w:vAlign w:val="center"/>
          </w:tcPr>
          <w:p w14:paraId="42B42E8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其他应付款</w:t>
            </w:r>
          </w:p>
        </w:tc>
        <w:tc>
          <w:tcPr>
            <w:tcW w:w="2320" w:type="pct"/>
            <w:vAlign w:val="center"/>
          </w:tcPr>
          <w:p w14:paraId="156AD4C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股权处置意向金、限制性股票回购义务、工程款、业绩补偿款</w:t>
            </w:r>
          </w:p>
        </w:tc>
        <w:tc>
          <w:tcPr>
            <w:tcW w:w="992" w:type="pct"/>
            <w:noWrap/>
            <w:vAlign w:val="center"/>
          </w:tcPr>
          <w:p w14:paraId="3E72A6C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16,612.37</w:t>
            </w:r>
          </w:p>
        </w:tc>
      </w:tr>
      <w:tr w:rsidR="00CD798F" w:rsidRPr="00D95B42" w14:paraId="7C89D809" w14:textId="77777777" w:rsidTr="00214723">
        <w:trPr>
          <w:cantSplit/>
          <w:trHeight w:val="454"/>
          <w:jc w:val="center"/>
        </w:trPr>
        <w:tc>
          <w:tcPr>
            <w:tcW w:w="453" w:type="pct"/>
            <w:vMerge/>
            <w:vAlign w:val="center"/>
          </w:tcPr>
          <w:p w14:paraId="70F8A1A1" w14:textId="77777777" w:rsidR="00CD798F" w:rsidRPr="00D95B42" w:rsidRDefault="00CD798F" w:rsidP="00214723">
            <w:pPr>
              <w:rPr>
                <w:rFonts w:ascii="Times New Roman" w:hAnsi="Times New Roman"/>
                <w:color w:val="000000"/>
              </w:rPr>
            </w:pPr>
          </w:p>
        </w:tc>
        <w:tc>
          <w:tcPr>
            <w:tcW w:w="1235" w:type="pct"/>
            <w:noWrap/>
            <w:vAlign w:val="center"/>
          </w:tcPr>
          <w:p w14:paraId="0D5D97C6"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长期应付款</w:t>
            </w:r>
          </w:p>
        </w:tc>
        <w:tc>
          <w:tcPr>
            <w:tcW w:w="2320" w:type="pct"/>
            <w:vAlign w:val="center"/>
          </w:tcPr>
          <w:p w14:paraId="5A944B3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人才发展基金</w:t>
            </w:r>
          </w:p>
        </w:tc>
        <w:tc>
          <w:tcPr>
            <w:tcW w:w="992" w:type="pct"/>
            <w:noWrap/>
            <w:vAlign w:val="center"/>
          </w:tcPr>
          <w:p w14:paraId="06155C7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8.33</w:t>
            </w:r>
          </w:p>
        </w:tc>
      </w:tr>
      <w:tr w:rsidR="00CD798F" w:rsidRPr="00D95B42" w14:paraId="0FD65EB7" w14:textId="77777777" w:rsidTr="00214723">
        <w:trPr>
          <w:cantSplit/>
          <w:trHeight w:val="454"/>
          <w:jc w:val="center"/>
        </w:trPr>
        <w:tc>
          <w:tcPr>
            <w:tcW w:w="453" w:type="pct"/>
            <w:vMerge/>
            <w:vAlign w:val="center"/>
          </w:tcPr>
          <w:p w14:paraId="4F31CD0D" w14:textId="77777777" w:rsidR="00CD798F" w:rsidRPr="00D95B42" w:rsidRDefault="00CD798F" w:rsidP="00214723">
            <w:pPr>
              <w:rPr>
                <w:rFonts w:ascii="Times New Roman" w:hAnsi="Times New Roman"/>
                <w:color w:val="000000"/>
              </w:rPr>
            </w:pPr>
          </w:p>
        </w:tc>
        <w:tc>
          <w:tcPr>
            <w:tcW w:w="1235" w:type="pct"/>
            <w:noWrap/>
            <w:vAlign w:val="center"/>
          </w:tcPr>
          <w:p w14:paraId="4494484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递延所得税负债</w:t>
            </w:r>
          </w:p>
        </w:tc>
        <w:tc>
          <w:tcPr>
            <w:tcW w:w="2320" w:type="pct"/>
            <w:vAlign w:val="center"/>
          </w:tcPr>
          <w:p w14:paraId="07A4F25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非同一控制下企业合并评估增值、交易性金融资产公允价值变动等应纳税暂时性差异</w:t>
            </w:r>
          </w:p>
        </w:tc>
        <w:tc>
          <w:tcPr>
            <w:tcW w:w="992" w:type="pct"/>
            <w:noWrap/>
            <w:vAlign w:val="center"/>
          </w:tcPr>
          <w:p w14:paraId="5DF15F0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750.95</w:t>
            </w:r>
          </w:p>
        </w:tc>
      </w:tr>
      <w:tr w:rsidR="00CD798F" w:rsidRPr="00D95B42" w14:paraId="21C5A374" w14:textId="77777777" w:rsidTr="00214723">
        <w:trPr>
          <w:cantSplit/>
          <w:trHeight w:val="454"/>
          <w:jc w:val="center"/>
        </w:trPr>
        <w:tc>
          <w:tcPr>
            <w:tcW w:w="453" w:type="pct"/>
            <w:vMerge/>
            <w:vAlign w:val="center"/>
          </w:tcPr>
          <w:p w14:paraId="2DFC528C" w14:textId="77777777" w:rsidR="00CD798F" w:rsidRPr="00D95B42" w:rsidRDefault="00CD798F" w:rsidP="00214723">
            <w:pPr>
              <w:rPr>
                <w:rFonts w:ascii="Times New Roman" w:hAnsi="Times New Roman"/>
                <w:color w:val="000000"/>
              </w:rPr>
            </w:pPr>
          </w:p>
        </w:tc>
        <w:tc>
          <w:tcPr>
            <w:tcW w:w="3555" w:type="pct"/>
            <w:gridSpan w:val="2"/>
            <w:noWrap/>
            <w:vAlign w:val="center"/>
          </w:tcPr>
          <w:p w14:paraId="43F783F3"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小计</w:t>
            </w:r>
          </w:p>
        </w:tc>
        <w:tc>
          <w:tcPr>
            <w:tcW w:w="992" w:type="pct"/>
            <w:noWrap/>
            <w:vAlign w:val="center"/>
          </w:tcPr>
          <w:p w14:paraId="098DD8DF"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17,371.65</w:t>
            </w:r>
          </w:p>
        </w:tc>
      </w:tr>
      <w:tr w:rsidR="00CD798F" w:rsidRPr="00D95B42" w14:paraId="7C34071E" w14:textId="77777777" w:rsidTr="00214723">
        <w:trPr>
          <w:cantSplit/>
          <w:trHeight w:val="454"/>
          <w:jc w:val="center"/>
        </w:trPr>
        <w:tc>
          <w:tcPr>
            <w:tcW w:w="4008" w:type="pct"/>
            <w:gridSpan w:val="3"/>
            <w:vAlign w:val="center"/>
          </w:tcPr>
          <w:p w14:paraId="361C54B6"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非经营性资产净值</w:t>
            </w:r>
          </w:p>
        </w:tc>
        <w:tc>
          <w:tcPr>
            <w:tcW w:w="992" w:type="pct"/>
            <w:noWrap/>
            <w:vAlign w:val="center"/>
          </w:tcPr>
          <w:p w14:paraId="77EA8D1A"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31,605.72</w:t>
            </w:r>
          </w:p>
        </w:tc>
      </w:tr>
    </w:tbl>
    <w:p w14:paraId="730200A8" w14:textId="77777777" w:rsidR="00CD798F" w:rsidRPr="003B070B" w:rsidRDefault="00CD798F" w:rsidP="00CD798F">
      <w:pPr>
        <w:keepNext/>
        <w:keepLines/>
        <w:spacing w:before="120" w:after="120" w:line="360" w:lineRule="auto"/>
        <w:ind w:firstLine="482"/>
        <w:outlineLvl w:val="3"/>
        <w:rPr>
          <w:rFonts w:ascii="宋体" w:hAnsi="宋体" w:hint="eastAsia"/>
          <w:b/>
          <w:bCs/>
          <w:sz w:val="24"/>
          <w:szCs w:val="24"/>
        </w:rPr>
      </w:pPr>
      <w:r w:rsidRPr="003B070B">
        <w:rPr>
          <w:rFonts w:ascii="宋体" w:hAnsi="宋体" w:hint="eastAsia"/>
          <w:b/>
          <w:bCs/>
          <w:sz w:val="24"/>
          <w:szCs w:val="24"/>
        </w:rPr>
        <w:t>6、调整后企业价值（EV）、货币资金、调整后企业价值（EV）（不含货币资金）</w:t>
      </w:r>
    </w:p>
    <w:p w14:paraId="2EE0297D"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sz w:val="24"/>
          <w:szCs w:val="24"/>
        </w:rPr>
        <w:t>调整后的企业价值（</w:t>
      </w:r>
      <w:r w:rsidRPr="00D95B42">
        <w:rPr>
          <w:rFonts w:ascii="Times New Roman" w:hAnsi="Times New Roman"/>
          <w:sz w:val="24"/>
          <w:szCs w:val="24"/>
        </w:rPr>
        <w:t>EV</w:t>
      </w:r>
      <w:r w:rsidRPr="00D95B42">
        <w:rPr>
          <w:rFonts w:ascii="Times New Roman" w:hAnsi="Times New Roman"/>
          <w:sz w:val="24"/>
          <w:szCs w:val="24"/>
        </w:rPr>
        <w:t>）＝调整前的企业价值－非经营性资产、负债及溢余资产价值</w:t>
      </w:r>
    </w:p>
    <w:p w14:paraId="68A46F02"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sz w:val="24"/>
          <w:szCs w:val="24"/>
        </w:rPr>
        <w:t>调整后的企业价值（</w:t>
      </w:r>
      <w:r w:rsidRPr="00D95B42">
        <w:rPr>
          <w:rFonts w:ascii="Times New Roman" w:hAnsi="Times New Roman"/>
          <w:sz w:val="24"/>
          <w:szCs w:val="24"/>
        </w:rPr>
        <w:t>EV</w:t>
      </w:r>
      <w:r w:rsidRPr="00D95B42">
        <w:rPr>
          <w:rFonts w:ascii="Times New Roman" w:hAnsi="Times New Roman"/>
          <w:sz w:val="24"/>
          <w:szCs w:val="24"/>
        </w:rPr>
        <w:t>）（不含货币资金）＝调整后的企业价值（</w:t>
      </w:r>
      <w:r w:rsidRPr="00D95B42">
        <w:rPr>
          <w:rFonts w:ascii="Times New Roman" w:hAnsi="Times New Roman"/>
          <w:sz w:val="24"/>
          <w:szCs w:val="24"/>
        </w:rPr>
        <w:t>EV</w:t>
      </w:r>
      <w:r w:rsidRPr="00D95B42">
        <w:rPr>
          <w:rFonts w:ascii="Times New Roman" w:hAnsi="Times New Roman"/>
          <w:sz w:val="24"/>
          <w:szCs w:val="24"/>
        </w:rPr>
        <w:t>）－基准日货币资金</w:t>
      </w:r>
    </w:p>
    <w:p w14:paraId="07438E53"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sz w:val="24"/>
          <w:szCs w:val="24"/>
        </w:rPr>
        <w:t>货币资金数据来自可比企业</w:t>
      </w:r>
      <w:r w:rsidRPr="00D95B42">
        <w:rPr>
          <w:rFonts w:ascii="Times New Roman" w:hAnsi="Times New Roman"/>
          <w:sz w:val="24"/>
          <w:szCs w:val="24"/>
        </w:rPr>
        <w:t>2025</w:t>
      </w:r>
      <w:r w:rsidRPr="00D95B42">
        <w:rPr>
          <w:rFonts w:ascii="Times New Roman" w:hAnsi="Times New Roman"/>
          <w:sz w:val="24"/>
          <w:szCs w:val="24"/>
        </w:rPr>
        <w:t>年半年度报告中披露的账面金额。</w:t>
      </w:r>
    </w:p>
    <w:p w14:paraId="45B7BD86" w14:textId="77777777" w:rsidR="00CD798F" w:rsidRPr="003B070B" w:rsidRDefault="00CD798F" w:rsidP="00CD798F">
      <w:pPr>
        <w:keepNext/>
        <w:keepLines/>
        <w:spacing w:before="120" w:after="120" w:line="360" w:lineRule="auto"/>
        <w:ind w:firstLine="482"/>
        <w:outlineLvl w:val="3"/>
        <w:rPr>
          <w:rFonts w:ascii="宋体" w:hAnsi="宋体" w:hint="eastAsia"/>
          <w:b/>
          <w:bCs/>
          <w:sz w:val="24"/>
          <w:szCs w:val="24"/>
        </w:rPr>
      </w:pPr>
      <w:r w:rsidRPr="003B070B">
        <w:rPr>
          <w:rFonts w:ascii="宋体" w:hAnsi="宋体" w:hint="eastAsia"/>
          <w:b/>
          <w:bCs/>
          <w:sz w:val="24"/>
          <w:szCs w:val="24"/>
        </w:rPr>
        <w:t>7、营业收入</w:t>
      </w:r>
    </w:p>
    <w:p w14:paraId="34EEA070"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本次评估采用静态价值比率，故可比企业营业收入均采用</w:t>
      </w:r>
      <w:r w:rsidRPr="00D95B42">
        <w:rPr>
          <w:rFonts w:ascii="Times New Roman" w:hAnsi="Times New Roman" w:hint="eastAsia"/>
          <w:sz w:val="24"/>
          <w:szCs w:val="24"/>
        </w:rPr>
        <w:t>2024</w:t>
      </w:r>
      <w:r w:rsidRPr="00D95B42">
        <w:rPr>
          <w:rFonts w:ascii="Times New Roman" w:hAnsi="Times New Roman" w:hint="eastAsia"/>
          <w:sz w:val="24"/>
          <w:szCs w:val="24"/>
        </w:rPr>
        <w:t>年年度报告披露的营业收入金额。</w:t>
      </w:r>
    </w:p>
    <w:p w14:paraId="418DAB99"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可比企业广联达营业收入中含有部分金融类业务收入（利息收入</w:t>
      </w:r>
      <w:r w:rsidRPr="00D95B42">
        <w:rPr>
          <w:rFonts w:ascii="Times New Roman" w:hAnsi="Times New Roman" w:hint="eastAsia"/>
          <w:sz w:val="24"/>
          <w:szCs w:val="24"/>
        </w:rPr>
        <w:t>+</w:t>
      </w:r>
      <w:r w:rsidRPr="00D95B42">
        <w:rPr>
          <w:rFonts w:ascii="Times New Roman" w:hAnsi="Times New Roman" w:hint="eastAsia"/>
          <w:sz w:val="24"/>
          <w:szCs w:val="24"/>
        </w:rPr>
        <w:t>手续费及佣金收入），该部分收入源于其开展的资金借贷活动，不属于软件与技术服务主业，且计算其企业价值时已将金融业务相关资产（如发放贷款及垫款）作为非经营性资产予以剔除，为确保价值比率的可比性与合理性，在计算其</w:t>
      </w:r>
      <w:r w:rsidRPr="00D95B42">
        <w:rPr>
          <w:rFonts w:ascii="Times New Roman" w:hAnsi="Times New Roman" w:hint="eastAsia"/>
          <w:sz w:val="24"/>
          <w:szCs w:val="24"/>
        </w:rPr>
        <w:t>EV/S</w:t>
      </w:r>
      <w:r w:rsidRPr="00D95B42">
        <w:rPr>
          <w:rFonts w:ascii="Times New Roman" w:hAnsi="Times New Roman" w:hint="eastAsia"/>
          <w:sz w:val="24"/>
          <w:szCs w:val="24"/>
        </w:rPr>
        <w:t>时同步将该等金融类业务收入予以剔除。</w:t>
      </w:r>
    </w:p>
    <w:p w14:paraId="72FCEE49"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可比企业石基信息持有投资性房地产，其营业收入中亦包括出租房屋产生的租赁</w:t>
      </w:r>
      <w:r w:rsidRPr="00D95B42">
        <w:rPr>
          <w:rFonts w:ascii="Times New Roman" w:hAnsi="Times New Roman" w:hint="eastAsia"/>
          <w:sz w:val="24"/>
          <w:szCs w:val="24"/>
        </w:rPr>
        <w:lastRenderedPageBreak/>
        <w:t>收入，鉴于该部分收入源于自有物业出租，属于资产持有型收益，与标的公司“</w:t>
      </w:r>
      <w:r w:rsidRPr="00D95B42">
        <w:rPr>
          <w:rFonts w:ascii="Times New Roman" w:hAnsi="Times New Roman" w:hint="eastAsia"/>
          <w:sz w:val="24"/>
          <w:szCs w:val="24"/>
        </w:rPr>
        <w:t>IoT</w:t>
      </w:r>
      <w:r w:rsidRPr="00D95B42">
        <w:rPr>
          <w:rFonts w:ascii="Times New Roman" w:hAnsi="Times New Roman" w:hint="eastAsia"/>
          <w:sz w:val="24"/>
          <w:szCs w:val="24"/>
        </w:rPr>
        <w:t>智能硬件</w:t>
      </w:r>
      <w:r w:rsidRPr="00D95B42">
        <w:rPr>
          <w:rFonts w:ascii="Times New Roman" w:hAnsi="Times New Roman" w:hint="eastAsia"/>
          <w:sz w:val="24"/>
          <w:szCs w:val="24"/>
        </w:rPr>
        <w:t>+SaaS</w:t>
      </w:r>
      <w:r w:rsidRPr="00D95B42">
        <w:rPr>
          <w:rFonts w:ascii="Times New Roman" w:hAnsi="Times New Roman" w:hint="eastAsia"/>
          <w:sz w:val="24"/>
          <w:szCs w:val="24"/>
        </w:rPr>
        <w:t>云平台”的轻资产、运营驱动型业务模式无实质关联，且计算其企业价值时已将投资性房地产作为非经营性资产予以剔除，为确保价值比率的可比性与合理性，在计算其</w:t>
      </w:r>
      <w:r w:rsidRPr="00D95B42">
        <w:rPr>
          <w:rFonts w:ascii="Times New Roman" w:hAnsi="Times New Roman" w:hint="eastAsia"/>
          <w:sz w:val="24"/>
          <w:szCs w:val="24"/>
        </w:rPr>
        <w:t xml:space="preserve">EV/S </w:t>
      </w:r>
      <w:r w:rsidRPr="00D95B42">
        <w:rPr>
          <w:rFonts w:ascii="Times New Roman" w:hAnsi="Times New Roman" w:hint="eastAsia"/>
          <w:sz w:val="24"/>
          <w:szCs w:val="24"/>
        </w:rPr>
        <w:t>时同步将该等租赁收入予以剔除。</w:t>
      </w:r>
    </w:p>
    <w:p w14:paraId="6C4E6153" w14:textId="77777777" w:rsidR="00CD798F" w:rsidRPr="003B070B" w:rsidRDefault="00CD798F" w:rsidP="00CD798F">
      <w:pPr>
        <w:spacing w:before="120" w:after="120" w:line="360" w:lineRule="auto"/>
        <w:ind w:firstLine="480"/>
        <w:rPr>
          <w:rFonts w:ascii="宋体" w:hAnsi="宋体" w:hint="eastAsia"/>
          <w:sz w:val="24"/>
          <w:szCs w:val="24"/>
        </w:rPr>
      </w:pPr>
      <w:r w:rsidRPr="003B070B">
        <w:rPr>
          <w:rFonts w:ascii="宋体" w:hAnsi="宋体" w:hint="eastAsia"/>
          <w:sz w:val="24"/>
          <w:szCs w:val="24"/>
        </w:rPr>
        <w:t>可比公司调整后的2024年度营业收入如下表所示：</w:t>
      </w:r>
    </w:p>
    <w:p w14:paraId="15F8A245" w14:textId="77777777" w:rsidR="00CD798F" w:rsidRPr="002A2865" w:rsidRDefault="00CD798F" w:rsidP="00CD798F">
      <w:pPr>
        <w:jc w:val="right"/>
        <w:rPr>
          <w:szCs w:val="20"/>
        </w:rPr>
      </w:pPr>
      <w:r w:rsidRPr="002A2865">
        <w:rPr>
          <w:rFonts w:hint="eastAsia"/>
          <w:szCs w:val="20"/>
        </w:rPr>
        <w:t>单位：万元</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984"/>
        <w:gridCol w:w="1587"/>
        <w:gridCol w:w="1745"/>
        <w:gridCol w:w="1745"/>
      </w:tblGrid>
      <w:tr w:rsidR="00CD798F" w:rsidRPr="00D95B42" w14:paraId="4ACC433F" w14:textId="77777777" w:rsidTr="00214723">
        <w:trPr>
          <w:cantSplit/>
          <w:trHeight w:val="454"/>
          <w:tblHeader/>
          <w:jc w:val="center"/>
        </w:trPr>
        <w:tc>
          <w:tcPr>
            <w:tcW w:w="2198" w:type="pct"/>
            <w:noWrap/>
            <w:vAlign w:val="center"/>
          </w:tcPr>
          <w:p w14:paraId="7E75E0F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付息债务</w:t>
            </w:r>
          </w:p>
        </w:tc>
        <w:tc>
          <w:tcPr>
            <w:tcW w:w="876" w:type="pct"/>
            <w:vAlign w:val="center"/>
          </w:tcPr>
          <w:p w14:paraId="0B438061"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映翰通</w:t>
            </w:r>
          </w:p>
        </w:tc>
        <w:tc>
          <w:tcPr>
            <w:tcW w:w="963" w:type="pct"/>
            <w:noWrap/>
            <w:vAlign w:val="center"/>
          </w:tcPr>
          <w:p w14:paraId="37A0C269"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广联达</w:t>
            </w:r>
          </w:p>
        </w:tc>
        <w:tc>
          <w:tcPr>
            <w:tcW w:w="963" w:type="pct"/>
            <w:noWrap/>
            <w:vAlign w:val="center"/>
          </w:tcPr>
          <w:p w14:paraId="2D4F0053"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石基信息</w:t>
            </w:r>
          </w:p>
        </w:tc>
      </w:tr>
      <w:tr w:rsidR="00CD798F" w:rsidRPr="00D95B42" w14:paraId="77837792" w14:textId="77777777" w:rsidTr="00214723">
        <w:trPr>
          <w:cantSplit/>
          <w:trHeight w:val="454"/>
          <w:jc w:val="center"/>
        </w:trPr>
        <w:tc>
          <w:tcPr>
            <w:tcW w:w="2198" w:type="pct"/>
            <w:noWrap/>
            <w:vAlign w:val="center"/>
          </w:tcPr>
          <w:p w14:paraId="193CB296"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营业收入</w:t>
            </w:r>
            <w:r w:rsidRPr="00D95B42">
              <w:rPr>
                <w:rFonts w:ascii="Times New Roman" w:hAnsi="Times New Roman"/>
                <w:color w:val="000000"/>
              </w:rPr>
              <w:t>-2024</w:t>
            </w:r>
            <w:r w:rsidRPr="00D95B42">
              <w:rPr>
                <w:rFonts w:ascii="Times New Roman" w:hAnsi="Times New Roman"/>
                <w:color w:val="000000"/>
              </w:rPr>
              <w:t>年度</w:t>
            </w:r>
          </w:p>
        </w:tc>
        <w:tc>
          <w:tcPr>
            <w:tcW w:w="876" w:type="pct"/>
            <w:vAlign w:val="center"/>
          </w:tcPr>
          <w:p w14:paraId="489BF125"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61,173.62</w:t>
            </w:r>
          </w:p>
        </w:tc>
        <w:tc>
          <w:tcPr>
            <w:tcW w:w="963" w:type="pct"/>
            <w:noWrap/>
            <w:vAlign w:val="center"/>
          </w:tcPr>
          <w:p w14:paraId="217EEB50"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623,962.35</w:t>
            </w:r>
          </w:p>
        </w:tc>
        <w:tc>
          <w:tcPr>
            <w:tcW w:w="963" w:type="pct"/>
            <w:noWrap/>
            <w:vAlign w:val="center"/>
          </w:tcPr>
          <w:p w14:paraId="1D1631D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294,731.99</w:t>
            </w:r>
          </w:p>
        </w:tc>
      </w:tr>
      <w:tr w:rsidR="00CD798F" w:rsidRPr="00D95B42" w14:paraId="30B8C3AB" w14:textId="77777777" w:rsidTr="00214723">
        <w:trPr>
          <w:cantSplit/>
          <w:trHeight w:val="454"/>
          <w:jc w:val="center"/>
        </w:trPr>
        <w:tc>
          <w:tcPr>
            <w:tcW w:w="2198" w:type="pct"/>
            <w:noWrap/>
            <w:vAlign w:val="center"/>
          </w:tcPr>
          <w:p w14:paraId="098F1427"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剔除：非经营性收入</w:t>
            </w:r>
          </w:p>
        </w:tc>
        <w:tc>
          <w:tcPr>
            <w:tcW w:w="876" w:type="pct"/>
            <w:vAlign w:val="center"/>
          </w:tcPr>
          <w:p w14:paraId="5104D63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w:t>
            </w:r>
          </w:p>
        </w:tc>
        <w:tc>
          <w:tcPr>
            <w:tcW w:w="963" w:type="pct"/>
            <w:noWrap/>
            <w:vAlign w:val="center"/>
          </w:tcPr>
          <w:p w14:paraId="419BB33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3,674.95</w:t>
            </w:r>
          </w:p>
        </w:tc>
        <w:tc>
          <w:tcPr>
            <w:tcW w:w="963" w:type="pct"/>
            <w:noWrap/>
            <w:vAlign w:val="center"/>
          </w:tcPr>
          <w:p w14:paraId="0D37CCCE"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1,345.83</w:t>
            </w:r>
          </w:p>
        </w:tc>
      </w:tr>
      <w:tr w:rsidR="00CD798F" w:rsidRPr="00D95B42" w14:paraId="7C909166" w14:textId="77777777" w:rsidTr="00214723">
        <w:trPr>
          <w:cantSplit/>
          <w:trHeight w:val="454"/>
          <w:jc w:val="center"/>
        </w:trPr>
        <w:tc>
          <w:tcPr>
            <w:tcW w:w="2198" w:type="pct"/>
            <w:noWrap/>
            <w:vAlign w:val="center"/>
          </w:tcPr>
          <w:p w14:paraId="3B373FE1" w14:textId="77777777" w:rsidR="00CD798F" w:rsidRPr="00D95B42" w:rsidRDefault="00CD798F" w:rsidP="00214723">
            <w:pPr>
              <w:jc w:val="center"/>
              <w:rPr>
                <w:rFonts w:ascii="Times New Roman" w:hAnsi="Times New Roman"/>
                <w:b/>
                <w:bCs/>
                <w:color w:val="000000"/>
              </w:rPr>
            </w:pPr>
            <w:r w:rsidRPr="00D95B42">
              <w:rPr>
                <w:rFonts w:ascii="Times New Roman" w:hAnsi="Times New Roman"/>
                <w:b/>
                <w:bCs/>
                <w:color w:val="000000"/>
              </w:rPr>
              <w:t>经营性营业收入</w:t>
            </w:r>
            <w:r w:rsidRPr="00D95B42">
              <w:rPr>
                <w:rFonts w:ascii="Times New Roman" w:hAnsi="Times New Roman"/>
                <w:b/>
                <w:bCs/>
                <w:color w:val="000000"/>
              </w:rPr>
              <w:t>-2024</w:t>
            </w:r>
            <w:r w:rsidRPr="00D95B42">
              <w:rPr>
                <w:rFonts w:ascii="Times New Roman" w:hAnsi="Times New Roman"/>
                <w:b/>
                <w:bCs/>
                <w:color w:val="000000"/>
              </w:rPr>
              <w:t>年度</w:t>
            </w:r>
          </w:p>
        </w:tc>
        <w:tc>
          <w:tcPr>
            <w:tcW w:w="876" w:type="pct"/>
            <w:vAlign w:val="center"/>
          </w:tcPr>
          <w:p w14:paraId="519A5C86"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61,173.62</w:t>
            </w:r>
          </w:p>
        </w:tc>
        <w:tc>
          <w:tcPr>
            <w:tcW w:w="963" w:type="pct"/>
            <w:noWrap/>
            <w:vAlign w:val="center"/>
          </w:tcPr>
          <w:p w14:paraId="29DC6CF4"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620,287.40</w:t>
            </w:r>
          </w:p>
        </w:tc>
        <w:tc>
          <w:tcPr>
            <w:tcW w:w="963" w:type="pct"/>
            <w:noWrap/>
            <w:vAlign w:val="center"/>
          </w:tcPr>
          <w:p w14:paraId="084C922E" w14:textId="77777777" w:rsidR="00CD798F" w:rsidRPr="00D95B42" w:rsidRDefault="00CD798F" w:rsidP="00214723">
            <w:pPr>
              <w:jc w:val="right"/>
              <w:rPr>
                <w:rFonts w:ascii="Times New Roman" w:hAnsi="Times New Roman"/>
                <w:b/>
                <w:bCs/>
                <w:color w:val="000000"/>
              </w:rPr>
            </w:pPr>
            <w:r w:rsidRPr="00D95B42">
              <w:rPr>
                <w:rFonts w:ascii="Times New Roman" w:hAnsi="Times New Roman"/>
                <w:b/>
                <w:bCs/>
                <w:color w:val="000000"/>
              </w:rPr>
              <w:t>293,386.16</w:t>
            </w:r>
          </w:p>
        </w:tc>
      </w:tr>
    </w:tbl>
    <w:p w14:paraId="5126FA14" w14:textId="77777777" w:rsidR="00CD798F" w:rsidRPr="003B070B" w:rsidRDefault="00CD798F" w:rsidP="00CD798F">
      <w:pPr>
        <w:keepNext/>
        <w:keepLines/>
        <w:spacing w:before="120" w:after="120" w:line="360" w:lineRule="auto"/>
        <w:ind w:firstLine="482"/>
        <w:outlineLvl w:val="1"/>
        <w:rPr>
          <w:rFonts w:ascii="宋体" w:hAnsi="宋体" w:hint="eastAsia"/>
          <w:b/>
          <w:bCs/>
          <w:sz w:val="24"/>
          <w:szCs w:val="24"/>
        </w:rPr>
      </w:pPr>
      <w:r w:rsidRPr="003B070B">
        <w:rPr>
          <w:rFonts w:ascii="宋体" w:hAnsi="宋体" w:hint="eastAsia"/>
          <w:b/>
          <w:bCs/>
          <w:sz w:val="24"/>
          <w:szCs w:val="24"/>
        </w:rPr>
        <w:t>四</w:t>
      </w:r>
      <w:r w:rsidRPr="003B070B">
        <w:rPr>
          <w:rFonts w:ascii="宋体" w:hAnsi="宋体"/>
          <w:b/>
          <w:bCs/>
          <w:sz w:val="24"/>
          <w:szCs w:val="24"/>
        </w:rPr>
        <w:t>、</w:t>
      </w:r>
      <w:r w:rsidRPr="003B070B">
        <w:rPr>
          <w:rFonts w:ascii="宋体" w:hAnsi="宋体" w:hint="eastAsia"/>
          <w:b/>
          <w:bCs/>
          <w:sz w:val="24"/>
          <w:szCs w:val="24"/>
        </w:rPr>
        <w:t>价值比率修正过程中各维度及对应财务指标选取原因、选取依据及合理性，是否能充分体现不同公司的企业价值之间的核心差异，各可比公司调整后EV/S指标存在差异的原因及合理性等。</w:t>
      </w:r>
    </w:p>
    <w:p w14:paraId="5F54AD33" w14:textId="77777777" w:rsidR="00CD798F" w:rsidRPr="003B070B" w:rsidRDefault="00CD798F" w:rsidP="00CD798F">
      <w:pPr>
        <w:keepNext/>
        <w:keepLines/>
        <w:spacing w:before="120" w:after="120" w:line="360" w:lineRule="auto"/>
        <w:ind w:firstLine="482"/>
        <w:outlineLvl w:val="2"/>
        <w:rPr>
          <w:rFonts w:ascii="宋体" w:hAnsi="宋体" w:hint="eastAsia"/>
          <w:b/>
          <w:bCs/>
          <w:sz w:val="24"/>
          <w:szCs w:val="24"/>
        </w:rPr>
      </w:pPr>
      <w:r w:rsidRPr="003B070B">
        <w:rPr>
          <w:rFonts w:ascii="宋体" w:hAnsi="宋体"/>
          <w:b/>
          <w:bCs/>
          <w:sz w:val="24"/>
          <w:szCs w:val="24"/>
        </w:rPr>
        <w:t>（一）</w:t>
      </w:r>
      <w:r w:rsidRPr="003B070B">
        <w:rPr>
          <w:rFonts w:ascii="宋体" w:hAnsi="宋体" w:hint="eastAsia"/>
          <w:b/>
          <w:bCs/>
          <w:sz w:val="24"/>
          <w:szCs w:val="24"/>
        </w:rPr>
        <w:t>价值比率修正维度及对应财务指标选取原因、选取依据及和合理性，能够充分体现不同公司的企业价值之间的核心差异</w:t>
      </w:r>
    </w:p>
    <w:p w14:paraId="4E8578DC" w14:textId="77777777" w:rsidR="00CD798F" w:rsidRPr="003B070B" w:rsidRDefault="00CD798F" w:rsidP="00CD798F">
      <w:pPr>
        <w:keepNext/>
        <w:keepLines/>
        <w:spacing w:before="120" w:after="120" w:line="360" w:lineRule="auto"/>
        <w:ind w:firstLine="482"/>
        <w:outlineLvl w:val="3"/>
        <w:rPr>
          <w:rFonts w:ascii="宋体" w:hAnsi="宋体" w:hint="eastAsia"/>
          <w:b/>
          <w:bCs/>
          <w:sz w:val="24"/>
          <w:szCs w:val="24"/>
        </w:rPr>
      </w:pPr>
      <w:r w:rsidRPr="003B070B">
        <w:rPr>
          <w:rFonts w:ascii="宋体" w:hAnsi="宋体"/>
          <w:b/>
          <w:bCs/>
          <w:sz w:val="24"/>
          <w:szCs w:val="24"/>
        </w:rPr>
        <w:t>1、</w:t>
      </w:r>
      <w:r w:rsidRPr="003B070B">
        <w:rPr>
          <w:rFonts w:ascii="宋体" w:hAnsi="宋体" w:hint="eastAsia"/>
          <w:b/>
          <w:bCs/>
          <w:sz w:val="24"/>
          <w:szCs w:val="24"/>
        </w:rPr>
        <w:t>修正体系及对应财务指标的选取依据</w:t>
      </w:r>
    </w:p>
    <w:p w14:paraId="717A6902"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根据《资产评估执业准则——企业价值》中第三十四条，价值比率通常包括盈利比率、资产比率、收入比率和其他特定比率。在选择、计算、应用价值比率时，应当考虑：（一）选择的价值比率有利于合理确定评估对象的价值；（二）计算价值比率的数据口径及计算方式一致；（三）对可比公司和标的公司间的差异进行合理调整。本次市场法评估按照准则要求，依据标的公司及可比公司所属细分行业的特点，主要从企业规模、成长能力、盈利能力、运营能力、偿债能力、研发能力六个方面对可比企业与标的公司比较，并对价值比率进行修正。选取的修正维度及对应财务指标，选取原因及合理性如下：</w:t>
      </w:r>
    </w:p>
    <w:tbl>
      <w:tblPr>
        <w:tblW w:w="5000" w:type="pct"/>
        <w:jc w:val="center"/>
        <w:tblBorders>
          <w:top w:val="thinThickSmallGap" w:sz="24" w:space="0" w:color="auto"/>
          <w:left w:val="single" w:sz="4" w:space="0" w:color="auto"/>
          <w:bottom w:val="thickThin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3557"/>
        <w:gridCol w:w="5504"/>
      </w:tblGrid>
      <w:tr w:rsidR="00CD798F" w:rsidRPr="00D95B42" w14:paraId="5EEF8262" w14:textId="77777777" w:rsidTr="00214723">
        <w:trPr>
          <w:trHeight w:val="397"/>
          <w:tblHeader/>
          <w:jc w:val="center"/>
        </w:trPr>
        <w:tc>
          <w:tcPr>
            <w:tcW w:w="1963" w:type="pct"/>
            <w:shd w:val="clear" w:color="000000" w:fill="FFFFFF"/>
            <w:tcMar>
              <w:top w:w="0" w:type="dxa"/>
              <w:left w:w="108" w:type="dxa"/>
              <w:bottom w:w="0" w:type="dxa"/>
              <w:right w:w="108" w:type="dxa"/>
            </w:tcMar>
            <w:vAlign w:val="center"/>
          </w:tcPr>
          <w:p w14:paraId="001B70CF"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lastRenderedPageBreak/>
              <w:t>修正维度</w:t>
            </w:r>
          </w:p>
        </w:tc>
        <w:tc>
          <w:tcPr>
            <w:tcW w:w="3037" w:type="pct"/>
            <w:shd w:val="clear" w:color="000000" w:fill="FFFFFF"/>
            <w:tcMar>
              <w:top w:w="0" w:type="dxa"/>
              <w:left w:w="108" w:type="dxa"/>
              <w:bottom w:w="0" w:type="dxa"/>
              <w:right w:w="108" w:type="dxa"/>
            </w:tcMar>
            <w:vAlign w:val="center"/>
          </w:tcPr>
          <w:p w14:paraId="37C36B13" w14:textId="77777777" w:rsidR="00CD798F" w:rsidRPr="00D95B42" w:rsidRDefault="00CD798F" w:rsidP="00214723">
            <w:pPr>
              <w:jc w:val="center"/>
              <w:rPr>
                <w:rFonts w:ascii="Times New Roman" w:hAnsi="Times New Roman"/>
                <w:b/>
                <w:bCs/>
                <w:szCs w:val="21"/>
              </w:rPr>
            </w:pPr>
            <w:r w:rsidRPr="00D95B42">
              <w:rPr>
                <w:rFonts w:ascii="Times New Roman" w:hAnsi="Times New Roman"/>
                <w:b/>
                <w:bCs/>
                <w:szCs w:val="21"/>
              </w:rPr>
              <w:t>修正指标</w:t>
            </w:r>
          </w:p>
        </w:tc>
      </w:tr>
      <w:tr w:rsidR="00CD798F" w:rsidRPr="00D95B42" w14:paraId="7304B5C0" w14:textId="77777777" w:rsidTr="00214723">
        <w:trPr>
          <w:trHeight w:val="397"/>
          <w:jc w:val="center"/>
        </w:trPr>
        <w:tc>
          <w:tcPr>
            <w:tcW w:w="1963" w:type="pct"/>
            <w:shd w:val="clear" w:color="000000" w:fill="FFFFFF"/>
            <w:tcMar>
              <w:top w:w="0" w:type="dxa"/>
              <w:left w:w="108" w:type="dxa"/>
              <w:bottom w:w="0" w:type="dxa"/>
              <w:right w:w="108" w:type="dxa"/>
            </w:tcMar>
            <w:vAlign w:val="center"/>
          </w:tcPr>
          <w:p w14:paraId="2569C098"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企业规模</w:t>
            </w:r>
          </w:p>
        </w:tc>
        <w:tc>
          <w:tcPr>
            <w:tcW w:w="3037" w:type="pct"/>
            <w:shd w:val="clear" w:color="000000" w:fill="FFFFFF"/>
            <w:tcMar>
              <w:top w:w="0" w:type="dxa"/>
              <w:left w:w="108" w:type="dxa"/>
              <w:bottom w:w="0" w:type="dxa"/>
              <w:right w:w="108" w:type="dxa"/>
            </w:tcMar>
            <w:vAlign w:val="center"/>
          </w:tcPr>
          <w:p w14:paraId="650E5CA3"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资产总额（亿元）</w:t>
            </w:r>
          </w:p>
        </w:tc>
      </w:tr>
      <w:tr w:rsidR="00CD798F" w:rsidRPr="00D95B42" w14:paraId="7472B1E9" w14:textId="77777777" w:rsidTr="00214723">
        <w:trPr>
          <w:trHeight w:val="397"/>
          <w:jc w:val="center"/>
        </w:trPr>
        <w:tc>
          <w:tcPr>
            <w:tcW w:w="1963" w:type="pct"/>
            <w:shd w:val="clear" w:color="000000" w:fill="FFFFFF"/>
            <w:tcMar>
              <w:top w:w="0" w:type="dxa"/>
              <w:left w:w="108" w:type="dxa"/>
              <w:bottom w:w="0" w:type="dxa"/>
              <w:right w:w="108" w:type="dxa"/>
            </w:tcMar>
            <w:vAlign w:val="center"/>
          </w:tcPr>
          <w:p w14:paraId="16BD6D1B"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成长能力</w:t>
            </w:r>
          </w:p>
        </w:tc>
        <w:tc>
          <w:tcPr>
            <w:tcW w:w="3037" w:type="pct"/>
            <w:shd w:val="clear" w:color="000000" w:fill="FFFFFF"/>
            <w:tcMar>
              <w:top w:w="0" w:type="dxa"/>
              <w:left w:w="108" w:type="dxa"/>
              <w:bottom w:w="0" w:type="dxa"/>
              <w:right w:w="108" w:type="dxa"/>
            </w:tcMar>
            <w:vAlign w:val="center"/>
          </w:tcPr>
          <w:p w14:paraId="7C0F5D14"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收入复合增长率（</w:t>
            </w:r>
            <w:r w:rsidRPr="00D95B42">
              <w:rPr>
                <w:rFonts w:ascii="Times New Roman" w:hAnsi="Times New Roman"/>
                <w:szCs w:val="21"/>
              </w:rPr>
              <w:t>%</w:t>
            </w:r>
            <w:r w:rsidRPr="00D95B42">
              <w:rPr>
                <w:rFonts w:ascii="Times New Roman" w:hAnsi="Times New Roman"/>
                <w:szCs w:val="21"/>
              </w:rPr>
              <w:t>）</w:t>
            </w:r>
          </w:p>
        </w:tc>
      </w:tr>
      <w:tr w:rsidR="00CD798F" w:rsidRPr="00D95B42" w14:paraId="1FC64CA4" w14:textId="77777777" w:rsidTr="00214723">
        <w:trPr>
          <w:trHeight w:val="397"/>
          <w:jc w:val="center"/>
        </w:trPr>
        <w:tc>
          <w:tcPr>
            <w:tcW w:w="1963" w:type="pct"/>
            <w:shd w:val="clear" w:color="000000" w:fill="FFFFFF"/>
            <w:tcMar>
              <w:top w:w="0" w:type="dxa"/>
              <w:left w:w="108" w:type="dxa"/>
              <w:bottom w:w="0" w:type="dxa"/>
              <w:right w:w="108" w:type="dxa"/>
            </w:tcMar>
            <w:vAlign w:val="center"/>
          </w:tcPr>
          <w:p w14:paraId="6F203C57"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盈利能力</w:t>
            </w:r>
          </w:p>
        </w:tc>
        <w:tc>
          <w:tcPr>
            <w:tcW w:w="3037" w:type="pct"/>
            <w:shd w:val="clear" w:color="000000" w:fill="FFFFFF"/>
            <w:tcMar>
              <w:top w:w="0" w:type="dxa"/>
              <w:left w:w="108" w:type="dxa"/>
              <w:bottom w:w="0" w:type="dxa"/>
              <w:right w:w="108" w:type="dxa"/>
            </w:tcMar>
            <w:vAlign w:val="center"/>
          </w:tcPr>
          <w:p w14:paraId="42B7C9D2"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EBITDA/Sales</w:t>
            </w:r>
            <w:r w:rsidRPr="00D95B42">
              <w:rPr>
                <w:rFonts w:ascii="Times New Roman" w:hAnsi="Times New Roman"/>
                <w:szCs w:val="21"/>
              </w:rPr>
              <w:t>（</w:t>
            </w:r>
            <w:r w:rsidRPr="00D95B42">
              <w:rPr>
                <w:rFonts w:ascii="Times New Roman" w:hAnsi="Times New Roman"/>
                <w:szCs w:val="21"/>
              </w:rPr>
              <w:t>%</w:t>
            </w:r>
            <w:r w:rsidRPr="00D95B42">
              <w:rPr>
                <w:rFonts w:ascii="Times New Roman" w:hAnsi="Times New Roman"/>
                <w:szCs w:val="21"/>
              </w:rPr>
              <w:t>）</w:t>
            </w:r>
          </w:p>
        </w:tc>
      </w:tr>
      <w:tr w:rsidR="00CD798F" w:rsidRPr="00D95B42" w14:paraId="7795DADB" w14:textId="77777777" w:rsidTr="00214723">
        <w:trPr>
          <w:trHeight w:val="397"/>
          <w:jc w:val="center"/>
        </w:trPr>
        <w:tc>
          <w:tcPr>
            <w:tcW w:w="1963" w:type="pct"/>
            <w:shd w:val="clear" w:color="000000" w:fill="FFFFFF"/>
            <w:tcMar>
              <w:top w:w="0" w:type="dxa"/>
              <w:left w:w="108" w:type="dxa"/>
              <w:bottom w:w="0" w:type="dxa"/>
              <w:right w:w="108" w:type="dxa"/>
            </w:tcMar>
            <w:vAlign w:val="center"/>
          </w:tcPr>
          <w:p w14:paraId="1576F0C5"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运营能力</w:t>
            </w:r>
          </w:p>
        </w:tc>
        <w:tc>
          <w:tcPr>
            <w:tcW w:w="3037" w:type="pct"/>
            <w:shd w:val="clear" w:color="000000" w:fill="FFFFFF"/>
            <w:tcMar>
              <w:top w:w="0" w:type="dxa"/>
              <w:left w:w="108" w:type="dxa"/>
              <w:bottom w:w="0" w:type="dxa"/>
              <w:right w:w="108" w:type="dxa"/>
            </w:tcMar>
            <w:vAlign w:val="center"/>
          </w:tcPr>
          <w:p w14:paraId="0EFF6A18"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总资产周转率（次）</w:t>
            </w:r>
          </w:p>
        </w:tc>
      </w:tr>
      <w:tr w:rsidR="00CD798F" w:rsidRPr="00D95B42" w14:paraId="2DCB24B7" w14:textId="77777777" w:rsidTr="00214723">
        <w:trPr>
          <w:trHeight w:val="397"/>
          <w:jc w:val="center"/>
        </w:trPr>
        <w:tc>
          <w:tcPr>
            <w:tcW w:w="1963" w:type="pct"/>
            <w:shd w:val="clear" w:color="000000" w:fill="FFFFFF"/>
            <w:tcMar>
              <w:top w:w="0" w:type="dxa"/>
              <w:left w:w="108" w:type="dxa"/>
              <w:bottom w:w="0" w:type="dxa"/>
              <w:right w:w="108" w:type="dxa"/>
            </w:tcMar>
            <w:vAlign w:val="center"/>
          </w:tcPr>
          <w:p w14:paraId="4AF9EFFB"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偿债能力</w:t>
            </w:r>
          </w:p>
        </w:tc>
        <w:tc>
          <w:tcPr>
            <w:tcW w:w="3037" w:type="pct"/>
            <w:shd w:val="clear" w:color="000000" w:fill="FFFFFF"/>
            <w:tcMar>
              <w:top w:w="0" w:type="dxa"/>
              <w:left w:w="108" w:type="dxa"/>
              <w:bottom w:w="0" w:type="dxa"/>
              <w:right w:w="108" w:type="dxa"/>
            </w:tcMar>
            <w:vAlign w:val="center"/>
          </w:tcPr>
          <w:p w14:paraId="717843BA"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资产负债率（</w:t>
            </w:r>
            <w:r w:rsidRPr="00D95B42">
              <w:rPr>
                <w:rFonts w:ascii="Times New Roman" w:hAnsi="Times New Roman"/>
                <w:szCs w:val="21"/>
              </w:rPr>
              <w:t>%</w:t>
            </w:r>
            <w:r w:rsidRPr="00D95B42">
              <w:rPr>
                <w:rFonts w:ascii="Times New Roman" w:hAnsi="Times New Roman"/>
                <w:szCs w:val="21"/>
              </w:rPr>
              <w:t>）</w:t>
            </w:r>
          </w:p>
        </w:tc>
      </w:tr>
      <w:tr w:rsidR="00CD798F" w:rsidRPr="00D95B42" w14:paraId="2CD75062" w14:textId="77777777" w:rsidTr="00214723">
        <w:trPr>
          <w:trHeight w:val="397"/>
          <w:jc w:val="center"/>
        </w:trPr>
        <w:tc>
          <w:tcPr>
            <w:tcW w:w="1963" w:type="pct"/>
            <w:shd w:val="clear" w:color="000000" w:fill="FFFFFF"/>
            <w:tcMar>
              <w:top w:w="0" w:type="dxa"/>
              <w:left w:w="108" w:type="dxa"/>
              <w:bottom w:w="0" w:type="dxa"/>
              <w:right w:w="108" w:type="dxa"/>
            </w:tcMar>
            <w:vAlign w:val="center"/>
          </w:tcPr>
          <w:p w14:paraId="654C5AEB"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研发能力</w:t>
            </w:r>
          </w:p>
        </w:tc>
        <w:tc>
          <w:tcPr>
            <w:tcW w:w="3037" w:type="pct"/>
            <w:shd w:val="clear" w:color="000000" w:fill="FFFFFF"/>
            <w:tcMar>
              <w:top w:w="0" w:type="dxa"/>
              <w:left w:w="108" w:type="dxa"/>
              <w:bottom w:w="0" w:type="dxa"/>
              <w:right w:w="108" w:type="dxa"/>
            </w:tcMar>
            <w:vAlign w:val="center"/>
          </w:tcPr>
          <w:p w14:paraId="3D48CC6D" w14:textId="77777777" w:rsidR="00CD798F" w:rsidRPr="00D95B42" w:rsidRDefault="00CD798F" w:rsidP="00214723">
            <w:pPr>
              <w:jc w:val="center"/>
              <w:rPr>
                <w:rFonts w:ascii="Times New Roman" w:hAnsi="Times New Roman"/>
                <w:szCs w:val="21"/>
              </w:rPr>
            </w:pPr>
            <w:r w:rsidRPr="00D95B42">
              <w:rPr>
                <w:rFonts w:ascii="Times New Roman" w:hAnsi="Times New Roman"/>
                <w:szCs w:val="21"/>
              </w:rPr>
              <w:t>研发投入占比（</w:t>
            </w:r>
            <w:r w:rsidRPr="00D95B42">
              <w:rPr>
                <w:rFonts w:ascii="Times New Roman" w:hAnsi="Times New Roman"/>
                <w:szCs w:val="21"/>
              </w:rPr>
              <w:t>%</w:t>
            </w:r>
            <w:r w:rsidRPr="00D95B42">
              <w:rPr>
                <w:rFonts w:ascii="Times New Roman" w:hAnsi="Times New Roman"/>
                <w:szCs w:val="21"/>
              </w:rPr>
              <w:t>）</w:t>
            </w:r>
          </w:p>
        </w:tc>
      </w:tr>
    </w:tbl>
    <w:p w14:paraId="5B3390D3"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w:t>
      </w:r>
      <w:r w:rsidRPr="00D95B42">
        <w:rPr>
          <w:rFonts w:ascii="Times New Roman" w:hAnsi="Times New Roman"/>
          <w:sz w:val="24"/>
          <w:szCs w:val="24"/>
        </w:rPr>
        <w:t>1</w:t>
      </w:r>
      <w:r w:rsidRPr="00D95B42">
        <w:rPr>
          <w:rFonts w:ascii="Times New Roman" w:hAnsi="Times New Roman" w:hint="eastAsia"/>
          <w:sz w:val="24"/>
          <w:szCs w:val="24"/>
        </w:rPr>
        <w:t>）企业规模修正</w:t>
      </w:r>
    </w:p>
    <w:p w14:paraId="6447C498"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企业规模是企业资产体量的大小，一般来说体量越大，整体市值越高。故本次按照总资产规模进行修正。总资产规模的修正是正向的，即总资产规模越大，则向上修正；反之则向下修正。</w:t>
      </w:r>
    </w:p>
    <w:p w14:paraId="304DE22C"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w:t>
      </w:r>
      <w:r w:rsidRPr="00D95B42">
        <w:rPr>
          <w:rFonts w:ascii="Times New Roman" w:hAnsi="Times New Roman"/>
          <w:sz w:val="24"/>
          <w:szCs w:val="24"/>
        </w:rPr>
        <w:t>2</w:t>
      </w:r>
      <w:r w:rsidRPr="00D95B42">
        <w:rPr>
          <w:rFonts w:ascii="Times New Roman" w:hAnsi="Times New Roman" w:hint="eastAsia"/>
          <w:sz w:val="24"/>
          <w:szCs w:val="24"/>
        </w:rPr>
        <w:t>）成长能力修正</w:t>
      </w:r>
    </w:p>
    <w:p w14:paraId="36EA7B7D"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成长能力是衡量企业未来发展的能力，一般来说成长速度越快，整体市值越高。成长能力指标包括营业收入增长率，净利润增长率等。收入复合增长率的修正是正向的，即收入复合增长率越高，则向上修正；反之则向下修正。</w:t>
      </w:r>
    </w:p>
    <w:p w14:paraId="5C904B84"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w:t>
      </w:r>
      <w:r w:rsidRPr="00D95B42">
        <w:rPr>
          <w:rFonts w:ascii="Times New Roman" w:hAnsi="Times New Roman"/>
          <w:sz w:val="24"/>
          <w:szCs w:val="24"/>
        </w:rPr>
        <w:t>3</w:t>
      </w:r>
      <w:r w:rsidRPr="00D95B42">
        <w:rPr>
          <w:rFonts w:ascii="Times New Roman" w:hAnsi="Times New Roman" w:hint="eastAsia"/>
          <w:sz w:val="24"/>
          <w:szCs w:val="24"/>
        </w:rPr>
        <w:t>）盈利能力修正</w:t>
      </w:r>
    </w:p>
    <w:p w14:paraId="26ADF061"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盈利能力是指企业获取利润的能力，也称为企业的资金或资本增值能力，通常表现为一定时期内企业收益数额的多少及其水平的高低。本次评估选用剔除折旧摊销的息税前利润占收入比率指标进行修正。该指标的修正是正向的，即剔除折旧摊销的息税前利润占收入比率越大，则向上修正，反之则向下修正。</w:t>
      </w:r>
    </w:p>
    <w:p w14:paraId="79EB8284"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w:t>
      </w:r>
      <w:r w:rsidRPr="00D95B42">
        <w:rPr>
          <w:rFonts w:ascii="Times New Roman" w:hAnsi="Times New Roman"/>
          <w:sz w:val="24"/>
          <w:szCs w:val="24"/>
        </w:rPr>
        <w:t>4</w:t>
      </w:r>
      <w:r w:rsidRPr="00D95B42">
        <w:rPr>
          <w:rFonts w:ascii="Times New Roman" w:hAnsi="Times New Roman" w:hint="eastAsia"/>
          <w:sz w:val="24"/>
          <w:szCs w:val="24"/>
        </w:rPr>
        <w:t>）运营能力修正</w:t>
      </w:r>
    </w:p>
    <w:p w14:paraId="5AFAF484"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运营能力是指企业基于外部市场环境的约束，通过内部人力资源和生产资料的配置组合而对财务目标实现所产生作用的大小。本次评估选取总资产周转率作为可比指标进行修正。企业资产周转越快，流动性越高，资产获取利润的速度就越快。</w:t>
      </w:r>
    </w:p>
    <w:p w14:paraId="688361D0"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w:t>
      </w:r>
      <w:r w:rsidRPr="00D95B42">
        <w:rPr>
          <w:rFonts w:ascii="Times New Roman" w:hAnsi="Times New Roman"/>
          <w:sz w:val="24"/>
          <w:szCs w:val="24"/>
        </w:rPr>
        <w:t>5</w:t>
      </w:r>
      <w:r w:rsidRPr="00D95B42">
        <w:rPr>
          <w:rFonts w:ascii="Times New Roman" w:hAnsi="Times New Roman" w:hint="eastAsia"/>
          <w:sz w:val="24"/>
          <w:szCs w:val="24"/>
        </w:rPr>
        <w:t>）偿债能力修正</w:t>
      </w:r>
    </w:p>
    <w:p w14:paraId="134C5E0E"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lastRenderedPageBreak/>
        <w:t>企业的偿债能力是指企业用其资产偿还长期债务与短期债务的能力，是企业能否健康生存和发展的关键，反映企业财务状况和经营风险的重要标志。本次评估选取资产负债率进行修正。资产负债率修正的方向是反向的，即资产负债率越低，代表企业经营风险越小，则向上修正；反之则向下修正。</w:t>
      </w:r>
    </w:p>
    <w:p w14:paraId="73C0EB5E"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w:t>
      </w:r>
      <w:r w:rsidRPr="00D95B42">
        <w:rPr>
          <w:rFonts w:ascii="Times New Roman" w:hAnsi="Times New Roman"/>
          <w:sz w:val="24"/>
          <w:szCs w:val="24"/>
        </w:rPr>
        <w:t>6</w:t>
      </w:r>
      <w:r w:rsidRPr="00D95B42">
        <w:rPr>
          <w:rFonts w:ascii="Times New Roman" w:hAnsi="Times New Roman" w:hint="eastAsia"/>
          <w:sz w:val="24"/>
          <w:szCs w:val="24"/>
        </w:rPr>
        <w:t>）研发能力修正</w:t>
      </w:r>
    </w:p>
    <w:p w14:paraId="4B125C66"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企业的研发能力是衡量企业在对于其产品或者服务的研发中，投入费用的规模水平的指标，采用研发费用占收入比率进行衡量。研发费用率的修正是正向的，即研发费用率高，则向上修正；反之则向下修正。</w:t>
      </w:r>
    </w:p>
    <w:p w14:paraId="1A6F9A96" w14:textId="77777777" w:rsidR="00CD798F" w:rsidRPr="003B070B" w:rsidRDefault="00CD798F" w:rsidP="00CD798F">
      <w:pPr>
        <w:keepNext/>
        <w:keepLines/>
        <w:spacing w:before="120" w:after="120" w:line="360" w:lineRule="auto"/>
        <w:ind w:firstLine="482"/>
        <w:outlineLvl w:val="3"/>
        <w:rPr>
          <w:rFonts w:ascii="宋体" w:hAnsi="宋体" w:hint="eastAsia"/>
          <w:b/>
          <w:bCs/>
          <w:sz w:val="24"/>
          <w:szCs w:val="24"/>
        </w:rPr>
      </w:pPr>
      <w:r w:rsidRPr="003B070B">
        <w:rPr>
          <w:rFonts w:ascii="宋体" w:hAnsi="宋体" w:hint="eastAsia"/>
          <w:b/>
          <w:bCs/>
          <w:sz w:val="24"/>
          <w:szCs w:val="24"/>
        </w:rPr>
        <w:t>2</w:t>
      </w:r>
      <w:r w:rsidRPr="003B070B">
        <w:rPr>
          <w:rFonts w:ascii="宋体" w:hAnsi="宋体"/>
          <w:b/>
          <w:bCs/>
          <w:sz w:val="24"/>
          <w:szCs w:val="24"/>
        </w:rPr>
        <w:t>、</w:t>
      </w:r>
      <w:r w:rsidRPr="003B070B">
        <w:rPr>
          <w:rFonts w:ascii="宋体" w:hAnsi="宋体" w:hint="eastAsia"/>
          <w:b/>
          <w:bCs/>
          <w:sz w:val="24"/>
          <w:szCs w:val="24"/>
        </w:rPr>
        <w:t>修正体系及其修正指标的选取符合行业惯例</w:t>
      </w:r>
    </w:p>
    <w:p w14:paraId="468A24B0" w14:textId="77777777" w:rsidR="00CD798F" w:rsidRPr="003B070B" w:rsidRDefault="00CD798F" w:rsidP="00CD798F">
      <w:pPr>
        <w:spacing w:before="120" w:after="120" w:line="360" w:lineRule="auto"/>
        <w:ind w:firstLine="480"/>
        <w:rPr>
          <w:rFonts w:ascii="宋体" w:hAnsi="宋体" w:hint="eastAsia"/>
          <w:sz w:val="24"/>
          <w:szCs w:val="24"/>
        </w:rPr>
      </w:pPr>
      <w:r w:rsidRPr="00D95B42">
        <w:rPr>
          <w:rFonts w:ascii="Times New Roman" w:hAnsi="Times New Roman" w:hint="eastAsia"/>
          <w:sz w:val="24"/>
          <w:szCs w:val="24"/>
        </w:rPr>
        <w:t>经公开检索，本次评估参考了</w:t>
      </w:r>
      <w:r w:rsidRPr="00D95B42">
        <w:rPr>
          <w:rFonts w:ascii="Times New Roman" w:hAnsi="Times New Roman" w:hint="eastAsia"/>
          <w:sz w:val="24"/>
          <w:szCs w:val="24"/>
        </w:rPr>
        <w:t>2020</w:t>
      </w:r>
      <w:r w:rsidRPr="00D95B42">
        <w:rPr>
          <w:rFonts w:ascii="Times New Roman" w:hAnsi="Times New Roman" w:hint="eastAsia"/>
          <w:sz w:val="24"/>
          <w:szCs w:val="24"/>
        </w:rPr>
        <w:t>年以来已过会或正处于审核阶段、采用市场法进行评估的交易案例所选用的修正维度，具体情况如下：</w:t>
      </w:r>
    </w:p>
    <w:tbl>
      <w:tblPr>
        <w:tblW w:w="5000"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1238"/>
        <w:gridCol w:w="2276"/>
        <w:gridCol w:w="815"/>
        <w:gridCol w:w="1037"/>
        <w:gridCol w:w="953"/>
        <w:gridCol w:w="1389"/>
        <w:gridCol w:w="597"/>
      </w:tblGrid>
      <w:tr w:rsidR="00CD798F" w:rsidRPr="00B339EC" w14:paraId="074A82E0" w14:textId="77777777" w:rsidTr="00B339EC">
        <w:trPr>
          <w:cantSplit/>
          <w:trHeight w:val="454"/>
          <w:tblHeader/>
          <w:jc w:val="center"/>
        </w:trPr>
        <w:tc>
          <w:tcPr>
            <w:tcW w:w="427" w:type="pct"/>
            <w:vAlign w:val="center"/>
          </w:tcPr>
          <w:p w14:paraId="3CAE569E"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股票代码</w:t>
            </w:r>
          </w:p>
        </w:tc>
        <w:tc>
          <w:tcPr>
            <w:tcW w:w="820" w:type="pct"/>
            <w:vAlign w:val="center"/>
          </w:tcPr>
          <w:p w14:paraId="073DCDB5"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上市公司</w:t>
            </w:r>
          </w:p>
        </w:tc>
        <w:tc>
          <w:tcPr>
            <w:tcW w:w="821" w:type="pct"/>
            <w:vAlign w:val="center"/>
          </w:tcPr>
          <w:p w14:paraId="69095837"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评估标的</w:t>
            </w:r>
          </w:p>
        </w:tc>
        <w:tc>
          <w:tcPr>
            <w:tcW w:w="523" w:type="pct"/>
            <w:vAlign w:val="center"/>
          </w:tcPr>
          <w:p w14:paraId="268A306A"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评估标的所处行业</w:t>
            </w:r>
          </w:p>
        </w:tc>
        <w:tc>
          <w:tcPr>
            <w:tcW w:w="567" w:type="pct"/>
            <w:vAlign w:val="center"/>
          </w:tcPr>
          <w:p w14:paraId="1E7024B5"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评估基准日</w:t>
            </w:r>
          </w:p>
        </w:tc>
        <w:tc>
          <w:tcPr>
            <w:tcW w:w="599" w:type="pct"/>
            <w:vAlign w:val="center"/>
          </w:tcPr>
          <w:p w14:paraId="4F3CF132"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修正维度</w:t>
            </w:r>
          </w:p>
        </w:tc>
        <w:tc>
          <w:tcPr>
            <w:tcW w:w="840" w:type="pct"/>
            <w:vAlign w:val="center"/>
          </w:tcPr>
          <w:p w14:paraId="6FFDE2E7"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修正指标</w:t>
            </w:r>
          </w:p>
        </w:tc>
        <w:tc>
          <w:tcPr>
            <w:tcW w:w="403" w:type="pct"/>
            <w:vAlign w:val="center"/>
          </w:tcPr>
          <w:p w14:paraId="79F6ACA7" w14:textId="77777777" w:rsidR="00CD798F" w:rsidRPr="00B339EC" w:rsidRDefault="00CD798F" w:rsidP="00214723">
            <w:pPr>
              <w:keepNext/>
              <w:jc w:val="center"/>
              <w:rPr>
                <w:rFonts w:ascii="Times New Roman" w:hAnsi="Times New Roman"/>
                <w:b/>
                <w:color w:val="000000"/>
                <w:sz w:val="18"/>
                <w:szCs w:val="18"/>
              </w:rPr>
            </w:pPr>
            <w:r w:rsidRPr="00B339EC">
              <w:rPr>
                <w:rFonts w:ascii="Times New Roman" w:hAnsi="Times New Roman"/>
                <w:b/>
                <w:color w:val="000000"/>
                <w:sz w:val="18"/>
                <w:szCs w:val="18"/>
              </w:rPr>
              <w:t>交易案例进度</w:t>
            </w:r>
          </w:p>
        </w:tc>
      </w:tr>
      <w:tr w:rsidR="00CD798F" w:rsidRPr="00B339EC" w14:paraId="5DF35D24" w14:textId="77777777" w:rsidTr="00B339EC">
        <w:trPr>
          <w:cantSplit/>
          <w:trHeight w:val="454"/>
          <w:jc w:val="center"/>
        </w:trPr>
        <w:tc>
          <w:tcPr>
            <w:tcW w:w="427" w:type="pct"/>
            <w:vAlign w:val="center"/>
          </w:tcPr>
          <w:p w14:paraId="508B76C2"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300701</w:t>
            </w:r>
          </w:p>
        </w:tc>
        <w:tc>
          <w:tcPr>
            <w:tcW w:w="820" w:type="pct"/>
            <w:vAlign w:val="center"/>
          </w:tcPr>
          <w:p w14:paraId="1157D0D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森霸传感科技股份有限公司</w:t>
            </w:r>
          </w:p>
        </w:tc>
        <w:tc>
          <w:tcPr>
            <w:tcW w:w="821" w:type="pct"/>
            <w:vAlign w:val="center"/>
          </w:tcPr>
          <w:p w14:paraId="70F36BD8"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无锡格林通安全装备有限公司</w:t>
            </w:r>
          </w:p>
        </w:tc>
        <w:tc>
          <w:tcPr>
            <w:tcW w:w="523" w:type="pct"/>
            <w:vAlign w:val="center"/>
          </w:tcPr>
          <w:p w14:paraId="457D2FF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安全监测产品提供商</w:t>
            </w:r>
          </w:p>
        </w:tc>
        <w:tc>
          <w:tcPr>
            <w:tcW w:w="567" w:type="pct"/>
            <w:vAlign w:val="center"/>
          </w:tcPr>
          <w:p w14:paraId="6EA5B8D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2023/2/28</w:t>
            </w:r>
          </w:p>
        </w:tc>
        <w:tc>
          <w:tcPr>
            <w:tcW w:w="599" w:type="pct"/>
            <w:vAlign w:val="center"/>
          </w:tcPr>
          <w:p w14:paraId="66B042E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营业规模、盈利能力、发展能力、其他因素</w:t>
            </w:r>
          </w:p>
        </w:tc>
        <w:tc>
          <w:tcPr>
            <w:tcW w:w="840" w:type="pct"/>
            <w:vAlign w:val="center"/>
          </w:tcPr>
          <w:p w14:paraId="13047B0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总资产、资产负债率、营业收入、最近一年销售净利率、最近一年销售毛利率、调整后净资产收益率、账面营业收入两年几何平均增长率、账面净资产两年平均增长率、业务范围、品牌知名度、业务种类</w:t>
            </w:r>
          </w:p>
        </w:tc>
        <w:tc>
          <w:tcPr>
            <w:tcW w:w="403" w:type="pct"/>
            <w:vAlign w:val="center"/>
          </w:tcPr>
          <w:p w14:paraId="2DEFA75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1BACF258" w14:textId="77777777" w:rsidTr="00B339EC">
        <w:trPr>
          <w:cantSplit/>
          <w:trHeight w:val="454"/>
          <w:jc w:val="center"/>
        </w:trPr>
        <w:tc>
          <w:tcPr>
            <w:tcW w:w="427" w:type="pct"/>
            <w:vAlign w:val="center"/>
          </w:tcPr>
          <w:p w14:paraId="5C49122E"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lastRenderedPageBreak/>
              <w:t>300757</w:t>
            </w:r>
          </w:p>
        </w:tc>
        <w:tc>
          <w:tcPr>
            <w:tcW w:w="820" w:type="pct"/>
            <w:vAlign w:val="center"/>
          </w:tcPr>
          <w:p w14:paraId="7A4B625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罗博特科智能科技股份有限公司</w:t>
            </w:r>
          </w:p>
        </w:tc>
        <w:tc>
          <w:tcPr>
            <w:tcW w:w="821" w:type="pct"/>
            <w:vAlign w:val="center"/>
          </w:tcPr>
          <w:p w14:paraId="3907EE68"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ficonTECServiceGmbH</w:t>
            </w:r>
            <w:r w:rsidRPr="00B339EC">
              <w:rPr>
                <w:rFonts w:ascii="Times New Roman" w:hAnsi="Times New Roman"/>
                <w:color w:val="000000"/>
                <w:sz w:val="18"/>
                <w:szCs w:val="18"/>
              </w:rPr>
              <w:t>及</w:t>
            </w:r>
            <w:r w:rsidRPr="00B339EC">
              <w:rPr>
                <w:rFonts w:ascii="Times New Roman" w:hAnsi="Times New Roman"/>
                <w:color w:val="000000"/>
                <w:sz w:val="18"/>
                <w:szCs w:val="18"/>
              </w:rPr>
              <w:t>ficonTECAutomationGmbH</w:t>
            </w:r>
          </w:p>
        </w:tc>
        <w:tc>
          <w:tcPr>
            <w:tcW w:w="523" w:type="pct"/>
            <w:vAlign w:val="center"/>
          </w:tcPr>
          <w:p w14:paraId="0051E720"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半导体自动化微组装及精密测试设备</w:t>
            </w:r>
          </w:p>
        </w:tc>
        <w:tc>
          <w:tcPr>
            <w:tcW w:w="567" w:type="pct"/>
            <w:vAlign w:val="center"/>
          </w:tcPr>
          <w:p w14:paraId="611C53D8"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2023/4/30</w:t>
            </w:r>
          </w:p>
        </w:tc>
        <w:tc>
          <w:tcPr>
            <w:tcW w:w="599" w:type="pct"/>
            <w:vAlign w:val="center"/>
          </w:tcPr>
          <w:p w14:paraId="16C97F88"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营业规模、盈利能力、发展能力、其他因素</w:t>
            </w:r>
          </w:p>
        </w:tc>
        <w:tc>
          <w:tcPr>
            <w:tcW w:w="840" w:type="pct"/>
            <w:vAlign w:val="center"/>
          </w:tcPr>
          <w:p w14:paraId="4B2E422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最近一年营业收入、最近一年净资产、最近一年总资产、最近一年调整后税前利润、最近一年销售毛利率、调整后净资产收益率、账面营业收入近</w:t>
            </w:r>
            <w:r w:rsidRPr="00B339EC">
              <w:rPr>
                <w:rFonts w:ascii="Times New Roman" w:hAnsi="Times New Roman"/>
                <w:color w:val="000000"/>
                <w:sz w:val="18"/>
                <w:szCs w:val="18"/>
              </w:rPr>
              <w:t>1</w:t>
            </w:r>
            <w:r w:rsidRPr="00B339EC">
              <w:rPr>
                <w:rFonts w:ascii="Times New Roman" w:hAnsi="Times New Roman"/>
                <w:color w:val="000000"/>
                <w:sz w:val="18"/>
                <w:szCs w:val="18"/>
              </w:rPr>
              <w:t>年增长率、调整后净利润近</w:t>
            </w:r>
            <w:r w:rsidRPr="00B339EC">
              <w:rPr>
                <w:rFonts w:ascii="Times New Roman" w:hAnsi="Times New Roman"/>
                <w:color w:val="000000"/>
                <w:sz w:val="18"/>
                <w:szCs w:val="18"/>
              </w:rPr>
              <w:t>1</w:t>
            </w:r>
            <w:r w:rsidRPr="00B339EC">
              <w:rPr>
                <w:rFonts w:ascii="Times New Roman" w:hAnsi="Times New Roman"/>
                <w:color w:val="000000"/>
                <w:sz w:val="18"/>
                <w:szCs w:val="18"/>
              </w:rPr>
              <w:t>年增长率、账面净资产近</w:t>
            </w:r>
            <w:r w:rsidRPr="00B339EC">
              <w:rPr>
                <w:rFonts w:ascii="Times New Roman" w:hAnsi="Times New Roman"/>
                <w:color w:val="000000"/>
                <w:sz w:val="18"/>
                <w:szCs w:val="18"/>
              </w:rPr>
              <w:t>1</w:t>
            </w:r>
            <w:r w:rsidRPr="00B339EC">
              <w:rPr>
                <w:rFonts w:ascii="Times New Roman" w:hAnsi="Times New Roman"/>
                <w:color w:val="000000"/>
                <w:sz w:val="18"/>
                <w:szCs w:val="18"/>
              </w:rPr>
              <w:t>年增长率、业务类型、市场潜力、其他</w:t>
            </w:r>
          </w:p>
        </w:tc>
        <w:tc>
          <w:tcPr>
            <w:tcW w:w="403" w:type="pct"/>
            <w:vAlign w:val="center"/>
          </w:tcPr>
          <w:p w14:paraId="48AC790E"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0187517C" w14:textId="77777777" w:rsidTr="00B339EC">
        <w:trPr>
          <w:cantSplit/>
          <w:trHeight w:val="454"/>
          <w:jc w:val="center"/>
        </w:trPr>
        <w:tc>
          <w:tcPr>
            <w:tcW w:w="427" w:type="pct"/>
            <w:vAlign w:val="center"/>
          </w:tcPr>
          <w:p w14:paraId="54D9CECB"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688536</w:t>
            </w:r>
          </w:p>
        </w:tc>
        <w:tc>
          <w:tcPr>
            <w:tcW w:w="820" w:type="pct"/>
            <w:vAlign w:val="center"/>
          </w:tcPr>
          <w:p w14:paraId="42DF1DC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思瑞浦微电子科技（苏州）股份有限公司</w:t>
            </w:r>
          </w:p>
        </w:tc>
        <w:tc>
          <w:tcPr>
            <w:tcW w:w="821" w:type="pct"/>
            <w:vAlign w:val="center"/>
          </w:tcPr>
          <w:p w14:paraId="0485776B"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深圳市创芯微微电子有限公司</w:t>
            </w:r>
          </w:p>
        </w:tc>
        <w:tc>
          <w:tcPr>
            <w:tcW w:w="523" w:type="pct"/>
            <w:vAlign w:val="center"/>
          </w:tcPr>
          <w:p w14:paraId="0F42F27B"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芯片研发及销售</w:t>
            </w:r>
          </w:p>
        </w:tc>
        <w:tc>
          <w:tcPr>
            <w:tcW w:w="567" w:type="pct"/>
            <w:vAlign w:val="center"/>
          </w:tcPr>
          <w:p w14:paraId="165D0B6A"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2023/9/30</w:t>
            </w:r>
          </w:p>
        </w:tc>
        <w:tc>
          <w:tcPr>
            <w:tcW w:w="599" w:type="pct"/>
            <w:vAlign w:val="center"/>
          </w:tcPr>
          <w:p w14:paraId="0A8B93D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不作修正</w:t>
            </w:r>
          </w:p>
        </w:tc>
        <w:tc>
          <w:tcPr>
            <w:tcW w:w="840" w:type="pct"/>
            <w:vAlign w:val="center"/>
          </w:tcPr>
          <w:p w14:paraId="27B43B29"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不涉及</w:t>
            </w:r>
          </w:p>
        </w:tc>
        <w:tc>
          <w:tcPr>
            <w:tcW w:w="403" w:type="pct"/>
            <w:vAlign w:val="center"/>
          </w:tcPr>
          <w:p w14:paraId="484E5E60"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2DE05278" w14:textId="77777777" w:rsidTr="00B339EC">
        <w:trPr>
          <w:cantSplit/>
          <w:trHeight w:val="454"/>
          <w:jc w:val="center"/>
        </w:trPr>
        <w:tc>
          <w:tcPr>
            <w:tcW w:w="427" w:type="pct"/>
            <w:vAlign w:val="center"/>
          </w:tcPr>
          <w:p w14:paraId="3F4DB5E6"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603358</w:t>
            </w:r>
          </w:p>
        </w:tc>
        <w:tc>
          <w:tcPr>
            <w:tcW w:w="820" w:type="pct"/>
            <w:vAlign w:val="center"/>
          </w:tcPr>
          <w:p w14:paraId="234806B5"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华达汽车科技股份有限公司</w:t>
            </w:r>
          </w:p>
        </w:tc>
        <w:tc>
          <w:tcPr>
            <w:tcW w:w="821" w:type="pct"/>
            <w:vAlign w:val="center"/>
          </w:tcPr>
          <w:p w14:paraId="1D361E01"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江苏恒义工业技术有限公司</w:t>
            </w:r>
          </w:p>
        </w:tc>
        <w:tc>
          <w:tcPr>
            <w:tcW w:w="523" w:type="pct"/>
            <w:vAlign w:val="center"/>
          </w:tcPr>
          <w:p w14:paraId="4029D47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新能源汽车电池系统零部件</w:t>
            </w:r>
          </w:p>
        </w:tc>
        <w:tc>
          <w:tcPr>
            <w:tcW w:w="567" w:type="pct"/>
            <w:vAlign w:val="center"/>
          </w:tcPr>
          <w:p w14:paraId="1FC7E937"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2023/10/31</w:t>
            </w:r>
          </w:p>
        </w:tc>
        <w:tc>
          <w:tcPr>
            <w:tcW w:w="599" w:type="pct"/>
            <w:vAlign w:val="center"/>
          </w:tcPr>
          <w:p w14:paraId="534AA79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盈利能力、成长能力、营运能力、偿债能力、研发投入能力</w:t>
            </w:r>
          </w:p>
        </w:tc>
        <w:tc>
          <w:tcPr>
            <w:tcW w:w="840" w:type="pct"/>
            <w:vAlign w:val="center"/>
          </w:tcPr>
          <w:p w14:paraId="720D1A8F"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净资产收益率、成本费用利润率、净利润预期增长率、营运资本周转次数、流动比率、资产负债率、研发费用占营业收入的比率</w:t>
            </w:r>
          </w:p>
        </w:tc>
        <w:tc>
          <w:tcPr>
            <w:tcW w:w="403" w:type="pct"/>
            <w:vAlign w:val="center"/>
          </w:tcPr>
          <w:p w14:paraId="7BC0C8B2"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1DF8EBA9" w14:textId="77777777" w:rsidTr="00B339EC">
        <w:trPr>
          <w:cantSplit/>
          <w:trHeight w:val="454"/>
          <w:jc w:val="center"/>
        </w:trPr>
        <w:tc>
          <w:tcPr>
            <w:tcW w:w="427" w:type="pct"/>
            <w:vAlign w:val="center"/>
          </w:tcPr>
          <w:p w14:paraId="11C89E89"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603031</w:t>
            </w:r>
          </w:p>
        </w:tc>
        <w:tc>
          <w:tcPr>
            <w:tcW w:w="820" w:type="pct"/>
            <w:vAlign w:val="center"/>
          </w:tcPr>
          <w:p w14:paraId="5876B88C"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安徽安孚电池科技股份有限公司</w:t>
            </w:r>
          </w:p>
        </w:tc>
        <w:tc>
          <w:tcPr>
            <w:tcW w:w="821" w:type="pct"/>
            <w:vAlign w:val="center"/>
          </w:tcPr>
          <w:p w14:paraId="5D92B75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安徽安孚能源科技有限公司下属公司宁波亚锦电子科技股份有限公司</w:t>
            </w:r>
          </w:p>
        </w:tc>
        <w:tc>
          <w:tcPr>
            <w:tcW w:w="523" w:type="pct"/>
            <w:vAlign w:val="center"/>
          </w:tcPr>
          <w:p w14:paraId="60904E55"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电池（消费品制造业）</w:t>
            </w:r>
          </w:p>
        </w:tc>
        <w:tc>
          <w:tcPr>
            <w:tcW w:w="567" w:type="pct"/>
            <w:vAlign w:val="center"/>
          </w:tcPr>
          <w:p w14:paraId="1B1A08E5"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2023/12/31</w:t>
            </w:r>
          </w:p>
        </w:tc>
        <w:tc>
          <w:tcPr>
            <w:tcW w:w="599" w:type="pct"/>
            <w:vAlign w:val="center"/>
          </w:tcPr>
          <w:p w14:paraId="50D3EFE3"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规模、盈利能力、偿付能力、营运能力、发展能力</w:t>
            </w:r>
          </w:p>
        </w:tc>
        <w:tc>
          <w:tcPr>
            <w:tcW w:w="840" w:type="pct"/>
            <w:vAlign w:val="center"/>
          </w:tcPr>
          <w:p w14:paraId="6DA6C83B"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资产总额、营业总收入、净资产收益率、总资产报酬率、资产负债率、总资产周转率、存货周转率、营业收入增长率、总资产增长率</w:t>
            </w:r>
          </w:p>
        </w:tc>
        <w:tc>
          <w:tcPr>
            <w:tcW w:w="403" w:type="pct"/>
            <w:vAlign w:val="center"/>
          </w:tcPr>
          <w:p w14:paraId="325C676F"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24CED0DD" w14:textId="77777777" w:rsidTr="00B339EC">
        <w:trPr>
          <w:cantSplit/>
          <w:trHeight w:val="454"/>
          <w:jc w:val="center"/>
        </w:trPr>
        <w:tc>
          <w:tcPr>
            <w:tcW w:w="427" w:type="pct"/>
            <w:vAlign w:val="center"/>
          </w:tcPr>
          <w:p w14:paraId="7175802B"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lastRenderedPageBreak/>
              <w:t>000599</w:t>
            </w:r>
          </w:p>
        </w:tc>
        <w:tc>
          <w:tcPr>
            <w:tcW w:w="820" w:type="pct"/>
            <w:vAlign w:val="center"/>
          </w:tcPr>
          <w:p w14:paraId="43C2E04A"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青岛双星股份有限公司</w:t>
            </w:r>
          </w:p>
        </w:tc>
        <w:tc>
          <w:tcPr>
            <w:tcW w:w="821" w:type="pct"/>
            <w:vAlign w:val="center"/>
          </w:tcPr>
          <w:p w14:paraId="26235BAA"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青岛星微国际投资有限公司下属企业持有的锦湖轮胎株式会社</w:t>
            </w:r>
          </w:p>
        </w:tc>
        <w:tc>
          <w:tcPr>
            <w:tcW w:w="523" w:type="pct"/>
            <w:vAlign w:val="center"/>
          </w:tcPr>
          <w:p w14:paraId="35804800"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轮胎产品</w:t>
            </w:r>
          </w:p>
        </w:tc>
        <w:tc>
          <w:tcPr>
            <w:tcW w:w="567" w:type="pct"/>
            <w:vAlign w:val="center"/>
          </w:tcPr>
          <w:p w14:paraId="1556E72B"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2023/12/31</w:t>
            </w:r>
          </w:p>
        </w:tc>
        <w:tc>
          <w:tcPr>
            <w:tcW w:w="599" w:type="pct"/>
            <w:vAlign w:val="center"/>
          </w:tcPr>
          <w:p w14:paraId="41EF14D1"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盈利能力、债务风险、营运能力、企业规模、其他因素</w:t>
            </w:r>
          </w:p>
        </w:tc>
        <w:tc>
          <w:tcPr>
            <w:tcW w:w="840" w:type="pct"/>
            <w:vAlign w:val="center"/>
          </w:tcPr>
          <w:p w14:paraId="0BFE789C"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净资产收益率</w:t>
            </w:r>
            <w:r w:rsidRPr="00B339EC">
              <w:rPr>
                <w:rFonts w:ascii="Times New Roman" w:hAnsi="Times New Roman"/>
                <w:color w:val="000000"/>
                <w:sz w:val="18"/>
                <w:szCs w:val="18"/>
              </w:rPr>
              <w:t>ROE</w:t>
            </w:r>
            <w:r w:rsidRPr="00B339EC">
              <w:rPr>
                <w:rFonts w:ascii="Times New Roman" w:hAnsi="Times New Roman"/>
                <w:color w:val="000000"/>
                <w:sz w:val="18"/>
                <w:szCs w:val="18"/>
              </w:rPr>
              <w:t>、销售毛利率、销售净利润、资产负债率、流动比率、速动比率、存货周转率、应收账款周转率、营业周期、总资产、归属于母公司所有者权益、营业总收入、归属于母公司股东的近利润、行业排名、出口市场占比、国家主权信用评级）</w:t>
            </w:r>
          </w:p>
        </w:tc>
        <w:tc>
          <w:tcPr>
            <w:tcW w:w="403" w:type="pct"/>
            <w:vAlign w:val="center"/>
          </w:tcPr>
          <w:p w14:paraId="3C65B49D"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审核中</w:t>
            </w:r>
          </w:p>
        </w:tc>
      </w:tr>
      <w:tr w:rsidR="00CD798F" w:rsidRPr="00B339EC" w14:paraId="599CF95B" w14:textId="77777777" w:rsidTr="00B339EC">
        <w:trPr>
          <w:cantSplit/>
          <w:trHeight w:val="454"/>
          <w:jc w:val="center"/>
        </w:trPr>
        <w:tc>
          <w:tcPr>
            <w:tcW w:w="427" w:type="pct"/>
            <w:vAlign w:val="center"/>
          </w:tcPr>
          <w:p w14:paraId="2D2F825B"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688085</w:t>
            </w:r>
          </w:p>
        </w:tc>
        <w:tc>
          <w:tcPr>
            <w:tcW w:w="820" w:type="pct"/>
            <w:vAlign w:val="center"/>
          </w:tcPr>
          <w:p w14:paraId="12A8AF4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上海三友医疗器械股份有限公司</w:t>
            </w:r>
          </w:p>
        </w:tc>
        <w:tc>
          <w:tcPr>
            <w:tcW w:w="821" w:type="pct"/>
            <w:vAlign w:val="center"/>
          </w:tcPr>
          <w:p w14:paraId="6C58346A"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北京水木天蓬医疗技术有限公司</w:t>
            </w:r>
          </w:p>
        </w:tc>
        <w:tc>
          <w:tcPr>
            <w:tcW w:w="523" w:type="pct"/>
            <w:vAlign w:val="center"/>
          </w:tcPr>
          <w:p w14:paraId="0EDFC49E"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超声外科手术设备及耗材</w:t>
            </w:r>
          </w:p>
        </w:tc>
        <w:tc>
          <w:tcPr>
            <w:tcW w:w="567" w:type="pct"/>
            <w:vAlign w:val="center"/>
          </w:tcPr>
          <w:p w14:paraId="3986897C"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2024/4/30</w:t>
            </w:r>
          </w:p>
        </w:tc>
        <w:tc>
          <w:tcPr>
            <w:tcW w:w="599" w:type="pct"/>
            <w:vAlign w:val="center"/>
          </w:tcPr>
          <w:p w14:paraId="79553AB4"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交易时间因素、市场因素、营业规模、盈利能力、发展能力、其他因素</w:t>
            </w:r>
          </w:p>
        </w:tc>
        <w:tc>
          <w:tcPr>
            <w:tcW w:w="840" w:type="pct"/>
            <w:vAlign w:val="center"/>
          </w:tcPr>
          <w:p w14:paraId="55B9F15E"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时间差异、市场差异、总资产、资产负债率、营业收入、最近一年调整后的销售净利率、最近一年销售毛利率、调整后的净资产收益率、账面营业收入两年几何平均增长率、调整后净利润两年几何平均增长率、调整后净资产两年几何平均增长率、业务范围、品牌知名度、业务种类、其他</w:t>
            </w:r>
          </w:p>
        </w:tc>
        <w:tc>
          <w:tcPr>
            <w:tcW w:w="403" w:type="pct"/>
            <w:vAlign w:val="center"/>
          </w:tcPr>
          <w:p w14:paraId="596D853A"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57A17497" w14:textId="77777777" w:rsidTr="00B339EC">
        <w:trPr>
          <w:cantSplit/>
          <w:trHeight w:val="454"/>
          <w:jc w:val="center"/>
        </w:trPr>
        <w:tc>
          <w:tcPr>
            <w:tcW w:w="427" w:type="pct"/>
            <w:vAlign w:val="center"/>
          </w:tcPr>
          <w:p w14:paraId="7616F87D"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603991</w:t>
            </w:r>
          </w:p>
        </w:tc>
        <w:tc>
          <w:tcPr>
            <w:tcW w:w="820" w:type="pct"/>
            <w:vAlign w:val="center"/>
          </w:tcPr>
          <w:p w14:paraId="6A47CAD8"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深圳至正高分子材料股份有限公司</w:t>
            </w:r>
          </w:p>
        </w:tc>
        <w:tc>
          <w:tcPr>
            <w:tcW w:w="821" w:type="pct"/>
            <w:vAlign w:val="center"/>
          </w:tcPr>
          <w:p w14:paraId="5F3DAEF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先进封装材料国际有限公司</w:t>
            </w:r>
          </w:p>
        </w:tc>
        <w:tc>
          <w:tcPr>
            <w:tcW w:w="523" w:type="pct"/>
            <w:vAlign w:val="center"/>
          </w:tcPr>
          <w:p w14:paraId="5C6EF6A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引线框架产品</w:t>
            </w:r>
          </w:p>
        </w:tc>
        <w:tc>
          <w:tcPr>
            <w:tcW w:w="567" w:type="pct"/>
            <w:vAlign w:val="center"/>
          </w:tcPr>
          <w:p w14:paraId="27FA31BA"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2024/9/30</w:t>
            </w:r>
          </w:p>
        </w:tc>
        <w:tc>
          <w:tcPr>
            <w:tcW w:w="599" w:type="pct"/>
            <w:vAlign w:val="center"/>
          </w:tcPr>
          <w:p w14:paraId="44526F1B"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不作修正</w:t>
            </w:r>
          </w:p>
        </w:tc>
        <w:tc>
          <w:tcPr>
            <w:tcW w:w="840" w:type="pct"/>
            <w:vAlign w:val="center"/>
          </w:tcPr>
          <w:p w14:paraId="297D440A"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不涉及</w:t>
            </w:r>
          </w:p>
        </w:tc>
        <w:tc>
          <w:tcPr>
            <w:tcW w:w="403" w:type="pct"/>
            <w:vAlign w:val="center"/>
          </w:tcPr>
          <w:p w14:paraId="45A7F652"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213DFD63" w14:textId="77777777" w:rsidTr="00B339EC">
        <w:trPr>
          <w:cantSplit/>
          <w:trHeight w:val="454"/>
          <w:jc w:val="center"/>
        </w:trPr>
        <w:tc>
          <w:tcPr>
            <w:tcW w:w="427" w:type="pct"/>
            <w:vAlign w:val="center"/>
          </w:tcPr>
          <w:p w14:paraId="6802A5A9"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lastRenderedPageBreak/>
              <w:t>301297</w:t>
            </w:r>
          </w:p>
        </w:tc>
        <w:tc>
          <w:tcPr>
            <w:tcW w:w="820" w:type="pct"/>
            <w:vAlign w:val="center"/>
          </w:tcPr>
          <w:p w14:paraId="489A384F"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安徽富乐德科技发展股份有限公司</w:t>
            </w:r>
          </w:p>
        </w:tc>
        <w:tc>
          <w:tcPr>
            <w:tcW w:w="821" w:type="pct"/>
            <w:vAlign w:val="center"/>
          </w:tcPr>
          <w:p w14:paraId="5F6F087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江苏富乐华半导体科技股份有限公司</w:t>
            </w:r>
          </w:p>
        </w:tc>
        <w:tc>
          <w:tcPr>
            <w:tcW w:w="523" w:type="pct"/>
            <w:vAlign w:val="center"/>
          </w:tcPr>
          <w:p w14:paraId="41A487EF"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功率半导体覆铜陶瓷载板</w:t>
            </w:r>
          </w:p>
        </w:tc>
        <w:tc>
          <w:tcPr>
            <w:tcW w:w="567" w:type="pct"/>
            <w:vAlign w:val="center"/>
          </w:tcPr>
          <w:p w14:paraId="5FFFB955"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2024/9/30</w:t>
            </w:r>
          </w:p>
        </w:tc>
        <w:tc>
          <w:tcPr>
            <w:tcW w:w="599" w:type="pct"/>
            <w:vAlign w:val="center"/>
          </w:tcPr>
          <w:p w14:paraId="7075E617"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交易日期、交易情况、发展阶段、经营规模、偿债能力、营运能力、盈利能力、研发投入</w:t>
            </w:r>
          </w:p>
        </w:tc>
        <w:tc>
          <w:tcPr>
            <w:tcW w:w="840" w:type="pct"/>
            <w:vAlign w:val="center"/>
          </w:tcPr>
          <w:p w14:paraId="7608F5F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收入增长率、收入规模、流动比率、资产负债率、总资产周转率、应收周转率、销售毛利率、总资产报酬率、研发费用率</w:t>
            </w:r>
          </w:p>
        </w:tc>
        <w:tc>
          <w:tcPr>
            <w:tcW w:w="403" w:type="pct"/>
            <w:vAlign w:val="center"/>
          </w:tcPr>
          <w:p w14:paraId="50D1F201"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537109C5" w14:textId="77777777" w:rsidTr="00B339EC">
        <w:trPr>
          <w:cantSplit/>
          <w:trHeight w:val="454"/>
          <w:jc w:val="center"/>
        </w:trPr>
        <w:tc>
          <w:tcPr>
            <w:tcW w:w="427" w:type="pct"/>
            <w:vAlign w:val="center"/>
          </w:tcPr>
          <w:p w14:paraId="622E7D74"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002600</w:t>
            </w:r>
          </w:p>
        </w:tc>
        <w:tc>
          <w:tcPr>
            <w:tcW w:w="820" w:type="pct"/>
            <w:vAlign w:val="center"/>
          </w:tcPr>
          <w:p w14:paraId="2C8FB7B7"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广东领益智造股份有限公司</w:t>
            </w:r>
          </w:p>
        </w:tc>
        <w:tc>
          <w:tcPr>
            <w:tcW w:w="821" w:type="pct"/>
            <w:vAlign w:val="center"/>
          </w:tcPr>
          <w:p w14:paraId="2087A287"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江苏科达斯特恩汽车科技股份有限公司</w:t>
            </w:r>
          </w:p>
        </w:tc>
        <w:tc>
          <w:tcPr>
            <w:tcW w:w="523" w:type="pct"/>
            <w:vAlign w:val="center"/>
          </w:tcPr>
          <w:p w14:paraId="0E72CD9E"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汽车饰件总成产品</w:t>
            </w:r>
          </w:p>
        </w:tc>
        <w:tc>
          <w:tcPr>
            <w:tcW w:w="567" w:type="pct"/>
            <w:vAlign w:val="center"/>
          </w:tcPr>
          <w:p w14:paraId="6546DF31"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2024/12/31</w:t>
            </w:r>
          </w:p>
        </w:tc>
        <w:tc>
          <w:tcPr>
            <w:tcW w:w="599" w:type="pct"/>
            <w:vAlign w:val="center"/>
          </w:tcPr>
          <w:p w14:paraId="6AED4ED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交易情况、经营规模、成长能力、偿债能力、营运能力、盈利能力、研发能力、其他</w:t>
            </w:r>
          </w:p>
        </w:tc>
        <w:tc>
          <w:tcPr>
            <w:tcW w:w="840" w:type="pct"/>
            <w:vAlign w:val="center"/>
          </w:tcPr>
          <w:p w14:paraId="2CF75BF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总资产、营业收入、营业收入增长率、资产负债率、速动比率、应收账款周转率、存货周转率、净资产收益率、销售毛利率、研发费用率、客户开发程度、行业影响力</w:t>
            </w:r>
          </w:p>
        </w:tc>
        <w:tc>
          <w:tcPr>
            <w:tcW w:w="403" w:type="pct"/>
            <w:vAlign w:val="center"/>
          </w:tcPr>
          <w:p w14:paraId="2890BB60"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5BE7C4A6" w14:textId="77777777" w:rsidTr="00B339EC">
        <w:trPr>
          <w:cantSplit/>
          <w:trHeight w:val="454"/>
          <w:jc w:val="center"/>
        </w:trPr>
        <w:tc>
          <w:tcPr>
            <w:tcW w:w="427" w:type="pct"/>
            <w:vAlign w:val="center"/>
          </w:tcPr>
          <w:p w14:paraId="3290B7BD"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600863</w:t>
            </w:r>
          </w:p>
        </w:tc>
        <w:tc>
          <w:tcPr>
            <w:tcW w:w="820" w:type="pct"/>
            <w:vAlign w:val="center"/>
          </w:tcPr>
          <w:p w14:paraId="74E59A1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内蒙古蒙电华能热电股份有限公司</w:t>
            </w:r>
          </w:p>
        </w:tc>
        <w:tc>
          <w:tcPr>
            <w:tcW w:w="821" w:type="pct"/>
            <w:vAlign w:val="center"/>
          </w:tcPr>
          <w:p w14:paraId="27552253"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北方上都正蓝旗新能源有限责任公司、北方多伦新能源有限责任公司</w:t>
            </w:r>
          </w:p>
        </w:tc>
        <w:tc>
          <w:tcPr>
            <w:tcW w:w="523" w:type="pct"/>
            <w:vAlign w:val="center"/>
          </w:tcPr>
          <w:p w14:paraId="0812860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风力发电</w:t>
            </w:r>
          </w:p>
        </w:tc>
        <w:tc>
          <w:tcPr>
            <w:tcW w:w="567" w:type="pct"/>
            <w:vAlign w:val="center"/>
          </w:tcPr>
          <w:p w14:paraId="49AC4CA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2024/12/31</w:t>
            </w:r>
          </w:p>
        </w:tc>
        <w:tc>
          <w:tcPr>
            <w:tcW w:w="599" w:type="pct"/>
            <w:vAlign w:val="center"/>
          </w:tcPr>
          <w:p w14:paraId="72066109"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交易情况、装机规模、市场环境、自然条件、项目状态、发电小时数、电价、剩余寿命、交易比例</w:t>
            </w:r>
          </w:p>
        </w:tc>
        <w:tc>
          <w:tcPr>
            <w:tcW w:w="840" w:type="pct"/>
            <w:vAlign w:val="center"/>
          </w:tcPr>
          <w:p w14:paraId="79C58E74"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装机容量、新能源指数、预测期其他收益</w:t>
            </w:r>
            <w:r w:rsidRPr="00B339EC">
              <w:rPr>
                <w:rFonts w:ascii="Times New Roman" w:hAnsi="Times New Roman"/>
                <w:color w:val="000000"/>
                <w:sz w:val="18"/>
                <w:szCs w:val="18"/>
              </w:rPr>
              <w:t>/</w:t>
            </w:r>
            <w:r w:rsidRPr="00B339EC">
              <w:rPr>
                <w:rFonts w:ascii="Times New Roman" w:hAnsi="Times New Roman"/>
                <w:color w:val="000000"/>
                <w:sz w:val="18"/>
                <w:szCs w:val="18"/>
              </w:rPr>
              <w:t>预测期净利润、资源区、投运</w:t>
            </w:r>
            <w:r w:rsidRPr="00B339EC">
              <w:rPr>
                <w:rFonts w:ascii="Times New Roman" w:hAnsi="Times New Roman"/>
                <w:color w:val="000000"/>
                <w:sz w:val="18"/>
                <w:szCs w:val="18"/>
              </w:rPr>
              <w:t>/</w:t>
            </w:r>
            <w:r w:rsidRPr="00B339EC">
              <w:rPr>
                <w:rFonts w:ascii="Times New Roman" w:hAnsi="Times New Roman"/>
                <w:color w:val="000000"/>
                <w:sz w:val="18"/>
                <w:szCs w:val="18"/>
              </w:rPr>
              <w:t>在建、年均发电小时数、批复电价、剩余寿命、交易比例</w:t>
            </w:r>
          </w:p>
        </w:tc>
        <w:tc>
          <w:tcPr>
            <w:tcW w:w="403" w:type="pct"/>
            <w:vAlign w:val="center"/>
          </w:tcPr>
          <w:p w14:paraId="2AF6DF78"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审核中</w:t>
            </w:r>
          </w:p>
        </w:tc>
      </w:tr>
      <w:tr w:rsidR="00CD798F" w:rsidRPr="00B339EC" w14:paraId="19D2C4AF" w14:textId="77777777" w:rsidTr="00B339EC">
        <w:trPr>
          <w:cantSplit/>
          <w:trHeight w:val="454"/>
          <w:jc w:val="center"/>
        </w:trPr>
        <w:tc>
          <w:tcPr>
            <w:tcW w:w="427" w:type="pct"/>
            <w:vAlign w:val="center"/>
          </w:tcPr>
          <w:p w14:paraId="65700E23"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301335</w:t>
            </w:r>
          </w:p>
        </w:tc>
        <w:tc>
          <w:tcPr>
            <w:tcW w:w="820" w:type="pct"/>
            <w:vAlign w:val="center"/>
          </w:tcPr>
          <w:p w14:paraId="16DB3BE5"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杭州天元宠物用品股份有限公司</w:t>
            </w:r>
          </w:p>
        </w:tc>
        <w:tc>
          <w:tcPr>
            <w:tcW w:w="821" w:type="pct"/>
            <w:vAlign w:val="center"/>
          </w:tcPr>
          <w:p w14:paraId="7395783C"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广州淘通科技股份有限公司</w:t>
            </w:r>
          </w:p>
        </w:tc>
        <w:tc>
          <w:tcPr>
            <w:tcW w:w="523" w:type="pct"/>
            <w:vAlign w:val="center"/>
          </w:tcPr>
          <w:p w14:paraId="483290E7"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电商销售服务和全域数字营销（消费贸易业）</w:t>
            </w:r>
          </w:p>
        </w:tc>
        <w:tc>
          <w:tcPr>
            <w:tcW w:w="567" w:type="pct"/>
            <w:vAlign w:val="center"/>
          </w:tcPr>
          <w:p w14:paraId="56EDD88A"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2024/12/31</w:t>
            </w:r>
          </w:p>
        </w:tc>
        <w:tc>
          <w:tcPr>
            <w:tcW w:w="599" w:type="pct"/>
            <w:vAlign w:val="center"/>
          </w:tcPr>
          <w:p w14:paraId="7D99122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交易时间、可比交易案例的盈利回报指标、资产运营指标、风险防控指标、发展能力指标</w:t>
            </w:r>
          </w:p>
        </w:tc>
        <w:tc>
          <w:tcPr>
            <w:tcW w:w="840" w:type="pct"/>
            <w:vAlign w:val="center"/>
          </w:tcPr>
          <w:p w14:paraId="745B45B3"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沪深</w:t>
            </w:r>
            <w:r w:rsidRPr="00B339EC">
              <w:rPr>
                <w:rFonts w:ascii="Times New Roman" w:hAnsi="Times New Roman"/>
                <w:color w:val="000000"/>
                <w:sz w:val="18"/>
                <w:szCs w:val="18"/>
              </w:rPr>
              <w:t>300</w:t>
            </w:r>
            <w:r w:rsidRPr="00B339EC">
              <w:rPr>
                <w:rFonts w:ascii="Times New Roman" w:hAnsi="Times New Roman"/>
                <w:color w:val="000000"/>
                <w:sz w:val="18"/>
                <w:szCs w:val="18"/>
              </w:rPr>
              <w:t>指数、净资产收益率、收入净利润率、总资产周转率、风险防控指标资产负债率、营业收入增长率</w:t>
            </w:r>
          </w:p>
        </w:tc>
        <w:tc>
          <w:tcPr>
            <w:tcW w:w="403" w:type="pct"/>
            <w:vAlign w:val="center"/>
          </w:tcPr>
          <w:p w14:paraId="6C8DDFE2"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审核中</w:t>
            </w:r>
          </w:p>
        </w:tc>
      </w:tr>
      <w:tr w:rsidR="00CD798F" w:rsidRPr="00B339EC" w14:paraId="2A5A1EB1" w14:textId="77777777" w:rsidTr="00B339EC">
        <w:trPr>
          <w:cantSplit/>
          <w:trHeight w:val="454"/>
          <w:jc w:val="center"/>
        </w:trPr>
        <w:tc>
          <w:tcPr>
            <w:tcW w:w="427" w:type="pct"/>
            <w:vAlign w:val="center"/>
          </w:tcPr>
          <w:p w14:paraId="45D0307C"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lastRenderedPageBreak/>
              <w:t>688368</w:t>
            </w:r>
          </w:p>
        </w:tc>
        <w:tc>
          <w:tcPr>
            <w:tcW w:w="820" w:type="pct"/>
            <w:vAlign w:val="center"/>
          </w:tcPr>
          <w:p w14:paraId="5EE0E6C0"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上海晶丰明源半导体股份</w:t>
            </w:r>
            <w:bookmarkStart w:id="7" w:name="OLE_LINK26"/>
            <w:r w:rsidRPr="00B339EC">
              <w:rPr>
                <w:rFonts w:ascii="Times New Roman" w:hAnsi="Times New Roman"/>
                <w:color w:val="000000"/>
                <w:sz w:val="18"/>
                <w:szCs w:val="18"/>
              </w:rPr>
              <w:t>有限公司</w:t>
            </w:r>
            <w:bookmarkEnd w:id="7"/>
          </w:p>
        </w:tc>
        <w:tc>
          <w:tcPr>
            <w:tcW w:w="821" w:type="pct"/>
            <w:vAlign w:val="center"/>
          </w:tcPr>
          <w:p w14:paraId="75014E8E"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四川易冲科技有限公司</w:t>
            </w:r>
          </w:p>
        </w:tc>
        <w:tc>
          <w:tcPr>
            <w:tcW w:w="523" w:type="pct"/>
            <w:vAlign w:val="center"/>
          </w:tcPr>
          <w:p w14:paraId="4E2F92A0"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集成电路设计</w:t>
            </w:r>
          </w:p>
        </w:tc>
        <w:tc>
          <w:tcPr>
            <w:tcW w:w="567" w:type="pct"/>
            <w:vAlign w:val="center"/>
          </w:tcPr>
          <w:p w14:paraId="1218D37A"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2024/12/31</w:t>
            </w:r>
          </w:p>
        </w:tc>
        <w:tc>
          <w:tcPr>
            <w:tcW w:w="599" w:type="pct"/>
            <w:vAlign w:val="center"/>
          </w:tcPr>
          <w:p w14:paraId="5D75B08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交易情况、经营规模、成长能力、偿债能力、运营能力、盈利能力、研发投入、其他因素</w:t>
            </w:r>
          </w:p>
        </w:tc>
        <w:tc>
          <w:tcPr>
            <w:tcW w:w="840" w:type="pct"/>
            <w:vAlign w:val="center"/>
          </w:tcPr>
          <w:p w14:paraId="0701461E"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总资产规模、营业收入、流动比率、速动比率、营运资金周转率、存货周转率、净资产收益率、销售毛利率、研发人员数量、当期研发费用、发展阶段</w:t>
            </w:r>
          </w:p>
        </w:tc>
        <w:tc>
          <w:tcPr>
            <w:tcW w:w="403" w:type="pct"/>
            <w:vAlign w:val="center"/>
          </w:tcPr>
          <w:p w14:paraId="56EBAD09" w14:textId="77777777" w:rsidR="00CD798F" w:rsidRPr="00B339EC" w:rsidRDefault="00CD798F" w:rsidP="00B339EC">
            <w:pPr>
              <w:jc w:val="center"/>
              <w:rPr>
                <w:rFonts w:ascii="Times New Roman" w:hAnsi="Times New Roman"/>
                <w:color w:val="000000"/>
                <w:sz w:val="18"/>
                <w:szCs w:val="18"/>
              </w:rPr>
            </w:pPr>
            <w:bookmarkStart w:id="8" w:name="OLE_LINK40"/>
            <w:r w:rsidRPr="00B339EC">
              <w:rPr>
                <w:rFonts w:ascii="Times New Roman" w:hAnsi="Times New Roman"/>
                <w:color w:val="000000"/>
                <w:sz w:val="18"/>
                <w:szCs w:val="18"/>
              </w:rPr>
              <w:t>已过会</w:t>
            </w:r>
            <w:bookmarkEnd w:id="8"/>
          </w:p>
        </w:tc>
      </w:tr>
      <w:tr w:rsidR="00CD798F" w:rsidRPr="00B339EC" w14:paraId="1D05CE54" w14:textId="77777777" w:rsidTr="00B339EC">
        <w:trPr>
          <w:cantSplit/>
          <w:trHeight w:val="454"/>
          <w:jc w:val="center"/>
        </w:trPr>
        <w:tc>
          <w:tcPr>
            <w:tcW w:w="427" w:type="pct"/>
            <w:vAlign w:val="center"/>
          </w:tcPr>
          <w:p w14:paraId="5E583FC5"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688293</w:t>
            </w:r>
          </w:p>
        </w:tc>
        <w:tc>
          <w:tcPr>
            <w:tcW w:w="820" w:type="pct"/>
            <w:vAlign w:val="center"/>
          </w:tcPr>
          <w:p w14:paraId="7A934FB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上海奥浦迈生物科技股份有限公司</w:t>
            </w:r>
          </w:p>
        </w:tc>
        <w:tc>
          <w:tcPr>
            <w:tcW w:w="821" w:type="pct"/>
            <w:vAlign w:val="center"/>
          </w:tcPr>
          <w:p w14:paraId="00670A70"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澎立生物医药技术（上海）股份有限公司</w:t>
            </w:r>
          </w:p>
        </w:tc>
        <w:tc>
          <w:tcPr>
            <w:tcW w:w="523" w:type="pct"/>
            <w:vAlign w:val="center"/>
          </w:tcPr>
          <w:p w14:paraId="0C081912"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生物医药相关服务</w:t>
            </w:r>
          </w:p>
        </w:tc>
        <w:tc>
          <w:tcPr>
            <w:tcW w:w="567" w:type="pct"/>
            <w:vAlign w:val="center"/>
          </w:tcPr>
          <w:p w14:paraId="2DB68BBA"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2024/12/31</w:t>
            </w:r>
          </w:p>
        </w:tc>
        <w:tc>
          <w:tcPr>
            <w:tcW w:w="599" w:type="pct"/>
            <w:vAlign w:val="center"/>
          </w:tcPr>
          <w:p w14:paraId="4F1B2BA9"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交易日期、交易情况、发展阶段、偿债能力、运营能力、盈利能力、研发投入</w:t>
            </w:r>
          </w:p>
        </w:tc>
        <w:tc>
          <w:tcPr>
            <w:tcW w:w="840" w:type="pct"/>
            <w:vAlign w:val="center"/>
          </w:tcPr>
          <w:p w14:paraId="6066DFD3"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资产负债率、总资产周转率、销售利润率、研发费用率</w:t>
            </w:r>
          </w:p>
        </w:tc>
        <w:tc>
          <w:tcPr>
            <w:tcW w:w="403" w:type="pct"/>
            <w:vAlign w:val="center"/>
          </w:tcPr>
          <w:p w14:paraId="65A599AF"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57692840" w14:textId="77777777" w:rsidTr="00B339EC">
        <w:trPr>
          <w:cantSplit/>
          <w:trHeight w:val="454"/>
          <w:jc w:val="center"/>
        </w:trPr>
        <w:tc>
          <w:tcPr>
            <w:tcW w:w="427" w:type="pct"/>
            <w:vAlign w:val="center"/>
          </w:tcPr>
          <w:p w14:paraId="02C93ABF"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688126</w:t>
            </w:r>
          </w:p>
        </w:tc>
        <w:tc>
          <w:tcPr>
            <w:tcW w:w="820" w:type="pct"/>
            <w:vAlign w:val="center"/>
          </w:tcPr>
          <w:p w14:paraId="7CDF56C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上海硅产业集团股份有限公司</w:t>
            </w:r>
          </w:p>
        </w:tc>
        <w:tc>
          <w:tcPr>
            <w:tcW w:w="821" w:type="pct"/>
            <w:vAlign w:val="center"/>
          </w:tcPr>
          <w:p w14:paraId="1F10DC4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上海新昇晶投半导体科技有限公司、上海新昇晶科半导体科技有限公司、上海新昇晶睿半导体科技有限公司</w:t>
            </w:r>
          </w:p>
        </w:tc>
        <w:tc>
          <w:tcPr>
            <w:tcW w:w="523" w:type="pct"/>
            <w:vAlign w:val="center"/>
          </w:tcPr>
          <w:p w14:paraId="64DF3B0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电子元件及电子专用材料制造</w:t>
            </w:r>
          </w:p>
        </w:tc>
        <w:tc>
          <w:tcPr>
            <w:tcW w:w="567" w:type="pct"/>
            <w:vAlign w:val="center"/>
          </w:tcPr>
          <w:p w14:paraId="62E84DF6"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2024/12/31</w:t>
            </w:r>
          </w:p>
        </w:tc>
        <w:tc>
          <w:tcPr>
            <w:tcW w:w="599" w:type="pct"/>
            <w:vAlign w:val="center"/>
          </w:tcPr>
          <w:p w14:paraId="0503CF15"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规模、成长性、产品、经营模式</w:t>
            </w:r>
          </w:p>
        </w:tc>
        <w:tc>
          <w:tcPr>
            <w:tcW w:w="840" w:type="pct"/>
            <w:vAlign w:val="center"/>
          </w:tcPr>
          <w:p w14:paraId="7E2BFDA4"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规模（大、中、小型）、企业生命周期、产品生命周期、产品结构、附加值、组织架构与供应链、财务指标（不做修正）</w:t>
            </w:r>
          </w:p>
        </w:tc>
        <w:tc>
          <w:tcPr>
            <w:tcW w:w="403" w:type="pct"/>
            <w:vAlign w:val="center"/>
          </w:tcPr>
          <w:p w14:paraId="78AE7270"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r w:rsidR="00CD798F" w:rsidRPr="00B339EC" w14:paraId="3332B708" w14:textId="77777777" w:rsidTr="00B339EC">
        <w:trPr>
          <w:cantSplit/>
          <w:trHeight w:val="454"/>
          <w:jc w:val="center"/>
        </w:trPr>
        <w:tc>
          <w:tcPr>
            <w:tcW w:w="427" w:type="pct"/>
            <w:vAlign w:val="center"/>
          </w:tcPr>
          <w:p w14:paraId="7839F8F0"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688622</w:t>
            </w:r>
          </w:p>
        </w:tc>
        <w:tc>
          <w:tcPr>
            <w:tcW w:w="820" w:type="pct"/>
            <w:vAlign w:val="center"/>
          </w:tcPr>
          <w:p w14:paraId="630FF949"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广州禾信仪器股份有限公司</w:t>
            </w:r>
          </w:p>
        </w:tc>
        <w:tc>
          <w:tcPr>
            <w:tcW w:w="821" w:type="pct"/>
            <w:vAlign w:val="center"/>
          </w:tcPr>
          <w:p w14:paraId="76DB4726"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上海量羲技术有限公司</w:t>
            </w:r>
          </w:p>
        </w:tc>
        <w:tc>
          <w:tcPr>
            <w:tcW w:w="523" w:type="pct"/>
            <w:vAlign w:val="center"/>
          </w:tcPr>
          <w:p w14:paraId="554570A5"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仪器仪表制造</w:t>
            </w:r>
          </w:p>
        </w:tc>
        <w:tc>
          <w:tcPr>
            <w:tcW w:w="567" w:type="pct"/>
            <w:vAlign w:val="center"/>
          </w:tcPr>
          <w:p w14:paraId="63FF3CE3"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2025/6/30</w:t>
            </w:r>
          </w:p>
        </w:tc>
        <w:tc>
          <w:tcPr>
            <w:tcW w:w="599" w:type="pct"/>
            <w:vAlign w:val="center"/>
          </w:tcPr>
          <w:p w14:paraId="51CFAD3A"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不作修正</w:t>
            </w:r>
          </w:p>
        </w:tc>
        <w:tc>
          <w:tcPr>
            <w:tcW w:w="840" w:type="pct"/>
            <w:vAlign w:val="center"/>
          </w:tcPr>
          <w:p w14:paraId="27355EF7"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不涉及</w:t>
            </w:r>
          </w:p>
        </w:tc>
        <w:tc>
          <w:tcPr>
            <w:tcW w:w="403" w:type="pct"/>
            <w:vAlign w:val="center"/>
          </w:tcPr>
          <w:p w14:paraId="4588FBDA"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审核中</w:t>
            </w:r>
          </w:p>
        </w:tc>
      </w:tr>
      <w:tr w:rsidR="00CD798F" w:rsidRPr="00B339EC" w14:paraId="1586F1FB" w14:textId="77777777" w:rsidTr="00B339EC">
        <w:trPr>
          <w:cantSplit/>
          <w:trHeight w:val="454"/>
          <w:jc w:val="center"/>
        </w:trPr>
        <w:tc>
          <w:tcPr>
            <w:tcW w:w="427" w:type="pct"/>
            <w:vAlign w:val="center"/>
          </w:tcPr>
          <w:p w14:paraId="3BA489C5" w14:textId="77777777" w:rsidR="00CD798F" w:rsidRPr="00B339EC" w:rsidRDefault="00CD798F" w:rsidP="00214723">
            <w:pPr>
              <w:jc w:val="right"/>
              <w:rPr>
                <w:rFonts w:ascii="Times New Roman" w:hAnsi="Times New Roman"/>
                <w:color w:val="000000"/>
                <w:sz w:val="18"/>
                <w:szCs w:val="18"/>
              </w:rPr>
            </w:pPr>
            <w:r w:rsidRPr="00B339EC">
              <w:rPr>
                <w:rFonts w:ascii="Times New Roman" w:hAnsi="Times New Roman"/>
                <w:color w:val="000000"/>
                <w:sz w:val="18"/>
                <w:szCs w:val="18"/>
              </w:rPr>
              <w:t>300473</w:t>
            </w:r>
          </w:p>
        </w:tc>
        <w:tc>
          <w:tcPr>
            <w:tcW w:w="820" w:type="pct"/>
            <w:vAlign w:val="center"/>
          </w:tcPr>
          <w:p w14:paraId="32461891"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阜新德尔汽车部件股份有限公司</w:t>
            </w:r>
          </w:p>
        </w:tc>
        <w:tc>
          <w:tcPr>
            <w:tcW w:w="821" w:type="pct"/>
            <w:vAlign w:val="center"/>
          </w:tcPr>
          <w:p w14:paraId="46294FE3"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爱卓智能科技（上海）有限公司</w:t>
            </w:r>
          </w:p>
        </w:tc>
        <w:tc>
          <w:tcPr>
            <w:tcW w:w="523" w:type="pct"/>
            <w:vAlign w:val="center"/>
          </w:tcPr>
          <w:p w14:paraId="39EA8FCE"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汽车覆膜饰件、汽车包覆饰件</w:t>
            </w:r>
          </w:p>
        </w:tc>
        <w:tc>
          <w:tcPr>
            <w:tcW w:w="567" w:type="pct"/>
            <w:vAlign w:val="center"/>
          </w:tcPr>
          <w:p w14:paraId="769BB197" w14:textId="77777777" w:rsidR="00CD798F" w:rsidRPr="00B339EC" w:rsidRDefault="00CD798F" w:rsidP="00214723">
            <w:pPr>
              <w:jc w:val="center"/>
              <w:rPr>
                <w:rFonts w:ascii="Times New Roman" w:hAnsi="Times New Roman"/>
                <w:color w:val="000000"/>
                <w:sz w:val="18"/>
                <w:szCs w:val="18"/>
              </w:rPr>
            </w:pPr>
            <w:r w:rsidRPr="00B339EC">
              <w:rPr>
                <w:rFonts w:ascii="Times New Roman" w:hAnsi="Times New Roman"/>
                <w:color w:val="000000"/>
                <w:sz w:val="18"/>
                <w:szCs w:val="18"/>
              </w:rPr>
              <w:t>2025/6/30</w:t>
            </w:r>
          </w:p>
        </w:tc>
        <w:tc>
          <w:tcPr>
            <w:tcW w:w="599" w:type="pct"/>
            <w:vAlign w:val="center"/>
          </w:tcPr>
          <w:p w14:paraId="4DF8F34D"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营运能力、偿债能力、盈利能力、发展能力、规模状况</w:t>
            </w:r>
          </w:p>
        </w:tc>
        <w:tc>
          <w:tcPr>
            <w:tcW w:w="840" w:type="pct"/>
            <w:vAlign w:val="center"/>
          </w:tcPr>
          <w:p w14:paraId="629ABE24" w14:textId="77777777" w:rsidR="00CD798F" w:rsidRPr="00B339EC" w:rsidRDefault="00CD798F" w:rsidP="00214723">
            <w:pPr>
              <w:rPr>
                <w:rFonts w:ascii="Times New Roman" w:hAnsi="Times New Roman"/>
                <w:color w:val="000000"/>
                <w:sz w:val="18"/>
                <w:szCs w:val="18"/>
              </w:rPr>
            </w:pPr>
            <w:r w:rsidRPr="00B339EC">
              <w:rPr>
                <w:rFonts w:ascii="Times New Roman" w:hAnsi="Times New Roman"/>
                <w:color w:val="000000"/>
                <w:sz w:val="18"/>
                <w:szCs w:val="18"/>
              </w:rPr>
              <w:t>总资产周转率、净资产周转率、速动比率、资产负债率、销售毛利率、净资产收益率、营业收入增长率、扣非归母净利润增长率、销售收入、资产规模</w:t>
            </w:r>
          </w:p>
        </w:tc>
        <w:tc>
          <w:tcPr>
            <w:tcW w:w="403" w:type="pct"/>
            <w:vAlign w:val="center"/>
          </w:tcPr>
          <w:p w14:paraId="657D5DDE" w14:textId="77777777" w:rsidR="00CD798F" w:rsidRPr="00B339EC" w:rsidRDefault="00CD798F" w:rsidP="00B339EC">
            <w:pPr>
              <w:jc w:val="center"/>
              <w:rPr>
                <w:rFonts w:ascii="Times New Roman" w:hAnsi="Times New Roman"/>
                <w:color w:val="000000"/>
                <w:sz w:val="18"/>
                <w:szCs w:val="18"/>
              </w:rPr>
            </w:pPr>
            <w:r w:rsidRPr="00B339EC">
              <w:rPr>
                <w:rFonts w:ascii="Times New Roman" w:hAnsi="Times New Roman"/>
                <w:color w:val="000000"/>
                <w:sz w:val="18"/>
                <w:szCs w:val="18"/>
              </w:rPr>
              <w:t>已过会</w:t>
            </w:r>
          </w:p>
        </w:tc>
      </w:tr>
    </w:tbl>
    <w:p w14:paraId="74FDE5F9"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sz w:val="24"/>
          <w:szCs w:val="24"/>
        </w:rPr>
        <w:t>由上表可知，本次评估选取的修正维度及财务指标与市场案例整体类似，不存在</w:t>
      </w:r>
      <w:r w:rsidRPr="00D95B42">
        <w:rPr>
          <w:rFonts w:ascii="Times New Roman" w:hAnsi="Times New Roman"/>
          <w:sz w:val="24"/>
          <w:szCs w:val="24"/>
        </w:rPr>
        <w:lastRenderedPageBreak/>
        <w:t>重大差异。</w:t>
      </w:r>
    </w:p>
    <w:p w14:paraId="4B6C7FB6" w14:textId="77777777" w:rsidR="00CD798F" w:rsidRPr="003B070B" w:rsidRDefault="00CD798F" w:rsidP="00CD798F">
      <w:pPr>
        <w:spacing w:before="120" w:after="120" w:line="360" w:lineRule="auto"/>
        <w:ind w:firstLine="480"/>
        <w:rPr>
          <w:rFonts w:ascii="宋体" w:hAnsi="宋体" w:hint="eastAsia"/>
          <w:sz w:val="24"/>
          <w:szCs w:val="24"/>
        </w:rPr>
      </w:pPr>
      <w:r w:rsidRPr="00D95B42">
        <w:rPr>
          <w:rFonts w:ascii="Times New Roman" w:hAnsi="Times New Roman"/>
          <w:sz w:val="24"/>
          <w:szCs w:val="24"/>
        </w:rPr>
        <w:t>综上，本次评估根据准则要求，充分考虑标的公司及可比公司所属细分行业特点并结合市场案例对修正维度及财务指标进行选取，修正维度及财务指标能较好地反映不同公司的企业价值之间的核心差异，具备合理性。</w:t>
      </w:r>
    </w:p>
    <w:p w14:paraId="1C6C4582" w14:textId="77777777" w:rsidR="00CD798F" w:rsidRPr="003B070B" w:rsidRDefault="00CD798F" w:rsidP="00CD798F">
      <w:pPr>
        <w:keepNext/>
        <w:keepLines/>
        <w:spacing w:before="120" w:after="120" w:line="360" w:lineRule="auto"/>
        <w:ind w:firstLine="482"/>
        <w:outlineLvl w:val="2"/>
        <w:rPr>
          <w:rFonts w:ascii="宋体" w:hAnsi="宋体" w:hint="eastAsia"/>
          <w:b/>
          <w:bCs/>
          <w:sz w:val="24"/>
          <w:szCs w:val="24"/>
        </w:rPr>
      </w:pPr>
      <w:r w:rsidRPr="003B070B">
        <w:rPr>
          <w:rFonts w:ascii="宋体" w:hAnsi="宋体"/>
          <w:b/>
          <w:bCs/>
          <w:sz w:val="24"/>
          <w:szCs w:val="24"/>
        </w:rPr>
        <w:t>（</w:t>
      </w:r>
      <w:r w:rsidRPr="003B070B">
        <w:rPr>
          <w:rFonts w:ascii="宋体" w:hAnsi="宋体" w:hint="eastAsia"/>
          <w:b/>
          <w:bCs/>
          <w:sz w:val="24"/>
          <w:szCs w:val="24"/>
        </w:rPr>
        <w:t>二</w:t>
      </w:r>
      <w:r w:rsidRPr="003B070B">
        <w:rPr>
          <w:rFonts w:ascii="宋体" w:hAnsi="宋体"/>
          <w:b/>
          <w:bCs/>
          <w:sz w:val="24"/>
          <w:szCs w:val="24"/>
        </w:rPr>
        <w:t>）</w:t>
      </w:r>
      <w:r w:rsidRPr="003B070B">
        <w:rPr>
          <w:rFonts w:ascii="宋体" w:hAnsi="宋体" w:hint="eastAsia"/>
          <w:b/>
          <w:bCs/>
          <w:sz w:val="24"/>
          <w:szCs w:val="24"/>
        </w:rPr>
        <w:t>各可比公司调整后EV/S指标存在差异的原因及合理性</w:t>
      </w:r>
    </w:p>
    <w:p w14:paraId="00B33E48" w14:textId="2B6A105E"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各可比公司调整后</w:t>
      </w:r>
      <w:r w:rsidRPr="00D95B42">
        <w:rPr>
          <w:rFonts w:ascii="Times New Roman" w:hAnsi="Times New Roman"/>
          <w:sz w:val="24"/>
          <w:szCs w:val="24"/>
        </w:rPr>
        <w:t>EV/S</w:t>
      </w:r>
      <w:r w:rsidRPr="00D95B42">
        <w:rPr>
          <w:rFonts w:ascii="Times New Roman" w:hAnsi="Times New Roman"/>
          <w:sz w:val="24"/>
          <w:szCs w:val="24"/>
        </w:rPr>
        <w:t>价值比率存在差异</w:t>
      </w:r>
      <w:r w:rsidR="006122E0">
        <w:rPr>
          <w:rFonts w:ascii="Times New Roman" w:hAnsi="Times New Roman" w:hint="eastAsia"/>
          <w:sz w:val="24"/>
          <w:szCs w:val="24"/>
        </w:rPr>
        <w:t>在</w:t>
      </w:r>
      <w:r w:rsidRPr="00D95B42">
        <w:rPr>
          <w:rFonts w:ascii="Times New Roman" w:hAnsi="Times New Roman"/>
          <w:sz w:val="24"/>
          <w:szCs w:val="24"/>
        </w:rPr>
        <w:t>市场法评估中</w:t>
      </w:r>
      <w:r w:rsidR="006122E0">
        <w:rPr>
          <w:rFonts w:ascii="Times New Roman" w:hAnsi="Times New Roman" w:hint="eastAsia"/>
          <w:sz w:val="24"/>
          <w:szCs w:val="24"/>
        </w:rPr>
        <w:t>较为常见</w:t>
      </w:r>
      <w:r w:rsidRPr="00D95B42">
        <w:rPr>
          <w:rFonts w:ascii="Times New Roman" w:hAnsi="Times New Roman"/>
          <w:sz w:val="24"/>
          <w:szCs w:val="24"/>
        </w:rPr>
        <w:t>，市场股价行情的波动亦会导致差异的变化。经查询，近年来</w:t>
      </w:r>
      <w:r w:rsidRPr="00D95B42">
        <w:rPr>
          <w:rFonts w:ascii="Times New Roman" w:hAnsi="Times New Roman"/>
          <w:sz w:val="24"/>
          <w:szCs w:val="24"/>
        </w:rPr>
        <w:t>A</w:t>
      </w:r>
      <w:r w:rsidRPr="00D95B42">
        <w:rPr>
          <w:rFonts w:ascii="Times New Roman" w:hAnsi="Times New Roman"/>
          <w:sz w:val="24"/>
          <w:szCs w:val="24"/>
        </w:rPr>
        <w:t>股市场公开披露的重组交易案例，存在修正后价值比率差异率与本次评估情况接近的情况，具体交易案例如下：</w:t>
      </w:r>
    </w:p>
    <w:tbl>
      <w:tblPr>
        <w:tblW w:w="4889" w:type="pct"/>
        <w:jc w:val="center"/>
        <w:tblBorders>
          <w:top w:val="thinThickSmallGap" w:sz="24" w:space="0" w:color="auto"/>
          <w:left w:val="single" w:sz="4" w:space="0" w:color="auto"/>
          <w:bottom w:val="thinThickSmallGap" w:sz="24" w:space="0" w:color="auto"/>
          <w:right w:val="single" w:sz="4" w:space="0" w:color="auto"/>
          <w:insideH w:val="single" w:sz="4" w:space="0" w:color="auto"/>
          <w:insideV w:val="single" w:sz="4" w:space="0" w:color="auto"/>
        </w:tblBorders>
        <w:tblLook w:val="04A0" w:firstRow="1" w:lastRow="0" w:firstColumn="1" w:lastColumn="0" w:noHBand="0" w:noVBand="1"/>
      </w:tblPr>
      <w:tblGrid>
        <w:gridCol w:w="1289"/>
        <w:gridCol w:w="1194"/>
        <w:gridCol w:w="1185"/>
        <w:gridCol w:w="1286"/>
        <w:gridCol w:w="1446"/>
        <w:gridCol w:w="1480"/>
        <w:gridCol w:w="980"/>
      </w:tblGrid>
      <w:tr w:rsidR="00CD798F" w:rsidRPr="00D95B42" w14:paraId="4CB8E60F" w14:textId="77777777" w:rsidTr="00214723">
        <w:trPr>
          <w:cantSplit/>
          <w:trHeight w:val="454"/>
          <w:tblHeader/>
          <w:jc w:val="center"/>
        </w:trPr>
        <w:tc>
          <w:tcPr>
            <w:tcW w:w="727" w:type="pct"/>
            <w:vAlign w:val="center"/>
          </w:tcPr>
          <w:p w14:paraId="77691084"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证券代码</w:t>
            </w:r>
          </w:p>
        </w:tc>
        <w:tc>
          <w:tcPr>
            <w:tcW w:w="673" w:type="pct"/>
            <w:vAlign w:val="center"/>
          </w:tcPr>
          <w:p w14:paraId="14AB9949"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上市公司</w:t>
            </w:r>
          </w:p>
        </w:tc>
        <w:tc>
          <w:tcPr>
            <w:tcW w:w="669" w:type="pct"/>
            <w:vAlign w:val="center"/>
          </w:tcPr>
          <w:p w14:paraId="162431CE"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评估标的</w:t>
            </w:r>
          </w:p>
        </w:tc>
        <w:tc>
          <w:tcPr>
            <w:tcW w:w="726" w:type="pct"/>
            <w:vAlign w:val="center"/>
          </w:tcPr>
          <w:p w14:paraId="05976CBA"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评估基准日</w:t>
            </w:r>
          </w:p>
        </w:tc>
        <w:tc>
          <w:tcPr>
            <w:tcW w:w="816" w:type="pct"/>
            <w:vAlign w:val="center"/>
          </w:tcPr>
          <w:p w14:paraId="1D32DA96"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价值比率</w:t>
            </w:r>
          </w:p>
        </w:tc>
        <w:tc>
          <w:tcPr>
            <w:tcW w:w="835" w:type="pct"/>
            <w:vAlign w:val="center"/>
          </w:tcPr>
          <w:p w14:paraId="42F87D1D"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修正后的价值比率</w:t>
            </w:r>
          </w:p>
        </w:tc>
        <w:tc>
          <w:tcPr>
            <w:tcW w:w="553" w:type="pct"/>
            <w:vAlign w:val="center"/>
          </w:tcPr>
          <w:p w14:paraId="51E4AC75" w14:textId="77777777" w:rsidR="00CD798F" w:rsidRPr="00D95B42" w:rsidRDefault="00CD798F" w:rsidP="00214723">
            <w:pPr>
              <w:keepNext/>
              <w:jc w:val="center"/>
              <w:rPr>
                <w:rFonts w:ascii="Times New Roman" w:hAnsi="Times New Roman"/>
                <w:b/>
                <w:color w:val="000000"/>
              </w:rPr>
            </w:pPr>
            <w:r w:rsidRPr="00D95B42">
              <w:rPr>
                <w:rFonts w:ascii="Times New Roman" w:hAnsi="Times New Roman"/>
                <w:b/>
                <w:color w:val="000000"/>
              </w:rPr>
              <w:t>修正后离散度</w:t>
            </w:r>
          </w:p>
        </w:tc>
      </w:tr>
      <w:tr w:rsidR="00CD798F" w:rsidRPr="00D95B42" w14:paraId="7279EF59" w14:textId="77777777" w:rsidTr="00214723">
        <w:trPr>
          <w:cantSplit/>
          <w:trHeight w:val="454"/>
          <w:jc w:val="center"/>
        </w:trPr>
        <w:tc>
          <w:tcPr>
            <w:tcW w:w="727" w:type="pct"/>
            <w:vMerge w:val="restart"/>
            <w:vAlign w:val="center"/>
          </w:tcPr>
          <w:p w14:paraId="6C5EBA51"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000599.SZ</w:t>
            </w:r>
          </w:p>
        </w:tc>
        <w:tc>
          <w:tcPr>
            <w:tcW w:w="673" w:type="pct"/>
            <w:vMerge w:val="restart"/>
            <w:vAlign w:val="center"/>
          </w:tcPr>
          <w:p w14:paraId="091EB2B6"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青岛双星</w:t>
            </w:r>
          </w:p>
        </w:tc>
        <w:tc>
          <w:tcPr>
            <w:tcW w:w="669" w:type="pct"/>
            <w:vMerge w:val="restart"/>
            <w:vAlign w:val="center"/>
          </w:tcPr>
          <w:p w14:paraId="79BA983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青岛星微国际投资有限公司下属企业持有的锦湖轮胎株式会社</w:t>
            </w:r>
          </w:p>
        </w:tc>
        <w:tc>
          <w:tcPr>
            <w:tcW w:w="726" w:type="pct"/>
            <w:vMerge w:val="restart"/>
            <w:vAlign w:val="center"/>
          </w:tcPr>
          <w:p w14:paraId="066DE38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2023/12/31</w:t>
            </w:r>
          </w:p>
        </w:tc>
        <w:tc>
          <w:tcPr>
            <w:tcW w:w="816" w:type="pct"/>
            <w:vAlign w:val="center"/>
          </w:tcPr>
          <w:p w14:paraId="40BF57FD"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P/E</w:t>
            </w:r>
          </w:p>
        </w:tc>
        <w:tc>
          <w:tcPr>
            <w:tcW w:w="835" w:type="pct"/>
            <w:vAlign w:val="center"/>
          </w:tcPr>
          <w:p w14:paraId="079F4E7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11.73</w:t>
            </w:r>
            <w:r w:rsidRPr="00D95B42">
              <w:rPr>
                <w:rFonts w:ascii="Times New Roman" w:hAnsi="Times New Roman"/>
                <w:color w:val="000000"/>
              </w:rPr>
              <w:t>、</w:t>
            </w:r>
            <w:r w:rsidRPr="00D95B42">
              <w:rPr>
                <w:rFonts w:ascii="Times New Roman" w:hAnsi="Times New Roman"/>
                <w:color w:val="000000"/>
              </w:rPr>
              <w:t>20.53</w:t>
            </w:r>
            <w:r w:rsidRPr="00D95B42">
              <w:rPr>
                <w:rFonts w:ascii="Times New Roman" w:hAnsi="Times New Roman"/>
                <w:color w:val="000000"/>
              </w:rPr>
              <w:t>、</w:t>
            </w:r>
            <w:r w:rsidRPr="00D95B42">
              <w:rPr>
                <w:rFonts w:ascii="Times New Roman" w:hAnsi="Times New Roman"/>
                <w:color w:val="000000"/>
              </w:rPr>
              <w:t>13.97</w:t>
            </w:r>
            <w:r w:rsidRPr="00D95B42">
              <w:rPr>
                <w:rFonts w:ascii="Times New Roman" w:hAnsi="Times New Roman"/>
                <w:color w:val="000000"/>
              </w:rPr>
              <w:t>、</w:t>
            </w:r>
            <w:r w:rsidRPr="00D95B42">
              <w:rPr>
                <w:rFonts w:ascii="Times New Roman" w:hAnsi="Times New Roman"/>
                <w:color w:val="000000"/>
              </w:rPr>
              <w:t>7.54</w:t>
            </w:r>
          </w:p>
        </w:tc>
        <w:tc>
          <w:tcPr>
            <w:tcW w:w="553" w:type="pct"/>
            <w:vAlign w:val="center"/>
          </w:tcPr>
          <w:p w14:paraId="0592F97D"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0.40</w:t>
            </w:r>
          </w:p>
        </w:tc>
      </w:tr>
      <w:tr w:rsidR="00CD798F" w:rsidRPr="00D95B42" w14:paraId="067FB569" w14:textId="77777777" w:rsidTr="00214723">
        <w:trPr>
          <w:cantSplit/>
          <w:trHeight w:val="454"/>
          <w:jc w:val="center"/>
        </w:trPr>
        <w:tc>
          <w:tcPr>
            <w:tcW w:w="727" w:type="pct"/>
            <w:vMerge/>
            <w:vAlign w:val="center"/>
          </w:tcPr>
          <w:p w14:paraId="4AE01959" w14:textId="77777777" w:rsidR="00CD798F" w:rsidRPr="00D95B42" w:rsidRDefault="00CD798F" w:rsidP="00214723">
            <w:pPr>
              <w:jc w:val="center"/>
              <w:rPr>
                <w:rFonts w:ascii="Times New Roman" w:hAnsi="Times New Roman"/>
                <w:color w:val="000000"/>
              </w:rPr>
            </w:pPr>
          </w:p>
        </w:tc>
        <w:tc>
          <w:tcPr>
            <w:tcW w:w="673" w:type="pct"/>
            <w:vMerge/>
            <w:vAlign w:val="center"/>
          </w:tcPr>
          <w:p w14:paraId="12395A74" w14:textId="77777777" w:rsidR="00CD798F" w:rsidRPr="00D95B42" w:rsidRDefault="00CD798F" w:rsidP="00214723">
            <w:pPr>
              <w:jc w:val="center"/>
              <w:rPr>
                <w:rFonts w:ascii="Times New Roman" w:hAnsi="Times New Roman"/>
                <w:color w:val="000000"/>
              </w:rPr>
            </w:pPr>
          </w:p>
        </w:tc>
        <w:tc>
          <w:tcPr>
            <w:tcW w:w="669" w:type="pct"/>
            <w:vMerge/>
            <w:vAlign w:val="center"/>
          </w:tcPr>
          <w:p w14:paraId="3D4FD5EE" w14:textId="77777777" w:rsidR="00CD798F" w:rsidRPr="00D95B42" w:rsidRDefault="00CD798F" w:rsidP="00214723">
            <w:pPr>
              <w:rPr>
                <w:rFonts w:ascii="Times New Roman" w:hAnsi="Times New Roman"/>
                <w:color w:val="000000"/>
              </w:rPr>
            </w:pPr>
          </w:p>
        </w:tc>
        <w:tc>
          <w:tcPr>
            <w:tcW w:w="726" w:type="pct"/>
            <w:vMerge/>
            <w:vAlign w:val="center"/>
          </w:tcPr>
          <w:p w14:paraId="3ACED15F" w14:textId="77777777" w:rsidR="00CD798F" w:rsidRPr="00D95B42" w:rsidRDefault="00CD798F" w:rsidP="00214723">
            <w:pPr>
              <w:rPr>
                <w:rFonts w:ascii="Times New Roman" w:hAnsi="Times New Roman"/>
                <w:color w:val="000000"/>
              </w:rPr>
            </w:pPr>
          </w:p>
        </w:tc>
        <w:tc>
          <w:tcPr>
            <w:tcW w:w="816" w:type="pct"/>
            <w:vAlign w:val="center"/>
          </w:tcPr>
          <w:p w14:paraId="2B42EF0C"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P/B</w:t>
            </w:r>
          </w:p>
        </w:tc>
        <w:tc>
          <w:tcPr>
            <w:tcW w:w="835" w:type="pct"/>
            <w:vAlign w:val="center"/>
          </w:tcPr>
          <w:p w14:paraId="41D9686A"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2.44</w:t>
            </w:r>
            <w:r w:rsidRPr="00D95B42">
              <w:rPr>
                <w:rFonts w:ascii="Times New Roman" w:hAnsi="Times New Roman"/>
                <w:color w:val="000000"/>
              </w:rPr>
              <w:t>、</w:t>
            </w:r>
            <w:r w:rsidRPr="00D95B42">
              <w:rPr>
                <w:rFonts w:ascii="Times New Roman" w:hAnsi="Times New Roman"/>
                <w:color w:val="000000"/>
              </w:rPr>
              <w:t>1.37</w:t>
            </w:r>
            <w:r w:rsidRPr="00D95B42">
              <w:rPr>
                <w:rFonts w:ascii="Times New Roman" w:hAnsi="Times New Roman"/>
                <w:color w:val="000000"/>
              </w:rPr>
              <w:t>、</w:t>
            </w:r>
            <w:r w:rsidRPr="00D95B42">
              <w:rPr>
                <w:rFonts w:ascii="Times New Roman" w:hAnsi="Times New Roman"/>
                <w:color w:val="000000"/>
              </w:rPr>
              <w:t>2.10</w:t>
            </w:r>
            <w:r w:rsidRPr="00D95B42">
              <w:rPr>
                <w:rFonts w:ascii="Times New Roman" w:hAnsi="Times New Roman"/>
                <w:color w:val="000000"/>
              </w:rPr>
              <w:t>、</w:t>
            </w:r>
            <w:r w:rsidRPr="00D95B42">
              <w:rPr>
                <w:rFonts w:ascii="Times New Roman" w:hAnsi="Times New Roman"/>
                <w:color w:val="000000"/>
              </w:rPr>
              <w:t>0.57</w:t>
            </w:r>
          </w:p>
        </w:tc>
        <w:tc>
          <w:tcPr>
            <w:tcW w:w="553" w:type="pct"/>
            <w:vAlign w:val="center"/>
          </w:tcPr>
          <w:p w14:paraId="4C87882B"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0.72</w:t>
            </w:r>
          </w:p>
        </w:tc>
      </w:tr>
      <w:tr w:rsidR="00CD798F" w:rsidRPr="00D95B42" w14:paraId="7212C7B7" w14:textId="77777777" w:rsidTr="00214723">
        <w:trPr>
          <w:cantSplit/>
          <w:trHeight w:val="454"/>
          <w:jc w:val="center"/>
        </w:trPr>
        <w:tc>
          <w:tcPr>
            <w:tcW w:w="727" w:type="pct"/>
            <w:vMerge w:val="restart"/>
            <w:vAlign w:val="center"/>
          </w:tcPr>
          <w:p w14:paraId="6C5F442D"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603358.SH</w:t>
            </w:r>
          </w:p>
        </w:tc>
        <w:tc>
          <w:tcPr>
            <w:tcW w:w="673" w:type="pct"/>
            <w:vMerge w:val="restart"/>
            <w:vAlign w:val="center"/>
          </w:tcPr>
          <w:p w14:paraId="1DC753AF"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华达科技</w:t>
            </w:r>
          </w:p>
        </w:tc>
        <w:tc>
          <w:tcPr>
            <w:tcW w:w="669" w:type="pct"/>
            <w:vMerge w:val="restart"/>
            <w:vAlign w:val="center"/>
          </w:tcPr>
          <w:p w14:paraId="02E2124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江苏恒义工业技术有限公司</w:t>
            </w:r>
          </w:p>
        </w:tc>
        <w:tc>
          <w:tcPr>
            <w:tcW w:w="726" w:type="pct"/>
            <w:vMerge w:val="restart"/>
            <w:vAlign w:val="center"/>
          </w:tcPr>
          <w:p w14:paraId="35E30B8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2024/06/30</w:t>
            </w:r>
          </w:p>
        </w:tc>
        <w:tc>
          <w:tcPr>
            <w:tcW w:w="816" w:type="pct"/>
            <w:vAlign w:val="center"/>
          </w:tcPr>
          <w:p w14:paraId="623CF6B5"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P/B</w:t>
            </w:r>
          </w:p>
        </w:tc>
        <w:tc>
          <w:tcPr>
            <w:tcW w:w="835" w:type="pct"/>
            <w:vAlign w:val="center"/>
          </w:tcPr>
          <w:p w14:paraId="57D159F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2.78</w:t>
            </w:r>
            <w:r w:rsidRPr="00D95B42">
              <w:rPr>
                <w:rFonts w:ascii="Times New Roman" w:hAnsi="Times New Roman"/>
                <w:color w:val="000000"/>
              </w:rPr>
              <w:t>、</w:t>
            </w:r>
            <w:r w:rsidRPr="00D95B42">
              <w:rPr>
                <w:rFonts w:ascii="Times New Roman" w:hAnsi="Times New Roman"/>
                <w:color w:val="000000"/>
              </w:rPr>
              <w:t>3.65</w:t>
            </w:r>
            <w:r w:rsidRPr="00D95B42">
              <w:rPr>
                <w:rFonts w:ascii="Times New Roman" w:hAnsi="Times New Roman"/>
                <w:color w:val="000000"/>
              </w:rPr>
              <w:t>、</w:t>
            </w:r>
            <w:r w:rsidRPr="00D95B42">
              <w:rPr>
                <w:rFonts w:ascii="Times New Roman" w:hAnsi="Times New Roman"/>
                <w:color w:val="000000"/>
              </w:rPr>
              <w:t>3.55</w:t>
            </w:r>
          </w:p>
        </w:tc>
        <w:tc>
          <w:tcPr>
            <w:tcW w:w="553" w:type="pct"/>
            <w:vAlign w:val="center"/>
          </w:tcPr>
          <w:p w14:paraId="15762FC1"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0.14</w:t>
            </w:r>
          </w:p>
        </w:tc>
      </w:tr>
      <w:tr w:rsidR="00CD798F" w:rsidRPr="00D95B42" w14:paraId="2850A061" w14:textId="77777777" w:rsidTr="00214723">
        <w:trPr>
          <w:cantSplit/>
          <w:trHeight w:val="454"/>
          <w:jc w:val="center"/>
        </w:trPr>
        <w:tc>
          <w:tcPr>
            <w:tcW w:w="727" w:type="pct"/>
            <w:vMerge/>
            <w:vAlign w:val="center"/>
          </w:tcPr>
          <w:p w14:paraId="5584B80E" w14:textId="77777777" w:rsidR="00CD798F" w:rsidRPr="00D95B42" w:rsidRDefault="00CD798F" w:rsidP="00214723">
            <w:pPr>
              <w:jc w:val="center"/>
              <w:rPr>
                <w:rFonts w:ascii="Times New Roman" w:hAnsi="Times New Roman"/>
                <w:color w:val="000000"/>
              </w:rPr>
            </w:pPr>
          </w:p>
        </w:tc>
        <w:tc>
          <w:tcPr>
            <w:tcW w:w="673" w:type="pct"/>
            <w:vMerge/>
            <w:vAlign w:val="center"/>
          </w:tcPr>
          <w:p w14:paraId="5F95E599" w14:textId="77777777" w:rsidR="00CD798F" w:rsidRPr="00D95B42" w:rsidRDefault="00CD798F" w:rsidP="00214723">
            <w:pPr>
              <w:jc w:val="center"/>
              <w:rPr>
                <w:rFonts w:ascii="Times New Roman" w:hAnsi="Times New Roman"/>
                <w:color w:val="000000"/>
              </w:rPr>
            </w:pPr>
          </w:p>
        </w:tc>
        <w:tc>
          <w:tcPr>
            <w:tcW w:w="669" w:type="pct"/>
            <w:vMerge/>
            <w:vAlign w:val="center"/>
          </w:tcPr>
          <w:p w14:paraId="149609BC" w14:textId="77777777" w:rsidR="00CD798F" w:rsidRPr="00D95B42" w:rsidRDefault="00CD798F" w:rsidP="00214723">
            <w:pPr>
              <w:rPr>
                <w:rFonts w:ascii="Times New Roman" w:hAnsi="Times New Roman"/>
                <w:color w:val="000000"/>
              </w:rPr>
            </w:pPr>
          </w:p>
        </w:tc>
        <w:tc>
          <w:tcPr>
            <w:tcW w:w="726" w:type="pct"/>
            <w:vMerge/>
            <w:vAlign w:val="center"/>
          </w:tcPr>
          <w:p w14:paraId="5B001B08" w14:textId="77777777" w:rsidR="00CD798F" w:rsidRPr="00D95B42" w:rsidRDefault="00CD798F" w:rsidP="00214723">
            <w:pPr>
              <w:rPr>
                <w:rFonts w:ascii="Times New Roman" w:hAnsi="Times New Roman"/>
                <w:color w:val="000000"/>
              </w:rPr>
            </w:pPr>
          </w:p>
        </w:tc>
        <w:tc>
          <w:tcPr>
            <w:tcW w:w="816" w:type="pct"/>
            <w:vAlign w:val="center"/>
          </w:tcPr>
          <w:p w14:paraId="2E19E26A"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EV/EBITDA</w:t>
            </w:r>
          </w:p>
        </w:tc>
        <w:tc>
          <w:tcPr>
            <w:tcW w:w="835" w:type="pct"/>
            <w:vAlign w:val="center"/>
          </w:tcPr>
          <w:p w14:paraId="320FD48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10.52</w:t>
            </w:r>
            <w:r w:rsidRPr="00D95B42">
              <w:rPr>
                <w:rFonts w:ascii="Times New Roman" w:hAnsi="Times New Roman"/>
                <w:color w:val="000000"/>
              </w:rPr>
              <w:t>、</w:t>
            </w:r>
            <w:r w:rsidRPr="00D95B42">
              <w:rPr>
                <w:rFonts w:ascii="Times New Roman" w:hAnsi="Times New Roman"/>
                <w:color w:val="000000"/>
              </w:rPr>
              <w:t>12.14</w:t>
            </w:r>
            <w:r w:rsidRPr="00D95B42">
              <w:rPr>
                <w:rFonts w:ascii="Times New Roman" w:hAnsi="Times New Roman"/>
                <w:color w:val="000000"/>
              </w:rPr>
              <w:t>、</w:t>
            </w:r>
            <w:r w:rsidRPr="00D95B42">
              <w:rPr>
                <w:rFonts w:ascii="Times New Roman" w:hAnsi="Times New Roman"/>
                <w:color w:val="000000"/>
              </w:rPr>
              <w:t>14.37</w:t>
            </w:r>
          </w:p>
        </w:tc>
        <w:tc>
          <w:tcPr>
            <w:tcW w:w="553" w:type="pct"/>
            <w:vAlign w:val="center"/>
          </w:tcPr>
          <w:p w14:paraId="2459E91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1.58</w:t>
            </w:r>
          </w:p>
        </w:tc>
      </w:tr>
      <w:tr w:rsidR="00CD798F" w:rsidRPr="00D95B42" w14:paraId="24A05832" w14:textId="77777777" w:rsidTr="00214723">
        <w:trPr>
          <w:cantSplit/>
          <w:trHeight w:val="454"/>
          <w:jc w:val="center"/>
        </w:trPr>
        <w:tc>
          <w:tcPr>
            <w:tcW w:w="727" w:type="pct"/>
            <w:vAlign w:val="center"/>
          </w:tcPr>
          <w:p w14:paraId="38256E79"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688368.SH</w:t>
            </w:r>
          </w:p>
        </w:tc>
        <w:tc>
          <w:tcPr>
            <w:tcW w:w="673" w:type="pct"/>
            <w:vAlign w:val="center"/>
          </w:tcPr>
          <w:p w14:paraId="0F0BEB81"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晶丰明源</w:t>
            </w:r>
          </w:p>
        </w:tc>
        <w:tc>
          <w:tcPr>
            <w:tcW w:w="669" w:type="pct"/>
            <w:vAlign w:val="center"/>
          </w:tcPr>
          <w:p w14:paraId="57567BA5"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四川易冲科技有限公司</w:t>
            </w:r>
          </w:p>
        </w:tc>
        <w:tc>
          <w:tcPr>
            <w:tcW w:w="726" w:type="pct"/>
            <w:vAlign w:val="center"/>
          </w:tcPr>
          <w:p w14:paraId="2BD2433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2024/12/31</w:t>
            </w:r>
          </w:p>
        </w:tc>
        <w:tc>
          <w:tcPr>
            <w:tcW w:w="816" w:type="pct"/>
            <w:vAlign w:val="center"/>
          </w:tcPr>
          <w:p w14:paraId="3C6A038D"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EV/S</w:t>
            </w:r>
          </w:p>
        </w:tc>
        <w:tc>
          <w:tcPr>
            <w:tcW w:w="835" w:type="pct"/>
            <w:vAlign w:val="center"/>
          </w:tcPr>
          <w:p w14:paraId="4A171F4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4.00</w:t>
            </w:r>
            <w:r w:rsidRPr="00D95B42">
              <w:rPr>
                <w:rFonts w:ascii="Times New Roman" w:hAnsi="Times New Roman"/>
                <w:color w:val="000000"/>
              </w:rPr>
              <w:t>、</w:t>
            </w:r>
            <w:r w:rsidRPr="00D95B42">
              <w:rPr>
                <w:rFonts w:ascii="Times New Roman" w:hAnsi="Times New Roman"/>
                <w:color w:val="000000"/>
              </w:rPr>
              <w:t>4.14</w:t>
            </w:r>
            <w:r w:rsidRPr="00D95B42">
              <w:rPr>
                <w:rFonts w:ascii="Times New Roman" w:hAnsi="Times New Roman"/>
                <w:color w:val="000000"/>
              </w:rPr>
              <w:t>、</w:t>
            </w:r>
            <w:r w:rsidRPr="00D95B42">
              <w:rPr>
                <w:rFonts w:ascii="Times New Roman" w:hAnsi="Times New Roman"/>
                <w:color w:val="000000"/>
              </w:rPr>
              <w:t>6.17</w:t>
            </w:r>
            <w:r w:rsidRPr="00D95B42">
              <w:rPr>
                <w:rFonts w:ascii="Times New Roman" w:hAnsi="Times New Roman"/>
                <w:color w:val="000000"/>
              </w:rPr>
              <w:t>、</w:t>
            </w:r>
            <w:r w:rsidRPr="00D95B42">
              <w:rPr>
                <w:rFonts w:ascii="Times New Roman" w:hAnsi="Times New Roman"/>
                <w:color w:val="000000"/>
              </w:rPr>
              <w:t>4.14</w:t>
            </w:r>
            <w:r w:rsidRPr="00D95B42">
              <w:rPr>
                <w:rFonts w:ascii="Times New Roman" w:hAnsi="Times New Roman"/>
                <w:color w:val="000000"/>
              </w:rPr>
              <w:t>、</w:t>
            </w:r>
            <w:r w:rsidRPr="00D95B42">
              <w:rPr>
                <w:rFonts w:ascii="Times New Roman" w:hAnsi="Times New Roman"/>
                <w:color w:val="000000"/>
              </w:rPr>
              <w:t>5.18</w:t>
            </w:r>
          </w:p>
        </w:tc>
        <w:tc>
          <w:tcPr>
            <w:tcW w:w="553" w:type="pct"/>
            <w:vAlign w:val="center"/>
          </w:tcPr>
          <w:p w14:paraId="7416AAB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0.84</w:t>
            </w:r>
          </w:p>
        </w:tc>
      </w:tr>
      <w:tr w:rsidR="00CD798F" w:rsidRPr="00D95B42" w14:paraId="14B461D0" w14:textId="77777777" w:rsidTr="00214723">
        <w:trPr>
          <w:cantSplit/>
          <w:trHeight w:val="454"/>
          <w:jc w:val="center"/>
        </w:trPr>
        <w:tc>
          <w:tcPr>
            <w:tcW w:w="727" w:type="pct"/>
            <w:vAlign w:val="center"/>
          </w:tcPr>
          <w:p w14:paraId="366439AD"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688293.SH</w:t>
            </w:r>
          </w:p>
        </w:tc>
        <w:tc>
          <w:tcPr>
            <w:tcW w:w="673" w:type="pct"/>
            <w:vAlign w:val="center"/>
          </w:tcPr>
          <w:p w14:paraId="3E056E93"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奥浦迈</w:t>
            </w:r>
          </w:p>
        </w:tc>
        <w:tc>
          <w:tcPr>
            <w:tcW w:w="669" w:type="pct"/>
            <w:vAlign w:val="center"/>
          </w:tcPr>
          <w:p w14:paraId="716FD73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澎立生物医药技术（上海）股份有限公司</w:t>
            </w:r>
          </w:p>
        </w:tc>
        <w:tc>
          <w:tcPr>
            <w:tcW w:w="726" w:type="pct"/>
            <w:vAlign w:val="center"/>
          </w:tcPr>
          <w:p w14:paraId="6AA1373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2024/12/31</w:t>
            </w:r>
          </w:p>
        </w:tc>
        <w:tc>
          <w:tcPr>
            <w:tcW w:w="816" w:type="pct"/>
            <w:vAlign w:val="center"/>
          </w:tcPr>
          <w:p w14:paraId="45CF52B4"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EV/S</w:t>
            </w:r>
          </w:p>
        </w:tc>
        <w:tc>
          <w:tcPr>
            <w:tcW w:w="835" w:type="pct"/>
            <w:vAlign w:val="center"/>
          </w:tcPr>
          <w:p w14:paraId="3DA49F8E"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3.97</w:t>
            </w:r>
            <w:r w:rsidRPr="00D95B42">
              <w:rPr>
                <w:rFonts w:ascii="Times New Roman" w:hAnsi="Times New Roman"/>
                <w:color w:val="000000"/>
              </w:rPr>
              <w:t>、</w:t>
            </w:r>
            <w:r w:rsidRPr="00D95B42">
              <w:rPr>
                <w:rFonts w:ascii="Times New Roman" w:hAnsi="Times New Roman"/>
                <w:color w:val="000000"/>
              </w:rPr>
              <w:t>5.36</w:t>
            </w:r>
            <w:r w:rsidRPr="00D95B42">
              <w:rPr>
                <w:rFonts w:ascii="Times New Roman" w:hAnsi="Times New Roman"/>
                <w:color w:val="000000"/>
              </w:rPr>
              <w:t>、</w:t>
            </w:r>
            <w:r w:rsidRPr="00D95B42">
              <w:rPr>
                <w:rFonts w:ascii="Times New Roman" w:hAnsi="Times New Roman"/>
                <w:color w:val="000000"/>
              </w:rPr>
              <w:t>4.38</w:t>
            </w:r>
            <w:r w:rsidRPr="00D95B42">
              <w:rPr>
                <w:rFonts w:ascii="Times New Roman" w:hAnsi="Times New Roman"/>
                <w:color w:val="000000"/>
              </w:rPr>
              <w:t>、</w:t>
            </w:r>
            <w:r w:rsidRPr="00D95B42">
              <w:rPr>
                <w:rFonts w:ascii="Times New Roman" w:hAnsi="Times New Roman"/>
                <w:color w:val="000000"/>
              </w:rPr>
              <w:t>3.94</w:t>
            </w:r>
          </w:p>
        </w:tc>
        <w:tc>
          <w:tcPr>
            <w:tcW w:w="553" w:type="pct"/>
            <w:vAlign w:val="center"/>
          </w:tcPr>
          <w:p w14:paraId="6F89CE18"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0.57</w:t>
            </w:r>
          </w:p>
        </w:tc>
      </w:tr>
      <w:tr w:rsidR="00CD798F" w:rsidRPr="00D95B42" w14:paraId="2DA6903A" w14:textId="77777777" w:rsidTr="00214723">
        <w:trPr>
          <w:cantSplit/>
          <w:trHeight w:val="998"/>
          <w:jc w:val="center"/>
        </w:trPr>
        <w:tc>
          <w:tcPr>
            <w:tcW w:w="727" w:type="pct"/>
            <w:vMerge w:val="restart"/>
            <w:vAlign w:val="center"/>
          </w:tcPr>
          <w:p w14:paraId="67191C09"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688126.SH</w:t>
            </w:r>
          </w:p>
        </w:tc>
        <w:tc>
          <w:tcPr>
            <w:tcW w:w="673" w:type="pct"/>
            <w:vMerge w:val="restart"/>
            <w:vAlign w:val="center"/>
          </w:tcPr>
          <w:p w14:paraId="49557D4E"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沪硅产业</w:t>
            </w:r>
          </w:p>
        </w:tc>
        <w:tc>
          <w:tcPr>
            <w:tcW w:w="669" w:type="pct"/>
            <w:vMerge w:val="restart"/>
            <w:vAlign w:val="center"/>
          </w:tcPr>
          <w:p w14:paraId="6FB4F2B9"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上海新昇晶科半导体科技有限公司</w:t>
            </w:r>
          </w:p>
        </w:tc>
        <w:tc>
          <w:tcPr>
            <w:tcW w:w="726" w:type="pct"/>
            <w:vMerge w:val="restart"/>
            <w:vAlign w:val="center"/>
          </w:tcPr>
          <w:p w14:paraId="0BD097CD"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2024/12/31</w:t>
            </w:r>
          </w:p>
        </w:tc>
        <w:tc>
          <w:tcPr>
            <w:tcW w:w="816" w:type="pct"/>
            <w:vAlign w:val="center"/>
          </w:tcPr>
          <w:p w14:paraId="5C5C38DC"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P/B</w:t>
            </w:r>
          </w:p>
        </w:tc>
        <w:tc>
          <w:tcPr>
            <w:tcW w:w="835" w:type="pct"/>
            <w:vAlign w:val="center"/>
          </w:tcPr>
          <w:p w14:paraId="58FE4243"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1.72</w:t>
            </w:r>
            <w:r w:rsidRPr="00D95B42">
              <w:rPr>
                <w:rFonts w:ascii="Times New Roman" w:hAnsi="Times New Roman"/>
                <w:color w:val="000000"/>
              </w:rPr>
              <w:t>、</w:t>
            </w:r>
            <w:r w:rsidRPr="00D95B42">
              <w:rPr>
                <w:rFonts w:ascii="Times New Roman" w:hAnsi="Times New Roman"/>
                <w:color w:val="000000"/>
              </w:rPr>
              <w:t>1.19</w:t>
            </w:r>
            <w:r w:rsidRPr="00D95B42">
              <w:rPr>
                <w:rFonts w:ascii="Times New Roman" w:hAnsi="Times New Roman"/>
                <w:color w:val="000000"/>
              </w:rPr>
              <w:t>、</w:t>
            </w:r>
            <w:r w:rsidRPr="00D95B42">
              <w:rPr>
                <w:rFonts w:ascii="Times New Roman" w:hAnsi="Times New Roman"/>
                <w:color w:val="000000"/>
              </w:rPr>
              <w:t>1.28</w:t>
            </w:r>
          </w:p>
        </w:tc>
        <w:tc>
          <w:tcPr>
            <w:tcW w:w="553" w:type="pct"/>
            <w:vAlign w:val="center"/>
          </w:tcPr>
          <w:p w14:paraId="2D40E53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0.23</w:t>
            </w:r>
          </w:p>
        </w:tc>
      </w:tr>
      <w:tr w:rsidR="00CD798F" w:rsidRPr="00D95B42" w14:paraId="61E535D3" w14:textId="77777777" w:rsidTr="00214723">
        <w:trPr>
          <w:cantSplit/>
          <w:trHeight w:val="998"/>
          <w:jc w:val="center"/>
        </w:trPr>
        <w:tc>
          <w:tcPr>
            <w:tcW w:w="727" w:type="pct"/>
            <w:vMerge/>
            <w:vAlign w:val="center"/>
          </w:tcPr>
          <w:p w14:paraId="69F7D6B6" w14:textId="77777777" w:rsidR="00CD798F" w:rsidRPr="00D95B42" w:rsidRDefault="00CD798F" w:rsidP="00214723">
            <w:pPr>
              <w:jc w:val="center"/>
              <w:rPr>
                <w:rFonts w:ascii="Times New Roman" w:hAnsi="Times New Roman"/>
                <w:color w:val="000000"/>
              </w:rPr>
            </w:pPr>
          </w:p>
        </w:tc>
        <w:tc>
          <w:tcPr>
            <w:tcW w:w="673" w:type="pct"/>
            <w:vMerge/>
            <w:vAlign w:val="center"/>
          </w:tcPr>
          <w:p w14:paraId="63F4F58F" w14:textId="77777777" w:rsidR="00CD798F" w:rsidRPr="00D95B42" w:rsidRDefault="00CD798F" w:rsidP="00214723">
            <w:pPr>
              <w:jc w:val="center"/>
              <w:rPr>
                <w:rFonts w:ascii="Times New Roman" w:hAnsi="Times New Roman"/>
                <w:color w:val="000000"/>
              </w:rPr>
            </w:pPr>
          </w:p>
        </w:tc>
        <w:tc>
          <w:tcPr>
            <w:tcW w:w="669" w:type="pct"/>
            <w:vMerge/>
            <w:vAlign w:val="center"/>
          </w:tcPr>
          <w:p w14:paraId="477D48F0" w14:textId="77777777" w:rsidR="00CD798F" w:rsidRPr="00D95B42" w:rsidRDefault="00CD798F" w:rsidP="00214723">
            <w:pPr>
              <w:rPr>
                <w:rFonts w:ascii="Times New Roman" w:hAnsi="Times New Roman"/>
                <w:color w:val="000000"/>
              </w:rPr>
            </w:pPr>
          </w:p>
        </w:tc>
        <w:tc>
          <w:tcPr>
            <w:tcW w:w="726" w:type="pct"/>
            <w:vMerge/>
            <w:vAlign w:val="center"/>
          </w:tcPr>
          <w:p w14:paraId="2C63FECC" w14:textId="77777777" w:rsidR="00CD798F" w:rsidRPr="00D95B42" w:rsidRDefault="00CD798F" w:rsidP="00214723">
            <w:pPr>
              <w:rPr>
                <w:rFonts w:ascii="Times New Roman" w:hAnsi="Times New Roman"/>
                <w:color w:val="000000"/>
              </w:rPr>
            </w:pPr>
          </w:p>
        </w:tc>
        <w:tc>
          <w:tcPr>
            <w:tcW w:w="816" w:type="pct"/>
            <w:vAlign w:val="center"/>
          </w:tcPr>
          <w:p w14:paraId="1332A943"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EV/</w:t>
            </w:r>
            <w:r w:rsidRPr="00D95B42">
              <w:rPr>
                <w:rFonts w:ascii="Times New Roman" w:hAnsi="Times New Roman"/>
                <w:color w:val="000000"/>
              </w:rPr>
              <w:t>总资产</w:t>
            </w:r>
          </w:p>
        </w:tc>
        <w:tc>
          <w:tcPr>
            <w:tcW w:w="835" w:type="pct"/>
            <w:vAlign w:val="center"/>
          </w:tcPr>
          <w:p w14:paraId="199417F4"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1.46</w:t>
            </w:r>
            <w:r w:rsidRPr="00D95B42">
              <w:rPr>
                <w:rFonts w:ascii="Times New Roman" w:hAnsi="Times New Roman"/>
                <w:color w:val="000000"/>
              </w:rPr>
              <w:t>、</w:t>
            </w:r>
            <w:r w:rsidRPr="00D95B42">
              <w:rPr>
                <w:rFonts w:ascii="Times New Roman" w:hAnsi="Times New Roman"/>
                <w:color w:val="000000"/>
              </w:rPr>
              <w:t>0.90</w:t>
            </w:r>
            <w:r w:rsidRPr="00D95B42">
              <w:rPr>
                <w:rFonts w:ascii="Times New Roman" w:hAnsi="Times New Roman"/>
                <w:color w:val="000000"/>
              </w:rPr>
              <w:t>、</w:t>
            </w:r>
            <w:r w:rsidRPr="00D95B42">
              <w:rPr>
                <w:rFonts w:ascii="Times New Roman" w:hAnsi="Times New Roman"/>
                <w:color w:val="000000"/>
              </w:rPr>
              <w:t>1.17</w:t>
            </w:r>
          </w:p>
        </w:tc>
        <w:tc>
          <w:tcPr>
            <w:tcW w:w="553" w:type="pct"/>
            <w:vAlign w:val="center"/>
          </w:tcPr>
          <w:p w14:paraId="6167B05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0.23</w:t>
            </w:r>
          </w:p>
        </w:tc>
      </w:tr>
      <w:tr w:rsidR="00CD798F" w:rsidRPr="00D95B42" w14:paraId="44BAF58F" w14:textId="77777777" w:rsidTr="00214723">
        <w:trPr>
          <w:cantSplit/>
          <w:trHeight w:val="608"/>
          <w:jc w:val="center"/>
        </w:trPr>
        <w:tc>
          <w:tcPr>
            <w:tcW w:w="727" w:type="pct"/>
            <w:vMerge/>
            <w:vAlign w:val="center"/>
          </w:tcPr>
          <w:p w14:paraId="314EC448" w14:textId="77777777" w:rsidR="00CD798F" w:rsidRPr="00D95B42" w:rsidRDefault="00CD798F" w:rsidP="00214723">
            <w:pPr>
              <w:jc w:val="center"/>
              <w:rPr>
                <w:rFonts w:ascii="Times New Roman" w:hAnsi="Times New Roman"/>
                <w:color w:val="000000"/>
              </w:rPr>
            </w:pPr>
          </w:p>
        </w:tc>
        <w:tc>
          <w:tcPr>
            <w:tcW w:w="673" w:type="pct"/>
            <w:vMerge/>
            <w:vAlign w:val="center"/>
          </w:tcPr>
          <w:p w14:paraId="35CCD5D3" w14:textId="77777777" w:rsidR="00CD798F" w:rsidRPr="00D95B42" w:rsidRDefault="00CD798F" w:rsidP="00214723">
            <w:pPr>
              <w:jc w:val="center"/>
              <w:rPr>
                <w:rFonts w:ascii="Times New Roman" w:hAnsi="Times New Roman"/>
                <w:color w:val="000000"/>
              </w:rPr>
            </w:pPr>
          </w:p>
        </w:tc>
        <w:tc>
          <w:tcPr>
            <w:tcW w:w="669" w:type="pct"/>
            <w:vMerge w:val="restart"/>
            <w:vAlign w:val="center"/>
          </w:tcPr>
          <w:p w14:paraId="0E33C710"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上海新昇晶睿半导体科技有限公司</w:t>
            </w:r>
          </w:p>
        </w:tc>
        <w:tc>
          <w:tcPr>
            <w:tcW w:w="726" w:type="pct"/>
            <w:vMerge/>
            <w:vAlign w:val="center"/>
          </w:tcPr>
          <w:p w14:paraId="73686842" w14:textId="77777777" w:rsidR="00CD798F" w:rsidRPr="00D95B42" w:rsidRDefault="00CD798F" w:rsidP="00214723">
            <w:pPr>
              <w:rPr>
                <w:rFonts w:ascii="Times New Roman" w:hAnsi="Times New Roman"/>
                <w:color w:val="000000"/>
              </w:rPr>
            </w:pPr>
          </w:p>
        </w:tc>
        <w:tc>
          <w:tcPr>
            <w:tcW w:w="816" w:type="pct"/>
            <w:vAlign w:val="center"/>
          </w:tcPr>
          <w:p w14:paraId="077495B4"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P/B</w:t>
            </w:r>
          </w:p>
        </w:tc>
        <w:tc>
          <w:tcPr>
            <w:tcW w:w="835" w:type="pct"/>
            <w:vAlign w:val="center"/>
          </w:tcPr>
          <w:p w14:paraId="1E9FD942"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1.72</w:t>
            </w:r>
            <w:r w:rsidRPr="00D95B42">
              <w:rPr>
                <w:rFonts w:ascii="Times New Roman" w:hAnsi="Times New Roman"/>
                <w:color w:val="000000"/>
              </w:rPr>
              <w:t>、</w:t>
            </w:r>
            <w:r w:rsidRPr="00D95B42">
              <w:rPr>
                <w:rFonts w:ascii="Times New Roman" w:hAnsi="Times New Roman"/>
                <w:color w:val="000000"/>
              </w:rPr>
              <w:t>1.19</w:t>
            </w:r>
            <w:r w:rsidRPr="00D95B42">
              <w:rPr>
                <w:rFonts w:ascii="Times New Roman" w:hAnsi="Times New Roman"/>
                <w:color w:val="000000"/>
              </w:rPr>
              <w:t>、</w:t>
            </w:r>
            <w:r w:rsidRPr="00D95B42">
              <w:rPr>
                <w:rFonts w:ascii="Times New Roman" w:hAnsi="Times New Roman"/>
                <w:color w:val="000000"/>
              </w:rPr>
              <w:t>1.27</w:t>
            </w:r>
          </w:p>
        </w:tc>
        <w:tc>
          <w:tcPr>
            <w:tcW w:w="553" w:type="pct"/>
            <w:vAlign w:val="center"/>
          </w:tcPr>
          <w:p w14:paraId="755E7BA9"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0.23</w:t>
            </w:r>
          </w:p>
        </w:tc>
      </w:tr>
      <w:tr w:rsidR="00CD798F" w:rsidRPr="00D95B42" w14:paraId="0A3B64A4" w14:textId="77777777" w:rsidTr="00214723">
        <w:trPr>
          <w:cantSplit/>
          <w:trHeight w:val="454"/>
          <w:jc w:val="center"/>
        </w:trPr>
        <w:tc>
          <w:tcPr>
            <w:tcW w:w="727" w:type="pct"/>
            <w:vMerge/>
            <w:vAlign w:val="center"/>
          </w:tcPr>
          <w:p w14:paraId="536B4FD5" w14:textId="77777777" w:rsidR="00CD798F" w:rsidRPr="00D95B42" w:rsidRDefault="00CD798F" w:rsidP="00214723">
            <w:pPr>
              <w:jc w:val="center"/>
              <w:rPr>
                <w:rFonts w:ascii="Times New Roman" w:hAnsi="Times New Roman"/>
                <w:color w:val="000000"/>
              </w:rPr>
            </w:pPr>
          </w:p>
        </w:tc>
        <w:tc>
          <w:tcPr>
            <w:tcW w:w="673" w:type="pct"/>
            <w:vMerge/>
            <w:vAlign w:val="center"/>
          </w:tcPr>
          <w:p w14:paraId="56E272E6" w14:textId="77777777" w:rsidR="00CD798F" w:rsidRPr="00D95B42" w:rsidRDefault="00CD798F" w:rsidP="00214723">
            <w:pPr>
              <w:jc w:val="center"/>
              <w:rPr>
                <w:rFonts w:ascii="Times New Roman" w:hAnsi="Times New Roman"/>
                <w:color w:val="000000"/>
              </w:rPr>
            </w:pPr>
          </w:p>
        </w:tc>
        <w:tc>
          <w:tcPr>
            <w:tcW w:w="669" w:type="pct"/>
            <w:vMerge/>
            <w:vAlign w:val="center"/>
          </w:tcPr>
          <w:p w14:paraId="485EB733" w14:textId="77777777" w:rsidR="00CD798F" w:rsidRPr="00D95B42" w:rsidRDefault="00CD798F" w:rsidP="00214723">
            <w:pPr>
              <w:rPr>
                <w:rFonts w:ascii="Times New Roman" w:hAnsi="Times New Roman"/>
                <w:color w:val="000000"/>
              </w:rPr>
            </w:pPr>
          </w:p>
        </w:tc>
        <w:tc>
          <w:tcPr>
            <w:tcW w:w="726" w:type="pct"/>
            <w:vMerge/>
            <w:vAlign w:val="center"/>
          </w:tcPr>
          <w:p w14:paraId="74A6EA9A" w14:textId="77777777" w:rsidR="00CD798F" w:rsidRPr="00D95B42" w:rsidRDefault="00CD798F" w:rsidP="00214723">
            <w:pPr>
              <w:rPr>
                <w:rFonts w:ascii="Times New Roman" w:hAnsi="Times New Roman"/>
                <w:color w:val="000000"/>
              </w:rPr>
            </w:pPr>
          </w:p>
        </w:tc>
        <w:tc>
          <w:tcPr>
            <w:tcW w:w="816" w:type="pct"/>
            <w:vAlign w:val="center"/>
          </w:tcPr>
          <w:p w14:paraId="4283164C"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EV/</w:t>
            </w:r>
            <w:r w:rsidRPr="00D95B42">
              <w:rPr>
                <w:rFonts w:ascii="Times New Roman" w:hAnsi="Times New Roman"/>
                <w:color w:val="000000"/>
              </w:rPr>
              <w:t>总资产</w:t>
            </w:r>
          </w:p>
        </w:tc>
        <w:tc>
          <w:tcPr>
            <w:tcW w:w="835" w:type="pct"/>
            <w:vAlign w:val="center"/>
          </w:tcPr>
          <w:p w14:paraId="39FB414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1.46</w:t>
            </w:r>
            <w:r w:rsidRPr="00D95B42">
              <w:rPr>
                <w:rFonts w:ascii="Times New Roman" w:hAnsi="Times New Roman"/>
                <w:color w:val="000000"/>
              </w:rPr>
              <w:t>、</w:t>
            </w:r>
            <w:r w:rsidRPr="00D95B42">
              <w:rPr>
                <w:rFonts w:ascii="Times New Roman" w:hAnsi="Times New Roman"/>
                <w:color w:val="000000"/>
              </w:rPr>
              <w:t>0.90</w:t>
            </w:r>
            <w:r w:rsidRPr="00D95B42">
              <w:rPr>
                <w:rFonts w:ascii="Times New Roman" w:hAnsi="Times New Roman"/>
                <w:color w:val="000000"/>
              </w:rPr>
              <w:t>、</w:t>
            </w:r>
            <w:r w:rsidRPr="00D95B42">
              <w:rPr>
                <w:rFonts w:ascii="Times New Roman" w:hAnsi="Times New Roman"/>
                <w:color w:val="000000"/>
              </w:rPr>
              <w:t>1.17</w:t>
            </w:r>
          </w:p>
        </w:tc>
        <w:tc>
          <w:tcPr>
            <w:tcW w:w="553" w:type="pct"/>
            <w:vAlign w:val="center"/>
          </w:tcPr>
          <w:p w14:paraId="7704B25C"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0.23</w:t>
            </w:r>
          </w:p>
        </w:tc>
      </w:tr>
      <w:tr w:rsidR="00CD798F" w:rsidRPr="00D95B42" w14:paraId="5760F0CD" w14:textId="77777777" w:rsidTr="00214723">
        <w:trPr>
          <w:cantSplit/>
          <w:trHeight w:val="454"/>
          <w:jc w:val="center"/>
        </w:trPr>
        <w:tc>
          <w:tcPr>
            <w:tcW w:w="727" w:type="pct"/>
            <w:vAlign w:val="center"/>
          </w:tcPr>
          <w:p w14:paraId="2390ACBD"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301178.SZ</w:t>
            </w:r>
          </w:p>
        </w:tc>
        <w:tc>
          <w:tcPr>
            <w:tcW w:w="673" w:type="pct"/>
            <w:vAlign w:val="center"/>
          </w:tcPr>
          <w:p w14:paraId="003F9B3E"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天亿马</w:t>
            </w:r>
          </w:p>
        </w:tc>
        <w:tc>
          <w:tcPr>
            <w:tcW w:w="669" w:type="pct"/>
            <w:vAlign w:val="center"/>
          </w:tcPr>
          <w:p w14:paraId="23333F11"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广东星云开物科技股份有限公司</w:t>
            </w:r>
          </w:p>
        </w:tc>
        <w:tc>
          <w:tcPr>
            <w:tcW w:w="726" w:type="pct"/>
            <w:vAlign w:val="center"/>
          </w:tcPr>
          <w:p w14:paraId="000722BB"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2025/6/30</w:t>
            </w:r>
          </w:p>
        </w:tc>
        <w:tc>
          <w:tcPr>
            <w:tcW w:w="816" w:type="pct"/>
            <w:vAlign w:val="center"/>
          </w:tcPr>
          <w:p w14:paraId="2CCC2099" w14:textId="77777777" w:rsidR="00CD798F" w:rsidRPr="00D95B42" w:rsidRDefault="00CD798F" w:rsidP="00214723">
            <w:pPr>
              <w:jc w:val="center"/>
              <w:rPr>
                <w:rFonts w:ascii="Times New Roman" w:hAnsi="Times New Roman"/>
                <w:color w:val="000000"/>
              </w:rPr>
            </w:pPr>
            <w:r w:rsidRPr="00D95B42">
              <w:rPr>
                <w:rFonts w:ascii="Times New Roman" w:hAnsi="Times New Roman"/>
                <w:color w:val="000000"/>
              </w:rPr>
              <w:t>EV/S</w:t>
            </w:r>
          </w:p>
        </w:tc>
        <w:tc>
          <w:tcPr>
            <w:tcW w:w="835" w:type="pct"/>
            <w:vAlign w:val="center"/>
          </w:tcPr>
          <w:p w14:paraId="2E0B5E0F" w14:textId="77777777" w:rsidR="00CD798F" w:rsidRPr="00D95B42" w:rsidRDefault="00CD798F" w:rsidP="00214723">
            <w:pPr>
              <w:rPr>
                <w:rFonts w:ascii="Times New Roman" w:hAnsi="Times New Roman"/>
                <w:color w:val="000000"/>
              </w:rPr>
            </w:pPr>
            <w:r w:rsidRPr="00D95B42">
              <w:rPr>
                <w:rFonts w:ascii="Times New Roman" w:hAnsi="Times New Roman"/>
                <w:color w:val="000000"/>
              </w:rPr>
              <w:t>2.57</w:t>
            </w:r>
            <w:r w:rsidRPr="00D95B42">
              <w:rPr>
                <w:rFonts w:ascii="Times New Roman" w:hAnsi="Times New Roman"/>
                <w:color w:val="000000"/>
              </w:rPr>
              <w:t>、</w:t>
            </w:r>
            <w:r w:rsidRPr="00D95B42">
              <w:rPr>
                <w:rFonts w:ascii="Times New Roman" w:hAnsi="Times New Roman"/>
                <w:color w:val="000000"/>
              </w:rPr>
              <w:t>1.89</w:t>
            </w:r>
            <w:r w:rsidRPr="00D95B42">
              <w:rPr>
                <w:rFonts w:ascii="Times New Roman" w:hAnsi="Times New Roman"/>
                <w:color w:val="000000"/>
              </w:rPr>
              <w:t>、</w:t>
            </w:r>
            <w:r w:rsidRPr="00D95B42">
              <w:rPr>
                <w:rFonts w:ascii="Times New Roman" w:hAnsi="Times New Roman"/>
                <w:color w:val="000000"/>
              </w:rPr>
              <w:t>4.91</w:t>
            </w:r>
          </w:p>
        </w:tc>
        <w:tc>
          <w:tcPr>
            <w:tcW w:w="553" w:type="pct"/>
            <w:vAlign w:val="center"/>
          </w:tcPr>
          <w:p w14:paraId="052429B6" w14:textId="77777777" w:rsidR="00CD798F" w:rsidRPr="00D95B42" w:rsidRDefault="00CD798F" w:rsidP="00214723">
            <w:pPr>
              <w:jc w:val="right"/>
              <w:rPr>
                <w:rFonts w:ascii="Times New Roman" w:hAnsi="Times New Roman"/>
                <w:color w:val="000000"/>
              </w:rPr>
            </w:pPr>
            <w:r w:rsidRPr="00D95B42">
              <w:rPr>
                <w:rFonts w:ascii="Times New Roman" w:hAnsi="Times New Roman"/>
                <w:color w:val="000000"/>
              </w:rPr>
              <w:t>0.51</w:t>
            </w:r>
          </w:p>
        </w:tc>
      </w:tr>
    </w:tbl>
    <w:p w14:paraId="3D02BF77"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综上所述，各可比公司调整后</w:t>
      </w:r>
      <w:r w:rsidRPr="00D95B42">
        <w:rPr>
          <w:rFonts w:ascii="Times New Roman" w:hAnsi="Times New Roman" w:hint="eastAsia"/>
          <w:sz w:val="24"/>
          <w:szCs w:val="24"/>
        </w:rPr>
        <w:t xml:space="preserve"> EV/S</w:t>
      </w:r>
      <w:r w:rsidRPr="00D95B42">
        <w:rPr>
          <w:rFonts w:ascii="Times New Roman" w:hAnsi="Times New Roman" w:hint="eastAsia"/>
          <w:sz w:val="24"/>
          <w:szCs w:val="24"/>
        </w:rPr>
        <w:t>价值比率存在差异具备合理性，且其他市场案例存在类似情形。</w:t>
      </w:r>
    </w:p>
    <w:p w14:paraId="2D780DA6"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hint="eastAsia"/>
          <w:sz w:val="24"/>
          <w:szCs w:val="24"/>
        </w:rPr>
        <w:t>上述内容已在《重组报告书》“第六节</w:t>
      </w:r>
      <w:r w:rsidRPr="00D95B42">
        <w:rPr>
          <w:rFonts w:ascii="Times New Roman" w:hAnsi="Times New Roman" w:hint="eastAsia"/>
          <w:sz w:val="24"/>
          <w:szCs w:val="24"/>
        </w:rPr>
        <w:t xml:space="preserve"> </w:t>
      </w:r>
      <w:r w:rsidRPr="00D95B42">
        <w:rPr>
          <w:rFonts w:ascii="Times New Roman" w:hAnsi="Times New Roman" w:hint="eastAsia"/>
          <w:sz w:val="24"/>
          <w:szCs w:val="24"/>
        </w:rPr>
        <w:t>交易标的评估情况”之“二、标的公司评估基本情况”之“（四）市场法的评估情况及分析”之“</w:t>
      </w:r>
      <w:r w:rsidRPr="00D95B42">
        <w:rPr>
          <w:rFonts w:ascii="Times New Roman" w:hAnsi="Times New Roman" w:hint="eastAsia"/>
          <w:sz w:val="24"/>
          <w:szCs w:val="24"/>
        </w:rPr>
        <w:t>1</w:t>
      </w:r>
      <w:r w:rsidRPr="00D95B42">
        <w:rPr>
          <w:rFonts w:ascii="Times New Roman" w:hAnsi="Times New Roman" w:hint="eastAsia"/>
          <w:sz w:val="24"/>
          <w:szCs w:val="24"/>
        </w:rPr>
        <w:t>、价值比率的筛选”补充披露。</w:t>
      </w:r>
    </w:p>
    <w:p w14:paraId="71B075D7" w14:textId="77777777" w:rsidR="00CD798F" w:rsidRPr="000116F4" w:rsidRDefault="00CD798F" w:rsidP="00CD798F">
      <w:pPr>
        <w:spacing w:beforeLines="50" w:before="120" w:line="300" w:lineRule="auto"/>
        <w:ind w:firstLineChars="200" w:firstLine="482"/>
        <w:rPr>
          <w:rFonts w:ascii="Times New Roman" w:hAnsi="Times New Roman"/>
          <w:b/>
          <w:bCs/>
          <w:sz w:val="24"/>
        </w:rPr>
      </w:pPr>
      <w:r w:rsidRPr="000116F4">
        <w:rPr>
          <w:rFonts w:ascii="Times New Roman" w:hAnsi="Times New Roman" w:hint="eastAsia"/>
          <w:b/>
          <w:bCs/>
          <w:sz w:val="24"/>
        </w:rPr>
        <w:t>（</w:t>
      </w:r>
      <w:r>
        <w:rPr>
          <w:rFonts w:ascii="Times New Roman" w:hAnsi="Times New Roman" w:hint="eastAsia"/>
          <w:b/>
          <w:bCs/>
          <w:sz w:val="24"/>
        </w:rPr>
        <w:t>三</w:t>
      </w:r>
      <w:r w:rsidRPr="000116F4">
        <w:rPr>
          <w:rFonts w:ascii="Times New Roman" w:hAnsi="Times New Roman" w:hint="eastAsia"/>
          <w:b/>
          <w:bCs/>
          <w:sz w:val="24"/>
        </w:rPr>
        <w:t>）</w:t>
      </w:r>
      <w:r>
        <w:rPr>
          <w:rFonts w:ascii="Times New Roman" w:hAnsi="Times New Roman" w:hint="eastAsia"/>
          <w:b/>
          <w:bCs/>
          <w:sz w:val="24"/>
        </w:rPr>
        <w:t>评估机构核查程序核查意见</w:t>
      </w:r>
    </w:p>
    <w:p w14:paraId="19A59F76"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hint="eastAsia"/>
          <w:sz w:val="24"/>
        </w:rPr>
        <w:t>（一）核查程序</w:t>
      </w:r>
    </w:p>
    <w:p w14:paraId="01E32A24"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t>1</w:t>
      </w:r>
      <w:r w:rsidRPr="003B070B">
        <w:rPr>
          <w:rFonts w:ascii="Times New Roman" w:hAnsi="Times New Roman"/>
          <w:sz w:val="24"/>
        </w:rPr>
        <w:t>、通过公开信息查询同行业上市公司具体业务结构、经营模式、企业规模、成长能力、盈利能力、所处经营阶段等方面等，了解同行业公司与标的公司的可比情况；</w:t>
      </w:r>
    </w:p>
    <w:p w14:paraId="02D46A5E"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t>2</w:t>
      </w:r>
      <w:r w:rsidRPr="003B070B">
        <w:rPr>
          <w:rFonts w:ascii="Times New Roman" w:hAnsi="Times New Roman"/>
          <w:sz w:val="24"/>
        </w:rPr>
        <w:t>、查阅《资产评估执业准则</w:t>
      </w:r>
      <w:r w:rsidRPr="003B070B">
        <w:rPr>
          <w:rFonts w:ascii="Times New Roman" w:hAnsi="Times New Roman"/>
          <w:sz w:val="24"/>
        </w:rPr>
        <w:t>——</w:t>
      </w:r>
      <w:r w:rsidRPr="003B070B">
        <w:rPr>
          <w:rFonts w:ascii="Times New Roman" w:hAnsi="Times New Roman"/>
          <w:sz w:val="24"/>
        </w:rPr>
        <w:t>企业价值》，分析标的公司所处行业及发展阶段，了解各价值比率的适用性及合理性；查阅了可比交易案例可比的价值比率，了解其市场法评估采用的价值比率情况；</w:t>
      </w:r>
    </w:p>
    <w:p w14:paraId="2A014FF9"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t>3</w:t>
      </w:r>
      <w:r w:rsidRPr="003B070B">
        <w:rPr>
          <w:rFonts w:ascii="Times New Roman" w:hAnsi="Times New Roman"/>
          <w:sz w:val="24"/>
        </w:rPr>
        <w:t>、复核市场法评估值时所采用的各项指标、参数的取值时间、数据来源及具体测算过程；</w:t>
      </w:r>
    </w:p>
    <w:p w14:paraId="0F65DA4C"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t>4</w:t>
      </w:r>
      <w:r w:rsidRPr="003B070B">
        <w:rPr>
          <w:rFonts w:ascii="Times New Roman" w:hAnsi="Times New Roman"/>
          <w:sz w:val="24"/>
        </w:rPr>
        <w:t>、查阅《资产评估执业准则</w:t>
      </w:r>
      <w:r w:rsidRPr="003B070B">
        <w:rPr>
          <w:rFonts w:ascii="Times New Roman" w:hAnsi="Times New Roman"/>
          <w:sz w:val="24"/>
        </w:rPr>
        <w:t>——</w:t>
      </w:r>
      <w:r w:rsidRPr="003B070B">
        <w:rPr>
          <w:rFonts w:ascii="Times New Roman" w:hAnsi="Times New Roman"/>
          <w:sz w:val="24"/>
        </w:rPr>
        <w:t>企业价值》，根据准则要求对照本次评估在评估方法选取过程中考量因素以及修正体系搭建的完备性。</w:t>
      </w:r>
    </w:p>
    <w:p w14:paraId="51745573"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hint="eastAsia"/>
          <w:sz w:val="24"/>
        </w:rPr>
        <w:t>（二）核查意见</w:t>
      </w:r>
    </w:p>
    <w:p w14:paraId="76FEED52"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hint="eastAsia"/>
          <w:sz w:val="24"/>
        </w:rPr>
        <w:t>经核查，评估师认为：</w:t>
      </w:r>
    </w:p>
    <w:p w14:paraId="2CE36D1C"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lastRenderedPageBreak/>
        <w:t>1</w:t>
      </w:r>
      <w:r w:rsidRPr="003B070B">
        <w:rPr>
          <w:rFonts w:ascii="Times New Roman" w:hAnsi="Times New Roman"/>
          <w:sz w:val="24"/>
        </w:rPr>
        <w:t>、本次评估选取的</w:t>
      </w:r>
      <w:r w:rsidRPr="003B070B">
        <w:rPr>
          <w:rFonts w:ascii="Times New Roman" w:hAnsi="Times New Roman"/>
          <w:sz w:val="24"/>
        </w:rPr>
        <w:t>3</w:t>
      </w:r>
      <w:r w:rsidRPr="003B070B">
        <w:rPr>
          <w:rFonts w:ascii="Times New Roman" w:hAnsi="Times New Roman"/>
          <w:sz w:val="24"/>
        </w:rPr>
        <w:t>家上市公司，综合考虑了业务结构、经营模式、企业规模、成长能力、盈利能力、所处经营阶段等方面对比情况，具备可比性；</w:t>
      </w:r>
    </w:p>
    <w:p w14:paraId="2BDD8AA3"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t>2</w:t>
      </w:r>
      <w:r w:rsidRPr="003B070B">
        <w:rPr>
          <w:rFonts w:ascii="Times New Roman" w:hAnsi="Times New Roman"/>
          <w:sz w:val="24"/>
        </w:rPr>
        <w:t>、本次评估选择</w:t>
      </w:r>
      <w:r w:rsidRPr="003B070B">
        <w:rPr>
          <w:rFonts w:ascii="Times New Roman" w:hAnsi="Times New Roman"/>
          <w:sz w:val="24"/>
        </w:rPr>
        <w:t>EV/S</w:t>
      </w:r>
      <w:r w:rsidRPr="003B070B">
        <w:rPr>
          <w:rFonts w:ascii="Times New Roman" w:hAnsi="Times New Roman"/>
          <w:sz w:val="24"/>
        </w:rPr>
        <w:t>作为价值比率主要系由于标的公司处于成长期，核心发展目标为拓展细分赛道客户、扩大业务规模，收入增长是现阶段核心价值驱动因素，</w:t>
      </w:r>
      <w:r w:rsidRPr="003B070B">
        <w:rPr>
          <w:rFonts w:ascii="Times New Roman" w:hAnsi="Times New Roman"/>
          <w:sz w:val="24"/>
        </w:rPr>
        <w:t>EV/S</w:t>
      </w:r>
      <w:r w:rsidRPr="003B070B">
        <w:rPr>
          <w:rFonts w:ascii="Times New Roman" w:hAnsi="Times New Roman"/>
          <w:sz w:val="24"/>
        </w:rPr>
        <w:t>比率与该阶段特性高度契合，本次采用</w:t>
      </w:r>
      <w:r w:rsidRPr="003B070B">
        <w:rPr>
          <w:rFonts w:ascii="Times New Roman" w:hAnsi="Times New Roman"/>
          <w:sz w:val="24"/>
        </w:rPr>
        <w:t>EV/S</w:t>
      </w:r>
      <w:r w:rsidRPr="003B070B">
        <w:rPr>
          <w:rFonts w:ascii="Times New Roman" w:hAnsi="Times New Roman"/>
          <w:sz w:val="24"/>
        </w:rPr>
        <w:t>具备合理性，与行业内其他交易案例一致；</w:t>
      </w:r>
    </w:p>
    <w:p w14:paraId="6D1C6348" w14:textId="77777777" w:rsidR="00CD798F" w:rsidRPr="003B070B"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t>3</w:t>
      </w:r>
      <w:r w:rsidRPr="003B070B">
        <w:rPr>
          <w:rFonts w:ascii="Times New Roman" w:hAnsi="Times New Roman"/>
          <w:sz w:val="24"/>
        </w:rPr>
        <w:t>、可比企业静态</w:t>
      </w:r>
      <w:r w:rsidRPr="003B070B">
        <w:rPr>
          <w:rFonts w:ascii="Times New Roman" w:hAnsi="Times New Roman"/>
          <w:sz w:val="24"/>
        </w:rPr>
        <w:t>EV/S</w:t>
      </w:r>
      <w:r w:rsidRPr="003B070B">
        <w:rPr>
          <w:rFonts w:ascii="Times New Roman" w:hAnsi="Times New Roman"/>
          <w:sz w:val="24"/>
        </w:rPr>
        <w:t>、修正价值比率、计算市场法评估值时所采用的各项指标、参数的取值时间、数据来源及具体测算过程具备合理性；</w:t>
      </w:r>
    </w:p>
    <w:p w14:paraId="7519B9B7" w14:textId="77777777" w:rsidR="00CD798F" w:rsidRPr="000116F4" w:rsidRDefault="00CD798F" w:rsidP="00CD798F">
      <w:pPr>
        <w:spacing w:beforeLines="50" w:before="120" w:line="360" w:lineRule="auto"/>
        <w:ind w:firstLineChars="200" w:firstLine="480"/>
        <w:rPr>
          <w:rFonts w:ascii="Times New Roman" w:hAnsi="Times New Roman"/>
          <w:sz w:val="24"/>
        </w:rPr>
      </w:pPr>
      <w:r w:rsidRPr="003B070B">
        <w:rPr>
          <w:rFonts w:ascii="Times New Roman" w:hAnsi="Times New Roman"/>
          <w:sz w:val="24"/>
        </w:rPr>
        <w:t>4</w:t>
      </w:r>
      <w:r w:rsidRPr="003B070B">
        <w:rPr>
          <w:rFonts w:ascii="Times New Roman" w:hAnsi="Times New Roman"/>
          <w:sz w:val="24"/>
        </w:rPr>
        <w:t>、本次评估从企业规模、成长能力、盈利能力、运营能力、偿债能力、研发能力等多个维度对可比企业与标的公司的差异进行了修正，在修正维度的选取上与行业规范相一致，价值比率修正过程中各维度及对应财务指标选取原因及依据具备合理性；本次评估与行业惯例在修正维度不存在重大差异，所选取的财务指标均能较好地反映不同公司的企业价值之间的核心差异，具备合理性。本次市场法评估调整后</w:t>
      </w:r>
      <w:r w:rsidRPr="003B070B">
        <w:rPr>
          <w:rFonts w:ascii="Times New Roman" w:hAnsi="Times New Roman"/>
          <w:sz w:val="24"/>
        </w:rPr>
        <w:t>EV/S</w:t>
      </w:r>
      <w:r w:rsidRPr="003B070B">
        <w:rPr>
          <w:rFonts w:ascii="Times New Roman" w:hAnsi="Times New Roman"/>
          <w:sz w:val="24"/>
        </w:rPr>
        <w:t>指标的离散度处于可比交易案例的差异率合理区间内，调整后</w:t>
      </w:r>
      <w:r w:rsidRPr="003B070B">
        <w:rPr>
          <w:rFonts w:ascii="Times New Roman" w:hAnsi="Times New Roman"/>
          <w:sz w:val="24"/>
        </w:rPr>
        <w:t>EV/S</w:t>
      </w:r>
      <w:r w:rsidRPr="003B070B">
        <w:rPr>
          <w:rFonts w:ascii="Times New Roman" w:hAnsi="Times New Roman"/>
          <w:sz w:val="24"/>
        </w:rPr>
        <w:t>指标存在差异具备合理性，可比公司调整后</w:t>
      </w:r>
      <w:r w:rsidRPr="003B070B">
        <w:rPr>
          <w:rFonts w:ascii="Times New Roman" w:hAnsi="Times New Roman"/>
          <w:sz w:val="24"/>
        </w:rPr>
        <w:t>EV/S</w:t>
      </w:r>
      <w:r w:rsidRPr="003B070B">
        <w:rPr>
          <w:rFonts w:ascii="Times New Roman" w:hAnsi="Times New Roman"/>
          <w:sz w:val="24"/>
        </w:rPr>
        <w:t>指标选取及修正结果具备合理性。</w:t>
      </w:r>
    </w:p>
    <w:p w14:paraId="76F6855B" w14:textId="77777777" w:rsidR="00CD798F" w:rsidRDefault="00CD798F" w:rsidP="00CD798F">
      <w:pPr>
        <w:widowControl/>
        <w:jc w:val="left"/>
        <w:rPr>
          <w:rFonts w:ascii="Times New Roman" w:hAnsi="Times New Roman"/>
          <w:sz w:val="24"/>
        </w:rPr>
      </w:pPr>
      <w:r>
        <w:rPr>
          <w:rFonts w:ascii="Times New Roman" w:hAnsi="Times New Roman"/>
          <w:sz w:val="24"/>
        </w:rPr>
        <w:br w:type="page"/>
      </w:r>
    </w:p>
    <w:p w14:paraId="6A66F934" w14:textId="6ED3C9F5" w:rsidR="00CD798F" w:rsidRPr="007E30A6" w:rsidRDefault="006A627B" w:rsidP="006A627B">
      <w:pPr>
        <w:pStyle w:val="001"/>
        <w:spacing w:before="120" w:after="120"/>
        <w:ind w:firstLine="480"/>
      </w:pPr>
      <w:bookmarkStart w:id="9" w:name="_Toc219486955"/>
      <w:r>
        <w:rPr>
          <w:rFonts w:hint="eastAsia"/>
        </w:rPr>
        <w:lastRenderedPageBreak/>
        <w:t>问题</w:t>
      </w:r>
      <w:r>
        <w:rPr>
          <w:rFonts w:hint="eastAsia"/>
        </w:rPr>
        <w:t>3</w:t>
      </w:r>
      <w:r>
        <w:rPr>
          <w:rFonts w:hint="eastAsia"/>
        </w:rPr>
        <w:t>（原</w:t>
      </w:r>
      <w:r w:rsidR="00CD798F" w:rsidRPr="007E30A6">
        <w:t>问题</w:t>
      </w:r>
      <w:r w:rsidR="00CD798F" w:rsidRPr="007E30A6">
        <w:t>6</w:t>
      </w:r>
      <w:r>
        <w:rPr>
          <w:rFonts w:hint="eastAsia"/>
        </w:rPr>
        <w:t>）</w:t>
      </w:r>
      <w:r w:rsidR="00CD798F" w:rsidRPr="007E30A6">
        <w:t>、关于交易方案</w:t>
      </w:r>
      <w:bookmarkEnd w:id="9"/>
    </w:p>
    <w:p w14:paraId="0B73378E" w14:textId="77777777" w:rsidR="00CD798F" w:rsidRPr="007E30A6" w:rsidRDefault="00CD798F" w:rsidP="00CD798F">
      <w:pPr>
        <w:pStyle w:val="0050"/>
        <w:spacing w:before="120" w:after="120"/>
        <w:ind w:firstLine="480"/>
      </w:pPr>
      <w:r w:rsidRPr="007E30A6">
        <w:t>申请文件显示：（</w:t>
      </w:r>
      <w:r w:rsidRPr="007E30A6">
        <w:t>1</w:t>
      </w:r>
      <w:r w:rsidRPr="007E30A6">
        <w:t>）上市公司本次拟通过发行股份、支付现金的方式向交易对方购买其持有的标的资产</w:t>
      </w:r>
      <w:r w:rsidRPr="007E30A6">
        <w:t>98.5632%</w:t>
      </w:r>
      <w:r w:rsidRPr="007E30A6">
        <w:t>的股权，同时向上市公司实际控制人之一马学沛发行股份募集配套资金不超过</w:t>
      </w:r>
      <w:r w:rsidRPr="007E30A6">
        <w:t>1.55</w:t>
      </w:r>
      <w:r w:rsidRPr="007E30A6">
        <w:t>亿元。（</w:t>
      </w:r>
      <w:r w:rsidRPr="007E30A6">
        <w:t>2</w:t>
      </w:r>
      <w:r w:rsidRPr="007E30A6">
        <w:t>）本次交易价格（不含募集配套资金金额）为</w:t>
      </w:r>
      <w:r w:rsidRPr="007E30A6">
        <w:t>11.89</w:t>
      </w:r>
      <w:r w:rsidRPr="007E30A6">
        <w:t>亿元，其中</w:t>
      </w:r>
      <w:r w:rsidRPr="007E30A6">
        <w:t>5.82</w:t>
      </w:r>
      <w:r w:rsidRPr="007E30A6">
        <w:t>亿元通过上市公司发行股份支付、</w:t>
      </w:r>
      <w:r w:rsidRPr="007E30A6">
        <w:t>6.06</w:t>
      </w:r>
      <w:r w:rsidRPr="007E30A6">
        <w:t>亿元上市公司通过现金支付。交易方案中约定在本次交易获得中国证监会注册批文之日起</w:t>
      </w:r>
      <w:r w:rsidRPr="007E30A6">
        <w:t>15</w:t>
      </w:r>
      <w:r w:rsidRPr="007E30A6">
        <w:t>个工作日内，上市公司将本次交易的现金对价一次性支付至相关银行账户。（</w:t>
      </w:r>
      <w:r w:rsidRPr="007E30A6">
        <w:t>3</w:t>
      </w:r>
      <w:r w:rsidRPr="007E30A6">
        <w:t>）根据上市公司披露的定期报告，截至</w:t>
      </w:r>
      <w:r w:rsidRPr="007E30A6">
        <w:t>2025</w:t>
      </w:r>
      <w:r w:rsidRPr="007E30A6">
        <w:t>年三季度末，上市公司货币资金余额为</w:t>
      </w:r>
      <w:r w:rsidRPr="007E30A6">
        <w:t>3.31</w:t>
      </w:r>
      <w:r w:rsidRPr="007E30A6">
        <w:t>亿元，归属于上市公司股东的所有者权益为</w:t>
      </w:r>
      <w:r w:rsidRPr="007E30A6">
        <w:t>7.71</w:t>
      </w:r>
      <w:r w:rsidRPr="007E30A6">
        <w:t>亿元，短期借款、长期借款及一年内到期的非流动负债合计余额为</w:t>
      </w:r>
      <w:r w:rsidRPr="007E30A6">
        <w:t>4.05</w:t>
      </w:r>
      <w:r w:rsidRPr="007E30A6">
        <w:t>亿元，上市公司资产负债率由</w:t>
      </w:r>
      <w:r w:rsidRPr="007E30A6">
        <w:t>2023</w:t>
      </w:r>
      <w:r w:rsidRPr="007E30A6">
        <w:t>年年末的</w:t>
      </w:r>
      <w:r w:rsidRPr="007E30A6">
        <w:t>19.92%</w:t>
      </w:r>
      <w:r w:rsidRPr="007E30A6">
        <w:t>提升至</w:t>
      </w:r>
      <w:r w:rsidRPr="007E30A6">
        <w:t>48.03%</w:t>
      </w:r>
      <w:r w:rsidRPr="007E30A6">
        <w:t>。（</w:t>
      </w:r>
      <w:r w:rsidRPr="007E30A6">
        <w:t>4</w:t>
      </w:r>
      <w:r w:rsidRPr="007E30A6">
        <w:t>）不考虑募集配套资金，本次发行股份及支付现金购买资产的拟发行股份占发行后上市公司总股本的比例为</w:t>
      </w:r>
      <w:r w:rsidRPr="007E30A6">
        <w:t>24.56%</w:t>
      </w:r>
      <w:r w:rsidRPr="007E30A6">
        <w:t>，交易完成后上市公司实际控制人林明玲、马学沛合计持有上市公司的股权比例为</w:t>
      </w:r>
      <w:r w:rsidRPr="007E30A6">
        <w:t>26.24%</w:t>
      </w:r>
      <w:r w:rsidRPr="007E30A6">
        <w:t>。（</w:t>
      </w:r>
      <w:r w:rsidRPr="007E30A6">
        <w:t>5</w:t>
      </w:r>
      <w:r w:rsidRPr="007E30A6">
        <w:t>）本次发行股份购买资产中股票的发行价为定价基准日前</w:t>
      </w:r>
      <w:r w:rsidRPr="007E30A6">
        <w:t>120</w:t>
      </w:r>
      <w:r w:rsidRPr="007E30A6">
        <w:t>个交易日的上市公司股票交易均价的</w:t>
      </w:r>
      <w:r w:rsidRPr="007E30A6">
        <w:t>80%</w:t>
      </w:r>
      <w:r w:rsidRPr="007E30A6">
        <w:t>，募集配套资金股票发行价为定价基准日前</w:t>
      </w:r>
      <w:r w:rsidRPr="007E30A6">
        <w:t>20</w:t>
      </w:r>
      <w:r w:rsidRPr="007E30A6">
        <w:t>个交易日的上市公司股票交易均价的</w:t>
      </w:r>
      <w:r w:rsidRPr="007E30A6">
        <w:t>80%</w:t>
      </w:r>
      <w:r w:rsidRPr="007E30A6">
        <w:t>。（</w:t>
      </w:r>
      <w:r w:rsidRPr="007E30A6">
        <w:t>6</w:t>
      </w:r>
      <w:r w:rsidRPr="007E30A6">
        <w:t>）本次交易在综合考虑交易对方的股东类型、是否参与业绩承诺及初始投资成本等因素后，针对不同交易对方进行差异化定价，其中标的资产五名管理层及泰安乐摇投资服务合伙企业（有限合伙）（以下简称乐摇）、泰安乐熙熙投资服务合伙企业（有限合伙）（以下简称乐熙熙）、泰安乐哈哈投资服务合伙企业（有限合伙）（以下简称乐哈哈）、泰安乐腾腾投资服务合伙企业（有限合伙）（以下简称乐腾腾）四个员工持股平台所持标的资产股权按标的资产</w:t>
      </w:r>
      <w:r w:rsidRPr="007E30A6">
        <w:t>100%</w:t>
      </w:r>
      <w:r w:rsidRPr="007E30A6">
        <w:t>股权</w:t>
      </w:r>
      <w:r w:rsidRPr="007E30A6">
        <w:t>16.95</w:t>
      </w:r>
      <w:r w:rsidRPr="007E30A6">
        <w:t>亿元的估值确定交易作价，其余交易对方基于不同入股轮次分别按</w:t>
      </w:r>
      <w:r w:rsidRPr="007E30A6">
        <w:t>12</w:t>
      </w:r>
      <w:r w:rsidRPr="007E30A6">
        <w:t>亿元和</w:t>
      </w:r>
      <w:r w:rsidRPr="007E30A6">
        <w:t>8</w:t>
      </w:r>
      <w:r w:rsidRPr="007E30A6">
        <w:t>亿元确定交易作价。（</w:t>
      </w:r>
      <w:r w:rsidRPr="007E30A6">
        <w:t>7</w:t>
      </w:r>
      <w:r w:rsidRPr="007E30A6">
        <w:t>）按</w:t>
      </w:r>
      <w:r w:rsidRPr="007E30A6">
        <w:t>16.95</w:t>
      </w:r>
      <w:r w:rsidRPr="007E30A6">
        <w:t>亿元的估值确定交易作价的九名交易对方及泰安乐陶陶投资服务合伙企业（有限合伙）（以下简称乐陶陶）做出业绩承诺，具体为承诺标的资产在</w:t>
      </w:r>
      <w:r w:rsidRPr="007E30A6">
        <w:t>2025</w:t>
      </w:r>
      <w:r w:rsidRPr="007E30A6">
        <w:t>年、</w:t>
      </w:r>
      <w:r w:rsidRPr="007E30A6">
        <w:t>2026</w:t>
      </w:r>
      <w:r w:rsidRPr="007E30A6">
        <w:t>年和</w:t>
      </w:r>
      <w:r w:rsidRPr="007E30A6">
        <w:t>2027</w:t>
      </w:r>
      <w:r w:rsidRPr="007E30A6">
        <w:t>年实现的承诺净利润分别不低于人民币</w:t>
      </w:r>
      <w:r w:rsidRPr="007E30A6">
        <w:t>0.9</w:t>
      </w:r>
      <w:r w:rsidRPr="007E30A6">
        <w:t>亿元、</w:t>
      </w:r>
      <w:r w:rsidRPr="007E30A6">
        <w:t>0.95</w:t>
      </w:r>
      <w:r w:rsidRPr="007E30A6">
        <w:t>亿元和</w:t>
      </w:r>
      <w:r w:rsidRPr="007E30A6">
        <w:t>1.05</w:t>
      </w:r>
      <w:r w:rsidRPr="007E30A6">
        <w:t>亿元，实际净利润为合并报表中归属于母公司所有者的净利润（按扣除非经常性损益原则确定）与研发相关的政府补助（即依据中央财政支持新</w:t>
      </w:r>
      <w:r w:rsidRPr="007E30A6">
        <w:lastRenderedPageBreak/>
        <w:t>一轮第一批重点</w:t>
      </w:r>
      <w:r w:rsidRPr="007D6CF8">
        <w:rPr>
          <w:rFonts w:ascii="宋体" w:eastAsia="宋体" w:hAnsi="宋体"/>
        </w:rPr>
        <w:t>“</w:t>
      </w:r>
      <w:r w:rsidRPr="007E30A6">
        <w:t>小巨人</w:t>
      </w:r>
      <w:r w:rsidRPr="007D6CF8">
        <w:rPr>
          <w:rFonts w:ascii="宋体" w:eastAsia="宋体" w:hAnsi="宋体"/>
        </w:rPr>
        <w:t>”</w:t>
      </w:r>
      <w:r w:rsidRPr="007E30A6">
        <w:t>企业奖补资金安排计划未来取得的政府补助）之和，且设定了最高业绩补偿额。（</w:t>
      </w:r>
      <w:r w:rsidRPr="007E30A6">
        <w:t>8</w:t>
      </w:r>
      <w:r w:rsidRPr="007E30A6">
        <w:t>）本次交易方案约定，如果业绩承诺补偿期与相关协议约定的过渡期存在重合的，交易对方已就过渡期内业绩承诺资产相关过渡期损益安排进行补偿的，前述重合时间内的业绩补偿金额应当相应扣减。（</w:t>
      </w:r>
      <w:r w:rsidRPr="007E30A6">
        <w:t>9</w:t>
      </w:r>
      <w:r w:rsidRPr="007E30A6">
        <w:t>）本次交易方案存在超额业绩奖励，如标的资产业绩承诺期届满时累计实现实际净利润数超过累计承诺净利润，超额</w:t>
      </w:r>
      <w:bookmarkStart w:id="10" w:name="OLE_LINK139"/>
      <w:r w:rsidRPr="007E30A6">
        <w:t>业绩奖励</w:t>
      </w:r>
      <w:bookmarkEnd w:id="10"/>
      <w:r w:rsidRPr="007E30A6">
        <w:t>的对象可以选择通过限制性股票或现金的方式接受超额业绩奖励。（</w:t>
      </w:r>
      <w:r w:rsidRPr="007E30A6">
        <w:t>10</w:t>
      </w:r>
      <w:r w:rsidRPr="007E30A6">
        <w:t>）因本次发行股份及支付现金购买资产完成后，预计无交易对方持有上市公司股份超过</w:t>
      </w:r>
      <w:r w:rsidRPr="007E30A6">
        <w:t>5%</w:t>
      </w:r>
      <w:r w:rsidRPr="007E30A6">
        <w:t>，本次发行股份及支付现金购买资产不构成关联交易。（</w:t>
      </w:r>
      <w:r w:rsidRPr="007E30A6">
        <w:t>11</w:t>
      </w:r>
      <w:r w:rsidRPr="007E30A6">
        <w:t>）根据相关协议，交易对方应当于本次交易获得中国证监会注册批文后，将标的资产由股份有限公司变更为有限责任公司的有关工商变更登记手续，完成后将相关股权过户至上市公司。（</w:t>
      </w:r>
      <w:r w:rsidRPr="007E30A6">
        <w:t>12</w:t>
      </w:r>
      <w:r w:rsidRPr="007E30A6">
        <w:t>）按</w:t>
      </w:r>
      <w:r w:rsidRPr="007E30A6">
        <w:t>2024</w:t>
      </w:r>
      <w:r w:rsidRPr="007E30A6">
        <w:t>年经审计数据计算，标的资产的资产净额、营业收入占上市公司的比例分别为</w:t>
      </w:r>
      <w:r w:rsidRPr="007E30A6">
        <w:t>156.74%</w:t>
      </w:r>
      <w:r w:rsidRPr="007E30A6">
        <w:t>和</w:t>
      </w:r>
      <w:r w:rsidRPr="007E30A6">
        <w:t>199.95%</w:t>
      </w:r>
      <w:r w:rsidRPr="007E30A6">
        <w:t>，因本次交易前后上市公司的实际控制人均为马学沛及林明玲，本次交易不构成重组上市。</w:t>
      </w:r>
    </w:p>
    <w:p w14:paraId="5E26F922" w14:textId="77777777" w:rsidR="00CD798F" w:rsidRPr="007E30A6" w:rsidRDefault="00CD798F" w:rsidP="00CD798F">
      <w:pPr>
        <w:pStyle w:val="0050"/>
        <w:spacing w:before="120" w:after="120"/>
        <w:ind w:firstLine="480"/>
      </w:pPr>
      <w:r w:rsidRPr="007E30A6">
        <w:t>请上市公司补充披露：（</w:t>
      </w:r>
      <w:r w:rsidRPr="007E30A6">
        <w:t>1</w:t>
      </w:r>
      <w:r w:rsidRPr="007E30A6">
        <w:t>）乐陶陶是否为标的资产员工持股平台，如是，进一步结合其入股时间、入股价格、入股时间及价格同其他员工持股平台的差异、入股价格的公允性、出资结构等补充披露乐陶陶在未按</w:t>
      </w:r>
      <w:r w:rsidRPr="007E30A6">
        <w:t>16.95</w:t>
      </w:r>
      <w:r w:rsidRPr="007E30A6">
        <w:t>亿元估值确定交易作价的同时做出业绩承诺的原因及商业合理性，乐陶陶同其余交易对方之间是否存在相关利益安排。（</w:t>
      </w:r>
      <w:r w:rsidRPr="007E30A6">
        <w:t>2</w:t>
      </w:r>
      <w:r w:rsidRPr="007E30A6">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r w:rsidRPr="007E30A6">
        <w:t>3</w:t>
      </w:r>
      <w:r w:rsidRPr="007E30A6">
        <w:t>）量化测算最高业绩补偿额的补充覆盖率，并进行针对性风险提示。（</w:t>
      </w:r>
      <w:r w:rsidRPr="007E30A6">
        <w:t>4</w:t>
      </w:r>
      <w:r w:rsidRPr="007E30A6">
        <w:t>）业绩补偿期与过渡期存在重合的具体扣减安排，并基于回函日时点</w:t>
      </w:r>
      <w:r w:rsidRPr="007E30A6">
        <w:lastRenderedPageBreak/>
        <w:t>情况补充披露业绩承诺期、过渡期损益的具体安排，相关安排是否符合《监管规则适用指引</w:t>
      </w:r>
      <w:r w:rsidRPr="007E30A6">
        <w:t>——</w:t>
      </w:r>
      <w:r w:rsidRPr="007E30A6">
        <w:t>上市类第</w:t>
      </w:r>
      <w:r w:rsidRPr="007E30A6">
        <w:t>1</w:t>
      </w:r>
      <w:r w:rsidRPr="007E30A6">
        <w:t>号》的规定。（</w:t>
      </w:r>
      <w:r w:rsidRPr="007E30A6">
        <w:t>5</w:t>
      </w:r>
      <w:r w:rsidRPr="007E30A6">
        <w:t>）按照《监管规则适用指引</w:t>
      </w:r>
      <w:r w:rsidRPr="007E30A6">
        <w:t>——</w:t>
      </w:r>
      <w:r w:rsidRPr="007E30A6">
        <w:t>上市类第</w:t>
      </w:r>
      <w:r w:rsidRPr="007E30A6">
        <w:t>1</w:t>
      </w:r>
      <w:r w:rsidRPr="007E30A6">
        <w:t>号》的要求补充披露业绩奖励的原因、依据及合理性，不同业绩奖励方式相关会计处理及对上市公司可能造成的影响，并明确业绩奖励的范围和确定方式，是否包含上市公司控股股东、实际控制人或其控制的关联人，超额业绩奖励安排是否符合《监管规则适用指引</w:t>
      </w:r>
      <w:r w:rsidRPr="007E30A6">
        <w:t>——</w:t>
      </w:r>
      <w:r w:rsidRPr="007E30A6">
        <w:t>上市类第</w:t>
      </w:r>
      <w:r w:rsidRPr="007E30A6">
        <w:t>1</w:t>
      </w:r>
      <w:r w:rsidRPr="007E30A6">
        <w:t>号》的规定。（</w:t>
      </w:r>
      <w:r w:rsidRPr="007E30A6">
        <w:t>6</w:t>
      </w:r>
      <w:r w:rsidRPr="007E30A6">
        <w:t>）在标的资产变更至有限责任公司后过户给上市公司的原因及商业逻辑，完成相关工商变更登记预计需要的程序及产生的税费，是否存在不确定性，对本次交易或估值是否存在影响。（</w:t>
      </w:r>
      <w:r w:rsidRPr="007E30A6">
        <w:t>7</w:t>
      </w:r>
      <w:r w:rsidRPr="007E30A6">
        <w:t>）结合交易对方之间的关联关系，标的资产的股权结构、治理结构、财务经营事项决策机制等补充披露本次交易完成后是否存在交易对方及其关联方或一致行动人（如有）合计持有上市公司股份超过</w:t>
      </w:r>
      <w:r w:rsidRPr="007E30A6">
        <w:t>5%</w:t>
      </w:r>
      <w:r w:rsidRPr="007E30A6">
        <w:t>的情形，认定本次发行股份及支付现金购买资产不构成关联交易是否准确。（</w:t>
      </w:r>
      <w:r w:rsidRPr="007E30A6">
        <w:t>8</w:t>
      </w:r>
      <w:r w:rsidRPr="007E30A6">
        <w:t>）发行股份购买资产和募集配套资金选取不同发行价格的原因及合理性。（</w:t>
      </w:r>
      <w:r w:rsidRPr="007E30A6">
        <w:t>9</w:t>
      </w:r>
      <w:r w:rsidRPr="007E30A6">
        <w:t>）上市公司对本次交易现金对价的具体筹措安排及可行性，结合上市公司的货币资金、资产负债情况、现金流情况、后续资金需求、受限资金情况等补充披露相关安排对上市公司偿债能力和生产经营是否存在不利影响，是否导致上市公司产生重大债务风险，本次交易方案支付安排的合理性与商业考虑，是否存在规避重组上市的情形，并进一步结合本次交易方案支付安排对上市公司财务报表的具体影响审慎论证分析并披露本次交易是否有利于提高上市公司的资产质量、是否导致财务状况发生重大不利变化、是否符合《重组办法》第四十四条的规定。（</w:t>
      </w:r>
      <w:r w:rsidRPr="007E30A6">
        <w:t>10</w:t>
      </w:r>
      <w:r w:rsidRPr="007E30A6">
        <w:t>）基于前述内容，并结合《上市公司收购管理办法》的相关规定，交易后上市公司的治理结构、章程相关规定及财务经营事项决策机制，上市公司实际控制人与本次交易对方的持股比例，交易对方之间的关联关系或一致行动关系情况，标的资产的资产、收入及利润占上市公司的比重，标的资产原有管理层对标的资产财务及生产经营决策的实际影响，交易相关方之间是否存在对上市公司及标的资产控制权的相关安排等补充披露本次交易后是否存在董事、高级管理人员或子公司相关人员具有上市公司控制权的情形，上市公司控制权是否发生变更，本次交易是否构成重组上市。</w:t>
      </w:r>
    </w:p>
    <w:p w14:paraId="1830702F" w14:textId="77777777" w:rsidR="00CD798F" w:rsidRPr="007E30A6" w:rsidRDefault="00CD798F" w:rsidP="00CD798F">
      <w:pPr>
        <w:pStyle w:val="0050"/>
        <w:spacing w:before="120" w:after="120"/>
        <w:ind w:firstLine="480"/>
      </w:pPr>
      <w:r w:rsidRPr="007E30A6">
        <w:lastRenderedPageBreak/>
        <w:t>请独立财务顾问和律师核查并发表明确意见，请会计师核查（</w:t>
      </w:r>
      <w:r w:rsidRPr="007E30A6">
        <w:t>2</w:t>
      </w:r>
      <w:r w:rsidRPr="007E30A6">
        <w:t>）（</w:t>
      </w:r>
      <w:r w:rsidRPr="007E30A6">
        <w:t>5</w:t>
      </w:r>
      <w:r w:rsidRPr="007E30A6">
        <w:t>）（</w:t>
      </w:r>
      <w:r w:rsidRPr="007E30A6">
        <w:t>9</w:t>
      </w:r>
      <w:r w:rsidRPr="007E30A6">
        <w:t>）并发表明确意见，请评估师核查（</w:t>
      </w:r>
      <w:r w:rsidRPr="007E30A6">
        <w:t>2</w:t>
      </w:r>
      <w:r w:rsidRPr="007E30A6">
        <w:t>）并发表明确意见。</w:t>
      </w:r>
    </w:p>
    <w:p w14:paraId="154C84F5" w14:textId="77777777" w:rsidR="00CD798F" w:rsidRPr="00197254" w:rsidRDefault="00CD798F" w:rsidP="00CD798F">
      <w:pPr>
        <w:spacing w:beforeLines="50" w:before="120" w:line="300" w:lineRule="auto"/>
        <w:ind w:firstLineChars="200" w:firstLine="482"/>
        <w:rPr>
          <w:rFonts w:ascii="Times New Roman" w:hAnsi="Times New Roman"/>
          <w:b/>
          <w:bCs/>
          <w:sz w:val="24"/>
        </w:rPr>
      </w:pPr>
      <w:r w:rsidRPr="00197254">
        <w:rPr>
          <w:rFonts w:ascii="Times New Roman" w:hAnsi="Times New Roman" w:hint="eastAsia"/>
          <w:b/>
          <w:bCs/>
          <w:sz w:val="24"/>
        </w:rPr>
        <w:t>回复：</w:t>
      </w:r>
    </w:p>
    <w:p w14:paraId="3395623A" w14:textId="77777777" w:rsidR="00CD798F" w:rsidRPr="003B070B" w:rsidRDefault="00CD798F" w:rsidP="00CD798F">
      <w:pPr>
        <w:pStyle w:val="002"/>
        <w:spacing w:before="120" w:after="120"/>
        <w:ind w:firstLine="482"/>
        <w:rPr>
          <w:rFonts w:ascii="宋体" w:hAnsi="宋体" w:hint="eastAsia"/>
          <w:szCs w:val="24"/>
        </w:rPr>
      </w:pPr>
      <w:r w:rsidRPr="003B070B">
        <w:rPr>
          <w:rFonts w:ascii="宋体" w:hAnsi="宋体" w:hint="eastAsia"/>
          <w:szCs w:val="24"/>
        </w:rPr>
        <w:t>一</w:t>
      </w:r>
      <w:r w:rsidRPr="003B070B">
        <w:rPr>
          <w:rFonts w:ascii="宋体" w:hAnsi="宋体"/>
          <w:szCs w:val="24"/>
        </w:rPr>
        <w:t>、</w:t>
      </w:r>
      <w:bookmarkStart w:id="11" w:name="_Hlk219323011"/>
      <w:r w:rsidRPr="003B070B">
        <w:rPr>
          <w:rFonts w:ascii="宋体" w:hAnsi="宋体"/>
          <w:szCs w:val="24"/>
        </w:rPr>
        <w:t>业绩承诺中相关政府补助的具体情况，是否存在相关法律法规及政策依据，历史期的补助金额，补助的获得是否可持续、是否存在不确定性，业绩承诺期内及期满后政府补助的预计金额，承诺期内和期后的补助金额是否存在显著差异，业绩承诺期内相关补助能否明确区分并清晰核算，政府补助金额及时点的确认是否存在明确的客观外部证据，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bookmarkEnd w:id="11"/>
      <w:r w:rsidRPr="003B070B">
        <w:rPr>
          <w:rFonts w:ascii="宋体" w:hAnsi="宋体"/>
          <w:szCs w:val="24"/>
        </w:rPr>
        <w:t>。</w:t>
      </w:r>
    </w:p>
    <w:p w14:paraId="04E61FE5" w14:textId="77777777" w:rsidR="00CD798F" w:rsidRPr="003B070B" w:rsidRDefault="00CD798F" w:rsidP="00CD798F">
      <w:pPr>
        <w:pStyle w:val="003"/>
        <w:keepNext w:val="0"/>
        <w:spacing w:before="120" w:after="120"/>
        <w:ind w:firstLine="482"/>
        <w:rPr>
          <w:rFonts w:ascii="宋体" w:hAnsi="宋体" w:hint="eastAsia"/>
          <w:szCs w:val="24"/>
        </w:rPr>
      </w:pPr>
      <w:bookmarkStart w:id="12" w:name="_Hlk219323037"/>
      <w:r w:rsidRPr="003B070B">
        <w:rPr>
          <w:rFonts w:ascii="宋体" w:hAnsi="宋体"/>
          <w:szCs w:val="24"/>
        </w:rPr>
        <w:t>（一）业绩承诺中相关政府补助的具体情况，是否存在相关法律法规及政策依据</w:t>
      </w:r>
    </w:p>
    <w:p w14:paraId="0B6238FC" w14:textId="77777777" w:rsidR="00CD798F" w:rsidRPr="003B070B" w:rsidRDefault="00CD798F" w:rsidP="00CD798F">
      <w:pPr>
        <w:pStyle w:val="004"/>
        <w:spacing w:before="120" w:after="120"/>
        <w:ind w:firstLine="482"/>
        <w:rPr>
          <w:rFonts w:ascii="宋体" w:hAnsi="宋体" w:hint="eastAsia"/>
          <w:szCs w:val="24"/>
        </w:rPr>
      </w:pPr>
      <w:r w:rsidRPr="003B070B">
        <w:rPr>
          <w:rFonts w:ascii="宋体" w:hAnsi="宋体"/>
          <w:szCs w:val="24"/>
        </w:rPr>
        <w:t>1、业绩承诺中相关政府补助的具体情况</w:t>
      </w:r>
    </w:p>
    <w:p w14:paraId="5230D624"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sz w:val="24"/>
          <w:szCs w:val="24"/>
        </w:rPr>
        <w:t>根据上市公司与业绩承诺方签署的《业绩承诺补偿协议书》，关于业绩承诺中实际净利润计算方式的约定如下：</w:t>
      </w:r>
    </w:p>
    <w:p w14:paraId="3693FE91"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kern w:val="0"/>
          <w:sz w:val="24"/>
          <w:szCs w:val="24"/>
        </w:rPr>
        <w:t>（</w:t>
      </w:r>
      <w:r w:rsidRPr="00D95B42">
        <w:rPr>
          <w:rFonts w:ascii="Times New Roman" w:hAnsi="Times New Roman"/>
          <w:kern w:val="0"/>
          <w:sz w:val="24"/>
          <w:szCs w:val="24"/>
        </w:rPr>
        <w:t>1</w:t>
      </w:r>
      <w:r w:rsidRPr="00D95B42">
        <w:rPr>
          <w:rFonts w:ascii="Times New Roman" w:hAnsi="Times New Roman"/>
          <w:kern w:val="0"/>
          <w:sz w:val="24"/>
          <w:szCs w:val="24"/>
        </w:rPr>
        <w:t>）业绩承诺方承诺标的公司在</w:t>
      </w:r>
      <w:r w:rsidRPr="00D95B42">
        <w:rPr>
          <w:rFonts w:ascii="Times New Roman" w:hAnsi="Times New Roman"/>
          <w:kern w:val="0"/>
          <w:sz w:val="24"/>
          <w:szCs w:val="24"/>
        </w:rPr>
        <w:t>2025</w:t>
      </w:r>
      <w:r w:rsidRPr="00D95B42">
        <w:rPr>
          <w:rFonts w:ascii="Times New Roman" w:hAnsi="Times New Roman"/>
          <w:kern w:val="0"/>
          <w:sz w:val="24"/>
          <w:szCs w:val="24"/>
        </w:rPr>
        <w:t>年度、</w:t>
      </w:r>
      <w:r w:rsidRPr="00D95B42">
        <w:rPr>
          <w:rFonts w:ascii="Times New Roman" w:hAnsi="Times New Roman"/>
          <w:kern w:val="0"/>
          <w:sz w:val="24"/>
          <w:szCs w:val="24"/>
        </w:rPr>
        <w:t>2026</w:t>
      </w:r>
      <w:r w:rsidRPr="00D95B42">
        <w:rPr>
          <w:rFonts w:ascii="Times New Roman" w:hAnsi="Times New Roman"/>
          <w:kern w:val="0"/>
          <w:sz w:val="24"/>
          <w:szCs w:val="24"/>
        </w:rPr>
        <w:t>年度和</w:t>
      </w:r>
      <w:r w:rsidRPr="00D95B42">
        <w:rPr>
          <w:rFonts w:ascii="Times New Roman" w:hAnsi="Times New Roman"/>
          <w:kern w:val="0"/>
          <w:sz w:val="24"/>
          <w:szCs w:val="24"/>
        </w:rPr>
        <w:t>2027</w:t>
      </w:r>
      <w:r w:rsidRPr="00D95B42">
        <w:rPr>
          <w:rFonts w:ascii="Times New Roman" w:hAnsi="Times New Roman"/>
          <w:kern w:val="0"/>
          <w:sz w:val="24"/>
          <w:szCs w:val="24"/>
        </w:rPr>
        <w:t>年度实现的实际净利润分别不低于人民币</w:t>
      </w:r>
      <w:r w:rsidRPr="00D95B42">
        <w:rPr>
          <w:rFonts w:ascii="Times New Roman" w:hAnsi="Times New Roman"/>
          <w:kern w:val="0"/>
          <w:sz w:val="24"/>
          <w:szCs w:val="24"/>
        </w:rPr>
        <w:t>9,000</w:t>
      </w:r>
      <w:r w:rsidRPr="00D95B42">
        <w:rPr>
          <w:rFonts w:ascii="Times New Roman" w:hAnsi="Times New Roman"/>
          <w:kern w:val="0"/>
          <w:sz w:val="24"/>
          <w:szCs w:val="24"/>
        </w:rPr>
        <w:t>万元、</w:t>
      </w:r>
      <w:r w:rsidRPr="00D95B42">
        <w:rPr>
          <w:rFonts w:ascii="Times New Roman" w:hAnsi="Times New Roman"/>
          <w:kern w:val="0"/>
          <w:sz w:val="24"/>
          <w:szCs w:val="24"/>
        </w:rPr>
        <w:t>9,500</w:t>
      </w:r>
      <w:r w:rsidRPr="00D95B42">
        <w:rPr>
          <w:rFonts w:ascii="Times New Roman" w:hAnsi="Times New Roman"/>
          <w:kern w:val="0"/>
          <w:sz w:val="24"/>
          <w:szCs w:val="24"/>
        </w:rPr>
        <w:t>万元和</w:t>
      </w:r>
      <w:r w:rsidRPr="00D95B42">
        <w:rPr>
          <w:rFonts w:ascii="Times New Roman" w:hAnsi="Times New Roman"/>
          <w:kern w:val="0"/>
          <w:sz w:val="24"/>
          <w:szCs w:val="24"/>
        </w:rPr>
        <w:t>10,500</w:t>
      </w:r>
      <w:r w:rsidRPr="00D95B42">
        <w:rPr>
          <w:rFonts w:ascii="Times New Roman" w:hAnsi="Times New Roman"/>
          <w:kern w:val="0"/>
          <w:sz w:val="24"/>
          <w:szCs w:val="24"/>
        </w:rPr>
        <w:t>万元。</w:t>
      </w:r>
    </w:p>
    <w:p w14:paraId="6699D232"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kern w:val="0"/>
          <w:sz w:val="24"/>
          <w:szCs w:val="24"/>
        </w:rPr>
        <w:t>（</w:t>
      </w:r>
      <w:r w:rsidRPr="00D95B42">
        <w:rPr>
          <w:rFonts w:ascii="Times New Roman" w:hAnsi="Times New Roman"/>
          <w:kern w:val="0"/>
          <w:sz w:val="24"/>
          <w:szCs w:val="24"/>
        </w:rPr>
        <w:t>2</w:t>
      </w:r>
      <w:r w:rsidRPr="00D95B42">
        <w:rPr>
          <w:rFonts w:ascii="Times New Roman" w:hAnsi="Times New Roman"/>
          <w:kern w:val="0"/>
          <w:sz w:val="24"/>
          <w:szCs w:val="24"/>
        </w:rPr>
        <w:t>）业绩承诺期间任一年度实际净利润数额应由上市公司聘请的符合《中华人民共和国证券法》要求的会计师事务所对目标公司在该年度实际盈利情况出具的专项审核意见，实际净利润为</w:t>
      </w:r>
      <w:bookmarkStart w:id="13" w:name="OLE_LINK126"/>
      <w:r w:rsidRPr="00D95B42">
        <w:rPr>
          <w:rFonts w:ascii="Times New Roman" w:hAnsi="Times New Roman"/>
          <w:kern w:val="0"/>
          <w:sz w:val="24"/>
          <w:szCs w:val="24"/>
        </w:rPr>
        <w:t>合并报表中归属于母公司所有者的净利润（按扣除非经常性损益原则确定）与经上市公司书面认可并与目标公司研发相关的政府补助（即依据中央财政支持新一轮第一批重点</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企业奖补资金安排计划未来取得的政府补助）之和</w:t>
      </w:r>
      <w:bookmarkEnd w:id="13"/>
      <w:r w:rsidRPr="00D95B42">
        <w:rPr>
          <w:rFonts w:ascii="Times New Roman" w:hAnsi="Times New Roman"/>
          <w:kern w:val="0"/>
          <w:sz w:val="24"/>
          <w:szCs w:val="24"/>
        </w:rPr>
        <w:t>。</w:t>
      </w:r>
    </w:p>
    <w:p w14:paraId="3621B9FB"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kern w:val="0"/>
          <w:sz w:val="24"/>
          <w:szCs w:val="24"/>
        </w:rPr>
        <w:t>因此，业绩承诺中包含的政府补助仅为</w:t>
      </w:r>
      <w:bookmarkStart w:id="14" w:name="OLE_LINK29"/>
      <w:r w:rsidRPr="00D95B42">
        <w:rPr>
          <w:rFonts w:ascii="Times New Roman" w:hAnsi="Times New Roman"/>
          <w:kern w:val="0"/>
          <w:sz w:val="24"/>
          <w:szCs w:val="24"/>
        </w:rPr>
        <w:t>依据中央财政支持新一轮第一批重点</w:t>
      </w:r>
      <w:r w:rsidRPr="00D95B42">
        <w:rPr>
          <w:rFonts w:ascii="Times New Roman" w:hAnsi="Times New Roman"/>
          <w:kern w:val="0"/>
          <w:sz w:val="24"/>
          <w:szCs w:val="24"/>
        </w:rPr>
        <w:t>“</w:t>
      </w:r>
      <w:r w:rsidRPr="00D95B42">
        <w:rPr>
          <w:rFonts w:ascii="Times New Roman" w:hAnsi="Times New Roman"/>
          <w:kern w:val="0"/>
          <w:sz w:val="24"/>
          <w:szCs w:val="24"/>
        </w:rPr>
        <w:t>小巨</w:t>
      </w:r>
      <w:r w:rsidRPr="00D95B42">
        <w:rPr>
          <w:rFonts w:ascii="Times New Roman" w:hAnsi="Times New Roman"/>
          <w:kern w:val="0"/>
          <w:sz w:val="24"/>
          <w:szCs w:val="24"/>
        </w:rPr>
        <w:lastRenderedPageBreak/>
        <w:t>人</w:t>
      </w:r>
      <w:r w:rsidRPr="00D95B42">
        <w:rPr>
          <w:rFonts w:ascii="Times New Roman" w:hAnsi="Times New Roman"/>
          <w:kern w:val="0"/>
          <w:sz w:val="24"/>
          <w:szCs w:val="24"/>
        </w:rPr>
        <w:t>”</w:t>
      </w:r>
      <w:r w:rsidRPr="00D95B42">
        <w:rPr>
          <w:rFonts w:ascii="Times New Roman" w:hAnsi="Times New Roman"/>
          <w:kern w:val="0"/>
          <w:sz w:val="24"/>
          <w:szCs w:val="24"/>
        </w:rPr>
        <w:t>企业奖补资金安排计划未来取得的政府补助</w:t>
      </w:r>
      <w:bookmarkEnd w:id="14"/>
      <w:r w:rsidRPr="00D95B42">
        <w:rPr>
          <w:rFonts w:ascii="Times New Roman" w:hAnsi="Times New Roman"/>
          <w:kern w:val="0"/>
          <w:sz w:val="24"/>
          <w:szCs w:val="24"/>
        </w:rPr>
        <w:t>。</w:t>
      </w:r>
    </w:p>
    <w:p w14:paraId="46E8A8A7" w14:textId="77777777" w:rsidR="00CD798F" w:rsidRPr="003B070B" w:rsidRDefault="00CD798F" w:rsidP="00CD798F">
      <w:pPr>
        <w:pStyle w:val="004"/>
        <w:spacing w:before="120" w:after="120"/>
        <w:ind w:firstLine="482"/>
        <w:rPr>
          <w:rFonts w:ascii="宋体" w:hAnsi="宋体" w:hint="eastAsia"/>
          <w:szCs w:val="24"/>
        </w:rPr>
      </w:pPr>
      <w:r w:rsidRPr="003B070B">
        <w:rPr>
          <w:rFonts w:ascii="宋体" w:hAnsi="宋体"/>
          <w:szCs w:val="24"/>
        </w:rPr>
        <w:t>2、业绩承诺方案符合法律法规的相关规定</w:t>
      </w:r>
    </w:p>
    <w:p w14:paraId="669AD9AB" w14:textId="77777777" w:rsidR="00CD798F" w:rsidRPr="003B070B" w:rsidRDefault="00CD798F" w:rsidP="00CD798F">
      <w:pPr>
        <w:spacing w:before="120" w:after="120" w:line="360" w:lineRule="auto"/>
        <w:ind w:firstLine="480"/>
        <w:rPr>
          <w:rFonts w:ascii="宋体" w:hAnsi="宋体" w:hint="eastAsia"/>
          <w:kern w:val="0"/>
          <w:sz w:val="24"/>
          <w:szCs w:val="24"/>
        </w:rPr>
      </w:pPr>
      <w:r w:rsidRPr="003B070B">
        <w:rPr>
          <w:rFonts w:ascii="宋体" w:hAnsi="宋体" w:hint="eastAsia"/>
          <w:kern w:val="0"/>
          <w:sz w:val="24"/>
          <w:szCs w:val="24"/>
        </w:rPr>
        <w:t>根据《上市公司重大资产重组管理办法》的相关规定，</w:t>
      </w:r>
      <w:r w:rsidRPr="003B070B">
        <w:rPr>
          <w:rFonts w:ascii="宋体" w:hAnsi="宋体"/>
          <w:kern w:val="0"/>
          <w:sz w:val="24"/>
          <w:szCs w:val="24"/>
        </w:rPr>
        <w:t>“</w:t>
      </w:r>
      <w:r w:rsidRPr="003B070B">
        <w:rPr>
          <w:rFonts w:ascii="宋体" w:hAnsi="宋体" w:hint="eastAsia"/>
          <w:kern w:val="0"/>
          <w:sz w:val="24"/>
          <w:szCs w:val="24"/>
        </w:rPr>
        <w:t>上市公司向控股股东、实际控制人或者其控制的关联人之外的特定对象购买资产且未导致控制权发生变更的，不适用本条前二款规定，上市公司与交易对方可以根据市场化原则，自主协商是否采取业绩补偿和每股收益填补措施及相关具体安排。</w:t>
      </w:r>
      <w:r w:rsidRPr="003B070B">
        <w:rPr>
          <w:rFonts w:ascii="宋体" w:hAnsi="宋体"/>
          <w:kern w:val="0"/>
          <w:sz w:val="24"/>
          <w:szCs w:val="24"/>
        </w:rPr>
        <w:t>”</w:t>
      </w:r>
    </w:p>
    <w:p w14:paraId="5D9D6E81" w14:textId="77777777" w:rsidR="00CD798F" w:rsidRPr="003B070B" w:rsidRDefault="00CD798F" w:rsidP="00CD798F">
      <w:pPr>
        <w:spacing w:before="120" w:after="120" w:line="360" w:lineRule="auto"/>
        <w:ind w:firstLine="480"/>
        <w:rPr>
          <w:rFonts w:ascii="宋体" w:hAnsi="宋体" w:hint="eastAsia"/>
          <w:kern w:val="0"/>
          <w:sz w:val="24"/>
          <w:szCs w:val="24"/>
        </w:rPr>
      </w:pPr>
      <w:r w:rsidRPr="003B070B">
        <w:rPr>
          <w:rFonts w:ascii="宋体" w:hAnsi="宋体" w:hint="eastAsia"/>
          <w:kern w:val="0"/>
          <w:sz w:val="24"/>
          <w:szCs w:val="24"/>
        </w:rPr>
        <w:t>本次交易中，上市公司与交易对方不存在关联关系，本次交易亦不会导致上市公司控制权发生变更。因此，本次交易上市公司与交易对方可以根据市场化原则，自主协商是否采取业绩补偿及相关具体安排。重点</w:t>
      </w:r>
      <w:r w:rsidRPr="003B070B">
        <w:rPr>
          <w:rFonts w:ascii="宋体" w:hAnsi="宋体"/>
          <w:kern w:val="0"/>
          <w:sz w:val="24"/>
          <w:szCs w:val="24"/>
        </w:rPr>
        <w:t>“</w:t>
      </w:r>
      <w:r w:rsidRPr="003B070B">
        <w:rPr>
          <w:rFonts w:ascii="宋体" w:hAnsi="宋体" w:hint="eastAsia"/>
          <w:kern w:val="0"/>
          <w:sz w:val="24"/>
          <w:szCs w:val="24"/>
        </w:rPr>
        <w:t>小巨人</w:t>
      </w:r>
      <w:r w:rsidRPr="003B070B">
        <w:rPr>
          <w:rFonts w:ascii="宋体" w:hAnsi="宋体"/>
          <w:kern w:val="0"/>
          <w:sz w:val="24"/>
          <w:szCs w:val="24"/>
        </w:rPr>
        <w:t>”</w:t>
      </w:r>
      <w:r w:rsidRPr="003B070B">
        <w:rPr>
          <w:rFonts w:ascii="宋体" w:hAnsi="宋体" w:hint="eastAsia"/>
          <w:kern w:val="0"/>
          <w:sz w:val="24"/>
          <w:szCs w:val="24"/>
        </w:rPr>
        <w:t>企业获批前提为专精特新</w:t>
      </w:r>
      <w:r w:rsidRPr="003B070B">
        <w:rPr>
          <w:rFonts w:ascii="宋体" w:hAnsi="宋体"/>
          <w:kern w:val="0"/>
          <w:sz w:val="24"/>
          <w:szCs w:val="24"/>
        </w:rPr>
        <w:t>“</w:t>
      </w:r>
      <w:r w:rsidRPr="003B070B">
        <w:rPr>
          <w:rFonts w:ascii="宋体" w:hAnsi="宋体" w:hint="eastAsia"/>
          <w:kern w:val="0"/>
          <w:sz w:val="24"/>
          <w:szCs w:val="24"/>
        </w:rPr>
        <w:t>小巨人</w:t>
      </w:r>
      <w:r w:rsidRPr="003B070B">
        <w:rPr>
          <w:rFonts w:ascii="宋体" w:hAnsi="宋体"/>
          <w:kern w:val="0"/>
          <w:sz w:val="24"/>
          <w:szCs w:val="24"/>
        </w:rPr>
        <w:t>”</w:t>
      </w:r>
      <w:r w:rsidRPr="003B070B">
        <w:rPr>
          <w:rFonts w:ascii="宋体" w:hAnsi="宋体" w:hint="eastAsia"/>
          <w:kern w:val="0"/>
          <w:sz w:val="24"/>
          <w:szCs w:val="24"/>
        </w:rPr>
        <w:t>企业，且要求申请企业围绕打造新动能、攻坚新技术、开发新产品、强化产业链配套能力推进计划并提出绩效目标。本次交易中上市公司与交易对方协商确定承诺净利润中包含依据中央财政支持新一轮第一批重点</w:t>
      </w:r>
      <w:r w:rsidRPr="003B070B">
        <w:rPr>
          <w:rFonts w:ascii="宋体" w:hAnsi="宋体"/>
          <w:kern w:val="0"/>
          <w:sz w:val="24"/>
          <w:szCs w:val="24"/>
        </w:rPr>
        <w:t>“</w:t>
      </w:r>
      <w:r w:rsidRPr="003B070B">
        <w:rPr>
          <w:rFonts w:ascii="宋体" w:hAnsi="宋体" w:hint="eastAsia"/>
          <w:kern w:val="0"/>
          <w:sz w:val="24"/>
          <w:szCs w:val="24"/>
        </w:rPr>
        <w:t>小巨人</w:t>
      </w:r>
      <w:r w:rsidRPr="003B070B">
        <w:rPr>
          <w:rFonts w:ascii="宋体" w:hAnsi="宋体"/>
          <w:kern w:val="0"/>
          <w:sz w:val="24"/>
          <w:szCs w:val="24"/>
        </w:rPr>
        <w:t>”</w:t>
      </w:r>
      <w:r w:rsidRPr="003B070B">
        <w:rPr>
          <w:rFonts w:ascii="宋体" w:hAnsi="宋体" w:hint="eastAsia"/>
          <w:kern w:val="0"/>
          <w:sz w:val="24"/>
          <w:szCs w:val="24"/>
        </w:rPr>
        <w:t>企业奖补资金安排计划未来取得的政府补助，以激励标的公司持续关注研发创新，持续保持核心竞争力，为上市公司及其股东创造长期价值。</w:t>
      </w:r>
    </w:p>
    <w:p w14:paraId="7BA52E97" w14:textId="77777777" w:rsidR="00CD798F" w:rsidRPr="003B070B" w:rsidRDefault="00CD798F" w:rsidP="00CD798F">
      <w:pPr>
        <w:spacing w:before="120" w:after="120" w:line="360" w:lineRule="auto"/>
        <w:ind w:firstLine="480"/>
        <w:rPr>
          <w:rFonts w:ascii="宋体" w:hAnsi="宋体" w:hint="eastAsia"/>
          <w:sz w:val="24"/>
          <w:szCs w:val="24"/>
        </w:rPr>
      </w:pPr>
      <w:r w:rsidRPr="003B070B">
        <w:rPr>
          <w:rFonts w:ascii="宋体" w:hAnsi="宋体" w:hint="eastAsia"/>
          <w:kern w:val="0"/>
          <w:sz w:val="24"/>
          <w:szCs w:val="24"/>
        </w:rPr>
        <w:t>综上，本次交易中关于承诺净利润的设计符合法律法规的相关规定。</w:t>
      </w:r>
    </w:p>
    <w:p w14:paraId="0AF94DFF" w14:textId="77777777" w:rsidR="00CD798F" w:rsidRPr="003B070B" w:rsidRDefault="00CD798F" w:rsidP="00CD798F">
      <w:pPr>
        <w:pStyle w:val="003"/>
        <w:keepNext w:val="0"/>
        <w:spacing w:before="120" w:after="120"/>
        <w:ind w:firstLine="482"/>
        <w:rPr>
          <w:rFonts w:ascii="宋体" w:hAnsi="宋体" w:hint="eastAsia"/>
          <w:szCs w:val="24"/>
        </w:rPr>
      </w:pPr>
      <w:r w:rsidRPr="003B070B">
        <w:rPr>
          <w:rFonts w:ascii="宋体" w:hAnsi="宋体"/>
          <w:szCs w:val="24"/>
        </w:rPr>
        <w:t>（二）历史期的补助金额，补助的获得是否可持续、是否存在不确定性，业绩承诺期内及期满后政府补助的预计金额，承诺期内和期后的补助金额是否存在显著差异，</w:t>
      </w:r>
      <w:bookmarkStart w:id="15" w:name="OLE_LINK37"/>
      <w:r w:rsidRPr="003B070B">
        <w:rPr>
          <w:rFonts w:ascii="宋体" w:hAnsi="宋体"/>
          <w:szCs w:val="24"/>
        </w:rPr>
        <w:t>业绩承诺期内相关补助能否明确区分并清晰核算</w:t>
      </w:r>
      <w:bookmarkEnd w:id="15"/>
    </w:p>
    <w:p w14:paraId="1931DBEC"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kern w:val="0"/>
          <w:sz w:val="24"/>
          <w:szCs w:val="24"/>
        </w:rPr>
        <w:t>如前所述，</w:t>
      </w:r>
      <w:bookmarkStart w:id="16" w:name="OLE_LINK120"/>
      <w:r w:rsidRPr="00D95B42">
        <w:rPr>
          <w:rFonts w:ascii="Times New Roman" w:hAnsi="Times New Roman"/>
          <w:kern w:val="0"/>
          <w:sz w:val="24"/>
          <w:szCs w:val="24"/>
        </w:rPr>
        <w:t>本次业绩承诺中相关政府补助仅包括依据中央财政支持新一轮第一批重点</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企业奖补资金安排计划未来取得的政府补助</w:t>
      </w:r>
      <w:bookmarkEnd w:id="16"/>
      <w:r w:rsidRPr="00D95B42">
        <w:rPr>
          <w:rFonts w:ascii="Times New Roman" w:hAnsi="Times New Roman"/>
          <w:kern w:val="0"/>
          <w:sz w:val="24"/>
          <w:szCs w:val="24"/>
        </w:rPr>
        <w:t>。根据财政部及工业和信息化部发布的《关于进一步支持专精特新中小企业高质量发展的通知》（财建〔</w:t>
      </w:r>
      <w:r w:rsidRPr="00D95B42">
        <w:rPr>
          <w:rFonts w:ascii="Times New Roman" w:hAnsi="Times New Roman"/>
          <w:kern w:val="0"/>
          <w:sz w:val="24"/>
          <w:szCs w:val="24"/>
        </w:rPr>
        <w:t>2024</w:t>
      </w:r>
      <w:r w:rsidRPr="00D95B42">
        <w:rPr>
          <w:rFonts w:ascii="Times New Roman" w:hAnsi="Times New Roman"/>
          <w:kern w:val="0"/>
          <w:sz w:val="24"/>
          <w:szCs w:val="24"/>
        </w:rPr>
        <w:t>〕</w:t>
      </w:r>
      <w:r w:rsidRPr="00D95B42">
        <w:rPr>
          <w:rFonts w:ascii="Times New Roman" w:hAnsi="Times New Roman"/>
          <w:kern w:val="0"/>
          <w:sz w:val="24"/>
          <w:szCs w:val="24"/>
        </w:rPr>
        <w:t>148</w:t>
      </w:r>
      <w:r w:rsidRPr="00D95B42">
        <w:rPr>
          <w:rFonts w:ascii="Times New Roman" w:hAnsi="Times New Roman"/>
          <w:kern w:val="0"/>
          <w:sz w:val="24"/>
          <w:szCs w:val="24"/>
        </w:rPr>
        <w:t>号），中央财政资金将支持重点领域的</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企业打造新动能、攻坚新技术、开发新产品、强化产业链配套能力，同时支持地方加大对专精特新中小企业培育赋能。奖补标准为每家企业合计</w:t>
      </w:r>
      <w:r w:rsidRPr="00D95B42">
        <w:rPr>
          <w:rFonts w:ascii="Times New Roman" w:hAnsi="Times New Roman"/>
          <w:kern w:val="0"/>
          <w:sz w:val="24"/>
          <w:szCs w:val="24"/>
        </w:rPr>
        <w:t>600</w:t>
      </w:r>
      <w:r w:rsidRPr="00D95B42">
        <w:rPr>
          <w:rFonts w:ascii="Times New Roman" w:hAnsi="Times New Roman"/>
          <w:kern w:val="0"/>
          <w:sz w:val="24"/>
          <w:szCs w:val="24"/>
        </w:rPr>
        <w:t>万元，批次奖补资金分两次下达，实施期初下达</w:t>
      </w:r>
      <w:r w:rsidRPr="00D95B42">
        <w:rPr>
          <w:rFonts w:ascii="Times New Roman" w:hAnsi="Times New Roman"/>
          <w:kern w:val="0"/>
          <w:sz w:val="24"/>
          <w:szCs w:val="24"/>
        </w:rPr>
        <w:t>50%</w:t>
      </w:r>
      <w:r w:rsidRPr="00D95B42">
        <w:rPr>
          <w:rFonts w:ascii="Times New Roman" w:hAnsi="Times New Roman"/>
          <w:kern w:val="0"/>
          <w:sz w:val="24"/>
          <w:szCs w:val="24"/>
        </w:rPr>
        <w:t>，</w:t>
      </w:r>
      <w:bookmarkStart w:id="17" w:name="OLE_LINK34"/>
      <w:r w:rsidRPr="00D95B42">
        <w:rPr>
          <w:rFonts w:ascii="Times New Roman" w:hAnsi="Times New Roman"/>
          <w:kern w:val="0"/>
          <w:sz w:val="24"/>
          <w:szCs w:val="24"/>
        </w:rPr>
        <w:t>实施期末根据绩效评价情况下达剩余资金奖补资金总额的</w:t>
      </w:r>
      <w:r w:rsidRPr="00D95B42">
        <w:rPr>
          <w:rFonts w:ascii="Times New Roman" w:hAnsi="Times New Roman"/>
          <w:kern w:val="0"/>
          <w:sz w:val="24"/>
          <w:szCs w:val="24"/>
        </w:rPr>
        <w:t>95%</w:t>
      </w:r>
      <w:r w:rsidRPr="00D95B42">
        <w:rPr>
          <w:rFonts w:ascii="Times New Roman" w:hAnsi="Times New Roman"/>
          <w:kern w:val="0"/>
          <w:sz w:val="24"/>
          <w:szCs w:val="24"/>
        </w:rPr>
        <w:t>以上由省级财政部门</w:t>
      </w:r>
      <w:bookmarkEnd w:id="17"/>
      <w:r w:rsidRPr="00D95B42">
        <w:rPr>
          <w:rFonts w:ascii="Times New Roman" w:hAnsi="Times New Roman"/>
          <w:kern w:val="0"/>
          <w:sz w:val="24"/>
          <w:szCs w:val="24"/>
        </w:rPr>
        <w:t>直</w:t>
      </w:r>
      <w:r w:rsidRPr="00D95B42">
        <w:rPr>
          <w:rFonts w:ascii="Times New Roman" w:hAnsi="Times New Roman"/>
          <w:kern w:val="0"/>
          <w:sz w:val="24"/>
          <w:szCs w:val="24"/>
        </w:rPr>
        <w:lastRenderedPageBreak/>
        <w:t>接拨付到</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企业，由企业围绕</w:t>
      </w:r>
      <w:r w:rsidRPr="00D95B42">
        <w:rPr>
          <w:rFonts w:ascii="Times New Roman" w:hAnsi="Times New Roman"/>
          <w:kern w:val="0"/>
          <w:sz w:val="24"/>
          <w:szCs w:val="24"/>
        </w:rPr>
        <w:t>“</w:t>
      </w:r>
      <w:r w:rsidRPr="00D95B42">
        <w:rPr>
          <w:rFonts w:ascii="Times New Roman" w:hAnsi="Times New Roman"/>
          <w:kern w:val="0"/>
          <w:sz w:val="24"/>
          <w:szCs w:val="24"/>
        </w:rPr>
        <w:t>三新</w:t>
      </w:r>
      <w:r w:rsidRPr="00D95B42">
        <w:rPr>
          <w:rFonts w:ascii="Times New Roman" w:hAnsi="Times New Roman"/>
          <w:kern w:val="0"/>
          <w:sz w:val="24"/>
          <w:szCs w:val="24"/>
        </w:rPr>
        <w:t>”</w:t>
      </w:r>
      <w:r w:rsidRPr="00D95B42">
        <w:rPr>
          <w:rFonts w:ascii="Times New Roman" w:hAnsi="Times New Roman"/>
          <w:kern w:val="0"/>
          <w:sz w:val="24"/>
          <w:szCs w:val="24"/>
        </w:rPr>
        <w:t>、</w:t>
      </w:r>
      <w:r w:rsidRPr="00D95B42">
        <w:rPr>
          <w:rFonts w:ascii="Times New Roman" w:hAnsi="Times New Roman"/>
          <w:kern w:val="0"/>
          <w:sz w:val="24"/>
          <w:szCs w:val="24"/>
        </w:rPr>
        <w:t>“</w:t>
      </w:r>
      <w:r w:rsidRPr="00D95B42">
        <w:rPr>
          <w:rFonts w:ascii="Times New Roman" w:hAnsi="Times New Roman"/>
          <w:kern w:val="0"/>
          <w:sz w:val="24"/>
          <w:szCs w:val="24"/>
        </w:rPr>
        <w:t>一强</w:t>
      </w:r>
      <w:r w:rsidRPr="00D95B42">
        <w:rPr>
          <w:rFonts w:ascii="Times New Roman" w:hAnsi="Times New Roman"/>
          <w:kern w:val="0"/>
          <w:sz w:val="24"/>
          <w:szCs w:val="24"/>
        </w:rPr>
        <w:t>”</w:t>
      </w:r>
      <w:r w:rsidRPr="00D95B42">
        <w:rPr>
          <w:rFonts w:ascii="Times New Roman" w:hAnsi="Times New Roman"/>
          <w:kern w:val="0"/>
          <w:sz w:val="24"/>
          <w:szCs w:val="24"/>
        </w:rPr>
        <w:t>目标任务自主安排使用；不超过奖补资金总额的</w:t>
      </w:r>
      <w:r w:rsidRPr="00D95B42">
        <w:rPr>
          <w:rFonts w:ascii="Times New Roman" w:hAnsi="Times New Roman"/>
          <w:kern w:val="0"/>
          <w:sz w:val="24"/>
          <w:szCs w:val="24"/>
        </w:rPr>
        <w:t>5%</w:t>
      </w:r>
      <w:r w:rsidRPr="00D95B42">
        <w:rPr>
          <w:rFonts w:ascii="Times New Roman" w:hAnsi="Times New Roman"/>
          <w:kern w:val="0"/>
          <w:sz w:val="24"/>
          <w:szCs w:val="24"/>
        </w:rPr>
        <w:t>可重点用于对</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企业培育赋能，包括向</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企业提供管理诊断、人才培训、质量诊断等培育赋能服务，建立健全以技术支持、成果转化、资金对接、企业孵化、产业融通等为主要功能的专精特新赋能体系。</w:t>
      </w:r>
    </w:p>
    <w:p w14:paraId="28CEADA0"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kern w:val="0"/>
          <w:sz w:val="24"/>
          <w:szCs w:val="24"/>
        </w:rPr>
        <w:t>根据广州市工业和信息化局转发《关于第六批专精特新</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企业、通过复核的第三批专精特新</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企业和新一轮第一批支持的重点</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企业名单的通知》，标的公司新一轮第一批支持的重点</w:t>
      </w:r>
      <w:r w:rsidRPr="00D95B42">
        <w:rPr>
          <w:rFonts w:ascii="Times New Roman" w:hAnsi="Times New Roman"/>
          <w:kern w:val="0"/>
          <w:sz w:val="24"/>
          <w:szCs w:val="24"/>
        </w:rPr>
        <w:t>“</w:t>
      </w:r>
      <w:r w:rsidRPr="00D95B42">
        <w:rPr>
          <w:rFonts w:ascii="Times New Roman" w:hAnsi="Times New Roman"/>
          <w:kern w:val="0"/>
          <w:sz w:val="24"/>
          <w:szCs w:val="24"/>
        </w:rPr>
        <w:t>小巨人</w:t>
      </w:r>
      <w:r w:rsidRPr="00D95B42">
        <w:rPr>
          <w:rFonts w:ascii="Times New Roman" w:hAnsi="Times New Roman"/>
          <w:kern w:val="0"/>
          <w:sz w:val="24"/>
          <w:szCs w:val="24"/>
        </w:rPr>
        <w:t>”</w:t>
      </w:r>
      <w:r w:rsidRPr="00D95B42">
        <w:rPr>
          <w:rFonts w:ascii="Times New Roman" w:hAnsi="Times New Roman"/>
          <w:kern w:val="0"/>
          <w:sz w:val="24"/>
          <w:szCs w:val="24"/>
        </w:rPr>
        <w:t>企业申请已通过复核，并于</w:t>
      </w:r>
      <w:r w:rsidRPr="00D95B42">
        <w:rPr>
          <w:rFonts w:ascii="Times New Roman" w:hAnsi="Times New Roman"/>
          <w:kern w:val="0"/>
          <w:sz w:val="24"/>
          <w:szCs w:val="24"/>
        </w:rPr>
        <w:t>2025</w:t>
      </w:r>
      <w:r w:rsidRPr="00D95B42">
        <w:rPr>
          <w:rFonts w:ascii="Times New Roman" w:hAnsi="Times New Roman"/>
          <w:kern w:val="0"/>
          <w:sz w:val="24"/>
          <w:szCs w:val="24"/>
        </w:rPr>
        <w:t>年收到首批奖补资金</w:t>
      </w:r>
      <w:r w:rsidRPr="00D95B42">
        <w:rPr>
          <w:rFonts w:ascii="Times New Roman" w:hAnsi="Times New Roman"/>
          <w:kern w:val="0"/>
          <w:sz w:val="24"/>
          <w:szCs w:val="24"/>
        </w:rPr>
        <w:t>285</w:t>
      </w:r>
      <w:r w:rsidRPr="00D95B42">
        <w:rPr>
          <w:rFonts w:ascii="Times New Roman" w:hAnsi="Times New Roman"/>
          <w:kern w:val="0"/>
          <w:sz w:val="24"/>
          <w:szCs w:val="24"/>
        </w:rPr>
        <w:t>万元。第二笔奖补资金亦为</w:t>
      </w:r>
      <w:r w:rsidRPr="00D95B42">
        <w:rPr>
          <w:rFonts w:ascii="Times New Roman" w:hAnsi="Times New Roman"/>
          <w:kern w:val="0"/>
          <w:sz w:val="24"/>
          <w:szCs w:val="24"/>
        </w:rPr>
        <w:t>285</w:t>
      </w:r>
      <w:r w:rsidRPr="00D95B42">
        <w:rPr>
          <w:rFonts w:ascii="Times New Roman" w:hAnsi="Times New Roman"/>
          <w:kern w:val="0"/>
          <w:sz w:val="24"/>
          <w:szCs w:val="24"/>
        </w:rPr>
        <w:t>万元，</w:t>
      </w:r>
      <w:bookmarkStart w:id="18" w:name="OLE_LINK38"/>
      <w:r w:rsidRPr="00D95B42">
        <w:rPr>
          <w:rFonts w:ascii="Times New Roman" w:hAnsi="Times New Roman"/>
          <w:kern w:val="0"/>
          <w:sz w:val="24"/>
          <w:szCs w:val="24"/>
        </w:rPr>
        <w:t>实施期末（</w:t>
      </w:r>
      <w:r w:rsidRPr="00D95B42">
        <w:rPr>
          <w:rFonts w:ascii="Times New Roman" w:hAnsi="Times New Roman"/>
          <w:kern w:val="0"/>
          <w:sz w:val="24"/>
          <w:szCs w:val="24"/>
        </w:rPr>
        <w:t>2027</w:t>
      </w:r>
      <w:r w:rsidRPr="00D95B42">
        <w:rPr>
          <w:rFonts w:ascii="Times New Roman" w:hAnsi="Times New Roman"/>
          <w:kern w:val="0"/>
          <w:sz w:val="24"/>
          <w:szCs w:val="24"/>
        </w:rPr>
        <w:t>年</w:t>
      </w:r>
      <w:r w:rsidRPr="00D95B42">
        <w:rPr>
          <w:rFonts w:ascii="Times New Roman" w:hAnsi="Times New Roman"/>
          <w:kern w:val="0"/>
          <w:sz w:val="24"/>
          <w:szCs w:val="24"/>
        </w:rPr>
        <w:t>4</w:t>
      </w:r>
      <w:r w:rsidRPr="00D95B42">
        <w:rPr>
          <w:rFonts w:ascii="Times New Roman" w:hAnsi="Times New Roman"/>
          <w:kern w:val="0"/>
          <w:sz w:val="24"/>
          <w:szCs w:val="24"/>
        </w:rPr>
        <w:t>月）将由省级财政部门根据绩效评价情况</w:t>
      </w:r>
      <w:bookmarkEnd w:id="18"/>
      <w:r w:rsidRPr="00D95B42">
        <w:rPr>
          <w:rFonts w:ascii="Times New Roman" w:hAnsi="Times New Roman"/>
          <w:kern w:val="0"/>
          <w:sz w:val="24"/>
          <w:szCs w:val="24"/>
        </w:rPr>
        <w:t>进行考核，是否下发具有不确定性。</w:t>
      </w:r>
    </w:p>
    <w:p w14:paraId="1BE79224" w14:textId="77777777" w:rsidR="00CD798F" w:rsidRPr="00D95B42" w:rsidRDefault="00CD798F" w:rsidP="00CD798F">
      <w:pPr>
        <w:spacing w:before="120" w:after="120" w:line="360" w:lineRule="auto"/>
        <w:ind w:firstLine="480"/>
        <w:rPr>
          <w:rFonts w:ascii="Times New Roman" w:hAnsi="Times New Roman"/>
          <w:sz w:val="24"/>
          <w:szCs w:val="24"/>
        </w:rPr>
      </w:pPr>
      <w:r w:rsidRPr="00D95B42">
        <w:rPr>
          <w:rFonts w:ascii="Times New Roman" w:hAnsi="Times New Roman"/>
          <w:kern w:val="0"/>
          <w:sz w:val="24"/>
          <w:szCs w:val="24"/>
        </w:rPr>
        <w:t>综上，标的公司业绩承诺包含的政府补助仅包含重点小巨人的第二笔奖补资金</w:t>
      </w:r>
      <w:r w:rsidRPr="00D95B42">
        <w:rPr>
          <w:rFonts w:ascii="Times New Roman" w:hAnsi="Times New Roman"/>
          <w:kern w:val="0"/>
          <w:sz w:val="24"/>
          <w:szCs w:val="24"/>
        </w:rPr>
        <w:t>285</w:t>
      </w:r>
      <w:r w:rsidRPr="00D95B42">
        <w:rPr>
          <w:rFonts w:ascii="Times New Roman" w:hAnsi="Times New Roman"/>
          <w:kern w:val="0"/>
          <w:sz w:val="24"/>
          <w:szCs w:val="24"/>
        </w:rPr>
        <w:t>万元，不具备持续性且具有不确定性，发放与否将取决于相关政府部门对标的公司考核期内的绩效评价情况。若最终考核通过，预计发放时间为</w:t>
      </w:r>
      <w:r w:rsidRPr="00D95B42">
        <w:rPr>
          <w:rFonts w:ascii="Times New Roman" w:hAnsi="Times New Roman"/>
          <w:kern w:val="0"/>
          <w:sz w:val="24"/>
          <w:szCs w:val="24"/>
        </w:rPr>
        <w:t>2027</w:t>
      </w:r>
      <w:r w:rsidRPr="00D95B42">
        <w:rPr>
          <w:rFonts w:ascii="Times New Roman" w:hAnsi="Times New Roman"/>
          <w:kern w:val="0"/>
          <w:sz w:val="24"/>
          <w:szCs w:val="24"/>
        </w:rPr>
        <w:t>年或</w:t>
      </w:r>
      <w:r w:rsidRPr="00D95B42">
        <w:rPr>
          <w:rFonts w:ascii="Times New Roman" w:hAnsi="Times New Roman"/>
          <w:kern w:val="0"/>
          <w:sz w:val="24"/>
          <w:szCs w:val="24"/>
        </w:rPr>
        <w:t>2028</w:t>
      </w:r>
      <w:r w:rsidRPr="00D95B42">
        <w:rPr>
          <w:rFonts w:ascii="Times New Roman" w:hAnsi="Times New Roman"/>
          <w:kern w:val="0"/>
          <w:sz w:val="24"/>
          <w:szCs w:val="24"/>
        </w:rPr>
        <w:t>年。本次交易的业绩承诺期为</w:t>
      </w:r>
      <w:r w:rsidRPr="00D95B42">
        <w:rPr>
          <w:rFonts w:ascii="Times New Roman" w:hAnsi="Times New Roman"/>
          <w:kern w:val="0"/>
          <w:sz w:val="24"/>
          <w:szCs w:val="24"/>
        </w:rPr>
        <w:t>2025</w:t>
      </w:r>
      <w:r w:rsidRPr="00D95B42">
        <w:rPr>
          <w:rFonts w:ascii="Times New Roman" w:hAnsi="Times New Roman"/>
          <w:kern w:val="0"/>
          <w:sz w:val="24"/>
          <w:szCs w:val="24"/>
        </w:rPr>
        <w:t>年度、</w:t>
      </w:r>
      <w:r w:rsidRPr="00D95B42">
        <w:rPr>
          <w:rFonts w:ascii="Times New Roman" w:hAnsi="Times New Roman"/>
          <w:kern w:val="0"/>
          <w:sz w:val="24"/>
          <w:szCs w:val="24"/>
        </w:rPr>
        <w:t>2026</w:t>
      </w:r>
      <w:r w:rsidRPr="00D95B42">
        <w:rPr>
          <w:rFonts w:ascii="Times New Roman" w:hAnsi="Times New Roman"/>
          <w:kern w:val="0"/>
          <w:sz w:val="24"/>
          <w:szCs w:val="24"/>
        </w:rPr>
        <w:t>年度及</w:t>
      </w:r>
      <w:r w:rsidRPr="00D95B42">
        <w:rPr>
          <w:rFonts w:ascii="Times New Roman" w:hAnsi="Times New Roman"/>
          <w:kern w:val="0"/>
          <w:sz w:val="24"/>
          <w:szCs w:val="24"/>
        </w:rPr>
        <w:t>2027</w:t>
      </w:r>
      <w:r w:rsidRPr="00D95B42">
        <w:rPr>
          <w:rFonts w:ascii="Times New Roman" w:hAnsi="Times New Roman"/>
          <w:kern w:val="0"/>
          <w:sz w:val="24"/>
          <w:szCs w:val="24"/>
        </w:rPr>
        <w:t>年度，业绩承诺期内及期满后应纳入承诺净利润的政府补助金额取决于前述奖补资金的具体发放时间，业绩承诺期内相关补助能够明确区分并清晰核算。</w:t>
      </w:r>
    </w:p>
    <w:p w14:paraId="1DDE3FB4" w14:textId="77777777" w:rsidR="00CD798F" w:rsidRPr="003B070B" w:rsidRDefault="00CD798F" w:rsidP="00CD798F">
      <w:pPr>
        <w:pStyle w:val="003"/>
        <w:spacing w:before="120" w:after="120"/>
        <w:ind w:firstLine="482"/>
        <w:rPr>
          <w:rFonts w:ascii="宋体" w:hAnsi="宋体" w:hint="eastAsia"/>
          <w:szCs w:val="24"/>
        </w:rPr>
      </w:pPr>
      <w:r w:rsidRPr="003B070B">
        <w:rPr>
          <w:rFonts w:ascii="宋体" w:hAnsi="宋体"/>
          <w:szCs w:val="24"/>
        </w:rPr>
        <w:t>（三）政府补助金额及时点的确认是否存在明确的客观外部证据</w:t>
      </w:r>
    </w:p>
    <w:p w14:paraId="723EA0F3"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hint="eastAsia"/>
          <w:kern w:val="0"/>
          <w:sz w:val="24"/>
          <w:szCs w:val="24"/>
        </w:rPr>
        <w:t>根据《企业会计准则第</w:t>
      </w:r>
      <w:r w:rsidRPr="00D95B42">
        <w:rPr>
          <w:rFonts w:ascii="Times New Roman" w:hAnsi="Times New Roman"/>
          <w:kern w:val="0"/>
          <w:sz w:val="24"/>
          <w:szCs w:val="24"/>
        </w:rPr>
        <w:t>16</w:t>
      </w:r>
      <w:r w:rsidRPr="00D95B42">
        <w:rPr>
          <w:rFonts w:ascii="Times New Roman" w:hAnsi="Times New Roman" w:hint="eastAsia"/>
          <w:kern w:val="0"/>
          <w:sz w:val="24"/>
          <w:szCs w:val="24"/>
        </w:rPr>
        <w:t>号</w:t>
      </w:r>
      <w:r w:rsidRPr="00D95B42">
        <w:rPr>
          <w:rFonts w:ascii="Times New Roman" w:hAnsi="Times New Roman"/>
          <w:kern w:val="0"/>
          <w:sz w:val="24"/>
          <w:szCs w:val="24"/>
        </w:rPr>
        <w:t>——</w:t>
      </w:r>
      <w:r w:rsidRPr="00D95B42">
        <w:rPr>
          <w:rFonts w:ascii="Times New Roman" w:hAnsi="Times New Roman" w:hint="eastAsia"/>
          <w:kern w:val="0"/>
          <w:sz w:val="24"/>
          <w:szCs w:val="24"/>
        </w:rPr>
        <w:t>政府补助》的规定，政府补助分为与资产相关的政府补助和与收益相关的政府补助。与资产相关的政府补助，确认为递延收益，并在相关资产的使用寿命内按照合理、系统的方法分期计入当期损益。与收益相关的政府补助，用于补偿以后期间的相关成本费用或损失的，确认为递延收益，并在确认相关成本费用或损失的期间计入当期损益；用于补偿已经发生的相关成本费用或损失的，直接计入当期损益。与公司日常活动相关的政府补助，按照经济业务的实质，计入其他收益或冲减相关成本费用；与日常活动无关的政府补助，计入营业外收支。</w:t>
      </w:r>
    </w:p>
    <w:p w14:paraId="67B16BD5" w14:textId="77777777" w:rsidR="00CD798F" w:rsidRPr="003B070B" w:rsidRDefault="00CD798F" w:rsidP="00CD798F">
      <w:pPr>
        <w:spacing w:before="120" w:after="120" w:line="360" w:lineRule="auto"/>
        <w:ind w:firstLine="480"/>
        <w:rPr>
          <w:rFonts w:ascii="宋体" w:hAnsi="宋体" w:hint="eastAsia"/>
          <w:sz w:val="24"/>
          <w:szCs w:val="24"/>
        </w:rPr>
      </w:pPr>
      <w:r w:rsidRPr="00D95B42">
        <w:rPr>
          <w:rFonts w:ascii="Times New Roman" w:hAnsi="Times New Roman" w:hint="eastAsia"/>
          <w:kern w:val="0"/>
          <w:sz w:val="24"/>
          <w:szCs w:val="24"/>
        </w:rPr>
        <w:t>标的公司依据中央财政支持新一轮第一批重点</w:t>
      </w:r>
      <w:r w:rsidRPr="00D95B42">
        <w:rPr>
          <w:rFonts w:ascii="Times New Roman" w:hAnsi="Times New Roman"/>
          <w:kern w:val="0"/>
          <w:sz w:val="24"/>
          <w:szCs w:val="24"/>
        </w:rPr>
        <w:t>“</w:t>
      </w:r>
      <w:r w:rsidRPr="00D95B42">
        <w:rPr>
          <w:rFonts w:ascii="Times New Roman" w:hAnsi="Times New Roman" w:hint="eastAsia"/>
          <w:kern w:val="0"/>
          <w:sz w:val="24"/>
          <w:szCs w:val="24"/>
        </w:rPr>
        <w:t>小巨人</w:t>
      </w:r>
      <w:r w:rsidRPr="00D95B42">
        <w:rPr>
          <w:rFonts w:ascii="Times New Roman" w:hAnsi="Times New Roman"/>
          <w:kern w:val="0"/>
          <w:sz w:val="24"/>
          <w:szCs w:val="24"/>
        </w:rPr>
        <w:t>”</w:t>
      </w:r>
      <w:r w:rsidRPr="00D95B42">
        <w:rPr>
          <w:rFonts w:ascii="Times New Roman" w:hAnsi="Times New Roman" w:hint="eastAsia"/>
          <w:kern w:val="0"/>
          <w:sz w:val="24"/>
          <w:szCs w:val="24"/>
        </w:rPr>
        <w:t>企业奖补资金安排计划未来取得的政府补助属于补偿已经发生的相关成本费用或损失的，直接计入当期损益。</w:t>
      </w:r>
      <w:r w:rsidRPr="00D95B42">
        <w:rPr>
          <w:rFonts w:ascii="Times New Roman" w:hAnsi="Times New Roman" w:hint="eastAsia"/>
          <w:kern w:val="0"/>
          <w:sz w:val="24"/>
          <w:szCs w:val="24"/>
        </w:rPr>
        <w:lastRenderedPageBreak/>
        <w:t>标的公司将在实际收到政府补助款，并满足相应条件时进行确认。</w:t>
      </w:r>
    </w:p>
    <w:p w14:paraId="1C82B767" w14:textId="77777777" w:rsidR="00CD798F" w:rsidRPr="003B070B" w:rsidRDefault="00CD798F" w:rsidP="00CD798F">
      <w:pPr>
        <w:pStyle w:val="003"/>
        <w:spacing w:before="120" w:after="120"/>
        <w:ind w:firstLine="482"/>
        <w:rPr>
          <w:rFonts w:ascii="宋体" w:hAnsi="宋体" w:hint="eastAsia"/>
          <w:szCs w:val="24"/>
        </w:rPr>
      </w:pPr>
      <w:r w:rsidRPr="003B070B">
        <w:rPr>
          <w:rFonts w:ascii="宋体" w:hAnsi="宋体"/>
          <w:szCs w:val="24"/>
        </w:rPr>
        <w:t>（四）收益法评估中是否考虑相关政府补助情况，承诺净利润的核算口径同收益法评估是否一致，如否，审慎论证并补充披露存在差异的原因及合理性，是否存在利用相关补助帮助实现业绩承诺、逃避补偿业务的情形，业绩承诺方案是否有利于保护上市公司及中小股东利益。</w:t>
      </w:r>
    </w:p>
    <w:p w14:paraId="5DC2A8E8" w14:textId="77777777" w:rsidR="00CD798F" w:rsidRPr="003B070B" w:rsidRDefault="00CD798F" w:rsidP="00CD798F">
      <w:pPr>
        <w:pStyle w:val="004"/>
        <w:spacing w:before="120" w:after="120"/>
        <w:ind w:firstLine="482"/>
        <w:rPr>
          <w:rFonts w:ascii="宋体" w:hAnsi="宋体" w:hint="eastAsia"/>
          <w:szCs w:val="24"/>
        </w:rPr>
      </w:pPr>
      <w:r w:rsidRPr="003B070B">
        <w:rPr>
          <w:rFonts w:ascii="宋体" w:hAnsi="宋体"/>
          <w:szCs w:val="24"/>
        </w:rPr>
        <w:t xml:space="preserve">1、收益法评估中是否考虑相关政府补助情况 </w:t>
      </w:r>
    </w:p>
    <w:p w14:paraId="0FD6B8DB" w14:textId="77777777" w:rsidR="00CD798F" w:rsidRPr="003B070B" w:rsidRDefault="00CD798F" w:rsidP="00CD798F">
      <w:pPr>
        <w:spacing w:before="120" w:after="120" w:line="360" w:lineRule="auto"/>
        <w:ind w:firstLine="480"/>
        <w:rPr>
          <w:rFonts w:ascii="宋体" w:hAnsi="宋体" w:hint="eastAsia"/>
          <w:sz w:val="24"/>
          <w:szCs w:val="24"/>
        </w:rPr>
      </w:pPr>
      <w:r w:rsidRPr="00D95B42">
        <w:rPr>
          <w:rFonts w:ascii="Times New Roman" w:hAnsi="Times New Roman" w:hint="eastAsia"/>
          <w:kern w:val="0"/>
          <w:sz w:val="24"/>
          <w:szCs w:val="24"/>
        </w:rPr>
        <w:t>基于谨慎性考虑，本次交易的收益法评估中针对标的公司的业绩预测，仅考虑</w:t>
      </w:r>
      <w:r w:rsidRPr="00D95B42">
        <w:rPr>
          <w:rFonts w:ascii="Times New Roman" w:hAnsi="Times New Roman"/>
          <w:kern w:val="0"/>
          <w:sz w:val="24"/>
          <w:szCs w:val="24"/>
        </w:rPr>
        <w:t>2025</w:t>
      </w:r>
      <w:r w:rsidRPr="00D95B42">
        <w:rPr>
          <w:rFonts w:ascii="Times New Roman" w:hAnsi="Times New Roman" w:hint="eastAsia"/>
          <w:kern w:val="0"/>
          <w:sz w:val="24"/>
          <w:szCs w:val="24"/>
        </w:rPr>
        <w:t>年上半年已实际发生入表的政府补助金额，对于</w:t>
      </w:r>
      <w:r w:rsidRPr="00D95B42">
        <w:rPr>
          <w:rFonts w:ascii="Times New Roman" w:hAnsi="Times New Roman"/>
          <w:kern w:val="0"/>
          <w:sz w:val="24"/>
          <w:szCs w:val="24"/>
        </w:rPr>
        <w:t>2025</w:t>
      </w:r>
      <w:r w:rsidRPr="00D95B42">
        <w:rPr>
          <w:rFonts w:ascii="Times New Roman" w:hAnsi="Times New Roman" w:hint="eastAsia"/>
          <w:kern w:val="0"/>
          <w:sz w:val="24"/>
          <w:szCs w:val="24"/>
        </w:rPr>
        <w:t>年下半年及</w:t>
      </w:r>
      <w:bookmarkStart w:id="19" w:name="OLE_LINK127"/>
      <w:r w:rsidRPr="00D95B42">
        <w:rPr>
          <w:rFonts w:ascii="Times New Roman" w:hAnsi="Times New Roman" w:hint="eastAsia"/>
          <w:kern w:val="0"/>
          <w:sz w:val="24"/>
          <w:szCs w:val="24"/>
        </w:rPr>
        <w:t>后续预测期内</w:t>
      </w:r>
      <w:bookmarkEnd w:id="19"/>
      <w:r w:rsidRPr="00D95B42">
        <w:rPr>
          <w:rFonts w:ascii="Times New Roman" w:hAnsi="Times New Roman" w:hint="eastAsia"/>
          <w:kern w:val="0"/>
          <w:sz w:val="24"/>
          <w:szCs w:val="24"/>
        </w:rPr>
        <w:t>均未对标的公司的政府补助金额进行测算。</w:t>
      </w:r>
    </w:p>
    <w:p w14:paraId="3B7E649A" w14:textId="77777777" w:rsidR="00CD798F" w:rsidRPr="003B070B" w:rsidRDefault="00CD798F" w:rsidP="00CD798F">
      <w:pPr>
        <w:pStyle w:val="004"/>
        <w:spacing w:before="120" w:after="120"/>
        <w:ind w:firstLine="482"/>
        <w:rPr>
          <w:rFonts w:ascii="宋体" w:hAnsi="宋体" w:hint="eastAsia"/>
          <w:szCs w:val="24"/>
        </w:rPr>
      </w:pPr>
      <w:r w:rsidRPr="003B070B">
        <w:rPr>
          <w:rFonts w:ascii="宋体" w:hAnsi="宋体"/>
          <w:szCs w:val="24"/>
        </w:rPr>
        <w:t>2、承诺净利润的核算口径同收益法评估存在差异的原因及合理性</w:t>
      </w:r>
    </w:p>
    <w:p w14:paraId="7AE646E0"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hint="eastAsia"/>
          <w:kern w:val="0"/>
          <w:sz w:val="24"/>
          <w:szCs w:val="24"/>
        </w:rPr>
        <w:t>根据上市公司与业绩承诺方签署的《业绩承诺补偿协议书》，本次交易的承诺净利润为合并报表中归属于母公司所有者的净利润（按扣除非经常性损益原则确定）与经上市公司书面认可并与目标公司研发相关的政府补助（即依据中央财政支持新一轮第一批重点</w:t>
      </w:r>
      <w:r w:rsidRPr="00D95B42">
        <w:rPr>
          <w:rFonts w:ascii="Times New Roman" w:hAnsi="Times New Roman"/>
          <w:kern w:val="0"/>
          <w:sz w:val="24"/>
          <w:szCs w:val="24"/>
        </w:rPr>
        <w:t>“</w:t>
      </w:r>
      <w:r w:rsidRPr="00D95B42">
        <w:rPr>
          <w:rFonts w:ascii="Times New Roman" w:hAnsi="Times New Roman" w:hint="eastAsia"/>
          <w:kern w:val="0"/>
          <w:sz w:val="24"/>
          <w:szCs w:val="24"/>
        </w:rPr>
        <w:t>小巨人</w:t>
      </w:r>
      <w:r w:rsidRPr="00D95B42">
        <w:rPr>
          <w:rFonts w:ascii="Times New Roman" w:hAnsi="Times New Roman"/>
          <w:kern w:val="0"/>
          <w:sz w:val="24"/>
          <w:szCs w:val="24"/>
        </w:rPr>
        <w:t>”</w:t>
      </w:r>
      <w:r w:rsidRPr="00D95B42">
        <w:rPr>
          <w:rFonts w:ascii="Times New Roman" w:hAnsi="Times New Roman" w:hint="eastAsia"/>
          <w:kern w:val="0"/>
          <w:sz w:val="24"/>
          <w:szCs w:val="24"/>
        </w:rPr>
        <w:t>企业奖补资金安排计划未来取得的政府补助）之和，与收益法评估存在差异，具体原因及合理性如下：</w:t>
      </w:r>
    </w:p>
    <w:p w14:paraId="6F3A04E5" w14:textId="77777777" w:rsidR="00CD798F" w:rsidRPr="003B070B" w:rsidRDefault="00CD798F" w:rsidP="00CD798F">
      <w:pPr>
        <w:pStyle w:val="005"/>
        <w:spacing w:before="120" w:after="120"/>
        <w:ind w:left="480" w:firstLineChars="36" w:firstLine="87"/>
        <w:rPr>
          <w:rFonts w:ascii="宋体" w:hAnsi="宋体" w:hint="eastAsia"/>
          <w:b/>
          <w:bCs/>
          <w:szCs w:val="24"/>
        </w:rPr>
      </w:pPr>
      <w:r w:rsidRPr="003B070B">
        <w:rPr>
          <w:rFonts w:ascii="宋体" w:hAnsi="宋体"/>
          <w:b/>
          <w:bCs/>
          <w:szCs w:val="24"/>
        </w:rPr>
        <w:t>（1）差异及差异原因</w:t>
      </w:r>
    </w:p>
    <w:p w14:paraId="1FDAB968"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宋体" w:hAnsi="宋体" w:cs="宋体" w:hint="eastAsia"/>
          <w:kern w:val="0"/>
          <w:sz w:val="24"/>
          <w:szCs w:val="24"/>
        </w:rPr>
        <w:t>①</w:t>
      </w:r>
      <w:r w:rsidRPr="00D95B42">
        <w:rPr>
          <w:rFonts w:ascii="Times New Roman" w:hAnsi="Times New Roman"/>
          <w:kern w:val="0"/>
          <w:sz w:val="24"/>
          <w:szCs w:val="24"/>
        </w:rPr>
        <w:t>收益法评估中对少数股权价值的处理方式为测算标的公司整体股权价值后扣减下属非全资控股子公司对应的少数股权权益价值，因此收益法评估中预测净利润未考虑少数股东损益的影响。</w:t>
      </w:r>
    </w:p>
    <w:p w14:paraId="25079A22"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宋体" w:hAnsi="宋体" w:cs="宋体" w:hint="eastAsia"/>
          <w:kern w:val="0"/>
          <w:sz w:val="24"/>
          <w:szCs w:val="24"/>
        </w:rPr>
        <w:t>②</w:t>
      </w:r>
      <w:r w:rsidRPr="00D95B42">
        <w:rPr>
          <w:rFonts w:ascii="Times New Roman" w:hAnsi="Times New Roman"/>
          <w:kern w:val="0"/>
          <w:sz w:val="24"/>
          <w:szCs w:val="24"/>
        </w:rPr>
        <w:t>基于谨慎性考虑，收益法评估预测净利润在</w:t>
      </w:r>
      <w:r w:rsidRPr="00D95B42">
        <w:rPr>
          <w:rFonts w:ascii="Times New Roman" w:hAnsi="Times New Roman"/>
          <w:kern w:val="0"/>
          <w:sz w:val="24"/>
          <w:szCs w:val="24"/>
        </w:rPr>
        <w:t>2025</w:t>
      </w:r>
      <w:r w:rsidRPr="00D95B42">
        <w:rPr>
          <w:rFonts w:ascii="Times New Roman" w:hAnsi="Times New Roman"/>
          <w:kern w:val="0"/>
          <w:sz w:val="24"/>
          <w:szCs w:val="24"/>
        </w:rPr>
        <w:t>年下半年及后续预测期内均未对非经常性损益进行预测。</w:t>
      </w:r>
    </w:p>
    <w:p w14:paraId="2FB0CB8A"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宋体" w:hAnsi="宋体" w:cs="宋体" w:hint="eastAsia"/>
          <w:kern w:val="0"/>
          <w:sz w:val="24"/>
          <w:szCs w:val="24"/>
        </w:rPr>
        <w:t>③</w:t>
      </w:r>
      <w:r w:rsidRPr="00D95B42">
        <w:rPr>
          <w:rFonts w:ascii="Times New Roman" w:hAnsi="Times New Roman"/>
          <w:kern w:val="0"/>
          <w:sz w:val="24"/>
          <w:szCs w:val="24"/>
        </w:rPr>
        <w:t>收益法评估中对于标的公司历史年度形成可弥补亏损在应交所得税预测中抵减，可弥补亏损形成的递延所得税资产评估为零。承诺净利润口径则因标的公司可弥补亏损形成的递延所得税资产在未来实现盈利年度相应递减所得税费用，进而导致收益法</w:t>
      </w:r>
      <w:r w:rsidRPr="00D95B42">
        <w:rPr>
          <w:rFonts w:ascii="Times New Roman" w:hAnsi="Times New Roman"/>
          <w:kern w:val="0"/>
          <w:sz w:val="24"/>
          <w:szCs w:val="24"/>
        </w:rPr>
        <w:lastRenderedPageBreak/>
        <w:t>口径及承诺净利润口径存在差异。</w:t>
      </w:r>
    </w:p>
    <w:p w14:paraId="2C7D4806" w14:textId="77777777" w:rsidR="00CD798F" w:rsidRPr="003B070B" w:rsidRDefault="00CD798F" w:rsidP="00CD798F">
      <w:pPr>
        <w:pStyle w:val="005"/>
        <w:spacing w:before="120" w:after="120"/>
        <w:ind w:left="480" w:firstLineChars="36" w:firstLine="87"/>
        <w:rPr>
          <w:rFonts w:ascii="宋体" w:hAnsi="宋体" w:hint="eastAsia"/>
          <w:b/>
          <w:bCs/>
          <w:szCs w:val="24"/>
        </w:rPr>
      </w:pPr>
      <w:r w:rsidRPr="003B070B">
        <w:rPr>
          <w:rFonts w:ascii="宋体" w:hAnsi="宋体"/>
          <w:b/>
          <w:bCs/>
          <w:szCs w:val="24"/>
        </w:rPr>
        <w:t>（2）差异合理性</w:t>
      </w:r>
    </w:p>
    <w:p w14:paraId="5D40CE51"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hint="eastAsia"/>
          <w:kern w:val="0"/>
          <w:sz w:val="24"/>
          <w:szCs w:val="24"/>
        </w:rPr>
        <w:t>①收益法评估对于标的公司股权价值的测算采用整体股权价值扣减少数股权价值的方法，较之测算少数股东损益后计算归属于母公司股东净利润进行测算，在少数股东股权比例相对较大且参与子公司整体经营时对于子公司的价值估算更准确。本次评估中，子公司广州宝点对于合并净利润贡献占比超过</w:t>
      </w:r>
      <w:r w:rsidRPr="00D95B42">
        <w:rPr>
          <w:rFonts w:ascii="Times New Roman" w:hAnsi="Times New Roman"/>
          <w:kern w:val="0"/>
          <w:sz w:val="24"/>
          <w:szCs w:val="24"/>
        </w:rPr>
        <w:t>20%</w:t>
      </w:r>
      <w:r w:rsidRPr="00D95B42">
        <w:rPr>
          <w:rFonts w:ascii="Times New Roman" w:hAnsi="Times New Roman" w:hint="eastAsia"/>
          <w:kern w:val="0"/>
          <w:sz w:val="24"/>
          <w:szCs w:val="24"/>
        </w:rPr>
        <w:t>且少数股权比例超过</w:t>
      </w:r>
      <w:r w:rsidRPr="00D95B42">
        <w:rPr>
          <w:rFonts w:ascii="Times New Roman" w:hAnsi="Times New Roman"/>
          <w:kern w:val="0"/>
          <w:sz w:val="24"/>
          <w:szCs w:val="24"/>
        </w:rPr>
        <w:t>40%</w:t>
      </w:r>
      <w:r w:rsidRPr="00D95B42">
        <w:rPr>
          <w:rFonts w:ascii="Times New Roman" w:hAnsi="Times New Roman" w:hint="eastAsia"/>
          <w:kern w:val="0"/>
          <w:sz w:val="24"/>
          <w:szCs w:val="24"/>
        </w:rPr>
        <w:t>，因此采用整体股权价值扣减少数股权价值的方法具备合理性。</w:t>
      </w:r>
    </w:p>
    <w:p w14:paraId="1A37E5DA"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hint="eastAsia"/>
          <w:kern w:val="0"/>
          <w:sz w:val="24"/>
          <w:szCs w:val="24"/>
        </w:rPr>
        <w:t>②标的公司报告期内的非经常性损益主要包括处置长期股权投资产生的投资收益、计入当期损益的政府补助和单独进行减值测试的应收及其他应收款项减值准备转回等，未来不确定性较强，无法预计，本次收益法评估均未予考虑，具备合理性。</w:t>
      </w:r>
    </w:p>
    <w:p w14:paraId="6D79894D" w14:textId="77777777" w:rsidR="00CD798F" w:rsidRPr="003B070B" w:rsidRDefault="00CD798F" w:rsidP="00CD798F">
      <w:pPr>
        <w:spacing w:before="120" w:after="120" w:line="360" w:lineRule="auto"/>
        <w:ind w:firstLine="480"/>
        <w:rPr>
          <w:rFonts w:ascii="宋体" w:hAnsi="宋体" w:hint="eastAsia"/>
          <w:kern w:val="0"/>
          <w:sz w:val="24"/>
          <w:szCs w:val="24"/>
        </w:rPr>
      </w:pPr>
      <w:r w:rsidRPr="00D95B42">
        <w:rPr>
          <w:rFonts w:ascii="Times New Roman" w:hAnsi="Times New Roman" w:hint="eastAsia"/>
          <w:kern w:val="0"/>
          <w:sz w:val="24"/>
          <w:szCs w:val="24"/>
        </w:rPr>
        <w:t>③收益法评估中对于标的公司历史年度形成可弥补亏损在应交所得税预测中抵减以预测未来现金流量，相较于将可弥补亏损形成递延所得税资产纳入非经营性资产后加回计算整体估值并在预测期内计算所得税金额调整预测净利润的方式更为谨慎，前者对可弥补亏损金额考虑了折现的影响，具备合理性。</w:t>
      </w:r>
    </w:p>
    <w:p w14:paraId="6A953626" w14:textId="77777777" w:rsidR="00CD798F" w:rsidRPr="003B070B" w:rsidRDefault="00CD798F" w:rsidP="00CD798F">
      <w:pPr>
        <w:pStyle w:val="004"/>
        <w:spacing w:before="120" w:after="120"/>
        <w:ind w:firstLine="482"/>
        <w:rPr>
          <w:rFonts w:ascii="宋体" w:hAnsi="宋体" w:hint="eastAsia"/>
          <w:szCs w:val="24"/>
        </w:rPr>
      </w:pPr>
      <w:r w:rsidRPr="003B070B">
        <w:rPr>
          <w:rFonts w:ascii="宋体" w:hAnsi="宋体"/>
          <w:szCs w:val="24"/>
        </w:rPr>
        <w:t>3、是否存在利用相关补助帮助实现业绩承诺、逃避补偿业务的情形</w:t>
      </w:r>
    </w:p>
    <w:p w14:paraId="794B2E49"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hint="eastAsia"/>
          <w:kern w:val="0"/>
          <w:sz w:val="24"/>
          <w:szCs w:val="24"/>
        </w:rPr>
        <w:t>本次业绩承诺中相关政府补助仅包括依据中央财政支持新一轮第一批重点</w:t>
      </w:r>
      <w:r w:rsidRPr="00D95B42">
        <w:rPr>
          <w:rFonts w:ascii="Times New Roman" w:hAnsi="Times New Roman"/>
          <w:kern w:val="0"/>
          <w:sz w:val="24"/>
          <w:szCs w:val="24"/>
        </w:rPr>
        <w:t>“</w:t>
      </w:r>
      <w:r w:rsidRPr="00D95B42">
        <w:rPr>
          <w:rFonts w:ascii="Times New Roman" w:hAnsi="Times New Roman" w:hint="eastAsia"/>
          <w:kern w:val="0"/>
          <w:sz w:val="24"/>
          <w:szCs w:val="24"/>
        </w:rPr>
        <w:t>小巨人</w:t>
      </w:r>
      <w:r w:rsidRPr="00D95B42">
        <w:rPr>
          <w:rFonts w:ascii="Times New Roman" w:hAnsi="Times New Roman"/>
          <w:kern w:val="0"/>
          <w:sz w:val="24"/>
          <w:szCs w:val="24"/>
        </w:rPr>
        <w:t>”</w:t>
      </w:r>
      <w:r w:rsidRPr="00D95B42">
        <w:rPr>
          <w:rFonts w:ascii="Times New Roman" w:hAnsi="Times New Roman" w:hint="eastAsia"/>
          <w:kern w:val="0"/>
          <w:sz w:val="24"/>
          <w:szCs w:val="24"/>
        </w:rPr>
        <w:t>企业奖补资金安排计划未来取得的政府补助，是否取得仍存在一定不确定性。此外，根据奖补资金安排计划，标的公司仅于</w:t>
      </w:r>
      <w:r w:rsidRPr="00D95B42">
        <w:rPr>
          <w:rFonts w:ascii="Times New Roman" w:hAnsi="Times New Roman"/>
          <w:kern w:val="0"/>
          <w:sz w:val="24"/>
          <w:szCs w:val="24"/>
        </w:rPr>
        <w:t>2025</w:t>
      </w:r>
      <w:r w:rsidRPr="00D95B42">
        <w:rPr>
          <w:rFonts w:ascii="Times New Roman" w:hAnsi="Times New Roman" w:hint="eastAsia"/>
          <w:kern w:val="0"/>
          <w:sz w:val="24"/>
          <w:szCs w:val="24"/>
        </w:rPr>
        <w:t>年收到第一笔奖补资金</w:t>
      </w:r>
      <w:r w:rsidRPr="00D95B42">
        <w:rPr>
          <w:rFonts w:ascii="Times New Roman" w:hAnsi="Times New Roman"/>
          <w:kern w:val="0"/>
          <w:sz w:val="24"/>
          <w:szCs w:val="24"/>
        </w:rPr>
        <w:t>285</w:t>
      </w:r>
      <w:r w:rsidRPr="00D95B42">
        <w:rPr>
          <w:rFonts w:ascii="Times New Roman" w:hAnsi="Times New Roman" w:hint="eastAsia"/>
          <w:kern w:val="0"/>
          <w:sz w:val="24"/>
          <w:szCs w:val="24"/>
        </w:rPr>
        <w:t>万元，占</w:t>
      </w:r>
      <w:r w:rsidRPr="00D95B42">
        <w:rPr>
          <w:rFonts w:ascii="Times New Roman" w:hAnsi="Times New Roman"/>
          <w:kern w:val="0"/>
          <w:sz w:val="24"/>
          <w:szCs w:val="24"/>
        </w:rPr>
        <w:t>2025</w:t>
      </w:r>
      <w:r w:rsidRPr="00D95B42">
        <w:rPr>
          <w:rFonts w:ascii="Times New Roman" w:hAnsi="Times New Roman" w:hint="eastAsia"/>
          <w:kern w:val="0"/>
          <w:sz w:val="24"/>
          <w:szCs w:val="24"/>
        </w:rPr>
        <w:t>年半年度净利润的比例</w:t>
      </w:r>
      <w:r w:rsidRPr="00D95B42">
        <w:rPr>
          <w:rFonts w:ascii="Times New Roman" w:hAnsi="Times New Roman"/>
          <w:kern w:val="0"/>
          <w:sz w:val="24"/>
          <w:szCs w:val="24"/>
        </w:rPr>
        <w:t>4.72%</w:t>
      </w:r>
      <w:r w:rsidRPr="00D95B42">
        <w:rPr>
          <w:rFonts w:ascii="Times New Roman" w:hAnsi="Times New Roman" w:hint="eastAsia"/>
          <w:kern w:val="0"/>
          <w:sz w:val="24"/>
          <w:szCs w:val="24"/>
        </w:rPr>
        <w:t>，占比较小。</w:t>
      </w:r>
    </w:p>
    <w:p w14:paraId="543BA898" w14:textId="77777777" w:rsidR="00CD798F" w:rsidRPr="003B070B" w:rsidRDefault="00CD798F" w:rsidP="00CD798F">
      <w:pPr>
        <w:spacing w:before="120" w:after="120" w:line="360" w:lineRule="auto"/>
        <w:ind w:firstLine="480"/>
        <w:rPr>
          <w:rFonts w:ascii="宋体" w:hAnsi="宋体" w:hint="eastAsia"/>
          <w:kern w:val="0"/>
          <w:sz w:val="24"/>
          <w:szCs w:val="24"/>
        </w:rPr>
      </w:pPr>
      <w:r w:rsidRPr="00D95B42">
        <w:rPr>
          <w:rFonts w:ascii="Times New Roman" w:hAnsi="Times New Roman" w:hint="eastAsia"/>
          <w:kern w:val="0"/>
          <w:sz w:val="24"/>
          <w:szCs w:val="24"/>
        </w:rPr>
        <w:t>因此，本次交易中关于承诺净利润的设计不存在利用相关补助帮助实现业绩承诺、逃避补偿业务的情形。</w:t>
      </w:r>
    </w:p>
    <w:p w14:paraId="0FBFB5A6" w14:textId="77777777" w:rsidR="00CD798F" w:rsidRPr="003B070B" w:rsidRDefault="00CD798F" w:rsidP="00CD798F">
      <w:pPr>
        <w:pStyle w:val="004"/>
        <w:spacing w:before="120" w:after="120"/>
        <w:ind w:firstLine="482"/>
        <w:rPr>
          <w:rFonts w:ascii="宋体" w:hAnsi="宋体" w:hint="eastAsia"/>
          <w:szCs w:val="24"/>
        </w:rPr>
      </w:pPr>
      <w:r w:rsidRPr="003B070B">
        <w:rPr>
          <w:rFonts w:ascii="宋体" w:hAnsi="宋体"/>
          <w:szCs w:val="24"/>
        </w:rPr>
        <w:t>4、业绩承诺方案是否有利于</w:t>
      </w:r>
      <w:bookmarkStart w:id="20" w:name="OLE_LINK122"/>
      <w:r w:rsidRPr="003B070B">
        <w:rPr>
          <w:rFonts w:ascii="宋体" w:hAnsi="宋体"/>
          <w:szCs w:val="24"/>
        </w:rPr>
        <w:t>保护上市公司及中小股东利益</w:t>
      </w:r>
      <w:bookmarkEnd w:id="20"/>
    </w:p>
    <w:p w14:paraId="48A86065" w14:textId="77777777" w:rsidR="00CD798F" w:rsidRPr="003B070B" w:rsidRDefault="00CD798F" w:rsidP="00CD798F">
      <w:pPr>
        <w:spacing w:before="120" w:after="120" w:line="360" w:lineRule="auto"/>
        <w:ind w:firstLine="480"/>
        <w:rPr>
          <w:rFonts w:ascii="宋体" w:hAnsi="宋体" w:hint="eastAsia"/>
          <w:kern w:val="0"/>
          <w:sz w:val="24"/>
          <w:szCs w:val="24"/>
        </w:rPr>
      </w:pPr>
      <w:r w:rsidRPr="003B070B">
        <w:rPr>
          <w:rFonts w:ascii="宋体" w:hAnsi="宋体" w:hint="eastAsia"/>
          <w:kern w:val="0"/>
          <w:sz w:val="24"/>
          <w:szCs w:val="24"/>
        </w:rPr>
        <w:t>如前所述，本次交易的交易对方非上市公司控股股东、实际控制人或者其控制关联人，且本次交易未导致上市公司控制权发生变更，不属于法定要求进行业绩承诺的</w:t>
      </w:r>
      <w:r w:rsidRPr="003B070B">
        <w:rPr>
          <w:rFonts w:ascii="宋体" w:hAnsi="宋体" w:hint="eastAsia"/>
          <w:kern w:val="0"/>
          <w:sz w:val="24"/>
          <w:szCs w:val="24"/>
        </w:rPr>
        <w:lastRenderedPageBreak/>
        <w:t>范围。上市公司与交易对方根据市场化原则，充分协商后确定采取业绩承诺、补偿措施等相关安排，有利于保护上市公司及中小股东利益。</w:t>
      </w:r>
    </w:p>
    <w:p w14:paraId="7E86DA47" w14:textId="77777777" w:rsidR="00CD798F" w:rsidRPr="003B070B" w:rsidRDefault="00CD798F" w:rsidP="00CD798F">
      <w:pPr>
        <w:spacing w:before="120" w:after="120" w:line="360" w:lineRule="auto"/>
        <w:ind w:firstLine="480"/>
        <w:rPr>
          <w:rFonts w:ascii="宋体" w:hAnsi="宋体" w:hint="eastAsia"/>
          <w:sz w:val="24"/>
          <w:szCs w:val="24"/>
        </w:rPr>
      </w:pPr>
      <w:r w:rsidRPr="003B070B">
        <w:rPr>
          <w:rFonts w:ascii="宋体" w:hAnsi="宋体" w:hint="eastAsia"/>
          <w:kern w:val="0"/>
          <w:sz w:val="24"/>
          <w:szCs w:val="24"/>
        </w:rPr>
        <w:t>上述内容已在《重组报告书》</w:t>
      </w:r>
      <w:r w:rsidRPr="003B070B">
        <w:rPr>
          <w:rFonts w:ascii="宋体" w:hAnsi="宋体"/>
          <w:kern w:val="0"/>
          <w:sz w:val="24"/>
          <w:szCs w:val="24"/>
        </w:rPr>
        <w:t>“</w:t>
      </w:r>
      <w:r w:rsidRPr="003B070B">
        <w:rPr>
          <w:rFonts w:ascii="宋体" w:hAnsi="宋体" w:hint="eastAsia"/>
          <w:kern w:val="0"/>
          <w:sz w:val="24"/>
          <w:szCs w:val="24"/>
        </w:rPr>
        <w:t>第五节</w:t>
      </w:r>
      <w:r w:rsidRPr="003B070B">
        <w:rPr>
          <w:rFonts w:ascii="宋体" w:hAnsi="宋体"/>
          <w:kern w:val="0"/>
          <w:sz w:val="24"/>
          <w:szCs w:val="24"/>
        </w:rPr>
        <w:t xml:space="preserve"> </w:t>
      </w:r>
      <w:r w:rsidRPr="003B070B">
        <w:rPr>
          <w:rFonts w:ascii="宋体" w:hAnsi="宋体" w:hint="eastAsia"/>
          <w:kern w:val="0"/>
          <w:sz w:val="24"/>
          <w:szCs w:val="24"/>
        </w:rPr>
        <w:t>发行股份情况</w:t>
      </w:r>
      <w:r w:rsidRPr="003B070B">
        <w:rPr>
          <w:rFonts w:ascii="宋体" w:hAnsi="宋体"/>
          <w:kern w:val="0"/>
          <w:sz w:val="24"/>
          <w:szCs w:val="24"/>
        </w:rPr>
        <w:t>”</w:t>
      </w:r>
      <w:r w:rsidRPr="003B070B">
        <w:rPr>
          <w:rFonts w:ascii="宋体" w:hAnsi="宋体" w:hint="eastAsia"/>
          <w:kern w:val="0"/>
          <w:sz w:val="24"/>
          <w:szCs w:val="24"/>
        </w:rPr>
        <w:t>之</w:t>
      </w:r>
      <w:r w:rsidRPr="003B070B">
        <w:rPr>
          <w:rFonts w:ascii="宋体" w:hAnsi="宋体"/>
          <w:kern w:val="0"/>
          <w:sz w:val="24"/>
          <w:szCs w:val="24"/>
        </w:rPr>
        <w:t>“</w:t>
      </w:r>
      <w:r w:rsidRPr="003B070B">
        <w:rPr>
          <w:rFonts w:ascii="宋体" w:hAnsi="宋体" w:hint="eastAsia"/>
          <w:kern w:val="0"/>
          <w:sz w:val="24"/>
          <w:szCs w:val="24"/>
        </w:rPr>
        <w:t>一、发行股份及支付现金购买资产</w:t>
      </w:r>
      <w:r w:rsidRPr="003B070B">
        <w:rPr>
          <w:rFonts w:ascii="宋体" w:hAnsi="宋体"/>
          <w:kern w:val="0"/>
          <w:sz w:val="24"/>
          <w:szCs w:val="24"/>
        </w:rPr>
        <w:t>”</w:t>
      </w:r>
      <w:r w:rsidRPr="003B070B">
        <w:rPr>
          <w:rFonts w:ascii="宋体" w:hAnsi="宋体" w:hint="eastAsia"/>
          <w:kern w:val="0"/>
          <w:sz w:val="24"/>
          <w:szCs w:val="24"/>
        </w:rPr>
        <w:t>之</w:t>
      </w:r>
      <w:r w:rsidRPr="003B070B">
        <w:rPr>
          <w:rFonts w:ascii="宋体" w:hAnsi="宋体"/>
          <w:kern w:val="0"/>
          <w:sz w:val="24"/>
          <w:szCs w:val="24"/>
        </w:rPr>
        <w:t>“</w:t>
      </w:r>
      <w:r w:rsidRPr="003B070B">
        <w:rPr>
          <w:rFonts w:ascii="宋体" w:hAnsi="宋体" w:hint="eastAsia"/>
          <w:kern w:val="0"/>
          <w:sz w:val="24"/>
          <w:szCs w:val="24"/>
        </w:rPr>
        <w:t>（八）业绩承诺及补偿安排</w:t>
      </w:r>
      <w:r w:rsidRPr="003B070B">
        <w:rPr>
          <w:rFonts w:ascii="宋体" w:hAnsi="宋体"/>
          <w:kern w:val="0"/>
          <w:sz w:val="24"/>
          <w:szCs w:val="24"/>
        </w:rPr>
        <w:t>”</w:t>
      </w:r>
      <w:r w:rsidRPr="003B070B">
        <w:rPr>
          <w:rFonts w:ascii="宋体" w:hAnsi="宋体" w:hint="eastAsia"/>
          <w:kern w:val="0"/>
          <w:sz w:val="24"/>
          <w:szCs w:val="24"/>
        </w:rPr>
        <w:t>补充披露。</w:t>
      </w:r>
      <w:bookmarkEnd w:id="12"/>
    </w:p>
    <w:p w14:paraId="1670E2F6" w14:textId="77777777" w:rsidR="00CD798F" w:rsidRPr="007E30A6" w:rsidRDefault="00CD798F" w:rsidP="00CD798F">
      <w:pPr>
        <w:pStyle w:val="002"/>
        <w:spacing w:before="120" w:after="120"/>
        <w:ind w:firstLine="482"/>
      </w:pPr>
      <w:r>
        <w:rPr>
          <w:rFonts w:hint="eastAsia"/>
        </w:rPr>
        <w:t>二</w:t>
      </w:r>
      <w:r w:rsidRPr="007E30A6">
        <w:t>、</w:t>
      </w:r>
      <w:r>
        <w:rPr>
          <w:rFonts w:hint="eastAsia"/>
        </w:rPr>
        <w:t>评估师</w:t>
      </w:r>
      <w:r w:rsidRPr="007E30A6">
        <w:t>核查过程及核查意见</w:t>
      </w:r>
    </w:p>
    <w:p w14:paraId="03BFB2F0" w14:textId="77777777" w:rsidR="00CD798F" w:rsidRPr="007E30A6" w:rsidRDefault="00CD798F" w:rsidP="00CD798F">
      <w:pPr>
        <w:pStyle w:val="003"/>
        <w:spacing w:before="120" w:after="120"/>
        <w:ind w:firstLine="482"/>
      </w:pPr>
      <w:r w:rsidRPr="007E30A6">
        <w:t>（一）核查程序</w:t>
      </w:r>
    </w:p>
    <w:p w14:paraId="6C40642C"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hint="eastAsia"/>
          <w:kern w:val="0"/>
          <w:sz w:val="24"/>
          <w:szCs w:val="24"/>
        </w:rPr>
        <w:t>针对前述事项，评估师主要实施了以下核查程序：</w:t>
      </w:r>
    </w:p>
    <w:p w14:paraId="7D4FD4A8" w14:textId="77777777" w:rsidR="00CD798F" w:rsidRPr="00D95B42"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kern w:val="0"/>
          <w:sz w:val="24"/>
          <w:szCs w:val="24"/>
        </w:rPr>
        <w:t>1</w:t>
      </w:r>
      <w:r w:rsidRPr="00D95B42">
        <w:rPr>
          <w:rFonts w:ascii="Times New Roman" w:hAnsi="Times New Roman" w:hint="eastAsia"/>
          <w:kern w:val="0"/>
          <w:sz w:val="24"/>
          <w:szCs w:val="24"/>
        </w:rPr>
        <w:t>、获取标的公司重点</w:t>
      </w:r>
      <w:r w:rsidRPr="00D95B42">
        <w:rPr>
          <w:rFonts w:ascii="Times New Roman" w:hAnsi="Times New Roman"/>
          <w:kern w:val="0"/>
          <w:sz w:val="24"/>
          <w:szCs w:val="24"/>
        </w:rPr>
        <w:t>“</w:t>
      </w:r>
      <w:r w:rsidRPr="00D95B42">
        <w:rPr>
          <w:rFonts w:ascii="Times New Roman" w:hAnsi="Times New Roman" w:hint="eastAsia"/>
          <w:kern w:val="0"/>
          <w:sz w:val="24"/>
          <w:szCs w:val="24"/>
        </w:rPr>
        <w:t>小巨人</w:t>
      </w:r>
      <w:r w:rsidRPr="00D95B42">
        <w:rPr>
          <w:rFonts w:ascii="Times New Roman" w:hAnsi="Times New Roman"/>
          <w:kern w:val="0"/>
          <w:sz w:val="24"/>
          <w:szCs w:val="24"/>
        </w:rPr>
        <w:t>”</w:t>
      </w:r>
      <w:r w:rsidRPr="00D95B42">
        <w:rPr>
          <w:rFonts w:ascii="Times New Roman" w:hAnsi="Times New Roman" w:hint="eastAsia"/>
          <w:kern w:val="0"/>
          <w:sz w:val="24"/>
          <w:szCs w:val="24"/>
        </w:rPr>
        <w:t>企业相关的政府补助文件，查阅政府补助文件名称、文号、主要条款、金额等内容，并查阅已收到的第一笔奖补资金的银行回单；</w:t>
      </w:r>
    </w:p>
    <w:p w14:paraId="7A9E27CA" w14:textId="77777777" w:rsidR="00CD798F" w:rsidRPr="003B070B" w:rsidRDefault="00CD798F" w:rsidP="00CD798F">
      <w:pPr>
        <w:spacing w:before="120" w:after="120" w:line="360" w:lineRule="auto"/>
        <w:ind w:firstLine="480"/>
        <w:rPr>
          <w:rFonts w:ascii="宋体" w:hAnsi="宋体" w:hint="eastAsia"/>
          <w:kern w:val="0"/>
          <w:sz w:val="24"/>
          <w:szCs w:val="24"/>
        </w:rPr>
      </w:pPr>
      <w:r w:rsidRPr="00D95B42">
        <w:rPr>
          <w:rFonts w:ascii="Times New Roman" w:hAnsi="Times New Roman"/>
          <w:kern w:val="0"/>
          <w:sz w:val="24"/>
          <w:szCs w:val="24"/>
        </w:rPr>
        <w:t>2</w:t>
      </w:r>
      <w:r w:rsidRPr="00D95B42">
        <w:rPr>
          <w:rFonts w:ascii="Times New Roman" w:hAnsi="Times New Roman" w:hint="eastAsia"/>
          <w:kern w:val="0"/>
          <w:sz w:val="24"/>
          <w:szCs w:val="24"/>
        </w:rPr>
        <w:t>、根据公司享有的政府补助文件及税收优惠政策，对其可持续性进行分析；查阅《评估报告》及上市公司与业绩承诺方签署的《业绩承诺补偿协议书》，分析评估预测的净利润与业绩承诺净利润的差异及合理性；</w:t>
      </w:r>
    </w:p>
    <w:p w14:paraId="20696CD7" w14:textId="77777777" w:rsidR="00CD798F" w:rsidRPr="007E30A6" w:rsidRDefault="00CD798F" w:rsidP="00CD798F">
      <w:pPr>
        <w:pStyle w:val="005"/>
        <w:spacing w:before="120" w:after="120"/>
        <w:ind w:left="480" w:firstLine="480"/>
      </w:pPr>
    </w:p>
    <w:p w14:paraId="078142B6" w14:textId="77777777" w:rsidR="00CD798F" w:rsidRPr="007E30A6" w:rsidRDefault="00CD798F" w:rsidP="00CD798F">
      <w:pPr>
        <w:pStyle w:val="003"/>
        <w:spacing w:before="120" w:after="120"/>
        <w:ind w:firstLine="482"/>
      </w:pPr>
      <w:r w:rsidRPr="007E30A6">
        <w:t>（二）核查意见</w:t>
      </w:r>
    </w:p>
    <w:p w14:paraId="04E8E1FD" w14:textId="77777777" w:rsidR="00CD798F" w:rsidRPr="003B070B" w:rsidRDefault="00CD798F" w:rsidP="00CD798F">
      <w:pPr>
        <w:spacing w:before="120" w:after="120" w:line="360" w:lineRule="auto"/>
        <w:ind w:firstLine="480"/>
        <w:rPr>
          <w:rFonts w:ascii="宋体" w:hAnsi="宋体" w:hint="eastAsia"/>
          <w:kern w:val="0"/>
          <w:sz w:val="24"/>
          <w:szCs w:val="24"/>
        </w:rPr>
      </w:pPr>
      <w:r w:rsidRPr="003B070B">
        <w:rPr>
          <w:rFonts w:ascii="宋体" w:hAnsi="宋体" w:hint="eastAsia"/>
          <w:kern w:val="0"/>
          <w:sz w:val="24"/>
          <w:szCs w:val="24"/>
        </w:rPr>
        <w:t>经核查，评估师认为：</w:t>
      </w:r>
    </w:p>
    <w:p w14:paraId="75325E47" w14:textId="6F671B06" w:rsidR="00CD798F" w:rsidRDefault="00CD798F" w:rsidP="00CD798F">
      <w:pPr>
        <w:spacing w:before="120" w:after="120" w:line="360" w:lineRule="auto"/>
        <w:ind w:firstLine="480"/>
        <w:rPr>
          <w:rFonts w:ascii="Times New Roman" w:hAnsi="Times New Roman"/>
          <w:kern w:val="0"/>
          <w:sz w:val="24"/>
          <w:szCs w:val="24"/>
        </w:rPr>
      </w:pPr>
      <w:r w:rsidRPr="00D95B42">
        <w:rPr>
          <w:rFonts w:ascii="Times New Roman" w:hAnsi="Times New Roman"/>
          <w:kern w:val="0"/>
          <w:sz w:val="24"/>
          <w:szCs w:val="24"/>
        </w:rPr>
        <w:t>1</w:t>
      </w:r>
      <w:r w:rsidRPr="00D95B42">
        <w:rPr>
          <w:rFonts w:ascii="Times New Roman" w:hAnsi="Times New Roman" w:hint="eastAsia"/>
          <w:kern w:val="0"/>
          <w:sz w:val="24"/>
          <w:szCs w:val="24"/>
        </w:rPr>
        <w:t>、业绩承诺中包含的政府补助仅为依据中央财政支持新一轮第一批重点</w:t>
      </w:r>
      <w:r w:rsidRPr="00D95B42">
        <w:rPr>
          <w:rFonts w:ascii="Times New Roman" w:hAnsi="Times New Roman"/>
          <w:kern w:val="0"/>
          <w:sz w:val="24"/>
          <w:szCs w:val="24"/>
        </w:rPr>
        <w:t>“</w:t>
      </w:r>
      <w:r w:rsidRPr="00D95B42">
        <w:rPr>
          <w:rFonts w:ascii="Times New Roman" w:hAnsi="Times New Roman" w:hint="eastAsia"/>
          <w:kern w:val="0"/>
          <w:sz w:val="24"/>
          <w:szCs w:val="24"/>
        </w:rPr>
        <w:t>小巨人</w:t>
      </w:r>
      <w:r w:rsidRPr="00D95B42">
        <w:rPr>
          <w:rFonts w:ascii="Times New Roman" w:hAnsi="Times New Roman"/>
          <w:kern w:val="0"/>
          <w:sz w:val="24"/>
          <w:szCs w:val="24"/>
        </w:rPr>
        <w:t>”</w:t>
      </w:r>
      <w:r w:rsidRPr="00D95B42">
        <w:rPr>
          <w:rFonts w:ascii="Times New Roman" w:hAnsi="Times New Roman" w:hint="eastAsia"/>
          <w:kern w:val="0"/>
          <w:sz w:val="24"/>
          <w:szCs w:val="24"/>
        </w:rPr>
        <w:t>企业奖补资金安排计划未来取得的政府补助；本次交易中关于承诺净利润的设计符合法律法规的相关规定；标的公司业绩承诺包含的政府补助仅包含重点小巨人的第二笔奖补资金</w:t>
      </w:r>
      <w:r w:rsidRPr="00D95B42">
        <w:rPr>
          <w:rFonts w:ascii="Times New Roman" w:hAnsi="Times New Roman"/>
          <w:kern w:val="0"/>
          <w:sz w:val="24"/>
          <w:szCs w:val="24"/>
        </w:rPr>
        <w:t>285</w:t>
      </w:r>
      <w:r w:rsidRPr="00D95B42">
        <w:rPr>
          <w:rFonts w:ascii="Times New Roman" w:hAnsi="Times New Roman" w:hint="eastAsia"/>
          <w:kern w:val="0"/>
          <w:sz w:val="24"/>
          <w:szCs w:val="24"/>
        </w:rPr>
        <w:t>万元，不具备持续性且具有不确定性，发放与否将取决于相关政府部门对标的公司考核期内的绩效评价情况，若最终考核通过，预计发放时间为</w:t>
      </w:r>
      <w:r w:rsidRPr="00D95B42">
        <w:rPr>
          <w:rFonts w:ascii="Times New Roman" w:hAnsi="Times New Roman"/>
          <w:kern w:val="0"/>
          <w:sz w:val="24"/>
          <w:szCs w:val="24"/>
        </w:rPr>
        <w:t>2027</w:t>
      </w:r>
      <w:r w:rsidRPr="00D95B42">
        <w:rPr>
          <w:rFonts w:ascii="Times New Roman" w:hAnsi="Times New Roman" w:hint="eastAsia"/>
          <w:kern w:val="0"/>
          <w:sz w:val="24"/>
          <w:szCs w:val="24"/>
        </w:rPr>
        <w:t>年或</w:t>
      </w:r>
      <w:r w:rsidRPr="00D95B42">
        <w:rPr>
          <w:rFonts w:ascii="Times New Roman" w:hAnsi="Times New Roman"/>
          <w:kern w:val="0"/>
          <w:sz w:val="24"/>
          <w:szCs w:val="24"/>
        </w:rPr>
        <w:t>2028</w:t>
      </w:r>
      <w:r w:rsidRPr="00D95B42">
        <w:rPr>
          <w:rFonts w:ascii="Times New Roman" w:hAnsi="Times New Roman" w:hint="eastAsia"/>
          <w:kern w:val="0"/>
          <w:sz w:val="24"/>
          <w:szCs w:val="24"/>
        </w:rPr>
        <w:t>年。业绩承诺期内及期满后应纳入承诺净利润的政府补助金额取决于前述奖补资金的具体发放时间，业绩承诺期内相关补助能够明确区分并清晰核算。具体政府补助金额及时点的确认将以届时奖补资金到账的银行回单的金额及日期为准；本次交易的收益法评估中针对标的公司的业绩预测，仅考虑</w:t>
      </w:r>
      <w:r w:rsidRPr="00D95B42">
        <w:rPr>
          <w:rFonts w:ascii="Times New Roman" w:hAnsi="Times New Roman"/>
          <w:kern w:val="0"/>
          <w:sz w:val="24"/>
          <w:szCs w:val="24"/>
        </w:rPr>
        <w:t>2025</w:t>
      </w:r>
      <w:r w:rsidRPr="00D95B42">
        <w:rPr>
          <w:rFonts w:ascii="Times New Roman" w:hAnsi="Times New Roman" w:hint="eastAsia"/>
          <w:kern w:val="0"/>
          <w:sz w:val="24"/>
          <w:szCs w:val="24"/>
        </w:rPr>
        <w:t>年上半年已实际发生入表的政府补助</w:t>
      </w:r>
      <w:r w:rsidRPr="00D95B42">
        <w:rPr>
          <w:rFonts w:ascii="Times New Roman" w:hAnsi="Times New Roman" w:hint="eastAsia"/>
          <w:kern w:val="0"/>
          <w:sz w:val="24"/>
          <w:szCs w:val="24"/>
        </w:rPr>
        <w:lastRenderedPageBreak/>
        <w:t>金额，对于</w:t>
      </w:r>
      <w:r w:rsidRPr="00D95B42">
        <w:rPr>
          <w:rFonts w:ascii="Times New Roman" w:hAnsi="Times New Roman"/>
          <w:kern w:val="0"/>
          <w:sz w:val="24"/>
          <w:szCs w:val="24"/>
        </w:rPr>
        <w:t>2025</w:t>
      </w:r>
      <w:r w:rsidRPr="00D95B42">
        <w:rPr>
          <w:rFonts w:ascii="Times New Roman" w:hAnsi="Times New Roman" w:hint="eastAsia"/>
          <w:kern w:val="0"/>
          <w:sz w:val="24"/>
          <w:szCs w:val="24"/>
        </w:rPr>
        <w:t>年下半年及后续预测期内均未对标的公司的政府补助金额进行测算；承诺净利润的核算口径同收益法评估存在差异，主要系非经常性损益、少数股东权益及可弥补亏损形成的递延所得税资产的会计处理及预测口径不同所致，差异具有合理性；业绩承诺中相关政府补助仅包括依据中央财政支持新一轮第一批重点</w:t>
      </w:r>
      <w:r w:rsidRPr="00D95B42">
        <w:rPr>
          <w:rFonts w:ascii="Times New Roman" w:hAnsi="Times New Roman"/>
          <w:kern w:val="0"/>
          <w:sz w:val="24"/>
          <w:szCs w:val="24"/>
        </w:rPr>
        <w:t>“</w:t>
      </w:r>
      <w:r w:rsidRPr="00D95B42">
        <w:rPr>
          <w:rFonts w:ascii="Times New Roman" w:hAnsi="Times New Roman" w:hint="eastAsia"/>
          <w:kern w:val="0"/>
          <w:sz w:val="24"/>
          <w:szCs w:val="24"/>
        </w:rPr>
        <w:t>小巨人</w:t>
      </w:r>
      <w:r w:rsidRPr="00D95B42">
        <w:rPr>
          <w:rFonts w:ascii="Times New Roman" w:hAnsi="Times New Roman"/>
          <w:kern w:val="0"/>
          <w:sz w:val="24"/>
          <w:szCs w:val="24"/>
        </w:rPr>
        <w:t>”</w:t>
      </w:r>
      <w:r w:rsidRPr="00D95B42">
        <w:rPr>
          <w:rFonts w:ascii="Times New Roman" w:hAnsi="Times New Roman" w:hint="eastAsia"/>
          <w:kern w:val="0"/>
          <w:sz w:val="24"/>
          <w:szCs w:val="24"/>
        </w:rPr>
        <w:t>企业奖补资金安排计划未来取得的政府补助，是否取得仍存在一定不确定性，不存在利用相关补助帮助实现业绩承诺、逃避补偿业务的情形；上市公司与交易对方根据市场化原则，充分协商后确定采取业绩承诺、补偿措施等相关安排，有利于保护上市公司及中小股东利益。</w:t>
      </w:r>
    </w:p>
    <w:p w14:paraId="6184B561" w14:textId="73AD33FA" w:rsidR="00CD798F" w:rsidRPr="00D95B42" w:rsidRDefault="00CD798F" w:rsidP="00CD798F">
      <w:pPr>
        <w:spacing w:before="120" w:after="120" w:line="360" w:lineRule="auto"/>
        <w:ind w:firstLine="480"/>
        <w:rPr>
          <w:rFonts w:ascii="Times New Roman" w:hAnsi="Times New Roman"/>
          <w:kern w:val="0"/>
          <w:sz w:val="24"/>
          <w:szCs w:val="24"/>
        </w:rPr>
      </w:pPr>
      <w:r w:rsidRPr="00CD798F">
        <w:rPr>
          <w:rFonts w:ascii="Times New Roman" w:hAnsi="Times New Roman" w:hint="eastAsia"/>
          <w:kern w:val="0"/>
          <w:sz w:val="24"/>
          <w:szCs w:val="24"/>
        </w:rPr>
        <w:t>（此页以下无正文）</w:t>
      </w:r>
    </w:p>
    <w:p w14:paraId="654B669B" w14:textId="78E16ED9" w:rsidR="00CD798F" w:rsidRDefault="00CD798F">
      <w:pPr>
        <w:widowControl/>
        <w:spacing w:after="160" w:line="259" w:lineRule="auto"/>
        <w:jc w:val="left"/>
        <w:rPr>
          <w:rFonts w:ascii="黑体" w:eastAsia="黑体" w:hAnsi="黑体" w:hint="eastAsia"/>
          <w:b/>
          <w:bCs/>
          <w:sz w:val="28"/>
          <w:szCs w:val="28"/>
        </w:rPr>
      </w:pPr>
      <w:r>
        <w:rPr>
          <w:rFonts w:ascii="黑体" w:eastAsia="黑体" w:hAnsi="黑体"/>
          <w:b/>
          <w:bCs/>
          <w:sz w:val="28"/>
          <w:szCs w:val="28"/>
        </w:rPr>
        <w:br w:type="page"/>
      </w:r>
    </w:p>
    <w:p w14:paraId="23CA1B27" w14:textId="790BB4E4" w:rsidR="00CD798F" w:rsidRPr="006C4DBC" w:rsidRDefault="00ED7495" w:rsidP="006C4DBC">
      <w:pPr>
        <w:spacing w:before="120" w:after="120" w:line="360" w:lineRule="auto"/>
        <w:ind w:firstLine="480"/>
        <w:rPr>
          <w:rFonts w:ascii="Times New Roman" w:hAnsi="Times New Roman"/>
          <w:kern w:val="0"/>
          <w:sz w:val="24"/>
          <w:szCs w:val="24"/>
        </w:rPr>
      </w:pPr>
      <w:r>
        <w:rPr>
          <w:rFonts w:ascii="Times New Roman" w:hAnsi="Times New Roman" w:hint="eastAsia"/>
          <w:noProof/>
          <w:kern w:val="0"/>
          <w:sz w:val="24"/>
          <w:szCs w:val="24"/>
          <w:lang w:val="zh-CN"/>
        </w:rPr>
        <w:lastRenderedPageBreak/>
        <w:drawing>
          <wp:anchor distT="0" distB="0" distL="114300" distR="114300" simplePos="0" relativeHeight="251658240" behindDoc="0" locked="0" layoutInCell="1" allowOverlap="1" wp14:anchorId="00132C0D" wp14:editId="29A5509C">
            <wp:simplePos x="0" y="0"/>
            <wp:positionH relativeFrom="page">
              <wp:align>left</wp:align>
            </wp:positionH>
            <wp:positionV relativeFrom="paragraph">
              <wp:posOffset>-1239520</wp:posOffset>
            </wp:positionV>
            <wp:extent cx="7559643" cy="8724900"/>
            <wp:effectExtent l="0" t="0" r="3810" b="0"/>
            <wp:wrapNone/>
            <wp:docPr id="145394571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945715" name="图片 1453945715"/>
                    <pic:cNvPicPr/>
                  </pic:nvPicPr>
                  <pic:blipFill rotWithShape="1">
                    <a:blip r:embed="rId9" cstate="print">
                      <a:extLst>
                        <a:ext uri="{28A0092B-C50C-407E-A947-70E740481C1C}">
                          <a14:useLocalDpi xmlns:a14="http://schemas.microsoft.com/office/drawing/2010/main" val="0"/>
                        </a:ext>
                      </a:extLst>
                    </a:blip>
                    <a:srcRect b="18394"/>
                    <a:stretch>
                      <a:fillRect/>
                    </a:stretch>
                  </pic:blipFill>
                  <pic:spPr bwMode="auto">
                    <a:xfrm>
                      <a:off x="0" y="0"/>
                      <a:ext cx="7560000" cy="872531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798F" w:rsidRPr="006C4DBC">
        <w:rPr>
          <w:rFonts w:ascii="Times New Roman" w:hAnsi="Times New Roman" w:hint="eastAsia"/>
          <w:kern w:val="0"/>
          <w:sz w:val="24"/>
          <w:szCs w:val="24"/>
        </w:rPr>
        <w:t>（此页无正文，为《金证（上海）资产评估有限公司关于上海证券交易所</w:t>
      </w:r>
      <w:r w:rsidR="00CD798F" w:rsidRPr="006C4DBC">
        <w:rPr>
          <w:rFonts w:ascii="Times New Roman" w:hAnsi="Times New Roman" w:hint="eastAsia"/>
          <w:kern w:val="0"/>
          <w:sz w:val="24"/>
          <w:szCs w:val="24"/>
        </w:rPr>
        <w:t>&lt;</w:t>
      </w:r>
      <w:r w:rsidR="00CD798F" w:rsidRPr="006C4DBC">
        <w:rPr>
          <w:rFonts w:ascii="Times New Roman" w:hAnsi="Times New Roman" w:hint="eastAsia"/>
          <w:kern w:val="0"/>
          <w:sz w:val="24"/>
          <w:szCs w:val="24"/>
        </w:rPr>
        <w:t>关于广东天亿马信息产业股份有限公司发行股份及支付现金购买资产并募集配套资金申请的审核问询函</w:t>
      </w:r>
      <w:r w:rsidR="00CD798F" w:rsidRPr="006C4DBC">
        <w:rPr>
          <w:rFonts w:ascii="Times New Roman" w:hAnsi="Times New Roman" w:hint="eastAsia"/>
          <w:kern w:val="0"/>
          <w:sz w:val="24"/>
          <w:szCs w:val="24"/>
        </w:rPr>
        <w:t>&gt;</w:t>
      </w:r>
      <w:r w:rsidR="00CD798F" w:rsidRPr="006C4DBC">
        <w:rPr>
          <w:rFonts w:ascii="Times New Roman" w:hAnsi="Times New Roman" w:hint="eastAsia"/>
          <w:kern w:val="0"/>
          <w:sz w:val="24"/>
          <w:szCs w:val="24"/>
        </w:rPr>
        <w:t>（审核函〔</w:t>
      </w:r>
      <w:r w:rsidR="00CD798F" w:rsidRPr="006C4DBC">
        <w:rPr>
          <w:rFonts w:ascii="Times New Roman" w:hAnsi="Times New Roman"/>
          <w:kern w:val="0"/>
          <w:sz w:val="24"/>
          <w:szCs w:val="24"/>
        </w:rPr>
        <w:t>2025</w:t>
      </w:r>
      <w:r w:rsidR="00CD798F" w:rsidRPr="006C4DBC">
        <w:rPr>
          <w:rFonts w:ascii="Times New Roman" w:hAnsi="Times New Roman"/>
          <w:kern w:val="0"/>
          <w:sz w:val="24"/>
          <w:szCs w:val="24"/>
        </w:rPr>
        <w:t>〕</w:t>
      </w:r>
      <w:r w:rsidR="00CD798F" w:rsidRPr="006C4DBC">
        <w:rPr>
          <w:rFonts w:ascii="Times New Roman" w:hAnsi="Times New Roman"/>
          <w:kern w:val="0"/>
          <w:sz w:val="24"/>
          <w:szCs w:val="24"/>
        </w:rPr>
        <w:t>030021</w:t>
      </w:r>
      <w:r w:rsidR="00CD798F" w:rsidRPr="006C4DBC">
        <w:rPr>
          <w:rFonts w:ascii="Times New Roman" w:hAnsi="Times New Roman"/>
          <w:kern w:val="0"/>
          <w:sz w:val="24"/>
          <w:szCs w:val="24"/>
        </w:rPr>
        <w:t>号</w:t>
      </w:r>
      <w:r w:rsidR="00CD798F" w:rsidRPr="006C4DBC">
        <w:rPr>
          <w:rFonts w:ascii="Times New Roman" w:hAnsi="Times New Roman" w:hint="eastAsia"/>
          <w:kern w:val="0"/>
          <w:sz w:val="24"/>
          <w:szCs w:val="24"/>
        </w:rPr>
        <w:t>）中资产评估相关问题之核查意见》之签章页）</w:t>
      </w:r>
    </w:p>
    <w:p w14:paraId="1B8060F1" w14:textId="77777777" w:rsidR="00CD798F" w:rsidRPr="006C4DBC" w:rsidRDefault="00CD798F" w:rsidP="006C4DBC">
      <w:pPr>
        <w:spacing w:before="120" w:after="120" w:line="360" w:lineRule="auto"/>
        <w:ind w:firstLine="480"/>
        <w:rPr>
          <w:rFonts w:ascii="Times New Roman" w:hAnsi="Times New Roman"/>
          <w:kern w:val="0"/>
          <w:sz w:val="24"/>
          <w:szCs w:val="24"/>
        </w:rPr>
      </w:pPr>
    </w:p>
    <w:p w14:paraId="2713B2C0" w14:textId="77777777" w:rsidR="00CD798F" w:rsidRPr="006C4DBC" w:rsidRDefault="00CD798F" w:rsidP="006C4DBC">
      <w:pPr>
        <w:spacing w:before="120" w:after="120" w:line="360" w:lineRule="auto"/>
        <w:ind w:firstLine="480"/>
        <w:rPr>
          <w:rFonts w:ascii="Times New Roman" w:hAnsi="Times New Roman"/>
          <w:kern w:val="0"/>
          <w:sz w:val="24"/>
          <w:szCs w:val="24"/>
        </w:rPr>
      </w:pPr>
    </w:p>
    <w:p w14:paraId="39BD483E" w14:textId="77777777" w:rsidR="00CD798F" w:rsidRPr="006C4DBC" w:rsidRDefault="00CD798F" w:rsidP="006C4DBC">
      <w:pPr>
        <w:spacing w:before="120" w:after="120" w:line="360" w:lineRule="auto"/>
        <w:ind w:firstLine="480"/>
        <w:rPr>
          <w:rFonts w:ascii="Times New Roman" w:hAnsi="Times New Roman"/>
          <w:kern w:val="0"/>
          <w:sz w:val="24"/>
          <w:szCs w:val="24"/>
        </w:rPr>
      </w:pPr>
    </w:p>
    <w:tbl>
      <w:tblPr>
        <w:tblStyle w:val="113"/>
        <w:tblW w:w="100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50"/>
        <w:gridCol w:w="2490"/>
        <w:gridCol w:w="830"/>
        <w:gridCol w:w="2776"/>
        <w:gridCol w:w="830"/>
      </w:tblGrid>
      <w:tr w:rsidR="006C4DBC" w14:paraId="07F8915B" w14:textId="77777777" w:rsidTr="00214723">
        <w:trPr>
          <w:trHeight w:val="1184"/>
        </w:trPr>
        <w:tc>
          <w:tcPr>
            <w:tcW w:w="2704" w:type="dxa"/>
            <w:vAlign w:val="center"/>
          </w:tcPr>
          <w:p w14:paraId="552ADD97" w14:textId="77777777" w:rsidR="006C4DBC" w:rsidRPr="006C4DBC" w:rsidRDefault="006C4DBC" w:rsidP="00214723">
            <w:pPr>
              <w:widowControl/>
              <w:spacing w:beforeLines="50" w:before="120" w:afterLines="50" w:after="120"/>
              <w:jc w:val="left"/>
              <w:rPr>
                <w:rFonts w:ascii="宋体" w:hAnsi="宋体" w:cs="宋体" w:hint="eastAsia"/>
                <w:kern w:val="0"/>
                <w:sz w:val="24"/>
                <w:szCs w:val="32"/>
              </w:rPr>
            </w:pPr>
            <w:r w:rsidRPr="006C4DBC">
              <w:rPr>
                <w:rFonts w:ascii="宋体" w:hAnsi="宋体" w:cs="宋体" w:hint="eastAsia"/>
                <w:kern w:val="0"/>
                <w:sz w:val="24"/>
                <w:szCs w:val="32"/>
              </w:rPr>
              <w:t>资产评估师：</w:t>
            </w:r>
          </w:p>
        </w:tc>
        <w:tc>
          <w:tcPr>
            <w:tcW w:w="2138" w:type="dxa"/>
            <w:tcBorders>
              <w:top w:val="nil"/>
              <w:left w:val="nil"/>
              <w:bottom w:val="single" w:sz="4" w:space="0" w:color="auto"/>
              <w:right w:val="nil"/>
            </w:tcBorders>
            <w:vAlign w:val="center"/>
          </w:tcPr>
          <w:p w14:paraId="6883D3CD" w14:textId="07D85AAC" w:rsidR="006C4DBC" w:rsidRPr="006C4DBC" w:rsidRDefault="006C4DBC" w:rsidP="00214723">
            <w:pPr>
              <w:widowControl/>
              <w:spacing w:beforeLines="50" w:before="120" w:afterLines="50" w:after="120"/>
              <w:jc w:val="center"/>
              <w:rPr>
                <w:rFonts w:ascii="宋体" w:hAnsi="宋体" w:cs="宋体" w:hint="eastAsia"/>
                <w:kern w:val="0"/>
                <w:sz w:val="24"/>
                <w:szCs w:val="32"/>
              </w:rPr>
            </w:pPr>
          </w:p>
        </w:tc>
        <w:tc>
          <w:tcPr>
            <w:tcW w:w="713" w:type="dxa"/>
            <w:vAlign w:val="center"/>
          </w:tcPr>
          <w:p w14:paraId="24615988" w14:textId="77777777" w:rsidR="006C4DBC" w:rsidRPr="006C4DBC" w:rsidRDefault="006C4DBC" w:rsidP="00214723">
            <w:pPr>
              <w:widowControl/>
              <w:spacing w:beforeLines="50" w:before="120" w:afterLines="50" w:after="120"/>
              <w:jc w:val="center"/>
              <w:rPr>
                <w:rFonts w:ascii="宋体" w:hAnsi="宋体" w:cs="宋体" w:hint="eastAsia"/>
                <w:kern w:val="0"/>
                <w:sz w:val="24"/>
                <w:szCs w:val="32"/>
              </w:rPr>
            </w:pPr>
          </w:p>
        </w:tc>
        <w:tc>
          <w:tcPr>
            <w:tcW w:w="2383" w:type="dxa"/>
            <w:tcBorders>
              <w:top w:val="nil"/>
              <w:left w:val="nil"/>
              <w:bottom w:val="single" w:sz="4" w:space="0" w:color="auto"/>
              <w:right w:val="nil"/>
            </w:tcBorders>
            <w:vAlign w:val="center"/>
          </w:tcPr>
          <w:p w14:paraId="45B48C20" w14:textId="77777777" w:rsidR="006C4DBC" w:rsidRPr="006C4DBC" w:rsidRDefault="006C4DBC" w:rsidP="00214723">
            <w:pPr>
              <w:widowControl/>
              <w:spacing w:beforeLines="50" w:before="120" w:afterLines="50" w:after="120"/>
              <w:jc w:val="center"/>
              <w:rPr>
                <w:rFonts w:ascii="宋体" w:hAnsi="宋体" w:cs="宋体" w:hint="eastAsia"/>
                <w:kern w:val="0"/>
                <w:sz w:val="24"/>
                <w:szCs w:val="32"/>
              </w:rPr>
            </w:pPr>
          </w:p>
        </w:tc>
        <w:tc>
          <w:tcPr>
            <w:tcW w:w="713" w:type="dxa"/>
            <w:vAlign w:val="center"/>
          </w:tcPr>
          <w:p w14:paraId="3A7079AC" w14:textId="77777777" w:rsidR="006C4DBC" w:rsidRDefault="006C4DBC" w:rsidP="00214723">
            <w:pPr>
              <w:widowControl/>
              <w:spacing w:beforeLines="50" w:before="120" w:afterLines="50" w:after="120"/>
              <w:jc w:val="center"/>
              <w:rPr>
                <w:rFonts w:ascii="宋体" w:hAnsi="宋体" w:cs="宋体" w:hint="eastAsia"/>
                <w:kern w:val="0"/>
                <w:szCs w:val="24"/>
              </w:rPr>
            </w:pPr>
          </w:p>
        </w:tc>
      </w:tr>
      <w:tr w:rsidR="006C4DBC" w14:paraId="294604E8" w14:textId="77777777" w:rsidTr="00214723">
        <w:trPr>
          <w:trHeight w:val="1171"/>
        </w:trPr>
        <w:tc>
          <w:tcPr>
            <w:tcW w:w="2704" w:type="dxa"/>
            <w:vAlign w:val="center"/>
          </w:tcPr>
          <w:p w14:paraId="65ED09AD" w14:textId="77777777" w:rsidR="006C4DBC" w:rsidRPr="006C4DBC" w:rsidRDefault="006C4DBC" w:rsidP="00214723">
            <w:pPr>
              <w:widowControl/>
              <w:spacing w:beforeLines="50" w:before="120" w:afterLines="50" w:after="120"/>
              <w:jc w:val="center"/>
              <w:rPr>
                <w:rFonts w:ascii="宋体" w:hAnsi="宋体" w:cs="宋体" w:hint="eastAsia"/>
                <w:kern w:val="0"/>
                <w:sz w:val="24"/>
                <w:szCs w:val="32"/>
              </w:rPr>
            </w:pPr>
          </w:p>
        </w:tc>
        <w:tc>
          <w:tcPr>
            <w:tcW w:w="2138" w:type="dxa"/>
            <w:tcBorders>
              <w:top w:val="single" w:sz="4" w:space="0" w:color="auto"/>
              <w:left w:val="nil"/>
              <w:bottom w:val="nil"/>
              <w:right w:val="nil"/>
            </w:tcBorders>
            <w:vAlign w:val="center"/>
          </w:tcPr>
          <w:p w14:paraId="519925D6" w14:textId="77777777" w:rsidR="006C4DBC" w:rsidRPr="006C4DBC" w:rsidRDefault="006C4DBC" w:rsidP="00214723">
            <w:pPr>
              <w:widowControl/>
              <w:spacing w:beforeLines="50" w:before="120" w:afterLines="50" w:after="120"/>
              <w:jc w:val="center"/>
              <w:rPr>
                <w:rFonts w:ascii="宋体" w:hAnsi="宋体" w:cs="宋体" w:hint="eastAsia"/>
                <w:kern w:val="0"/>
                <w:sz w:val="24"/>
                <w:szCs w:val="32"/>
              </w:rPr>
            </w:pPr>
            <w:r w:rsidRPr="006C4DBC">
              <w:rPr>
                <w:rFonts w:ascii="宋体" w:hAnsi="宋体" w:cs="宋体" w:hint="eastAsia"/>
                <w:kern w:val="0"/>
                <w:sz w:val="24"/>
                <w:szCs w:val="32"/>
              </w:rPr>
              <w:t>管屹</w:t>
            </w:r>
          </w:p>
        </w:tc>
        <w:tc>
          <w:tcPr>
            <w:tcW w:w="713" w:type="dxa"/>
            <w:vAlign w:val="center"/>
          </w:tcPr>
          <w:p w14:paraId="7B4D6379" w14:textId="77777777" w:rsidR="006C4DBC" w:rsidRPr="006C4DBC" w:rsidRDefault="006C4DBC" w:rsidP="00214723">
            <w:pPr>
              <w:widowControl/>
              <w:spacing w:beforeLines="50" w:before="120" w:afterLines="50" w:after="120"/>
              <w:jc w:val="center"/>
              <w:rPr>
                <w:rFonts w:ascii="宋体" w:hAnsi="宋体" w:cs="宋体" w:hint="eastAsia"/>
                <w:kern w:val="0"/>
                <w:sz w:val="24"/>
                <w:szCs w:val="32"/>
              </w:rPr>
            </w:pPr>
          </w:p>
        </w:tc>
        <w:tc>
          <w:tcPr>
            <w:tcW w:w="2383" w:type="dxa"/>
            <w:tcBorders>
              <w:top w:val="single" w:sz="4" w:space="0" w:color="auto"/>
              <w:left w:val="nil"/>
              <w:bottom w:val="nil"/>
              <w:right w:val="nil"/>
            </w:tcBorders>
            <w:vAlign w:val="center"/>
          </w:tcPr>
          <w:p w14:paraId="62EE05E7" w14:textId="77777777" w:rsidR="006C4DBC" w:rsidRPr="006C4DBC" w:rsidRDefault="006C4DBC" w:rsidP="00214723">
            <w:pPr>
              <w:widowControl/>
              <w:spacing w:beforeLines="50" w:before="120" w:afterLines="50" w:after="120"/>
              <w:jc w:val="center"/>
              <w:rPr>
                <w:rFonts w:ascii="宋体" w:hAnsi="宋体" w:cs="宋体" w:hint="eastAsia"/>
                <w:kern w:val="0"/>
                <w:sz w:val="24"/>
                <w:szCs w:val="32"/>
              </w:rPr>
            </w:pPr>
            <w:r w:rsidRPr="006C4DBC">
              <w:rPr>
                <w:rFonts w:ascii="宋体" w:hAnsi="宋体" w:cs="宋体" w:hint="eastAsia"/>
                <w:kern w:val="0"/>
                <w:sz w:val="24"/>
                <w:szCs w:val="32"/>
              </w:rPr>
              <w:t>钱焱伟</w:t>
            </w:r>
          </w:p>
        </w:tc>
        <w:tc>
          <w:tcPr>
            <w:tcW w:w="713" w:type="dxa"/>
            <w:vAlign w:val="center"/>
          </w:tcPr>
          <w:p w14:paraId="60654CF4" w14:textId="77777777" w:rsidR="006C4DBC" w:rsidRDefault="006C4DBC" w:rsidP="00214723">
            <w:pPr>
              <w:widowControl/>
              <w:spacing w:beforeLines="50" w:before="120" w:afterLines="50" w:after="120"/>
              <w:jc w:val="center"/>
              <w:rPr>
                <w:rFonts w:ascii="宋体" w:hAnsi="宋体" w:cs="宋体" w:hint="eastAsia"/>
                <w:kern w:val="0"/>
                <w:szCs w:val="24"/>
              </w:rPr>
            </w:pPr>
          </w:p>
        </w:tc>
      </w:tr>
    </w:tbl>
    <w:p w14:paraId="73679E74" w14:textId="6936ADD1" w:rsidR="00AB58E0" w:rsidRDefault="00AB58E0" w:rsidP="00AB58E0">
      <w:pPr>
        <w:spacing w:beforeLines="50" w:before="120" w:line="300" w:lineRule="auto"/>
        <w:ind w:firstLineChars="200" w:firstLine="480"/>
        <w:rPr>
          <w:rFonts w:ascii="Times New Roman" w:hAnsi="Times New Roman"/>
          <w:sz w:val="24"/>
        </w:rPr>
      </w:pPr>
    </w:p>
    <w:p w14:paraId="71B7177F" w14:textId="180D448C" w:rsidR="00AB58E0" w:rsidRPr="00AB58E0" w:rsidRDefault="00AB58E0" w:rsidP="00AB58E0">
      <w:pPr>
        <w:spacing w:beforeLines="50" w:before="120" w:line="300" w:lineRule="auto"/>
        <w:ind w:firstLineChars="200" w:firstLine="480"/>
        <w:rPr>
          <w:rFonts w:ascii="Times New Roman" w:hAnsi="Times New Roman"/>
          <w:sz w:val="24"/>
          <w:u w:val="single"/>
        </w:rPr>
      </w:pPr>
    </w:p>
    <w:p w14:paraId="500B676E" w14:textId="77777777" w:rsidR="00AB58E0" w:rsidRDefault="00AB58E0" w:rsidP="00AB58E0">
      <w:pPr>
        <w:spacing w:beforeLines="50" w:before="120" w:line="300" w:lineRule="auto"/>
        <w:ind w:firstLineChars="200" w:firstLine="480"/>
        <w:rPr>
          <w:rFonts w:ascii="Times New Roman" w:hAnsi="Times New Roman"/>
          <w:sz w:val="24"/>
        </w:rPr>
      </w:pPr>
    </w:p>
    <w:p w14:paraId="6D0559A5" w14:textId="77777777" w:rsidR="00A37AF4" w:rsidRDefault="00A37AF4" w:rsidP="00CD798F">
      <w:pPr>
        <w:spacing w:beforeLines="50" w:before="120" w:line="300" w:lineRule="auto"/>
        <w:ind w:firstLineChars="200" w:firstLine="480"/>
        <w:jc w:val="right"/>
        <w:rPr>
          <w:rFonts w:ascii="Times New Roman" w:hAnsi="Times New Roman"/>
          <w:sz w:val="24"/>
        </w:rPr>
      </w:pPr>
    </w:p>
    <w:p w14:paraId="013CF35E" w14:textId="77777777" w:rsidR="00A37AF4" w:rsidRDefault="00A37AF4" w:rsidP="00CD798F">
      <w:pPr>
        <w:spacing w:beforeLines="50" w:before="120" w:line="300" w:lineRule="auto"/>
        <w:ind w:firstLineChars="200" w:firstLine="480"/>
        <w:jc w:val="right"/>
        <w:rPr>
          <w:rFonts w:ascii="Times New Roman" w:hAnsi="Times New Roman"/>
          <w:sz w:val="24"/>
        </w:rPr>
      </w:pPr>
    </w:p>
    <w:p w14:paraId="3533AD90" w14:textId="77777777" w:rsidR="00A37AF4" w:rsidRDefault="00A37AF4" w:rsidP="00CD798F">
      <w:pPr>
        <w:spacing w:beforeLines="50" w:before="120" w:line="300" w:lineRule="auto"/>
        <w:ind w:firstLineChars="200" w:firstLine="480"/>
        <w:jc w:val="right"/>
        <w:rPr>
          <w:rFonts w:ascii="Times New Roman" w:hAnsi="Times New Roman"/>
          <w:sz w:val="24"/>
        </w:rPr>
      </w:pPr>
    </w:p>
    <w:p w14:paraId="0EB7ED00" w14:textId="77777777" w:rsidR="00A37AF4" w:rsidRDefault="00A37AF4" w:rsidP="00CD798F">
      <w:pPr>
        <w:spacing w:beforeLines="50" w:before="120" w:line="300" w:lineRule="auto"/>
        <w:ind w:firstLineChars="200" w:firstLine="480"/>
        <w:jc w:val="right"/>
        <w:rPr>
          <w:rFonts w:ascii="Times New Roman" w:hAnsi="Times New Roman"/>
          <w:sz w:val="24"/>
        </w:rPr>
      </w:pPr>
    </w:p>
    <w:p w14:paraId="1815457C" w14:textId="1A962FE4" w:rsidR="00CD798F" w:rsidRPr="006C4DBC" w:rsidRDefault="00CD798F" w:rsidP="00CD798F">
      <w:pPr>
        <w:spacing w:beforeLines="50" w:before="120" w:line="300" w:lineRule="auto"/>
        <w:ind w:firstLineChars="200" w:firstLine="480"/>
        <w:jc w:val="right"/>
        <w:rPr>
          <w:rFonts w:ascii="Times New Roman" w:hAnsi="Times New Roman"/>
          <w:sz w:val="24"/>
        </w:rPr>
      </w:pPr>
      <w:r w:rsidRPr="006C4DBC">
        <w:rPr>
          <w:rFonts w:ascii="Times New Roman" w:hAnsi="Times New Roman"/>
          <w:sz w:val="24"/>
        </w:rPr>
        <w:t>金证（上海）资产评估有限公司</w:t>
      </w:r>
    </w:p>
    <w:p w14:paraId="03176537" w14:textId="67EE6303" w:rsidR="00CD798F" w:rsidRPr="006C4DBC" w:rsidRDefault="00CD798F" w:rsidP="00CD798F">
      <w:pPr>
        <w:spacing w:beforeLines="50" w:before="120" w:line="300" w:lineRule="auto"/>
        <w:ind w:firstLineChars="200" w:firstLine="480"/>
        <w:jc w:val="right"/>
        <w:rPr>
          <w:rFonts w:ascii="Times New Roman" w:hAnsi="Times New Roman"/>
          <w:sz w:val="24"/>
        </w:rPr>
      </w:pPr>
      <w:r w:rsidRPr="006C4DBC">
        <w:rPr>
          <w:rFonts w:ascii="Times New Roman" w:hAnsi="Times New Roman"/>
          <w:sz w:val="24"/>
        </w:rPr>
        <w:t>2026</w:t>
      </w:r>
      <w:r w:rsidRPr="006C4DBC">
        <w:rPr>
          <w:rFonts w:ascii="Times New Roman" w:hAnsi="Times New Roman"/>
          <w:sz w:val="24"/>
        </w:rPr>
        <w:t>年</w:t>
      </w:r>
      <w:r w:rsidR="00C24BBF">
        <w:rPr>
          <w:rFonts w:ascii="Times New Roman" w:hAnsi="Times New Roman"/>
          <w:sz w:val="24"/>
        </w:rPr>
        <w:t xml:space="preserve">    </w:t>
      </w:r>
      <w:r w:rsidRPr="006C4DBC">
        <w:rPr>
          <w:rFonts w:ascii="Times New Roman" w:hAnsi="Times New Roman"/>
          <w:sz w:val="24"/>
        </w:rPr>
        <w:t>月</w:t>
      </w:r>
      <w:r w:rsidR="00C24BBF">
        <w:rPr>
          <w:rFonts w:ascii="Times New Roman" w:hAnsi="Times New Roman"/>
          <w:sz w:val="24"/>
        </w:rPr>
        <w:t xml:space="preserve">      </w:t>
      </w:r>
      <w:r w:rsidRPr="006C4DBC">
        <w:rPr>
          <w:rFonts w:ascii="Times New Roman" w:hAnsi="Times New Roman"/>
          <w:sz w:val="24"/>
        </w:rPr>
        <w:t>日</w:t>
      </w:r>
    </w:p>
    <w:p w14:paraId="7B666E85" w14:textId="77777777" w:rsidR="00CD798F" w:rsidRPr="00CD798F" w:rsidRDefault="00CD798F" w:rsidP="006176AC">
      <w:pPr>
        <w:spacing w:line="480" w:lineRule="auto"/>
        <w:ind w:firstLine="720"/>
        <w:jc w:val="center"/>
        <w:rPr>
          <w:rFonts w:ascii="黑体" w:eastAsia="黑体" w:hAnsi="黑体" w:hint="eastAsia"/>
          <w:b/>
          <w:bCs/>
          <w:sz w:val="28"/>
          <w:szCs w:val="28"/>
        </w:rPr>
      </w:pPr>
    </w:p>
    <w:sectPr w:rsidR="00CD798F" w:rsidRPr="00CD798F" w:rsidSect="00E72DA1">
      <w:headerReference w:type="default" r:id="rId10"/>
      <w:footerReference w:type="default" r:id="rId11"/>
      <w:pgSz w:w="11907" w:h="16840" w:code="9"/>
      <w:pgMar w:top="1418" w:right="1418" w:bottom="1418" w:left="1418" w:header="283" w:footer="1191"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25E581" w14:textId="77777777" w:rsidR="004A1376" w:rsidRDefault="004A1376" w:rsidP="00A21CFE">
      <w:r>
        <w:separator/>
      </w:r>
    </w:p>
  </w:endnote>
  <w:endnote w:type="continuationSeparator" w:id="0">
    <w:p w14:paraId="4CD53839" w14:textId="77777777" w:rsidR="004A1376" w:rsidRDefault="004A1376" w:rsidP="00A21C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altName w:val="楷体-简"/>
    <w:panose1 w:val="02010609060101010101"/>
    <w:charset w:val="86"/>
    <w:family w:val="modern"/>
    <w:pitch w:val="fixed"/>
    <w:sig w:usb0="800002BF" w:usb1="38CF7CFA" w:usb2="00000016" w:usb3="00000000" w:csb0="00040001" w:csb1="00000000"/>
  </w:font>
  <w:font w:name="Arial Narrow">
    <w:altName w:val="Arial Narrow"/>
    <w:panose1 w:val="020B0606020202030204"/>
    <w:charset w:val="00"/>
    <w:family w:val="swiss"/>
    <w:pitch w:val="variable"/>
    <w:sig w:usb0="00000287" w:usb1="00000800" w:usb2="00000000" w:usb3="00000000" w:csb0="0000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方正小标宋简体">
    <w:altName w:val="微软雅黑"/>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Math">
    <w:panose1 w:val="02040503050406030204"/>
    <w:charset w:val="00"/>
    <w:family w:val="roman"/>
    <w:pitch w:val="variable"/>
    <w:sig w:usb0="E00006FF" w:usb1="420024FF" w:usb2="02000000" w:usb3="00000000" w:csb0="0000019F" w:csb1="00000000"/>
  </w:font>
  <w:font w:name="阿里巴巴普惠体">
    <w:altName w:val="宋体"/>
    <w:panose1 w:val="00000000000000000000"/>
    <w:charset w:val="86"/>
    <w:family w:val="roman"/>
    <w:notTrueType/>
    <w:pitch w:val="variable"/>
    <w:sig w:usb0="A00002FF" w:usb1="7ACF7CFB" w:usb2="0000001E"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008F3B" w14:textId="77777777" w:rsidR="00466184" w:rsidRDefault="00466184">
    <w:pPr>
      <w:pStyle w:val="a5"/>
    </w:pPr>
  </w:p>
  <w:p w14:paraId="0E83C505" w14:textId="77777777" w:rsidR="00466184" w:rsidRDefault="00466184">
    <w:pPr>
      <w:pStyle w:val="a5"/>
    </w:pPr>
    <w:r>
      <w:rPr>
        <w:noProof/>
      </w:rPr>
      <mc:AlternateContent>
        <mc:Choice Requires="wps">
          <w:drawing>
            <wp:anchor distT="0" distB="0" distL="114300" distR="114300" simplePos="0" relativeHeight="251659264" behindDoc="0" locked="0" layoutInCell="1" allowOverlap="1" wp14:anchorId="460D09BA" wp14:editId="7D3AF9D6">
              <wp:simplePos x="0" y="0"/>
              <wp:positionH relativeFrom="margin">
                <wp:posOffset>-100330</wp:posOffset>
              </wp:positionH>
              <wp:positionV relativeFrom="paragraph">
                <wp:posOffset>69215</wp:posOffset>
              </wp:positionV>
              <wp:extent cx="3302000" cy="647700"/>
              <wp:effectExtent l="0" t="0" r="0" b="0"/>
              <wp:wrapNone/>
              <wp:docPr id="13"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02000" cy="647700"/>
                      </a:xfrm>
                      <a:prstGeom prst="rect">
                        <a:avLst/>
                      </a:prstGeom>
                      <a:noFill/>
                      <a:ln w="9525">
                        <a:noFill/>
                        <a:miter lim="800000"/>
                      </a:ln>
                    </wps:spPr>
                    <wps:txbx>
                      <w:txbxContent>
                        <w:p w14:paraId="528084A9" w14:textId="77777777" w:rsidR="00466184" w:rsidRPr="005A3369" w:rsidRDefault="00466184" w:rsidP="008F1B56">
                          <w:pPr>
                            <w:spacing w:beforeLines="30" w:before="72" w:afterLines="30" w:after="72"/>
                            <w:rPr>
                              <w:rFonts w:ascii="Arial Narrow" w:eastAsia="阿里巴巴普惠体" w:hAnsi="Arial Narrow" w:cs="阿里巴巴普惠体"/>
                              <w:color w:val="C00000"/>
                              <w:sz w:val="18"/>
                              <w:szCs w:val="18"/>
                            </w:rPr>
                          </w:pPr>
                          <w:r w:rsidRPr="005A3369">
                            <w:rPr>
                              <w:rFonts w:ascii="Arial Narrow" w:eastAsia="阿里巴巴普惠体" w:hAnsi="Arial Narrow" w:cs="阿里巴巴普惠体"/>
                              <w:color w:val="C00000"/>
                              <w:sz w:val="18"/>
                              <w:szCs w:val="18"/>
                            </w:rPr>
                            <w:t>地址：上海市徐汇区龙兰路</w:t>
                          </w:r>
                          <w:r w:rsidRPr="005A3369">
                            <w:rPr>
                              <w:rFonts w:ascii="Arial Narrow" w:eastAsia="阿里巴巴普惠体" w:hAnsi="Arial Narrow" w:cs="阿里巴巴普惠体"/>
                              <w:color w:val="C00000"/>
                              <w:sz w:val="18"/>
                              <w:szCs w:val="18"/>
                            </w:rPr>
                            <w:t>277</w:t>
                          </w:r>
                          <w:r w:rsidRPr="005A3369">
                            <w:rPr>
                              <w:rFonts w:ascii="Arial Narrow" w:eastAsia="阿里巴巴普惠体" w:hAnsi="Arial Narrow" w:cs="阿里巴巴普惠体"/>
                              <w:color w:val="C00000"/>
                              <w:sz w:val="18"/>
                              <w:szCs w:val="18"/>
                            </w:rPr>
                            <w:t>号东航滨江中心</w:t>
                          </w:r>
                          <w:r w:rsidRPr="005A3369">
                            <w:rPr>
                              <w:rFonts w:ascii="Arial Narrow" w:eastAsia="阿里巴巴普惠体" w:hAnsi="Arial Narrow" w:cs="阿里巴巴普惠体"/>
                              <w:color w:val="C00000"/>
                              <w:sz w:val="18"/>
                              <w:szCs w:val="18"/>
                            </w:rPr>
                            <w:t>T3</w:t>
                          </w:r>
                          <w:r w:rsidRPr="005A3369">
                            <w:rPr>
                              <w:rFonts w:ascii="Arial Narrow" w:eastAsia="阿里巴巴普惠体" w:hAnsi="Arial Narrow" w:cs="阿里巴巴普惠体"/>
                              <w:color w:val="C00000"/>
                              <w:sz w:val="18"/>
                              <w:szCs w:val="18"/>
                            </w:rPr>
                            <w:t>栋</w:t>
                          </w:r>
                          <w:r w:rsidRPr="005A3369">
                            <w:rPr>
                              <w:rFonts w:ascii="Arial Narrow" w:eastAsia="阿里巴巴普惠体" w:hAnsi="Arial Narrow" w:cs="阿里巴巴普惠体"/>
                              <w:color w:val="C00000"/>
                              <w:sz w:val="18"/>
                              <w:szCs w:val="18"/>
                            </w:rPr>
                            <w:t xml:space="preserve"> 7</w:t>
                          </w:r>
                          <w:r w:rsidRPr="005A3369">
                            <w:rPr>
                              <w:rFonts w:ascii="Arial Narrow" w:eastAsia="阿里巴巴普惠体" w:hAnsi="Arial Narrow" w:cs="阿里巴巴普惠体"/>
                              <w:color w:val="C00000"/>
                              <w:sz w:val="18"/>
                              <w:szCs w:val="18"/>
                            </w:rPr>
                            <w:t>楼</w:t>
                          </w:r>
                        </w:p>
                        <w:p w14:paraId="276E226F" w14:textId="77777777" w:rsidR="00466184" w:rsidRPr="005A3369" w:rsidRDefault="00466184" w:rsidP="008F1B56">
                          <w:pPr>
                            <w:spacing w:beforeLines="30" w:before="72" w:afterLines="30" w:after="72"/>
                            <w:rPr>
                              <w:rFonts w:ascii="Arial Narrow" w:eastAsia="阿里巴巴普惠体" w:hAnsi="Arial Narrow" w:cs="阿里巴巴普惠体"/>
                              <w:color w:val="C00000"/>
                              <w:sz w:val="18"/>
                              <w:szCs w:val="18"/>
                            </w:rPr>
                          </w:pPr>
                          <w:r w:rsidRPr="005A3369">
                            <w:rPr>
                              <w:rFonts w:ascii="Arial Narrow" w:eastAsia="阿里巴巴普惠体" w:hAnsi="Arial Narrow" w:cs="阿里巴巴普惠体"/>
                              <w:color w:val="C00000"/>
                              <w:sz w:val="18"/>
                              <w:szCs w:val="18"/>
                            </w:rPr>
                            <w:t>座机：</w:t>
                          </w:r>
                          <w:r w:rsidRPr="005A3369">
                            <w:rPr>
                              <w:rFonts w:ascii="Arial Narrow" w:eastAsia="阿里巴巴普惠体" w:hAnsi="Arial Narrow" w:cs="阿里巴巴普惠体"/>
                              <w:color w:val="C00000"/>
                              <w:sz w:val="18"/>
                              <w:szCs w:val="18"/>
                            </w:rPr>
                            <w:t>021-63081130</w:t>
                          </w:r>
                          <w:r>
                            <w:rPr>
                              <w:rFonts w:ascii="Arial Narrow" w:eastAsia="阿里巴巴普惠体" w:hAnsi="Arial Narrow" w:cs="阿里巴巴普惠体" w:hint="eastAsia"/>
                              <w:color w:val="C00000"/>
                              <w:sz w:val="18"/>
                              <w:szCs w:val="18"/>
                            </w:rPr>
                            <w:t xml:space="preserve"> </w:t>
                          </w:r>
                          <w:r w:rsidRPr="005A3369">
                            <w:rPr>
                              <w:rFonts w:ascii="Arial Narrow" w:eastAsia="阿里巴巴普惠体" w:hAnsi="Arial Narrow" w:cs="阿里巴巴普惠体"/>
                              <w:color w:val="C00000"/>
                              <w:sz w:val="18"/>
                              <w:szCs w:val="18"/>
                            </w:rPr>
                            <w:t xml:space="preserve"> | </w:t>
                          </w:r>
                          <w:r>
                            <w:rPr>
                              <w:rFonts w:ascii="Arial Narrow" w:eastAsia="阿里巴巴普惠体" w:hAnsi="Arial Narrow" w:cs="阿里巴巴普惠体" w:hint="eastAsia"/>
                              <w:color w:val="C00000"/>
                              <w:sz w:val="18"/>
                              <w:szCs w:val="18"/>
                            </w:rPr>
                            <w:t xml:space="preserve"> </w:t>
                          </w:r>
                          <w:r w:rsidRPr="005A3369">
                            <w:rPr>
                              <w:rFonts w:ascii="Arial Narrow" w:eastAsia="阿里巴巴普惠体" w:hAnsi="Arial Narrow" w:cs="阿里巴巴普惠体"/>
                              <w:color w:val="C00000"/>
                              <w:sz w:val="18"/>
                              <w:szCs w:val="18"/>
                            </w:rPr>
                            <w:t>网址：</w:t>
                          </w:r>
                          <w:r w:rsidRPr="005A3369">
                            <w:rPr>
                              <w:rFonts w:ascii="Arial Narrow" w:eastAsia="阿里巴巴普惠体" w:hAnsi="Arial Narrow" w:cs="阿里巴巴普惠体"/>
                              <w:color w:val="C00000"/>
                              <w:sz w:val="18"/>
                              <w:szCs w:val="18"/>
                            </w:rPr>
                            <w:t>https://www.jzvaluation.com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60D09BA" id="_x0000_t202" coordsize="21600,21600" o:spt="202" path="m,l,21600r21600,l21600,xe">
              <v:stroke joinstyle="miter"/>
              <v:path gradientshapeok="t" o:connecttype="rect"/>
            </v:shapetype>
            <v:shape id="文本框 2" o:spid="_x0000_s1026" type="#_x0000_t202" style="position:absolute;margin-left:-7.9pt;margin-top:5.45pt;width:260pt;height:51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3bD6AEAALUDAAAOAAAAZHJzL2Uyb0RvYy54bWysU9tu2zAMfR+wfxD0vjhJk6Y14hRdiw4D&#10;ugvQ7QMUWY6FSaJGKbGzrx8lu2mwvhV7EUhTOuQ5PF7f9Nawg8KgwVV8NplyppyEWrtdxX/+ePhw&#10;xVmIwtXCgFMVP6rAbzbv3607X6o5tGBqhYxAXCg7X/E2Rl8WRZCtsiJMwCtHxQbQikgp7ooaRUfo&#10;1hTz6fSy6ABrjyBVCPT1fijyTcZvGiXjt6YJKjJTcZot5hPzuU1nsVmLcofCt1qOY4g3TGGFdtT0&#10;BHUvomB71K+grJYIAZo4kWALaBotVeZAbGbTf9g8tcKrzIXECf4kU/h/sPLr4cl/Rxb7j9DTAjOJ&#10;4B9B/grMwV0r3E7dIkLXKlFT41mSrOh8KMenSepQhgSy7b5ATUsW+wgZqG/QJlWIJyN0WsDxJLrq&#10;I5P08eJiSoukkqTa5WK1oji1EOXza48hflJgWQoqjrTUjC4OjyEOV5+vpGYOHrQxebHGsa7i18v5&#10;Mj84q1gdyXdG24pfUfdTT+NGdonQQC32257QEsst1EfiiTD4iHxPQQv4h7OOPFTx8HsvUHFmPjvS&#10;6nq2WCTT5WSxXM0pwfPK9rwinCSoikfOhvAuZqMOnG5J00Znui+TjLOSN7Jgo4+T+c7zfOvlb9v8&#10;BQAA//8DAFBLAwQUAAYACAAAACEASpOIW90AAAAKAQAADwAAAGRycy9kb3ducmV2LnhtbEyPwU7D&#10;MBBE70j9B2uRemvtRA0iIU5VgXoF0QISNzfeJhHxOordJvw9ywmOszOaeVtuZ9eLK46h86QhWSsQ&#10;SLW3HTUa3o771T2IEA1Z03tCDd8YYFstbkpTWD/RK14PsRFcQqEwGtoYh0LKULfoTFj7AYm9sx+d&#10;iSzHRtrRTFzuepkqdSed6YgXWjPgY4v11+HiNLw/nz8/NuqleXLZMPlZSXK51Hp5O+8eQESc418Y&#10;fvEZHSpmOvkL2SB6DaskY/TIhspBcCBTmxTEiQ9JmoOsSvn/heoHAAD//wMAUEsBAi0AFAAGAAgA&#10;AAAhALaDOJL+AAAA4QEAABMAAAAAAAAAAAAAAAAAAAAAAFtDb250ZW50X1R5cGVzXS54bWxQSwEC&#10;LQAUAAYACAAAACEAOP0h/9YAAACUAQAACwAAAAAAAAAAAAAAAAAvAQAAX3JlbHMvLnJlbHNQSwEC&#10;LQAUAAYACAAAACEAjo92w+gBAAC1AwAADgAAAAAAAAAAAAAAAAAuAgAAZHJzL2Uyb0RvYy54bWxQ&#10;SwECLQAUAAYACAAAACEASpOIW90AAAAKAQAADwAAAAAAAAAAAAAAAABCBAAAZHJzL2Rvd25yZXYu&#10;eG1sUEsFBgAAAAAEAAQA8wAAAEwFAAAAAA==&#10;" filled="f" stroked="f">
              <v:textbox>
                <w:txbxContent>
                  <w:p w14:paraId="528084A9" w14:textId="77777777" w:rsidR="00466184" w:rsidRPr="005A3369" w:rsidRDefault="00466184" w:rsidP="008F1B56">
                    <w:pPr>
                      <w:spacing w:beforeLines="30" w:before="72" w:afterLines="30" w:after="72"/>
                      <w:rPr>
                        <w:rFonts w:ascii="Arial Narrow" w:eastAsia="阿里巴巴普惠体" w:hAnsi="Arial Narrow" w:cs="阿里巴巴普惠体"/>
                        <w:color w:val="C00000"/>
                        <w:sz w:val="18"/>
                        <w:szCs w:val="18"/>
                      </w:rPr>
                    </w:pPr>
                    <w:r w:rsidRPr="005A3369">
                      <w:rPr>
                        <w:rFonts w:ascii="Arial Narrow" w:eastAsia="阿里巴巴普惠体" w:hAnsi="Arial Narrow" w:cs="阿里巴巴普惠体"/>
                        <w:color w:val="C00000"/>
                        <w:sz w:val="18"/>
                        <w:szCs w:val="18"/>
                      </w:rPr>
                      <w:t>地址：上海市徐汇区龙兰路</w:t>
                    </w:r>
                    <w:r w:rsidRPr="005A3369">
                      <w:rPr>
                        <w:rFonts w:ascii="Arial Narrow" w:eastAsia="阿里巴巴普惠体" w:hAnsi="Arial Narrow" w:cs="阿里巴巴普惠体"/>
                        <w:color w:val="C00000"/>
                        <w:sz w:val="18"/>
                        <w:szCs w:val="18"/>
                      </w:rPr>
                      <w:t>277</w:t>
                    </w:r>
                    <w:r w:rsidRPr="005A3369">
                      <w:rPr>
                        <w:rFonts w:ascii="Arial Narrow" w:eastAsia="阿里巴巴普惠体" w:hAnsi="Arial Narrow" w:cs="阿里巴巴普惠体"/>
                        <w:color w:val="C00000"/>
                        <w:sz w:val="18"/>
                        <w:szCs w:val="18"/>
                      </w:rPr>
                      <w:t>号东航滨江中心</w:t>
                    </w:r>
                    <w:r w:rsidRPr="005A3369">
                      <w:rPr>
                        <w:rFonts w:ascii="Arial Narrow" w:eastAsia="阿里巴巴普惠体" w:hAnsi="Arial Narrow" w:cs="阿里巴巴普惠体"/>
                        <w:color w:val="C00000"/>
                        <w:sz w:val="18"/>
                        <w:szCs w:val="18"/>
                      </w:rPr>
                      <w:t>T3</w:t>
                    </w:r>
                    <w:r w:rsidRPr="005A3369">
                      <w:rPr>
                        <w:rFonts w:ascii="Arial Narrow" w:eastAsia="阿里巴巴普惠体" w:hAnsi="Arial Narrow" w:cs="阿里巴巴普惠体"/>
                        <w:color w:val="C00000"/>
                        <w:sz w:val="18"/>
                        <w:szCs w:val="18"/>
                      </w:rPr>
                      <w:t>栋</w:t>
                    </w:r>
                    <w:r w:rsidRPr="005A3369">
                      <w:rPr>
                        <w:rFonts w:ascii="Arial Narrow" w:eastAsia="阿里巴巴普惠体" w:hAnsi="Arial Narrow" w:cs="阿里巴巴普惠体"/>
                        <w:color w:val="C00000"/>
                        <w:sz w:val="18"/>
                        <w:szCs w:val="18"/>
                      </w:rPr>
                      <w:t xml:space="preserve"> 7</w:t>
                    </w:r>
                    <w:r w:rsidRPr="005A3369">
                      <w:rPr>
                        <w:rFonts w:ascii="Arial Narrow" w:eastAsia="阿里巴巴普惠体" w:hAnsi="Arial Narrow" w:cs="阿里巴巴普惠体"/>
                        <w:color w:val="C00000"/>
                        <w:sz w:val="18"/>
                        <w:szCs w:val="18"/>
                      </w:rPr>
                      <w:t>楼</w:t>
                    </w:r>
                  </w:p>
                  <w:p w14:paraId="276E226F" w14:textId="77777777" w:rsidR="00466184" w:rsidRPr="005A3369" w:rsidRDefault="00466184" w:rsidP="008F1B56">
                    <w:pPr>
                      <w:spacing w:beforeLines="30" w:before="72" w:afterLines="30" w:after="72"/>
                      <w:rPr>
                        <w:rFonts w:ascii="Arial Narrow" w:eastAsia="阿里巴巴普惠体" w:hAnsi="Arial Narrow" w:cs="阿里巴巴普惠体"/>
                        <w:color w:val="C00000"/>
                        <w:sz w:val="18"/>
                        <w:szCs w:val="18"/>
                      </w:rPr>
                    </w:pPr>
                    <w:r w:rsidRPr="005A3369">
                      <w:rPr>
                        <w:rFonts w:ascii="Arial Narrow" w:eastAsia="阿里巴巴普惠体" w:hAnsi="Arial Narrow" w:cs="阿里巴巴普惠体"/>
                        <w:color w:val="C00000"/>
                        <w:sz w:val="18"/>
                        <w:szCs w:val="18"/>
                      </w:rPr>
                      <w:t>座机：</w:t>
                    </w:r>
                    <w:r w:rsidRPr="005A3369">
                      <w:rPr>
                        <w:rFonts w:ascii="Arial Narrow" w:eastAsia="阿里巴巴普惠体" w:hAnsi="Arial Narrow" w:cs="阿里巴巴普惠体"/>
                        <w:color w:val="C00000"/>
                        <w:sz w:val="18"/>
                        <w:szCs w:val="18"/>
                      </w:rPr>
                      <w:t>021-63081130</w:t>
                    </w:r>
                    <w:r>
                      <w:rPr>
                        <w:rFonts w:ascii="Arial Narrow" w:eastAsia="阿里巴巴普惠体" w:hAnsi="Arial Narrow" w:cs="阿里巴巴普惠体" w:hint="eastAsia"/>
                        <w:color w:val="C00000"/>
                        <w:sz w:val="18"/>
                        <w:szCs w:val="18"/>
                      </w:rPr>
                      <w:t xml:space="preserve"> </w:t>
                    </w:r>
                    <w:r w:rsidRPr="005A3369">
                      <w:rPr>
                        <w:rFonts w:ascii="Arial Narrow" w:eastAsia="阿里巴巴普惠体" w:hAnsi="Arial Narrow" w:cs="阿里巴巴普惠体"/>
                        <w:color w:val="C00000"/>
                        <w:sz w:val="18"/>
                        <w:szCs w:val="18"/>
                      </w:rPr>
                      <w:t xml:space="preserve"> | </w:t>
                    </w:r>
                    <w:r>
                      <w:rPr>
                        <w:rFonts w:ascii="Arial Narrow" w:eastAsia="阿里巴巴普惠体" w:hAnsi="Arial Narrow" w:cs="阿里巴巴普惠体" w:hint="eastAsia"/>
                        <w:color w:val="C00000"/>
                        <w:sz w:val="18"/>
                        <w:szCs w:val="18"/>
                      </w:rPr>
                      <w:t xml:space="preserve"> </w:t>
                    </w:r>
                    <w:r w:rsidRPr="005A3369">
                      <w:rPr>
                        <w:rFonts w:ascii="Arial Narrow" w:eastAsia="阿里巴巴普惠体" w:hAnsi="Arial Narrow" w:cs="阿里巴巴普惠体"/>
                        <w:color w:val="C00000"/>
                        <w:sz w:val="18"/>
                        <w:szCs w:val="18"/>
                      </w:rPr>
                      <w:t>网址：</w:t>
                    </w:r>
                    <w:r w:rsidRPr="005A3369">
                      <w:rPr>
                        <w:rFonts w:ascii="Arial Narrow" w:eastAsia="阿里巴巴普惠体" w:hAnsi="Arial Narrow" w:cs="阿里巴巴普惠体"/>
                        <w:color w:val="C00000"/>
                        <w:sz w:val="18"/>
                        <w:szCs w:val="18"/>
                      </w:rPr>
                      <w:t>https://www.jzvaluation.com</w:t>
                    </w:r>
                  </w:p>
                </w:txbxContent>
              </v:textbox>
              <w10:wrap anchorx="margin"/>
            </v:shape>
          </w:pict>
        </mc:Fallback>
      </mc:AlternateContent>
    </w:r>
    <w:r>
      <w:rPr>
        <w:noProof/>
      </w:rPr>
      <mc:AlternateContent>
        <mc:Choice Requires="wps">
          <w:drawing>
            <wp:anchor distT="0" distB="0" distL="114300" distR="114300" simplePos="0" relativeHeight="251661312" behindDoc="0" locked="0" layoutInCell="1" allowOverlap="1" wp14:anchorId="5A8F7BB4" wp14:editId="4D89970F">
              <wp:simplePos x="0" y="0"/>
              <wp:positionH relativeFrom="column">
                <wp:posOffset>3810</wp:posOffset>
              </wp:positionH>
              <wp:positionV relativeFrom="paragraph">
                <wp:posOffset>41910</wp:posOffset>
              </wp:positionV>
              <wp:extent cx="5760000" cy="0"/>
              <wp:effectExtent l="0" t="19050" r="31750" b="19050"/>
              <wp:wrapNone/>
              <wp:docPr id="1" name="直接连接符 1"/>
              <wp:cNvGraphicFramePr/>
              <a:graphic xmlns:a="http://schemas.openxmlformats.org/drawingml/2006/main">
                <a:graphicData uri="http://schemas.microsoft.com/office/word/2010/wordprocessingShape">
                  <wps:wsp>
                    <wps:cNvCnPr/>
                    <wps:spPr>
                      <a:xfrm>
                        <a:off x="0" y="0"/>
                        <a:ext cx="5760000" cy="0"/>
                      </a:xfrm>
                      <a:prstGeom prst="line">
                        <a:avLst/>
                      </a:prstGeom>
                      <a:ln w="28575">
                        <a:solidFill>
                          <a:srgbClr val="C0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3EF6130" id="直接连接符 1"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pt,3.3pt" to="453.85pt,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qAwvgEAAN8DAAAOAAAAZHJzL2Uyb0RvYy54bWysU8tu2zAQvBfoPxC815INOAkEyzk4SC9B&#10;G6TtB9DU0iLAF7iMJf99lpQtB22BokV1oETuzuzOcLW5H61hR4iovWv5clFzBk76TrtDy398f/x0&#10;xxkm4TphvIOWnwD5/fbjh80QGlj53psOIiMSh80QWt6nFJqqQtmDFbjwARwFlY9WJNrGQ9VFMRC7&#10;NdWqrm+qwccuRC8BkU4fpiDfFn6lQKavSiEkZlpOvaWyxrLu81ptN6I5RBF6Lc9tiH/owgrtqOhM&#10;9SCSYK9R/0JltYwevUoL6W3lldISigZSs6x/UvOtFwGKFjIHw2wT/j9a+eW4c8+RbBgCNhieY1Yx&#10;qmjzm/pjYzHrNJsFY2KSDte3NzU9nMlLrLoCQ8T0Gbxl+aPlRrusQzTi+ISJilHqJSUfG8eGlq/u&#10;1rfrkobe6O5RG5ODGA/7nYnsKOgOd7lmuTaieJdGO+OI96qifKWTganACyimO+p7OVXIAwYzrZAS&#10;XFrmcShMlJ1hilqYgfWfgef8DIUyfH8DnhGlsndpBlvtfPxd9TReWlZT/sWBSXe2YO+7U7nfYg1N&#10;UVF4nvg8pu/3BX79L7dvAAAA//8DAFBLAwQUAAYACAAAACEAnyKw99cAAAAEAQAADwAAAGRycy9k&#10;b3ducmV2LnhtbEyOwU7DMBBE70j8g7VI3KhTJFIa4lRAxA0hkfYDtvE2jhqvo9htw9+zcIHLjkYz&#10;mn3lZvaDOtMU+8AGlosMFHEbbM+dgd327e4RVEzIFofAZOCLImyq66sSCxsu/EnnJnVKRjgWaMCl&#10;NBZax9aRx7gII7FkhzB5TGKnTtsJLzLuB32fZbn22LN8cDjSq6P22Jy8gfXO503QH/V7btPSxZf6&#10;oZtrY25v5ucnUInm9FeGH3xBh0qY9uHENqrBQC49uSISrrPVCtT+1+uq1P/hq28AAAD//wMAUEsB&#10;Ai0AFAAGAAgAAAAhALaDOJL+AAAA4QEAABMAAAAAAAAAAAAAAAAAAAAAAFtDb250ZW50X1R5cGVz&#10;XS54bWxQSwECLQAUAAYACAAAACEAOP0h/9YAAACUAQAACwAAAAAAAAAAAAAAAAAvAQAAX3JlbHMv&#10;LnJlbHNQSwECLQAUAAYACAAAACEAIL6gML4BAADfAwAADgAAAAAAAAAAAAAAAAAuAgAAZHJzL2Uy&#10;b0RvYy54bWxQSwECLQAUAAYACAAAACEAnyKw99cAAAAEAQAADwAAAAAAAAAAAAAAAAAYBAAAZHJz&#10;L2Rvd25yZXYueG1sUEsFBgAAAAAEAAQA8wAAABwFAAAAAA==&#10;" strokecolor="#c00000" strokeweight="2.25pt">
              <v:stroke joinstyle="miter"/>
            </v:line>
          </w:pict>
        </mc:Fallback>
      </mc:AlternateContent>
    </w:r>
  </w:p>
  <w:p w14:paraId="702A0A95" w14:textId="77777777" w:rsidR="00466184" w:rsidRDefault="00466184" w:rsidP="00A62B7E">
    <w:pPr>
      <w:pStyle w:val="a5"/>
      <w:tabs>
        <w:tab w:val="clear" w:pos="4320"/>
        <w:tab w:val="clear" w:pos="8640"/>
        <w:tab w:val="left" w:pos="5390"/>
      </w:tabs>
    </w:pPr>
    <w:r>
      <w:rPr>
        <w:noProof/>
      </w:rPr>
      <w:drawing>
        <wp:anchor distT="0" distB="0" distL="114300" distR="114300" simplePos="0" relativeHeight="251662336" behindDoc="0" locked="0" layoutInCell="1" allowOverlap="1" wp14:anchorId="3274FF27" wp14:editId="4D6D59CD">
          <wp:simplePos x="0" y="0"/>
          <wp:positionH relativeFrom="column">
            <wp:posOffset>4058920</wp:posOffset>
          </wp:positionH>
          <wp:positionV relativeFrom="paragraph">
            <wp:posOffset>5080</wp:posOffset>
          </wp:positionV>
          <wp:extent cx="899795" cy="359410"/>
          <wp:effectExtent l="0" t="0" r="0" b="2540"/>
          <wp:wrapNone/>
          <wp:docPr id="10" name="图形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804033" name="图形 302804033"/>
                  <pic:cNvPicPr/>
                </pic:nvPicPr>
                <pic:blipFill>
                  <a:blip r:embed="rId1">
                    <a:extLst>
                      <a:ext uri="{96DAC541-7B7A-43D3-8B79-37D633B846F1}">
                        <asvg:svgBlip xmlns:asvg="http://schemas.microsoft.com/office/drawing/2016/SVG/main" r:embed="rId2"/>
                      </a:ext>
                    </a:extLst>
                  </a:blip>
                  <a:stretch>
                    <a:fillRect/>
                  </a:stretch>
                </pic:blipFill>
                <pic:spPr>
                  <a:xfrm>
                    <a:off x="0" y="0"/>
                    <a:ext cx="899795" cy="35941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3360" behindDoc="0" locked="0" layoutInCell="1" allowOverlap="1" wp14:anchorId="771AF71E" wp14:editId="60873E72">
          <wp:simplePos x="0" y="0"/>
          <wp:positionH relativeFrom="margin">
            <wp:posOffset>5162550</wp:posOffset>
          </wp:positionH>
          <wp:positionV relativeFrom="paragraph">
            <wp:posOffset>27940</wp:posOffset>
          </wp:positionV>
          <wp:extent cx="597570" cy="324000"/>
          <wp:effectExtent l="0" t="0" r="0" b="0"/>
          <wp:wrapNone/>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5449309" name="图片 1005449309"/>
                  <pic:cNvPicPr/>
                </pic:nvPicPr>
                <pic:blipFill>
                  <a:blip r:embed="rId3">
                    <a:extLst>
                      <a:ext uri="{28A0092B-C50C-407E-A947-70E740481C1C}">
                        <a14:useLocalDpi xmlns:a14="http://schemas.microsoft.com/office/drawing/2010/main" val="0"/>
                      </a:ext>
                    </a:extLst>
                  </a:blip>
                  <a:stretch>
                    <a:fillRect/>
                  </a:stretch>
                </pic:blipFill>
                <pic:spPr>
                  <a:xfrm>
                    <a:off x="0" y="0"/>
                    <a:ext cx="597570" cy="324000"/>
                  </a:xfrm>
                  <a:prstGeom prst="rect">
                    <a:avLst/>
                  </a:prstGeom>
                </pic:spPr>
              </pic:pic>
            </a:graphicData>
          </a:graphic>
          <wp14:sizeRelH relativeFrom="margin">
            <wp14:pctWidth>0</wp14:pctWidth>
          </wp14:sizeRelH>
          <wp14:sizeRelV relativeFrom="margin">
            <wp14:pctHeight>0</wp14:pctHeight>
          </wp14:sizeRelV>
        </wp:anchor>
      </w:drawing>
    </w:r>
    <w:r>
      <w:tab/>
    </w:r>
  </w:p>
  <w:p w14:paraId="17E4F80F" w14:textId="4A6324F6" w:rsidR="00466184" w:rsidRDefault="00466184">
    <w:pPr>
      <w:pStyle w:val="a5"/>
    </w:pPr>
    <w:r>
      <w:t xml:space="preserve">                                                                                                                                           </w:t>
    </w:r>
  </w:p>
  <w:p w14:paraId="15165538" w14:textId="588DBC12" w:rsidR="00C43C2E" w:rsidRPr="000F2414" w:rsidRDefault="00A73461" w:rsidP="00696AD9">
    <w:pPr>
      <w:pStyle w:val="a5"/>
    </w:pPr>
    <w:r>
      <w:rPr>
        <w:noProof/>
      </w:rPr>
      <mc:AlternateContent>
        <mc:Choice Requires="wps">
          <w:drawing>
            <wp:anchor distT="45720" distB="45720" distL="114300" distR="114300" simplePos="0" relativeHeight="251660288" behindDoc="0" locked="0" layoutInCell="1" allowOverlap="1" wp14:anchorId="3F7381B1" wp14:editId="3EA0B1A4">
              <wp:simplePos x="0" y="0"/>
              <wp:positionH relativeFrom="margin">
                <wp:posOffset>2566035</wp:posOffset>
              </wp:positionH>
              <wp:positionV relativeFrom="paragraph">
                <wp:posOffset>166370</wp:posOffset>
              </wp:positionV>
              <wp:extent cx="708025" cy="1404620"/>
              <wp:effectExtent l="0" t="0" r="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025" cy="1404620"/>
                      </a:xfrm>
                      <a:prstGeom prst="rect">
                        <a:avLst/>
                      </a:prstGeom>
                      <a:noFill/>
                      <a:ln w="9525">
                        <a:noFill/>
                        <a:miter lim="800000"/>
                      </a:ln>
                    </wps:spPr>
                    <wps:txbx>
                      <w:txbxContent>
                        <w:p w14:paraId="472BCA66" w14:textId="54E1F983" w:rsidR="00466184" w:rsidRPr="00D13630" w:rsidRDefault="00466184">
                          <w:pPr>
                            <w:jc w:val="center"/>
                            <w:rPr>
                              <w:rFonts w:ascii="Arial Narrow" w:hAnsi="Arial Narrow"/>
                              <w:color w:val="000000" w:themeColor="text1"/>
                            </w:rPr>
                          </w:pPr>
                          <w:r w:rsidRPr="00D13630">
                            <w:rPr>
                              <w:rFonts w:ascii="Arial Narrow" w:hAnsi="Arial Narrow"/>
                              <w:color w:val="000000" w:themeColor="text1"/>
                            </w:rPr>
                            <w:fldChar w:fldCharType="begin"/>
                          </w:r>
                          <w:r w:rsidRPr="00D13630">
                            <w:rPr>
                              <w:rFonts w:ascii="Arial Narrow" w:hAnsi="Arial Narrow"/>
                              <w:color w:val="000000" w:themeColor="text1"/>
                            </w:rPr>
                            <w:instrText>PAGE  \* Arabic  \* MERGEFORMAT</w:instrText>
                          </w:r>
                          <w:r w:rsidRPr="00D13630">
                            <w:rPr>
                              <w:rFonts w:ascii="Arial Narrow" w:hAnsi="Arial Narrow"/>
                              <w:color w:val="000000" w:themeColor="text1"/>
                            </w:rPr>
                            <w:fldChar w:fldCharType="separate"/>
                          </w:r>
                          <w:r w:rsidRPr="00D13630">
                            <w:rPr>
                              <w:rFonts w:ascii="Arial Narrow" w:hAnsi="Arial Narrow"/>
                              <w:color w:val="000000" w:themeColor="text1"/>
                              <w:lang w:val="zh-CN"/>
                            </w:rPr>
                            <w:t>1</w:t>
                          </w:r>
                          <w:r w:rsidRPr="00D13630">
                            <w:rPr>
                              <w:rFonts w:ascii="Arial Narrow" w:hAnsi="Arial Narrow"/>
                              <w:color w:val="000000" w:themeColor="text1"/>
                            </w:rPr>
                            <w:fldChar w:fldCharType="end"/>
                          </w:r>
                          <w:r w:rsidRPr="00D13630">
                            <w:rPr>
                              <w:rFonts w:ascii="Arial Narrow" w:hAnsi="Arial Narrow"/>
                              <w:color w:val="000000" w:themeColor="text1"/>
                              <w:lang w:val="zh-CN"/>
                            </w:rPr>
                            <w:t xml:space="preserve"> / </w:t>
                          </w:r>
                          <w:r w:rsidR="00A37AF4" w:rsidRPr="00D13630">
                            <w:rPr>
                              <w:rFonts w:ascii="Arial Narrow" w:hAnsi="Arial Narrow"/>
                              <w:color w:val="000000" w:themeColor="text1"/>
                              <w:lang w:val="zh-CN"/>
                            </w:rPr>
                            <w:t>107</w:t>
                          </w:r>
                        </w:p>
                      </w:txbxContent>
                    </wps:txbx>
                    <wps:bodyPr rot="0" vert="horz" wrap="square" lIns="91440" tIns="45720" rIns="91440" bIns="45720" anchor="t" anchorCtr="0">
                      <a:spAutoFit/>
                    </wps:bodyPr>
                  </wps:wsp>
                </a:graphicData>
              </a:graphic>
              <wp14:sizeRelH relativeFrom="page">
                <wp14:pctWidth>0</wp14:pctWidth>
              </wp14:sizeRelH>
              <wp14:sizeRelV relativeFrom="margin">
                <wp14:pctHeight>20000</wp14:pctHeight>
              </wp14:sizeRelV>
            </wp:anchor>
          </w:drawing>
        </mc:Choice>
        <mc:Fallback>
          <w:pict>
            <v:shape w14:anchorId="3F7381B1" id="_x0000_s1027" type="#_x0000_t202" style="position:absolute;margin-left:202.05pt;margin-top:13.1pt;width:55.75pt;height:110.6pt;z-index:251660288;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93Bi7wEAALwDAAAOAAAAZHJzL2Uyb0RvYy54bWysk9Fu2jAUhu8n7R0s348EBC2NCFXXimlS&#10;t07q9gDGcYg128c7NiTs6XdsUoq6u2lcWHZO8vt8//lZ3Q7WsIPCoMHVfDopOVNOQqPdruY/vm8+&#10;LDkLUbhGGHCq5kcV+O36/btV7ys1gw5Mo5CRiAtV72vexeirogiyU1aECXjlqNgCWhHpiLuiQdGT&#10;ujXFrCyvih6w8QhShUBPH05Fvs76batkfGrboCIzNafeYl4xr9u0FuuVqHYofKfl2Ib4hy6s0I4u&#10;PUs9iCjYHvVfUlZLhABtnEiwBbStliozEM20fEPz3AmvMguZE/zZpvD/ZOXXw7P/hiwOH2GgAWaI&#10;4B9B/gzMwX0n3E7dIULfKdHQxdNkWdH7UI2fJqtDFZLItv8CDQ1Z7CNkoaFFm1whTkbqNIDj2XQ1&#10;RCbp4XW5LGcLziSVpvNyfjXLUylE9fK1xxA/KbAsbWqONNSsLg6PIaZuRPXySrrMwUYbkwdrHOtr&#10;frMg/TcVqyPlzmhb82WZfhlLVMaNdAnohBaH7cB0M6In2C00R8JFOMWJ4k+bDvA3Zz1Fqebh116g&#10;4sx8dmTZzXQ+T9nLh/nimgAZXla2lxXhJEnVPHJ22t7HnNcEEPwdWbvRmfq1k7Flikg2Y4xzyuDl&#10;Ob/1+qdb/wEAAP//AwBQSwMEFAAGAAgAAAAhAFTvntPfAAAACgEAAA8AAABkcnMvZG93bnJldi54&#10;bWxMj8tOwzAQRfdI/IM1SOyokyhNURqnqlBblkCJWLvxNImIH7LdNPw9w4ouZ+bozrnVZtYjm9CH&#10;wRoB6SIBhqa1ajCdgOZz//QMLERplBytQQE/GGBT399VslT2aj5wOsaOUYgJpRTQx+hKzkPbo5Zh&#10;YR0aup2t1zLS6DuuvLxSuB55liQF13Iw9KGXDl96bL+PFy3ARXdYvfq39+1uPyXN16HJhm4nxOPD&#10;vF0DizjHfxj+9EkdanI62YtRgY0C8iRPCRWQFRkwApbpsgB2okW+yoHXFb+tUP8CAAD//wMAUEsB&#10;Ai0AFAAGAAgAAAAhALaDOJL+AAAA4QEAABMAAAAAAAAAAAAAAAAAAAAAAFtDb250ZW50X1R5cGVz&#10;XS54bWxQSwECLQAUAAYACAAAACEAOP0h/9YAAACUAQAACwAAAAAAAAAAAAAAAAAvAQAAX3JlbHMv&#10;LnJlbHNQSwECLQAUAAYACAAAACEAgfdwYu8BAAC8AwAADgAAAAAAAAAAAAAAAAAuAgAAZHJzL2Uy&#10;b0RvYy54bWxQSwECLQAUAAYACAAAACEAVO+e098AAAAKAQAADwAAAAAAAAAAAAAAAABJBAAAZHJz&#10;L2Rvd25yZXYueG1sUEsFBgAAAAAEAAQA8wAAAFUFAAAAAA==&#10;" filled="f" stroked="f">
              <v:textbox style="mso-fit-shape-to-text:t">
                <w:txbxContent>
                  <w:p w14:paraId="472BCA66" w14:textId="54E1F983" w:rsidR="00466184" w:rsidRPr="00D13630" w:rsidRDefault="00466184">
                    <w:pPr>
                      <w:jc w:val="center"/>
                      <w:rPr>
                        <w:rFonts w:ascii="Arial Narrow" w:hAnsi="Arial Narrow"/>
                        <w:color w:val="000000" w:themeColor="text1"/>
                      </w:rPr>
                    </w:pPr>
                    <w:r w:rsidRPr="00D13630">
                      <w:rPr>
                        <w:rFonts w:ascii="Arial Narrow" w:hAnsi="Arial Narrow"/>
                        <w:color w:val="000000" w:themeColor="text1"/>
                      </w:rPr>
                      <w:fldChar w:fldCharType="begin"/>
                    </w:r>
                    <w:r w:rsidRPr="00D13630">
                      <w:rPr>
                        <w:rFonts w:ascii="Arial Narrow" w:hAnsi="Arial Narrow"/>
                        <w:color w:val="000000" w:themeColor="text1"/>
                      </w:rPr>
                      <w:instrText>PAGE  \* Arabic  \* MERGEFORMAT</w:instrText>
                    </w:r>
                    <w:r w:rsidRPr="00D13630">
                      <w:rPr>
                        <w:rFonts w:ascii="Arial Narrow" w:hAnsi="Arial Narrow"/>
                        <w:color w:val="000000" w:themeColor="text1"/>
                      </w:rPr>
                      <w:fldChar w:fldCharType="separate"/>
                    </w:r>
                    <w:r w:rsidRPr="00D13630">
                      <w:rPr>
                        <w:rFonts w:ascii="Arial Narrow" w:hAnsi="Arial Narrow"/>
                        <w:color w:val="000000" w:themeColor="text1"/>
                        <w:lang w:val="zh-CN"/>
                      </w:rPr>
                      <w:t>1</w:t>
                    </w:r>
                    <w:r w:rsidRPr="00D13630">
                      <w:rPr>
                        <w:rFonts w:ascii="Arial Narrow" w:hAnsi="Arial Narrow"/>
                        <w:color w:val="000000" w:themeColor="text1"/>
                      </w:rPr>
                      <w:fldChar w:fldCharType="end"/>
                    </w:r>
                    <w:r w:rsidRPr="00D13630">
                      <w:rPr>
                        <w:rFonts w:ascii="Arial Narrow" w:hAnsi="Arial Narrow"/>
                        <w:color w:val="000000" w:themeColor="text1"/>
                        <w:lang w:val="zh-CN"/>
                      </w:rPr>
                      <w:t xml:space="preserve"> / </w:t>
                    </w:r>
                    <w:r w:rsidR="00A37AF4" w:rsidRPr="00D13630">
                      <w:rPr>
                        <w:rFonts w:ascii="Arial Narrow" w:hAnsi="Arial Narrow"/>
                        <w:color w:val="000000" w:themeColor="text1"/>
                        <w:lang w:val="zh-CN"/>
                      </w:rPr>
                      <w:t>107</w:t>
                    </w:r>
                  </w:p>
                </w:txbxContent>
              </v:textbox>
              <w10:wrap type="square"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77A192" w14:textId="77777777" w:rsidR="004A1376" w:rsidRDefault="004A1376" w:rsidP="00A21CFE">
      <w:r>
        <w:rPr>
          <w:rFonts w:hint="eastAsia"/>
        </w:rPr>
        <w:separator/>
      </w:r>
    </w:p>
  </w:footnote>
  <w:footnote w:type="continuationSeparator" w:id="0">
    <w:p w14:paraId="2C01D21F" w14:textId="77777777" w:rsidR="004A1376" w:rsidRDefault="004A1376" w:rsidP="00A21C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2C2335" w14:textId="77777777" w:rsidR="00466184" w:rsidRDefault="00466184">
    <w:pPr>
      <w:ind w:leftChars="67" w:left="141"/>
      <w:jc w:val="left"/>
    </w:pPr>
  </w:p>
  <w:p w14:paraId="314F9773" w14:textId="77777777" w:rsidR="00466184" w:rsidRDefault="00466184">
    <w:pPr>
      <w:ind w:leftChars="-67" w:left="-141" w:firstLine="195"/>
      <w:jc w:val="left"/>
    </w:pPr>
    <w:r>
      <w:rPr>
        <w:noProof/>
      </w:rPr>
      <w:drawing>
        <wp:inline distT="0" distB="0" distL="0" distR="0" wp14:anchorId="701ACFDB" wp14:editId="4FA4F074">
          <wp:extent cx="2509520" cy="571500"/>
          <wp:effectExtent l="0" t="0" r="508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2509621" cy="571546"/>
                  </a:xfrm>
                  <a:prstGeom prst="rect">
                    <a:avLst/>
                  </a:prstGeom>
                </pic:spPr>
              </pic:pic>
            </a:graphicData>
          </a:graphic>
        </wp:inline>
      </w:drawing>
    </w:r>
  </w:p>
  <w:p w14:paraId="5571DF88" w14:textId="77777777" w:rsidR="00466184" w:rsidRDefault="00466184">
    <w:pPr>
      <w:jc w:val="left"/>
    </w:pPr>
  </w:p>
  <w:p w14:paraId="0C994C8F" w14:textId="77777777" w:rsidR="00466184" w:rsidRDefault="00466184">
    <w:pP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1CFE"/>
    <w:rsid w:val="000022EB"/>
    <w:rsid w:val="000118A5"/>
    <w:rsid w:val="0001297D"/>
    <w:rsid w:val="000135BD"/>
    <w:rsid w:val="0002133B"/>
    <w:rsid w:val="00023104"/>
    <w:rsid w:val="0002481E"/>
    <w:rsid w:val="00025477"/>
    <w:rsid w:val="00030EDB"/>
    <w:rsid w:val="00033D34"/>
    <w:rsid w:val="00035ABD"/>
    <w:rsid w:val="00037728"/>
    <w:rsid w:val="000405FA"/>
    <w:rsid w:val="0004155C"/>
    <w:rsid w:val="000433B3"/>
    <w:rsid w:val="000438D0"/>
    <w:rsid w:val="000449AB"/>
    <w:rsid w:val="0005117A"/>
    <w:rsid w:val="00061B20"/>
    <w:rsid w:val="000670D4"/>
    <w:rsid w:val="0007017C"/>
    <w:rsid w:val="00071A07"/>
    <w:rsid w:val="000739C2"/>
    <w:rsid w:val="00074F8B"/>
    <w:rsid w:val="00077E5B"/>
    <w:rsid w:val="00081EDD"/>
    <w:rsid w:val="00082C85"/>
    <w:rsid w:val="00086B4A"/>
    <w:rsid w:val="00087F78"/>
    <w:rsid w:val="000924F0"/>
    <w:rsid w:val="000A2433"/>
    <w:rsid w:val="000A31FA"/>
    <w:rsid w:val="000A410A"/>
    <w:rsid w:val="000B1E40"/>
    <w:rsid w:val="000B2197"/>
    <w:rsid w:val="000B515F"/>
    <w:rsid w:val="000B5378"/>
    <w:rsid w:val="000C0818"/>
    <w:rsid w:val="000C1030"/>
    <w:rsid w:val="000C3650"/>
    <w:rsid w:val="000C3B36"/>
    <w:rsid w:val="000C45C9"/>
    <w:rsid w:val="000D302F"/>
    <w:rsid w:val="000E2A95"/>
    <w:rsid w:val="000E4E94"/>
    <w:rsid w:val="000F23AF"/>
    <w:rsid w:val="000F2414"/>
    <w:rsid w:val="000F4015"/>
    <w:rsid w:val="000F4099"/>
    <w:rsid w:val="000F5327"/>
    <w:rsid w:val="000F59C2"/>
    <w:rsid w:val="001001E5"/>
    <w:rsid w:val="001014AD"/>
    <w:rsid w:val="00103602"/>
    <w:rsid w:val="00105A46"/>
    <w:rsid w:val="00106538"/>
    <w:rsid w:val="001103CC"/>
    <w:rsid w:val="001103FD"/>
    <w:rsid w:val="00110D31"/>
    <w:rsid w:val="0011196D"/>
    <w:rsid w:val="00111B8E"/>
    <w:rsid w:val="00113353"/>
    <w:rsid w:val="00114EE4"/>
    <w:rsid w:val="001169FC"/>
    <w:rsid w:val="00117AC6"/>
    <w:rsid w:val="00117E09"/>
    <w:rsid w:val="00122D39"/>
    <w:rsid w:val="00127E6D"/>
    <w:rsid w:val="00130437"/>
    <w:rsid w:val="00137BA5"/>
    <w:rsid w:val="0014726E"/>
    <w:rsid w:val="001561CD"/>
    <w:rsid w:val="00157F9D"/>
    <w:rsid w:val="00161169"/>
    <w:rsid w:val="00162033"/>
    <w:rsid w:val="001634CB"/>
    <w:rsid w:val="00165321"/>
    <w:rsid w:val="001660C1"/>
    <w:rsid w:val="00177F13"/>
    <w:rsid w:val="001857E2"/>
    <w:rsid w:val="001A0C27"/>
    <w:rsid w:val="001A32BD"/>
    <w:rsid w:val="001A357C"/>
    <w:rsid w:val="001B10DB"/>
    <w:rsid w:val="001B24C9"/>
    <w:rsid w:val="001B4A96"/>
    <w:rsid w:val="001C21CA"/>
    <w:rsid w:val="001D087F"/>
    <w:rsid w:val="001D15D3"/>
    <w:rsid w:val="001D1A37"/>
    <w:rsid w:val="001D2B07"/>
    <w:rsid w:val="001E0B99"/>
    <w:rsid w:val="001E19AF"/>
    <w:rsid w:val="001E4098"/>
    <w:rsid w:val="001E420D"/>
    <w:rsid w:val="001E44A8"/>
    <w:rsid w:val="001E497F"/>
    <w:rsid w:val="001E774F"/>
    <w:rsid w:val="001E7901"/>
    <w:rsid w:val="001F4D89"/>
    <w:rsid w:val="001F7C6A"/>
    <w:rsid w:val="00206E3A"/>
    <w:rsid w:val="00211B5B"/>
    <w:rsid w:val="00212771"/>
    <w:rsid w:val="00213EA9"/>
    <w:rsid w:val="00216A5C"/>
    <w:rsid w:val="00217E31"/>
    <w:rsid w:val="00220EE0"/>
    <w:rsid w:val="002231AF"/>
    <w:rsid w:val="002238F4"/>
    <w:rsid w:val="00225598"/>
    <w:rsid w:val="0022796B"/>
    <w:rsid w:val="00227E55"/>
    <w:rsid w:val="00234EC3"/>
    <w:rsid w:val="00235D02"/>
    <w:rsid w:val="00236A7F"/>
    <w:rsid w:val="00241989"/>
    <w:rsid w:val="00244721"/>
    <w:rsid w:val="0024720B"/>
    <w:rsid w:val="00255C28"/>
    <w:rsid w:val="002608EC"/>
    <w:rsid w:val="00260EED"/>
    <w:rsid w:val="002624EB"/>
    <w:rsid w:val="00263A7F"/>
    <w:rsid w:val="0026680D"/>
    <w:rsid w:val="002724AB"/>
    <w:rsid w:val="00272660"/>
    <w:rsid w:val="0027390C"/>
    <w:rsid w:val="00273D4F"/>
    <w:rsid w:val="00274FF4"/>
    <w:rsid w:val="00284176"/>
    <w:rsid w:val="00291029"/>
    <w:rsid w:val="00294430"/>
    <w:rsid w:val="00297F01"/>
    <w:rsid w:val="002A4574"/>
    <w:rsid w:val="002A5D6D"/>
    <w:rsid w:val="002A60B2"/>
    <w:rsid w:val="002B060D"/>
    <w:rsid w:val="002B2871"/>
    <w:rsid w:val="002B5C9F"/>
    <w:rsid w:val="002B5D96"/>
    <w:rsid w:val="002B6775"/>
    <w:rsid w:val="002C1D3E"/>
    <w:rsid w:val="002C2BB3"/>
    <w:rsid w:val="002C390B"/>
    <w:rsid w:val="002C5822"/>
    <w:rsid w:val="002C6787"/>
    <w:rsid w:val="002C6B3B"/>
    <w:rsid w:val="002D0387"/>
    <w:rsid w:val="002D5217"/>
    <w:rsid w:val="002E6689"/>
    <w:rsid w:val="002E6CFF"/>
    <w:rsid w:val="002F4277"/>
    <w:rsid w:val="002F5F5E"/>
    <w:rsid w:val="00300832"/>
    <w:rsid w:val="00302004"/>
    <w:rsid w:val="003036EF"/>
    <w:rsid w:val="00311B59"/>
    <w:rsid w:val="00313CB6"/>
    <w:rsid w:val="00313F25"/>
    <w:rsid w:val="00316E63"/>
    <w:rsid w:val="0032102C"/>
    <w:rsid w:val="00322777"/>
    <w:rsid w:val="0032635E"/>
    <w:rsid w:val="0032713F"/>
    <w:rsid w:val="00327BFD"/>
    <w:rsid w:val="003302A2"/>
    <w:rsid w:val="00332964"/>
    <w:rsid w:val="00332CBC"/>
    <w:rsid w:val="00335A17"/>
    <w:rsid w:val="0033753D"/>
    <w:rsid w:val="003437D8"/>
    <w:rsid w:val="00343E41"/>
    <w:rsid w:val="00354038"/>
    <w:rsid w:val="00355DB9"/>
    <w:rsid w:val="00355F9F"/>
    <w:rsid w:val="00360DA9"/>
    <w:rsid w:val="00363E4F"/>
    <w:rsid w:val="003642D0"/>
    <w:rsid w:val="00364C6D"/>
    <w:rsid w:val="00364C90"/>
    <w:rsid w:val="00365CE0"/>
    <w:rsid w:val="003670A0"/>
    <w:rsid w:val="00371475"/>
    <w:rsid w:val="003715D1"/>
    <w:rsid w:val="00372A95"/>
    <w:rsid w:val="00374CF1"/>
    <w:rsid w:val="00377A04"/>
    <w:rsid w:val="00377BFF"/>
    <w:rsid w:val="003814A1"/>
    <w:rsid w:val="003829BA"/>
    <w:rsid w:val="00382EC4"/>
    <w:rsid w:val="003845BC"/>
    <w:rsid w:val="00386671"/>
    <w:rsid w:val="00386E68"/>
    <w:rsid w:val="003870CF"/>
    <w:rsid w:val="00392B4C"/>
    <w:rsid w:val="003938E8"/>
    <w:rsid w:val="00393D07"/>
    <w:rsid w:val="003A34DC"/>
    <w:rsid w:val="003A3702"/>
    <w:rsid w:val="003B1C24"/>
    <w:rsid w:val="003B3216"/>
    <w:rsid w:val="003B52F3"/>
    <w:rsid w:val="003C1EE0"/>
    <w:rsid w:val="003C741A"/>
    <w:rsid w:val="003C76E3"/>
    <w:rsid w:val="003C7BC2"/>
    <w:rsid w:val="003D01EE"/>
    <w:rsid w:val="003D1CF7"/>
    <w:rsid w:val="003D5264"/>
    <w:rsid w:val="003E03C0"/>
    <w:rsid w:val="003E2BC8"/>
    <w:rsid w:val="003F1C90"/>
    <w:rsid w:val="003F2A70"/>
    <w:rsid w:val="003F4B87"/>
    <w:rsid w:val="0040146C"/>
    <w:rsid w:val="004034AC"/>
    <w:rsid w:val="00411B89"/>
    <w:rsid w:val="00413576"/>
    <w:rsid w:val="00414BAB"/>
    <w:rsid w:val="00422960"/>
    <w:rsid w:val="00422AB8"/>
    <w:rsid w:val="0042513B"/>
    <w:rsid w:val="00425A77"/>
    <w:rsid w:val="00435E7B"/>
    <w:rsid w:val="00437145"/>
    <w:rsid w:val="00441F00"/>
    <w:rsid w:val="00445A80"/>
    <w:rsid w:val="00451BD5"/>
    <w:rsid w:val="00452246"/>
    <w:rsid w:val="004534DE"/>
    <w:rsid w:val="00454322"/>
    <w:rsid w:val="00456CAC"/>
    <w:rsid w:val="00466184"/>
    <w:rsid w:val="00467B81"/>
    <w:rsid w:val="00480064"/>
    <w:rsid w:val="0048040D"/>
    <w:rsid w:val="0048188A"/>
    <w:rsid w:val="00485C84"/>
    <w:rsid w:val="00486DDF"/>
    <w:rsid w:val="00490C30"/>
    <w:rsid w:val="00492DE0"/>
    <w:rsid w:val="00495318"/>
    <w:rsid w:val="004A1376"/>
    <w:rsid w:val="004A4C51"/>
    <w:rsid w:val="004A5521"/>
    <w:rsid w:val="004B04FC"/>
    <w:rsid w:val="004B4CDB"/>
    <w:rsid w:val="004B7AE5"/>
    <w:rsid w:val="004C5E67"/>
    <w:rsid w:val="004C64F3"/>
    <w:rsid w:val="004C7A61"/>
    <w:rsid w:val="004D0B56"/>
    <w:rsid w:val="004D2666"/>
    <w:rsid w:val="004D4D2B"/>
    <w:rsid w:val="004D53A2"/>
    <w:rsid w:val="004D5A1E"/>
    <w:rsid w:val="004D5EA1"/>
    <w:rsid w:val="004E035B"/>
    <w:rsid w:val="004E051A"/>
    <w:rsid w:val="004E5393"/>
    <w:rsid w:val="004F4072"/>
    <w:rsid w:val="004F789A"/>
    <w:rsid w:val="00500A9C"/>
    <w:rsid w:val="00500C27"/>
    <w:rsid w:val="00506A0C"/>
    <w:rsid w:val="00513C2E"/>
    <w:rsid w:val="00530C25"/>
    <w:rsid w:val="00530D3A"/>
    <w:rsid w:val="00536FEC"/>
    <w:rsid w:val="00540386"/>
    <w:rsid w:val="00540A98"/>
    <w:rsid w:val="00543834"/>
    <w:rsid w:val="005523F6"/>
    <w:rsid w:val="00555DF5"/>
    <w:rsid w:val="0055779F"/>
    <w:rsid w:val="005611FD"/>
    <w:rsid w:val="005615F6"/>
    <w:rsid w:val="00562A7E"/>
    <w:rsid w:val="00564770"/>
    <w:rsid w:val="00565873"/>
    <w:rsid w:val="00566C01"/>
    <w:rsid w:val="0056728B"/>
    <w:rsid w:val="00570EEC"/>
    <w:rsid w:val="00576BF3"/>
    <w:rsid w:val="00580B36"/>
    <w:rsid w:val="00586177"/>
    <w:rsid w:val="00597307"/>
    <w:rsid w:val="005A5039"/>
    <w:rsid w:val="005A5B9D"/>
    <w:rsid w:val="005A6A91"/>
    <w:rsid w:val="005A74D2"/>
    <w:rsid w:val="005B3B66"/>
    <w:rsid w:val="005B4E5B"/>
    <w:rsid w:val="005B6602"/>
    <w:rsid w:val="005C1868"/>
    <w:rsid w:val="005C3202"/>
    <w:rsid w:val="005D572F"/>
    <w:rsid w:val="005E44D7"/>
    <w:rsid w:val="005E71D9"/>
    <w:rsid w:val="005F0B47"/>
    <w:rsid w:val="005F1A8E"/>
    <w:rsid w:val="005F2EF7"/>
    <w:rsid w:val="005F3E90"/>
    <w:rsid w:val="00606053"/>
    <w:rsid w:val="006122E0"/>
    <w:rsid w:val="006123D7"/>
    <w:rsid w:val="00616E3D"/>
    <w:rsid w:val="006176AC"/>
    <w:rsid w:val="006236F3"/>
    <w:rsid w:val="00634138"/>
    <w:rsid w:val="00634534"/>
    <w:rsid w:val="0063520A"/>
    <w:rsid w:val="0064169E"/>
    <w:rsid w:val="00644035"/>
    <w:rsid w:val="00646CC3"/>
    <w:rsid w:val="006527BB"/>
    <w:rsid w:val="00655E7E"/>
    <w:rsid w:val="0066033B"/>
    <w:rsid w:val="006643B2"/>
    <w:rsid w:val="006671FD"/>
    <w:rsid w:val="00670BB4"/>
    <w:rsid w:val="00670BDD"/>
    <w:rsid w:val="00671156"/>
    <w:rsid w:val="00672F57"/>
    <w:rsid w:val="006816D3"/>
    <w:rsid w:val="006828FF"/>
    <w:rsid w:val="00683485"/>
    <w:rsid w:val="006837C8"/>
    <w:rsid w:val="00686AE0"/>
    <w:rsid w:val="006914E1"/>
    <w:rsid w:val="00696870"/>
    <w:rsid w:val="00696AD9"/>
    <w:rsid w:val="006A0328"/>
    <w:rsid w:val="006A532A"/>
    <w:rsid w:val="006A627B"/>
    <w:rsid w:val="006B2343"/>
    <w:rsid w:val="006B2E36"/>
    <w:rsid w:val="006B540C"/>
    <w:rsid w:val="006B75C1"/>
    <w:rsid w:val="006C20AA"/>
    <w:rsid w:val="006C4DBC"/>
    <w:rsid w:val="006C526D"/>
    <w:rsid w:val="006C532A"/>
    <w:rsid w:val="006C5722"/>
    <w:rsid w:val="006C7625"/>
    <w:rsid w:val="006C7688"/>
    <w:rsid w:val="006D781D"/>
    <w:rsid w:val="006E0936"/>
    <w:rsid w:val="006E43F7"/>
    <w:rsid w:val="006E58F6"/>
    <w:rsid w:val="006E6388"/>
    <w:rsid w:val="006E75DE"/>
    <w:rsid w:val="006F27CD"/>
    <w:rsid w:val="006F3198"/>
    <w:rsid w:val="006F6541"/>
    <w:rsid w:val="007049D2"/>
    <w:rsid w:val="00704CA0"/>
    <w:rsid w:val="0071135D"/>
    <w:rsid w:val="00717BD5"/>
    <w:rsid w:val="007242BE"/>
    <w:rsid w:val="00734B7C"/>
    <w:rsid w:val="00744807"/>
    <w:rsid w:val="00750145"/>
    <w:rsid w:val="007517C1"/>
    <w:rsid w:val="007617F6"/>
    <w:rsid w:val="0076255C"/>
    <w:rsid w:val="00764D45"/>
    <w:rsid w:val="00765225"/>
    <w:rsid w:val="0076534A"/>
    <w:rsid w:val="0076661F"/>
    <w:rsid w:val="007666E7"/>
    <w:rsid w:val="00767510"/>
    <w:rsid w:val="00773AEF"/>
    <w:rsid w:val="00773EF4"/>
    <w:rsid w:val="00776163"/>
    <w:rsid w:val="00783DF9"/>
    <w:rsid w:val="0078442A"/>
    <w:rsid w:val="00784B1B"/>
    <w:rsid w:val="00790C35"/>
    <w:rsid w:val="00791A9B"/>
    <w:rsid w:val="007978C1"/>
    <w:rsid w:val="007A1AB2"/>
    <w:rsid w:val="007B0145"/>
    <w:rsid w:val="007B6170"/>
    <w:rsid w:val="007C177F"/>
    <w:rsid w:val="007C764A"/>
    <w:rsid w:val="007D0FE0"/>
    <w:rsid w:val="007D3532"/>
    <w:rsid w:val="007D5C0F"/>
    <w:rsid w:val="007E4DEA"/>
    <w:rsid w:val="007E5D34"/>
    <w:rsid w:val="007F089E"/>
    <w:rsid w:val="007F2A3A"/>
    <w:rsid w:val="007F3BB4"/>
    <w:rsid w:val="007F6D4F"/>
    <w:rsid w:val="00800EC4"/>
    <w:rsid w:val="008015F2"/>
    <w:rsid w:val="00803A35"/>
    <w:rsid w:val="008044D6"/>
    <w:rsid w:val="00804A63"/>
    <w:rsid w:val="00805553"/>
    <w:rsid w:val="008078C5"/>
    <w:rsid w:val="00813A84"/>
    <w:rsid w:val="0081512F"/>
    <w:rsid w:val="00815DAD"/>
    <w:rsid w:val="0081603C"/>
    <w:rsid w:val="00821055"/>
    <w:rsid w:val="00822EF5"/>
    <w:rsid w:val="00826911"/>
    <w:rsid w:val="00830043"/>
    <w:rsid w:val="00837E94"/>
    <w:rsid w:val="00840DDF"/>
    <w:rsid w:val="00841F9A"/>
    <w:rsid w:val="00846E47"/>
    <w:rsid w:val="00850391"/>
    <w:rsid w:val="00860E8A"/>
    <w:rsid w:val="0086662D"/>
    <w:rsid w:val="008749BB"/>
    <w:rsid w:val="00880AE4"/>
    <w:rsid w:val="00880D81"/>
    <w:rsid w:val="0088254F"/>
    <w:rsid w:val="008869D6"/>
    <w:rsid w:val="00892C6B"/>
    <w:rsid w:val="008950C0"/>
    <w:rsid w:val="00896AD0"/>
    <w:rsid w:val="00897284"/>
    <w:rsid w:val="008979B1"/>
    <w:rsid w:val="00897F18"/>
    <w:rsid w:val="008A0BDA"/>
    <w:rsid w:val="008A21AC"/>
    <w:rsid w:val="008A380B"/>
    <w:rsid w:val="008B5D1B"/>
    <w:rsid w:val="008C103F"/>
    <w:rsid w:val="008C155B"/>
    <w:rsid w:val="008C3E64"/>
    <w:rsid w:val="008C5677"/>
    <w:rsid w:val="008C5959"/>
    <w:rsid w:val="008D46A0"/>
    <w:rsid w:val="008D7143"/>
    <w:rsid w:val="008E0342"/>
    <w:rsid w:val="008E3F06"/>
    <w:rsid w:val="008E4BE1"/>
    <w:rsid w:val="008E5901"/>
    <w:rsid w:val="008E5A92"/>
    <w:rsid w:val="008F0D9F"/>
    <w:rsid w:val="008F1D04"/>
    <w:rsid w:val="008F28EE"/>
    <w:rsid w:val="008F2A25"/>
    <w:rsid w:val="008F30CD"/>
    <w:rsid w:val="008F4658"/>
    <w:rsid w:val="008F65BD"/>
    <w:rsid w:val="008F6B0B"/>
    <w:rsid w:val="008F72F3"/>
    <w:rsid w:val="00903535"/>
    <w:rsid w:val="0090462B"/>
    <w:rsid w:val="00906C27"/>
    <w:rsid w:val="0091077D"/>
    <w:rsid w:val="00913E73"/>
    <w:rsid w:val="009141DF"/>
    <w:rsid w:val="009152EC"/>
    <w:rsid w:val="00921216"/>
    <w:rsid w:val="009217E4"/>
    <w:rsid w:val="00923945"/>
    <w:rsid w:val="00923B2E"/>
    <w:rsid w:val="00923FF3"/>
    <w:rsid w:val="009247FC"/>
    <w:rsid w:val="00924863"/>
    <w:rsid w:val="00924AF0"/>
    <w:rsid w:val="00936656"/>
    <w:rsid w:val="009405DF"/>
    <w:rsid w:val="0094195F"/>
    <w:rsid w:val="00941D40"/>
    <w:rsid w:val="0094223C"/>
    <w:rsid w:val="00947A45"/>
    <w:rsid w:val="00953FCE"/>
    <w:rsid w:val="00954565"/>
    <w:rsid w:val="009658A5"/>
    <w:rsid w:val="0097601F"/>
    <w:rsid w:val="00982AE9"/>
    <w:rsid w:val="00982BBD"/>
    <w:rsid w:val="00982C75"/>
    <w:rsid w:val="00984D3B"/>
    <w:rsid w:val="00986C5E"/>
    <w:rsid w:val="0099027D"/>
    <w:rsid w:val="009916A1"/>
    <w:rsid w:val="00996A9A"/>
    <w:rsid w:val="00997668"/>
    <w:rsid w:val="009A1FFD"/>
    <w:rsid w:val="009A304F"/>
    <w:rsid w:val="009A47F8"/>
    <w:rsid w:val="009A580A"/>
    <w:rsid w:val="009A76F5"/>
    <w:rsid w:val="009B48DA"/>
    <w:rsid w:val="009C0A0D"/>
    <w:rsid w:val="009C3A79"/>
    <w:rsid w:val="009C5874"/>
    <w:rsid w:val="009C6D9D"/>
    <w:rsid w:val="009C7E18"/>
    <w:rsid w:val="009D2656"/>
    <w:rsid w:val="009D66A2"/>
    <w:rsid w:val="009E3AD0"/>
    <w:rsid w:val="009E671F"/>
    <w:rsid w:val="009E67E2"/>
    <w:rsid w:val="009E7D39"/>
    <w:rsid w:val="009F20C7"/>
    <w:rsid w:val="009F6899"/>
    <w:rsid w:val="00A037DD"/>
    <w:rsid w:val="00A053D1"/>
    <w:rsid w:val="00A06E4E"/>
    <w:rsid w:val="00A1150F"/>
    <w:rsid w:val="00A168C8"/>
    <w:rsid w:val="00A20094"/>
    <w:rsid w:val="00A21CFE"/>
    <w:rsid w:val="00A25A21"/>
    <w:rsid w:val="00A26188"/>
    <w:rsid w:val="00A27182"/>
    <w:rsid w:val="00A27D41"/>
    <w:rsid w:val="00A31A6D"/>
    <w:rsid w:val="00A370CC"/>
    <w:rsid w:val="00A37AF4"/>
    <w:rsid w:val="00A40806"/>
    <w:rsid w:val="00A4202F"/>
    <w:rsid w:val="00A46496"/>
    <w:rsid w:val="00A467C2"/>
    <w:rsid w:val="00A556B8"/>
    <w:rsid w:val="00A55F8B"/>
    <w:rsid w:val="00A56118"/>
    <w:rsid w:val="00A60570"/>
    <w:rsid w:val="00A63CC2"/>
    <w:rsid w:val="00A73461"/>
    <w:rsid w:val="00A7467E"/>
    <w:rsid w:val="00A81E3F"/>
    <w:rsid w:val="00A844B8"/>
    <w:rsid w:val="00A84F91"/>
    <w:rsid w:val="00AA3ABC"/>
    <w:rsid w:val="00AA5AB4"/>
    <w:rsid w:val="00AA62F5"/>
    <w:rsid w:val="00AB1EB5"/>
    <w:rsid w:val="00AB2C8B"/>
    <w:rsid w:val="00AB58E0"/>
    <w:rsid w:val="00AC02E7"/>
    <w:rsid w:val="00AC2C13"/>
    <w:rsid w:val="00AD60F2"/>
    <w:rsid w:val="00AE023E"/>
    <w:rsid w:val="00AE04A5"/>
    <w:rsid w:val="00AE06F2"/>
    <w:rsid w:val="00AE24BB"/>
    <w:rsid w:val="00AF0223"/>
    <w:rsid w:val="00AF0426"/>
    <w:rsid w:val="00AF0F50"/>
    <w:rsid w:val="00AF6D5B"/>
    <w:rsid w:val="00B0562E"/>
    <w:rsid w:val="00B173F2"/>
    <w:rsid w:val="00B20A93"/>
    <w:rsid w:val="00B27132"/>
    <w:rsid w:val="00B27595"/>
    <w:rsid w:val="00B31644"/>
    <w:rsid w:val="00B33641"/>
    <w:rsid w:val="00B339EC"/>
    <w:rsid w:val="00B3612A"/>
    <w:rsid w:val="00B40441"/>
    <w:rsid w:val="00B42BC3"/>
    <w:rsid w:val="00B45134"/>
    <w:rsid w:val="00B511FA"/>
    <w:rsid w:val="00B5307E"/>
    <w:rsid w:val="00B5417F"/>
    <w:rsid w:val="00B627BA"/>
    <w:rsid w:val="00B644B1"/>
    <w:rsid w:val="00B667F3"/>
    <w:rsid w:val="00B72704"/>
    <w:rsid w:val="00B73A5D"/>
    <w:rsid w:val="00B74A43"/>
    <w:rsid w:val="00B75CF6"/>
    <w:rsid w:val="00B8093D"/>
    <w:rsid w:val="00B84C4A"/>
    <w:rsid w:val="00B85276"/>
    <w:rsid w:val="00B8704A"/>
    <w:rsid w:val="00B916D0"/>
    <w:rsid w:val="00BA5B6C"/>
    <w:rsid w:val="00BA6546"/>
    <w:rsid w:val="00BB0C69"/>
    <w:rsid w:val="00BB72F9"/>
    <w:rsid w:val="00BB7DF0"/>
    <w:rsid w:val="00BC2108"/>
    <w:rsid w:val="00BC3531"/>
    <w:rsid w:val="00BC5159"/>
    <w:rsid w:val="00BD498E"/>
    <w:rsid w:val="00BD4BAB"/>
    <w:rsid w:val="00BE5AAF"/>
    <w:rsid w:val="00BF00E9"/>
    <w:rsid w:val="00BF7FAF"/>
    <w:rsid w:val="00C0229E"/>
    <w:rsid w:val="00C04824"/>
    <w:rsid w:val="00C06E81"/>
    <w:rsid w:val="00C14DE6"/>
    <w:rsid w:val="00C15D9B"/>
    <w:rsid w:val="00C16909"/>
    <w:rsid w:val="00C2375F"/>
    <w:rsid w:val="00C24BBF"/>
    <w:rsid w:val="00C269A0"/>
    <w:rsid w:val="00C30D30"/>
    <w:rsid w:val="00C31659"/>
    <w:rsid w:val="00C31F42"/>
    <w:rsid w:val="00C4043B"/>
    <w:rsid w:val="00C43295"/>
    <w:rsid w:val="00C43C2E"/>
    <w:rsid w:val="00C50C4B"/>
    <w:rsid w:val="00C53ACE"/>
    <w:rsid w:val="00C53D7B"/>
    <w:rsid w:val="00C70BE7"/>
    <w:rsid w:val="00C7411B"/>
    <w:rsid w:val="00C74DD6"/>
    <w:rsid w:val="00C758A1"/>
    <w:rsid w:val="00C803B2"/>
    <w:rsid w:val="00C856DE"/>
    <w:rsid w:val="00C90C80"/>
    <w:rsid w:val="00C92608"/>
    <w:rsid w:val="00C92740"/>
    <w:rsid w:val="00C9602D"/>
    <w:rsid w:val="00C97D0E"/>
    <w:rsid w:val="00CA748D"/>
    <w:rsid w:val="00CB14E8"/>
    <w:rsid w:val="00CB1F83"/>
    <w:rsid w:val="00CB6875"/>
    <w:rsid w:val="00CB7A9F"/>
    <w:rsid w:val="00CB7B4A"/>
    <w:rsid w:val="00CC202A"/>
    <w:rsid w:val="00CC3A58"/>
    <w:rsid w:val="00CC5859"/>
    <w:rsid w:val="00CC6307"/>
    <w:rsid w:val="00CD1FB7"/>
    <w:rsid w:val="00CD3547"/>
    <w:rsid w:val="00CD4435"/>
    <w:rsid w:val="00CD798F"/>
    <w:rsid w:val="00CF31DE"/>
    <w:rsid w:val="00CF4262"/>
    <w:rsid w:val="00CF7CC2"/>
    <w:rsid w:val="00D04FC2"/>
    <w:rsid w:val="00D0561E"/>
    <w:rsid w:val="00D13630"/>
    <w:rsid w:val="00D13F33"/>
    <w:rsid w:val="00D14D0A"/>
    <w:rsid w:val="00D2211B"/>
    <w:rsid w:val="00D30F66"/>
    <w:rsid w:val="00D33572"/>
    <w:rsid w:val="00D41549"/>
    <w:rsid w:val="00D439DF"/>
    <w:rsid w:val="00D46983"/>
    <w:rsid w:val="00D47258"/>
    <w:rsid w:val="00D52F20"/>
    <w:rsid w:val="00D542F0"/>
    <w:rsid w:val="00D560C9"/>
    <w:rsid w:val="00D64409"/>
    <w:rsid w:val="00D6703E"/>
    <w:rsid w:val="00D804A2"/>
    <w:rsid w:val="00D838C0"/>
    <w:rsid w:val="00D85220"/>
    <w:rsid w:val="00D85CDF"/>
    <w:rsid w:val="00D8699D"/>
    <w:rsid w:val="00D924A7"/>
    <w:rsid w:val="00D96832"/>
    <w:rsid w:val="00D97B62"/>
    <w:rsid w:val="00DA1ABC"/>
    <w:rsid w:val="00DA40E8"/>
    <w:rsid w:val="00DA4355"/>
    <w:rsid w:val="00DA4B41"/>
    <w:rsid w:val="00DA6699"/>
    <w:rsid w:val="00DA7156"/>
    <w:rsid w:val="00DB118A"/>
    <w:rsid w:val="00DC360E"/>
    <w:rsid w:val="00DC7629"/>
    <w:rsid w:val="00DD054E"/>
    <w:rsid w:val="00DD1A8E"/>
    <w:rsid w:val="00DD5940"/>
    <w:rsid w:val="00DD7A49"/>
    <w:rsid w:val="00DE1C76"/>
    <w:rsid w:val="00DE6203"/>
    <w:rsid w:val="00DE63AD"/>
    <w:rsid w:val="00DF52C3"/>
    <w:rsid w:val="00E04F74"/>
    <w:rsid w:val="00E10F2F"/>
    <w:rsid w:val="00E1497B"/>
    <w:rsid w:val="00E15AEC"/>
    <w:rsid w:val="00E161DE"/>
    <w:rsid w:val="00E20203"/>
    <w:rsid w:val="00E20279"/>
    <w:rsid w:val="00E20EC9"/>
    <w:rsid w:val="00E2124F"/>
    <w:rsid w:val="00E31264"/>
    <w:rsid w:val="00E3143B"/>
    <w:rsid w:val="00E40D7B"/>
    <w:rsid w:val="00E45D27"/>
    <w:rsid w:val="00E47231"/>
    <w:rsid w:val="00E47FD0"/>
    <w:rsid w:val="00E50041"/>
    <w:rsid w:val="00E504A8"/>
    <w:rsid w:val="00E505B4"/>
    <w:rsid w:val="00E50D19"/>
    <w:rsid w:val="00E65AD0"/>
    <w:rsid w:val="00E72DA1"/>
    <w:rsid w:val="00E750D3"/>
    <w:rsid w:val="00E750E9"/>
    <w:rsid w:val="00E90EE7"/>
    <w:rsid w:val="00E94FB5"/>
    <w:rsid w:val="00EA1CE1"/>
    <w:rsid w:val="00EA4872"/>
    <w:rsid w:val="00EB1BF3"/>
    <w:rsid w:val="00EB2F9F"/>
    <w:rsid w:val="00EB3E53"/>
    <w:rsid w:val="00EB6A9C"/>
    <w:rsid w:val="00EC036D"/>
    <w:rsid w:val="00EC07D9"/>
    <w:rsid w:val="00EC0D9E"/>
    <w:rsid w:val="00EC75F9"/>
    <w:rsid w:val="00EC7875"/>
    <w:rsid w:val="00ED0978"/>
    <w:rsid w:val="00ED628E"/>
    <w:rsid w:val="00ED7495"/>
    <w:rsid w:val="00EE0766"/>
    <w:rsid w:val="00EE6B36"/>
    <w:rsid w:val="00EF4A84"/>
    <w:rsid w:val="00F00F07"/>
    <w:rsid w:val="00F014CE"/>
    <w:rsid w:val="00F037D5"/>
    <w:rsid w:val="00F10A57"/>
    <w:rsid w:val="00F14B96"/>
    <w:rsid w:val="00F14BD7"/>
    <w:rsid w:val="00F20B8B"/>
    <w:rsid w:val="00F24B5F"/>
    <w:rsid w:val="00F267A2"/>
    <w:rsid w:val="00F311B8"/>
    <w:rsid w:val="00F32042"/>
    <w:rsid w:val="00F333B6"/>
    <w:rsid w:val="00F34A02"/>
    <w:rsid w:val="00F35ADC"/>
    <w:rsid w:val="00F37D88"/>
    <w:rsid w:val="00F412BC"/>
    <w:rsid w:val="00F41492"/>
    <w:rsid w:val="00F46C85"/>
    <w:rsid w:val="00F50F6B"/>
    <w:rsid w:val="00F515F4"/>
    <w:rsid w:val="00F51EFE"/>
    <w:rsid w:val="00F52DDD"/>
    <w:rsid w:val="00F55495"/>
    <w:rsid w:val="00F57357"/>
    <w:rsid w:val="00F630BA"/>
    <w:rsid w:val="00F66F8C"/>
    <w:rsid w:val="00F708E9"/>
    <w:rsid w:val="00F74C7F"/>
    <w:rsid w:val="00F77435"/>
    <w:rsid w:val="00F8683C"/>
    <w:rsid w:val="00F956BD"/>
    <w:rsid w:val="00FA0C16"/>
    <w:rsid w:val="00FA436F"/>
    <w:rsid w:val="00FB4867"/>
    <w:rsid w:val="00FB5E5C"/>
    <w:rsid w:val="00FC3987"/>
    <w:rsid w:val="00FC5BD0"/>
    <w:rsid w:val="00FD040F"/>
    <w:rsid w:val="00FD1C47"/>
    <w:rsid w:val="00FD43DF"/>
    <w:rsid w:val="00FD69BA"/>
    <w:rsid w:val="00FE433E"/>
    <w:rsid w:val="00FE5FE6"/>
    <w:rsid w:val="00FE69E0"/>
    <w:rsid w:val="00FE75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90ACB5"/>
  <w15:chartTrackingRefBased/>
  <w15:docId w15:val="{1ACB8C05-FA1F-4C01-A9C3-319F0298E1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iPriority="0" w:unhideWhenUsed="1" w:qFormat="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C64F3"/>
    <w:pPr>
      <w:widowControl w:val="0"/>
      <w:spacing w:after="0" w:line="240" w:lineRule="auto"/>
      <w:jc w:val="both"/>
    </w:pPr>
    <w:rPr>
      <w:rFonts w:ascii="Calibri" w:eastAsia="宋体" w:hAnsi="Calibri" w:cs="Times New Roman"/>
      <w:kern w:val="2"/>
      <w:sz w:val="21"/>
    </w:rPr>
  </w:style>
  <w:style w:type="paragraph" w:styleId="1">
    <w:name w:val="heading 1"/>
    <w:basedOn w:val="a"/>
    <w:next w:val="a"/>
    <w:link w:val="10"/>
    <w:uiPriority w:val="9"/>
    <w:qFormat/>
    <w:rsid w:val="00CD798F"/>
    <w:pPr>
      <w:keepNext/>
      <w:keepLines/>
      <w:widowControl/>
      <w:spacing w:beforeLines="50" w:before="480" w:afterLines="50" w:after="80" w:line="360" w:lineRule="auto"/>
      <w:ind w:firstLineChars="200" w:firstLine="200"/>
      <w:jc w:val="left"/>
      <w:outlineLvl w:val="0"/>
    </w:pPr>
    <w:rPr>
      <w:rFonts w:asciiTheme="majorHAnsi" w:eastAsiaTheme="majorEastAsia" w:hAnsiTheme="majorHAnsi" w:cstheme="majorBidi"/>
      <w:color w:val="2E74B5" w:themeColor="accent1" w:themeShade="BF"/>
      <w:kern w:val="0"/>
      <w:sz w:val="48"/>
      <w:szCs w:val="48"/>
    </w:rPr>
  </w:style>
  <w:style w:type="paragraph" w:styleId="2">
    <w:name w:val="heading 2"/>
    <w:basedOn w:val="a"/>
    <w:next w:val="a"/>
    <w:link w:val="20"/>
    <w:uiPriority w:val="9"/>
    <w:unhideWhenUsed/>
    <w:qFormat/>
    <w:rsid w:val="008F72F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8F72F3"/>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semiHidden/>
    <w:qFormat/>
    <w:rsid w:val="00CD798F"/>
    <w:pPr>
      <w:keepNext/>
      <w:keepLines/>
      <w:widowControl/>
      <w:spacing w:beforeLines="50" w:before="80" w:afterLines="50" w:after="40" w:line="360" w:lineRule="auto"/>
      <w:ind w:firstLineChars="200" w:firstLine="200"/>
      <w:jc w:val="left"/>
      <w:outlineLvl w:val="3"/>
    </w:pPr>
    <w:rPr>
      <w:rFonts w:ascii="宋体" w:hAnsi="宋体" w:cstheme="majorBidi"/>
      <w:color w:val="2E74B5" w:themeColor="accent1" w:themeShade="BF"/>
      <w:kern w:val="0"/>
      <w:sz w:val="28"/>
      <w:szCs w:val="28"/>
    </w:rPr>
  </w:style>
  <w:style w:type="paragraph" w:styleId="5">
    <w:name w:val="heading 5"/>
    <w:basedOn w:val="a"/>
    <w:next w:val="a"/>
    <w:link w:val="50"/>
    <w:qFormat/>
    <w:rsid w:val="00CD798F"/>
    <w:pPr>
      <w:keepNext/>
      <w:keepLines/>
      <w:widowControl/>
      <w:spacing w:beforeLines="50" w:before="80" w:afterLines="50" w:after="40" w:line="360" w:lineRule="auto"/>
      <w:ind w:firstLineChars="200" w:firstLine="200"/>
      <w:jc w:val="left"/>
      <w:outlineLvl w:val="4"/>
    </w:pPr>
    <w:rPr>
      <w:rFonts w:ascii="宋体" w:hAnsi="宋体" w:cstheme="majorBidi"/>
      <w:color w:val="2E74B5" w:themeColor="accent1" w:themeShade="BF"/>
      <w:kern w:val="0"/>
      <w:sz w:val="24"/>
      <w:szCs w:val="24"/>
    </w:rPr>
  </w:style>
  <w:style w:type="paragraph" w:styleId="6">
    <w:name w:val="heading 6"/>
    <w:basedOn w:val="a"/>
    <w:next w:val="a"/>
    <w:link w:val="60"/>
    <w:uiPriority w:val="9"/>
    <w:semiHidden/>
    <w:qFormat/>
    <w:rsid w:val="00CD798F"/>
    <w:pPr>
      <w:keepNext/>
      <w:keepLines/>
      <w:widowControl/>
      <w:spacing w:beforeLines="50" w:before="40" w:afterLines="50" w:line="360" w:lineRule="auto"/>
      <w:ind w:firstLineChars="200" w:firstLine="200"/>
      <w:jc w:val="left"/>
      <w:outlineLvl w:val="5"/>
    </w:pPr>
    <w:rPr>
      <w:rFonts w:ascii="宋体" w:hAnsi="宋体" w:cstheme="majorBidi"/>
      <w:b/>
      <w:bCs/>
      <w:color w:val="2E74B5" w:themeColor="accent1" w:themeShade="BF"/>
      <w:kern w:val="0"/>
      <w:sz w:val="24"/>
      <w:szCs w:val="24"/>
    </w:rPr>
  </w:style>
  <w:style w:type="paragraph" w:styleId="7">
    <w:name w:val="heading 7"/>
    <w:basedOn w:val="a"/>
    <w:next w:val="a"/>
    <w:link w:val="70"/>
    <w:uiPriority w:val="9"/>
    <w:semiHidden/>
    <w:qFormat/>
    <w:rsid w:val="00CD798F"/>
    <w:pPr>
      <w:keepNext/>
      <w:keepLines/>
      <w:widowControl/>
      <w:spacing w:beforeLines="50" w:before="40" w:afterLines="50" w:line="360" w:lineRule="auto"/>
      <w:ind w:firstLineChars="200" w:firstLine="200"/>
      <w:jc w:val="left"/>
      <w:outlineLvl w:val="6"/>
    </w:pPr>
    <w:rPr>
      <w:rFonts w:ascii="宋体" w:hAnsi="宋体" w:cstheme="majorBidi"/>
      <w:b/>
      <w:bCs/>
      <w:color w:val="595959" w:themeColor="text1" w:themeTint="A6"/>
      <w:kern w:val="0"/>
      <w:sz w:val="24"/>
      <w:szCs w:val="24"/>
    </w:rPr>
  </w:style>
  <w:style w:type="paragraph" w:styleId="8">
    <w:name w:val="heading 8"/>
    <w:basedOn w:val="a"/>
    <w:next w:val="a"/>
    <w:link w:val="80"/>
    <w:uiPriority w:val="9"/>
    <w:semiHidden/>
    <w:qFormat/>
    <w:rsid w:val="00CD798F"/>
    <w:pPr>
      <w:keepNext/>
      <w:keepLines/>
      <w:widowControl/>
      <w:spacing w:beforeLines="50" w:before="50" w:afterLines="50" w:line="360" w:lineRule="auto"/>
      <w:ind w:firstLineChars="200" w:firstLine="200"/>
      <w:jc w:val="left"/>
      <w:outlineLvl w:val="7"/>
    </w:pPr>
    <w:rPr>
      <w:rFonts w:ascii="宋体" w:hAnsi="宋体" w:cstheme="majorBidi"/>
      <w:color w:val="595959" w:themeColor="text1" w:themeTint="A6"/>
      <w:kern w:val="0"/>
      <w:sz w:val="24"/>
      <w:szCs w:val="24"/>
    </w:rPr>
  </w:style>
  <w:style w:type="paragraph" w:styleId="9">
    <w:name w:val="heading 9"/>
    <w:basedOn w:val="a"/>
    <w:next w:val="a"/>
    <w:link w:val="90"/>
    <w:uiPriority w:val="9"/>
    <w:semiHidden/>
    <w:qFormat/>
    <w:rsid w:val="00CD798F"/>
    <w:pPr>
      <w:keepNext/>
      <w:keepLines/>
      <w:widowControl/>
      <w:spacing w:beforeLines="50" w:before="50" w:afterLines="50" w:line="360" w:lineRule="auto"/>
      <w:ind w:firstLineChars="200" w:firstLine="200"/>
      <w:jc w:val="left"/>
      <w:outlineLvl w:val="8"/>
    </w:pPr>
    <w:rPr>
      <w:rFonts w:ascii="宋体" w:eastAsiaTheme="majorEastAsia" w:hAnsi="宋体" w:cstheme="majorBidi"/>
      <w:color w:val="595959" w:themeColor="text1" w:themeTint="A6"/>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qFormat/>
    <w:rsid w:val="00A21CFE"/>
    <w:pPr>
      <w:widowControl/>
      <w:tabs>
        <w:tab w:val="center" w:pos="4320"/>
        <w:tab w:val="right" w:pos="8640"/>
      </w:tabs>
      <w:jc w:val="left"/>
    </w:pPr>
    <w:rPr>
      <w:rFonts w:asciiTheme="minorHAnsi" w:eastAsiaTheme="minorEastAsia" w:hAnsiTheme="minorHAnsi" w:cstheme="minorBidi"/>
      <w:kern w:val="0"/>
      <w:sz w:val="22"/>
    </w:rPr>
  </w:style>
  <w:style w:type="character" w:customStyle="1" w:styleId="a4">
    <w:name w:val="页眉 字符"/>
    <w:basedOn w:val="a0"/>
    <w:link w:val="a3"/>
    <w:uiPriority w:val="99"/>
    <w:qFormat/>
    <w:rsid w:val="00A21CFE"/>
  </w:style>
  <w:style w:type="paragraph" w:styleId="a5">
    <w:name w:val="footer"/>
    <w:basedOn w:val="a"/>
    <w:link w:val="a6"/>
    <w:uiPriority w:val="99"/>
    <w:unhideWhenUsed/>
    <w:qFormat/>
    <w:rsid w:val="00A21CFE"/>
    <w:pPr>
      <w:widowControl/>
      <w:tabs>
        <w:tab w:val="center" w:pos="4320"/>
        <w:tab w:val="right" w:pos="8640"/>
      </w:tabs>
      <w:jc w:val="left"/>
    </w:pPr>
    <w:rPr>
      <w:rFonts w:asciiTheme="minorHAnsi" w:eastAsiaTheme="minorEastAsia" w:hAnsiTheme="minorHAnsi" w:cstheme="minorBidi"/>
      <w:kern w:val="0"/>
      <w:sz w:val="22"/>
    </w:rPr>
  </w:style>
  <w:style w:type="character" w:customStyle="1" w:styleId="a6">
    <w:name w:val="页脚 字符"/>
    <w:basedOn w:val="a0"/>
    <w:link w:val="a5"/>
    <w:uiPriority w:val="99"/>
    <w:qFormat/>
    <w:rsid w:val="00A21CFE"/>
  </w:style>
  <w:style w:type="table" w:styleId="a7">
    <w:name w:val="Table Grid"/>
    <w:basedOn w:val="a1"/>
    <w:uiPriority w:val="39"/>
    <w:qFormat/>
    <w:rsid w:val="000F24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annotation text"/>
    <w:basedOn w:val="a"/>
    <w:link w:val="a9"/>
    <w:uiPriority w:val="99"/>
    <w:qFormat/>
    <w:rsid w:val="004C64F3"/>
    <w:pPr>
      <w:jc w:val="left"/>
    </w:pPr>
    <w:rPr>
      <w:rFonts w:ascii="Times New Roman" w:hAnsi="Times New Roman"/>
      <w:kern w:val="0"/>
      <w:sz w:val="20"/>
      <w:szCs w:val="24"/>
      <w:lang w:val="x-none" w:eastAsia="x-none"/>
    </w:rPr>
  </w:style>
  <w:style w:type="character" w:customStyle="1" w:styleId="a9">
    <w:name w:val="批注文字 字符"/>
    <w:basedOn w:val="a0"/>
    <w:link w:val="a8"/>
    <w:uiPriority w:val="99"/>
    <w:qFormat/>
    <w:rsid w:val="004C64F3"/>
    <w:rPr>
      <w:rFonts w:ascii="Times New Roman" w:eastAsia="宋体" w:hAnsi="Times New Roman" w:cs="Times New Roman"/>
      <w:sz w:val="20"/>
      <w:szCs w:val="24"/>
      <w:lang w:val="x-none" w:eastAsia="x-none"/>
    </w:rPr>
  </w:style>
  <w:style w:type="character" w:customStyle="1" w:styleId="apple-style-span">
    <w:name w:val="apple-style-span"/>
    <w:qFormat/>
    <w:rsid w:val="004C64F3"/>
  </w:style>
  <w:style w:type="paragraph" w:styleId="aa">
    <w:name w:val="List Paragraph"/>
    <w:basedOn w:val="a"/>
    <w:uiPriority w:val="34"/>
    <w:qFormat/>
    <w:rsid w:val="00C70BE7"/>
    <w:pPr>
      <w:ind w:left="720"/>
      <w:contextualSpacing/>
    </w:pPr>
  </w:style>
  <w:style w:type="character" w:styleId="ab">
    <w:name w:val="Placeholder Text"/>
    <w:basedOn w:val="a0"/>
    <w:uiPriority w:val="99"/>
    <w:semiHidden/>
    <w:qFormat/>
    <w:rsid w:val="00C43C2E"/>
    <w:rPr>
      <w:color w:val="808080"/>
    </w:rPr>
  </w:style>
  <w:style w:type="paragraph" w:styleId="ac">
    <w:name w:val="Date"/>
    <w:basedOn w:val="a"/>
    <w:next w:val="a"/>
    <w:link w:val="ad"/>
    <w:semiHidden/>
    <w:unhideWhenUsed/>
    <w:qFormat/>
    <w:rsid w:val="00EE0766"/>
    <w:pPr>
      <w:ind w:leftChars="2500" w:left="100"/>
    </w:pPr>
  </w:style>
  <w:style w:type="character" w:customStyle="1" w:styleId="ad">
    <w:name w:val="日期 字符"/>
    <w:basedOn w:val="a0"/>
    <w:link w:val="ac"/>
    <w:semiHidden/>
    <w:qFormat/>
    <w:rsid w:val="00EE0766"/>
    <w:rPr>
      <w:rFonts w:ascii="Calibri" w:eastAsia="宋体" w:hAnsi="Calibri" w:cs="Times New Roman"/>
      <w:kern w:val="2"/>
      <w:sz w:val="21"/>
    </w:rPr>
  </w:style>
  <w:style w:type="character" w:customStyle="1" w:styleId="20">
    <w:name w:val="标题 2 字符"/>
    <w:basedOn w:val="a0"/>
    <w:link w:val="2"/>
    <w:uiPriority w:val="9"/>
    <w:qFormat/>
    <w:rsid w:val="008F72F3"/>
    <w:rPr>
      <w:rFonts w:asciiTheme="majorHAnsi" w:eastAsiaTheme="majorEastAsia" w:hAnsiTheme="majorHAnsi" w:cstheme="majorBidi"/>
      <w:b/>
      <w:bCs/>
      <w:kern w:val="2"/>
      <w:sz w:val="32"/>
      <w:szCs w:val="32"/>
    </w:rPr>
  </w:style>
  <w:style w:type="character" w:customStyle="1" w:styleId="30">
    <w:name w:val="标题 3 字符"/>
    <w:basedOn w:val="a0"/>
    <w:link w:val="3"/>
    <w:uiPriority w:val="9"/>
    <w:qFormat/>
    <w:rsid w:val="008F72F3"/>
    <w:rPr>
      <w:b/>
      <w:bCs/>
      <w:kern w:val="2"/>
      <w:sz w:val="32"/>
      <w:szCs w:val="32"/>
    </w:rPr>
  </w:style>
  <w:style w:type="table" w:customStyle="1" w:styleId="TableNormal">
    <w:name w:val="Table Normal"/>
    <w:unhideWhenUsed/>
    <w:qFormat/>
    <w:rsid w:val="00CD798F"/>
    <w:pPr>
      <w:spacing w:after="0" w:line="240" w:lineRule="auto"/>
    </w:pPr>
    <w:rPr>
      <w:rFonts w:ascii="Arial" w:hAnsi="Arial" w:cs="Arial"/>
      <w:snapToGrid w:val="0"/>
      <w:color w:val="000000"/>
      <w:sz w:val="21"/>
      <w:szCs w:val="21"/>
      <w:lang w:eastAsia="en-US"/>
    </w:rPr>
    <w:tblPr>
      <w:tblCellMar>
        <w:top w:w="0" w:type="dxa"/>
        <w:left w:w="0" w:type="dxa"/>
        <w:bottom w:w="0" w:type="dxa"/>
        <w:right w:w="0" w:type="dxa"/>
      </w:tblCellMar>
    </w:tblPr>
  </w:style>
  <w:style w:type="paragraph" w:styleId="ae">
    <w:name w:val="Body Text"/>
    <w:basedOn w:val="a"/>
    <w:link w:val="af"/>
    <w:uiPriority w:val="99"/>
    <w:semiHidden/>
    <w:qFormat/>
    <w:rsid w:val="00CD798F"/>
    <w:pPr>
      <w:widowControl/>
      <w:kinsoku w:val="0"/>
      <w:autoSpaceDE w:val="0"/>
      <w:autoSpaceDN w:val="0"/>
      <w:adjustRightInd w:val="0"/>
      <w:snapToGrid w:val="0"/>
      <w:jc w:val="left"/>
      <w:textAlignment w:val="baseline"/>
    </w:pPr>
    <w:rPr>
      <w:rFonts w:ascii="Arial" w:eastAsia="Arial" w:hAnsi="Arial" w:cs="Arial"/>
      <w:noProof/>
      <w:snapToGrid w:val="0"/>
      <w:color w:val="000000"/>
      <w:kern w:val="0"/>
      <w:szCs w:val="21"/>
      <w:lang w:eastAsia="en-US"/>
    </w:rPr>
  </w:style>
  <w:style w:type="character" w:customStyle="1" w:styleId="af">
    <w:name w:val="正文文本 字符"/>
    <w:basedOn w:val="a0"/>
    <w:link w:val="ae"/>
    <w:uiPriority w:val="99"/>
    <w:semiHidden/>
    <w:qFormat/>
    <w:rsid w:val="00CD798F"/>
    <w:rPr>
      <w:rFonts w:ascii="Arial" w:eastAsia="Arial" w:hAnsi="Arial" w:cs="Arial"/>
      <w:noProof/>
      <w:snapToGrid w:val="0"/>
      <w:color w:val="000000"/>
      <w:sz w:val="21"/>
      <w:szCs w:val="21"/>
      <w:lang w:eastAsia="en-US"/>
    </w:rPr>
  </w:style>
  <w:style w:type="character" w:customStyle="1" w:styleId="10">
    <w:name w:val="标题 1 字符"/>
    <w:basedOn w:val="a0"/>
    <w:link w:val="1"/>
    <w:uiPriority w:val="9"/>
    <w:qFormat/>
    <w:rsid w:val="00CD798F"/>
    <w:rPr>
      <w:rFonts w:asciiTheme="majorHAnsi" w:eastAsiaTheme="majorEastAsia" w:hAnsiTheme="majorHAnsi" w:cstheme="majorBidi"/>
      <w:color w:val="2E74B5" w:themeColor="accent1" w:themeShade="BF"/>
      <w:sz w:val="48"/>
      <w:szCs w:val="48"/>
    </w:rPr>
  </w:style>
  <w:style w:type="character" w:customStyle="1" w:styleId="40">
    <w:name w:val="标题 4 字符"/>
    <w:basedOn w:val="a0"/>
    <w:link w:val="4"/>
    <w:uiPriority w:val="9"/>
    <w:semiHidden/>
    <w:qFormat/>
    <w:rsid w:val="00CD798F"/>
    <w:rPr>
      <w:rFonts w:ascii="宋体" w:eastAsia="宋体" w:hAnsi="宋体" w:cstheme="majorBidi"/>
      <w:color w:val="2E74B5" w:themeColor="accent1" w:themeShade="BF"/>
      <w:sz w:val="28"/>
      <w:szCs w:val="28"/>
    </w:rPr>
  </w:style>
  <w:style w:type="character" w:customStyle="1" w:styleId="50">
    <w:name w:val="标题 5 字符"/>
    <w:basedOn w:val="a0"/>
    <w:link w:val="5"/>
    <w:qFormat/>
    <w:rsid w:val="00CD798F"/>
    <w:rPr>
      <w:rFonts w:ascii="宋体" w:eastAsia="宋体" w:hAnsi="宋体" w:cstheme="majorBidi"/>
      <w:color w:val="2E74B5" w:themeColor="accent1" w:themeShade="BF"/>
      <w:sz w:val="24"/>
      <w:szCs w:val="24"/>
    </w:rPr>
  </w:style>
  <w:style w:type="character" w:customStyle="1" w:styleId="60">
    <w:name w:val="标题 6 字符"/>
    <w:basedOn w:val="a0"/>
    <w:link w:val="6"/>
    <w:uiPriority w:val="9"/>
    <w:semiHidden/>
    <w:qFormat/>
    <w:rsid w:val="00CD798F"/>
    <w:rPr>
      <w:rFonts w:ascii="宋体" w:eastAsia="宋体" w:hAnsi="宋体" w:cstheme="majorBidi"/>
      <w:b/>
      <w:bCs/>
      <w:color w:val="2E74B5" w:themeColor="accent1" w:themeShade="BF"/>
      <w:sz w:val="24"/>
      <w:szCs w:val="24"/>
    </w:rPr>
  </w:style>
  <w:style w:type="character" w:customStyle="1" w:styleId="70">
    <w:name w:val="标题 7 字符"/>
    <w:basedOn w:val="a0"/>
    <w:link w:val="7"/>
    <w:uiPriority w:val="9"/>
    <w:semiHidden/>
    <w:qFormat/>
    <w:rsid w:val="00CD798F"/>
    <w:rPr>
      <w:rFonts w:ascii="宋体" w:eastAsia="宋体" w:hAnsi="宋体" w:cstheme="majorBidi"/>
      <w:b/>
      <w:bCs/>
      <w:color w:val="595959" w:themeColor="text1" w:themeTint="A6"/>
      <w:sz w:val="24"/>
      <w:szCs w:val="24"/>
    </w:rPr>
  </w:style>
  <w:style w:type="character" w:customStyle="1" w:styleId="80">
    <w:name w:val="标题 8 字符"/>
    <w:basedOn w:val="a0"/>
    <w:link w:val="8"/>
    <w:uiPriority w:val="9"/>
    <w:semiHidden/>
    <w:qFormat/>
    <w:rsid w:val="00CD798F"/>
    <w:rPr>
      <w:rFonts w:ascii="宋体" w:eastAsia="宋体" w:hAnsi="宋体" w:cstheme="majorBidi"/>
      <w:color w:val="595959" w:themeColor="text1" w:themeTint="A6"/>
      <w:sz w:val="24"/>
      <w:szCs w:val="24"/>
    </w:rPr>
  </w:style>
  <w:style w:type="character" w:customStyle="1" w:styleId="90">
    <w:name w:val="标题 9 字符"/>
    <w:basedOn w:val="a0"/>
    <w:link w:val="9"/>
    <w:uiPriority w:val="9"/>
    <w:semiHidden/>
    <w:qFormat/>
    <w:rsid w:val="00CD798F"/>
    <w:rPr>
      <w:rFonts w:ascii="宋体" w:eastAsiaTheme="majorEastAsia" w:hAnsi="宋体" w:cstheme="majorBidi"/>
      <w:color w:val="595959" w:themeColor="text1" w:themeTint="A6"/>
      <w:sz w:val="24"/>
      <w:szCs w:val="24"/>
    </w:rPr>
  </w:style>
  <w:style w:type="paragraph" w:styleId="af0">
    <w:name w:val="Normal Indent"/>
    <w:basedOn w:val="a"/>
    <w:autoRedefine/>
    <w:qFormat/>
    <w:rsid w:val="00CD798F"/>
    <w:pPr>
      <w:widowControl/>
      <w:jc w:val="left"/>
    </w:pPr>
    <w:rPr>
      <w:rFonts w:ascii="Times" w:hAnsi="Times"/>
      <w:b/>
      <w:bCs/>
      <w:color w:val="000000"/>
      <w:kern w:val="0"/>
      <w:sz w:val="18"/>
      <w:szCs w:val="21"/>
    </w:rPr>
  </w:style>
  <w:style w:type="paragraph" w:styleId="af1">
    <w:name w:val="Body Text Indent"/>
    <w:basedOn w:val="a"/>
    <w:link w:val="af2"/>
    <w:semiHidden/>
    <w:qFormat/>
    <w:rsid w:val="00CD798F"/>
    <w:pPr>
      <w:widowControl/>
      <w:spacing w:beforeLines="50" w:before="50" w:afterLines="50" w:line="440" w:lineRule="exact"/>
      <w:ind w:right="-69" w:firstLineChars="200" w:firstLine="480"/>
    </w:pPr>
    <w:rPr>
      <w:rFonts w:ascii="宋体" w:hAnsi="宋体"/>
      <w:kern w:val="0"/>
      <w:sz w:val="24"/>
      <w:szCs w:val="24"/>
    </w:rPr>
  </w:style>
  <w:style w:type="character" w:customStyle="1" w:styleId="af2">
    <w:name w:val="正文文本缩进 字符"/>
    <w:basedOn w:val="a0"/>
    <w:link w:val="af1"/>
    <w:semiHidden/>
    <w:qFormat/>
    <w:rsid w:val="00CD798F"/>
    <w:rPr>
      <w:rFonts w:ascii="宋体" w:eastAsia="宋体" w:hAnsi="宋体" w:cs="Times New Roman"/>
      <w:sz w:val="24"/>
      <w:szCs w:val="24"/>
    </w:rPr>
  </w:style>
  <w:style w:type="paragraph" w:styleId="TOC3">
    <w:name w:val="toc 3"/>
    <w:basedOn w:val="a"/>
    <w:next w:val="a"/>
    <w:semiHidden/>
    <w:qFormat/>
    <w:rsid w:val="00CD798F"/>
    <w:pPr>
      <w:widowControl/>
      <w:spacing w:beforeLines="50" w:before="50" w:afterLines="50"/>
      <w:ind w:leftChars="400" w:left="840" w:firstLineChars="200" w:firstLine="200"/>
    </w:pPr>
    <w:rPr>
      <w:rFonts w:ascii="宋体" w:hAnsi="宋体"/>
      <w:kern w:val="0"/>
      <w:szCs w:val="20"/>
    </w:rPr>
  </w:style>
  <w:style w:type="paragraph" w:styleId="af3">
    <w:name w:val="endnote text"/>
    <w:basedOn w:val="a"/>
    <w:link w:val="af4"/>
    <w:uiPriority w:val="99"/>
    <w:semiHidden/>
    <w:qFormat/>
    <w:rsid w:val="00CD798F"/>
    <w:pPr>
      <w:widowControl/>
      <w:snapToGrid w:val="0"/>
      <w:spacing w:beforeLines="50" w:before="50" w:afterLines="50" w:line="360" w:lineRule="auto"/>
      <w:ind w:firstLineChars="200" w:firstLine="200"/>
      <w:jc w:val="left"/>
    </w:pPr>
    <w:rPr>
      <w:rFonts w:ascii="宋体" w:eastAsia="等线" w:hAnsi="宋体"/>
      <w:kern w:val="0"/>
      <w:sz w:val="24"/>
    </w:rPr>
  </w:style>
  <w:style w:type="character" w:customStyle="1" w:styleId="af4">
    <w:name w:val="尾注文本 字符"/>
    <w:basedOn w:val="a0"/>
    <w:link w:val="af3"/>
    <w:uiPriority w:val="99"/>
    <w:semiHidden/>
    <w:qFormat/>
    <w:rsid w:val="00CD798F"/>
    <w:rPr>
      <w:rFonts w:ascii="宋体" w:eastAsia="等线" w:hAnsi="宋体" w:cs="Times New Roman"/>
      <w:sz w:val="24"/>
    </w:rPr>
  </w:style>
  <w:style w:type="paragraph" w:styleId="af5">
    <w:name w:val="Balloon Text"/>
    <w:basedOn w:val="a"/>
    <w:link w:val="af6"/>
    <w:uiPriority w:val="99"/>
    <w:semiHidden/>
    <w:qFormat/>
    <w:rsid w:val="00CD798F"/>
    <w:pPr>
      <w:widowControl/>
      <w:spacing w:beforeLines="50" w:before="50" w:afterLines="50"/>
      <w:ind w:firstLineChars="200" w:firstLine="200"/>
    </w:pPr>
    <w:rPr>
      <w:kern w:val="0"/>
      <w:sz w:val="18"/>
      <w:szCs w:val="18"/>
    </w:rPr>
  </w:style>
  <w:style w:type="character" w:customStyle="1" w:styleId="af6">
    <w:name w:val="批注框文本 字符"/>
    <w:basedOn w:val="a0"/>
    <w:link w:val="af5"/>
    <w:uiPriority w:val="99"/>
    <w:semiHidden/>
    <w:qFormat/>
    <w:rsid w:val="00CD798F"/>
    <w:rPr>
      <w:rFonts w:ascii="Calibri" w:eastAsia="宋体" w:hAnsi="Calibri" w:cs="Times New Roman"/>
      <w:sz w:val="18"/>
      <w:szCs w:val="18"/>
    </w:rPr>
  </w:style>
  <w:style w:type="paragraph" w:styleId="TOC1">
    <w:name w:val="toc 1"/>
    <w:next w:val="a"/>
    <w:uiPriority w:val="39"/>
    <w:qFormat/>
    <w:rsid w:val="00CD798F"/>
    <w:pPr>
      <w:spacing w:after="0" w:line="360" w:lineRule="auto"/>
      <w:jc w:val="both"/>
    </w:pPr>
    <w:rPr>
      <w:rFonts w:ascii="Times New Roman" w:eastAsia="宋体" w:hAnsi="Times New Roman"/>
      <w:b/>
      <w:kern w:val="2"/>
      <w:sz w:val="24"/>
      <w:szCs w:val="24"/>
      <w14:ligatures w14:val="standardContextual"/>
    </w:rPr>
  </w:style>
  <w:style w:type="paragraph" w:styleId="af7">
    <w:name w:val="Subtitle"/>
    <w:basedOn w:val="a"/>
    <w:next w:val="a"/>
    <w:link w:val="af8"/>
    <w:uiPriority w:val="11"/>
    <w:qFormat/>
    <w:rsid w:val="00CD798F"/>
    <w:pPr>
      <w:widowControl/>
      <w:spacing w:beforeLines="50" w:before="50" w:afterLines="50" w:after="50" w:line="360" w:lineRule="auto"/>
      <w:ind w:firstLineChars="200" w:firstLine="200"/>
      <w:jc w:val="center"/>
    </w:pPr>
    <w:rPr>
      <w:rFonts w:asciiTheme="majorHAnsi" w:eastAsiaTheme="majorEastAsia" w:hAnsiTheme="majorHAnsi" w:cstheme="majorBidi"/>
      <w:color w:val="595959" w:themeColor="text1" w:themeTint="A6"/>
      <w:spacing w:val="15"/>
      <w:kern w:val="0"/>
      <w:sz w:val="28"/>
      <w:szCs w:val="28"/>
    </w:rPr>
  </w:style>
  <w:style w:type="character" w:customStyle="1" w:styleId="af8">
    <w:name w:val="副标题 字符"/>
    <w:basedOn w:val="a0"/>
    <w:link w:val="af7"/>
    <w:uiPriority w:val="11"/>
    <w:qFormat/>
    <w:rsid w:val="00CD798F"/>
    <w:rPr>
      <w:rFonts w:asciiTheme="majorHAnsi" w:eastAsiaTheme="majorEastAsia" w:hAnsiTheme="majorHAnsi" w:cstheme="majorBidi"/>
      <w:color w:val="595959" w:themeColor="text1" w:themeTint="A6"/>
      <w:spacing w:val="15"/>
      <w:sz w:val="28"/>
      <w:szCs w:val="28"/>
    </w:rPr>
  </w:style>
  <w:style w:type="paragraph" w:styleId="af9">
    <w:name w:val="footnote text"/>
    <w:basedOn w:val="a"/>
    <w:link w:val="afa"/>
    <w:uiPriority w:val="99"/>
    <w:semiHidden/>
    <w:qFormat/>
    <w:rsid w:val="00CD798F"/>
    <w:pPr>
      <w:widowControl/>
      <w:snapToGrid w:val="0"/>
      <w:spacing w:beforeLines="50" w:before="50" w:afterLines="50"/>
      <w:ind w:firstLineChars="200" w:firstLine="200"/>
      <w:jc w:val="left"/>
    </w:pPr>
    <w:rPr>
      <w:kern w:val="0"/>
      <w:sz w:val="18"/>
      <w:szCs w:val="18"/>
    </w:rPr>
  </w:style>
  <w:style w:type="character" w:customStyle="1" w:styleId="afa">
    <w:name w:val="脚注文本 字符"/>
    <w:basedOn w:val="a0"/>
    <w:link w:val="af9"/>
    <w:uiPriority w:val="99"/>
    <w:semiHidden/>
    <w:qFormat/>
    <w:rsid w:val="00CD798F"/>
    <w:rPr>
      <w:rFonts w:ascii="Calibri" w:eastAsia="宋体" w:hAnsi="Calibri" w:cs="Times New Roman"/>
      <w:sz w:val="18"/>
      <w:szCs w:val="18"/>
    </w:rPr>
  </w:style>
  <w:style w:type="paragraph" w:styleId="TOC2">
    <w:name w:val="toc 2"/>
    <w:basedOn w:val="a"/>
    <w:next w:val="a"/>
    <w:semiHidden/>
    <w:qFormat/>
    <w:rsid w:val="00CD798F"/>
    <w:pPr>
      <w:widowControl/>
      <w:spacing w:beforeLines="50" w:before="50" w:afterLines="50"/>
      <w:ind w:leftChars="200" w:left="420" w:firstLineChars="200" w:firstLine="200"/>
    </w:pPr>
    <w:rPr>
      <w:rFonts w:ascii="宋体" w:hAnsi="宋体"/>
      <w:kern w:val="0"/>
      <w:szCs w:val="20"/>
    </w:rPr>
  </w:style>
  <w:style w:type="paragraph" w:styleId="afb">
    <w:name w:val="Normal (Web)"/>
    <w:basedOn w:val="a"/>
    <w:semiHidden/>
    <w:qFormat/>
    <w:rsid w:val="00CD798F"/>
    <w:pPr>
      <w:widowControl/>
      <w:spacing w:beforeLines="50" w:before="100" w:beforeAutospacing="1" w:afterLines="50" w:after="100" w:afterAutospacing="1"/>
      <w:ind w:firstLineChars="200" w:firstLine="200"/>
      <w:jc w:val="left"/>
    </w:pPr>
    <w:rPr>
      <w:rFonts w:ascii="宋体" w:hAnsi="宋体" w:cs="宋体"/>
      <w:kern w:val="0"/>
      <w:sz w:val="24"/>
      <w:szCs w:val="24"/>
    </w:rPr>
  </w:style>
  <w:style w:type="paragraph" w:styleId="afc">
    <w:name w:val="Title"/>
    <w:basedOn w:val="a"/>
    <w:next w:val="a"/>
    <w:link w:val="afd"/>
    <w:uiPriority w:val="10"/>
    <w:qFormat/>
    <w:rsid w:val="00CD798F"/>
    <w:pPr>
      <w:widowControl/>
      <w:spacing w:beforeLines="50" w:before="50" w:afterLines="50" w:after="80"/>
      <w:ind w:firstLineChars="200" w:firstLine="200"/>
      <w:contextualSpacing/>
      <w:jc w:val="center"/>
    </w:pPr>
    <w:rPr>
      <w:rFonts w:asciiTheme="majorHAnsi" w:eastAsiaTheme="majorEastAsia" w:hAnsiTheme="majorHAnsi" w:cstheme="majorBidi"/>
      <w:spacing w:val="-10"/>
      <w:kern w:val="28"/>
      <w:sz w:val="56"/>
      <w:szCs w:val="56"/>
    </w:rPr>
  </w:style>
  <w:style w:type="character" w:customStyle="1" w:styleId="afd">
    <w:name w:val="标题 字符"/>
    <w:basedOn w:val="a0"/>
    <w:link w:val="afc"/>
    <w:uiPriority w:val="10"/>
    <w:qFormat/>
    <w:rsid w:val="00CD798F"/>
    <w:rPr>
      <w:rFonts w:asciiTheme="majorHAnsi" w:eastAsiaTheme="majorEastAsia" w:hAnsiTheme="majorHAnsi" w:cstheme="majorBidi"/>
      <w:spacing w:val="-10"/>
      <w:kern w:val="28"/>
      <w:sz w:val="56"/>
      <w:szCs w:val="56"/>
    </w:rPr>
  </w:style>
  <w:style w:type="paragraph" w:styleId="afe">
    <w:name w:val="annotation subject"/>
    <w:basedOn w:val="a8"/>
    <w:next w:val="a8"/>
    <w:link w:val="aff"/>
    <w:semiHidden/>
    <w:qFormat/>
    <w:rsid w:val="00CD798F"/>
    <w:pPr>
      <w:widowControl/>
      <w:spacing w:beforeLines="50" w:before="50" w:afterLines="50" w:after="50" w:line="360" w:lineRule="auto"/>
      <w:ind w:firstLineChars="200" w:firstLine="200"/>
    </w:pPr>
    <w:rPr>
      <w:rFonts w:ascii="宋体" w:hAnsi="宋体" w:cs="宋体"/>
      <w:b/>
      <w:bCs/>
      <w:sz w:val="21"/>
      <w:szCs w:val="21"/>
      <w:lang w:val="en-US" w:eastAsia="zh-CN"/>
    </w:rPr>
  </w:style>
  <w:style w:type="character" w:customStyle="1" w:styleId="aff">
    <w:name w:val="批注主题 字符"/>
    <w:basedOn w:val="a9"/>
    <w:link w:val="afe"/>
    <w:semiHidden/>
    <w:qFormat/>
    <w:rsid w:val="00CD798F"/>
    <w:rPr>
      <w:rFonts w:ascii="宋体" w:eastAsia="宋体" w:hAnsi="宋体" w:cs="宋体"/>
      <w:b/>
      <w:bCs/>
      <w:sz w:val="21"/>
      <w:szCs w:val="21"/>
      <w:lang w:val="x-none" w:eastAsia="x-none"/>
    </w:rPr>
  </w:style>
  <w:style w:type="character" w:styleId="aff0">
    <w:name w:val="Strong"/>
    <w:basedOn w:val="a0"/>
    <w:qFormat/>
    <w:rsid w:val="00CD798F"/>
    <w:rPr>
      <w:b/>
    </w:rPr>
  </w:style>
  <w:style w:type="character" w:styleId="aff1">
    <w:name w:val="page number"/>
    <w:basedOn w:val="a0"/>
    <w:semiHidden/>
    <w:qFormat/>
    <w:rsid w:val="00CD798F"/>
  </w:style>
  <w:style w:type="character" w:styleId="aff2">
    <w:name w:val="Emphasis"/>
    <w:basedOn w:val="a0"/>
    <w:uiPriority w:val="20"/>
    <w:qFormat/>
    <w:rsid w:val="00CD798F"/>
    <w:rPr>
      <w:i/>
    </w:rPr>
  </w:style>
  <w:style w:type="character" w:styleId="aff3">
    <w:name w:val="Hyperlink"/>
    <w:basedOn w:val="a0"/>
    <w:uiPriority w:val="99"/>
    <w:qFormat/>
    <w:rsid w:val="00CD798F"/>
    <w:rPr>
      <w:color w:val="0563C1" w:themeColor="hyperlink"/>
      <w:u w:val="single"/>
    </w:rPr>
  </w:style>
  <w:style w:type="character" w:styleId="aff4">
    <w:name w:val="annotation reference"/>
    <w:basedOn w:val="a0"/>
    <w:uiPriority w:val="99"/>
    <w:qFormat/>
    <w:rsid w:val="00CD798F"/>
    <w:rPr>
      <w:sz w:val="21"/>
      <w:szCs w:val="21"/>
    </w:rPr>
  </w:style>
  <w:style w:type="character" w:styleId="aff5">
    <w:name w:val="footnote reference"/>
    <w:basedOn w:val="a0"/>
    <w:uiPriority w:val="99"/>
    <w:semiHidden/>
    <w:qFormat/>
    <w:rsid w:val="00CD798F"/>
    <w:rPr>
      <w:vertAlign w:val="superscript"/>
    </w:rPr>
  </w:style>
  <w:style w:type="paragraph" w:customStyle="1" w:styleId="aff6">
    <w:name w:val="表格后说明"/>
    <w:next w:val="af0"/>
    <w:autoRedefine/>
    <w:uiPriority w:val="3"/>
    <w:qFormat/>
    <w:rsid w:val="00CD798F"/>
    <w:pPr>
      <w:spacing w:after="120" w:line="240" w:lineRule="auto"/>
      <w:ind w:firstLine="357"/>
      <w:jc w:val="both"/>
    </w:pPr>
    <w:rPr>
      <w:rFonts w:ascii="Times New Roman" w:eastAsia="宋体" w:hAnsi="Times New Roman" w:cs="Times New Roman"/>
      <w:kern w:val="2"/>
      <w:sz w:val="21"/>
      <w:szCs w:val="24"/>
    </w:rPr>
  </w:style>
  <w:style w:type="paragraph" w:customStyle="1" w:styleId="aff7">
    <w:name w:val="表格前单位"/>
    <w:next w:val="af0"/>
    <w:autoRedefine/>
    <w:uiPriority w:val="2"/>
    <w:qFormat/>
    <w:rsid w:val="00CD798F"/>
    <w:pPr>
      <w:keepNext/>
      <w:spacing w:before="120" w:after="0" w:line="240" w:lineRule="auto"/>
      <w:ind w:firstLine="482"/>
      <w:jc w:val="right"/>
    </w:pPr>
    <w:rPr>
      <w:rFonts w:ascii="Times New Roman" w:eastAsia="宋体" w:hAnsi="Times New Roman" w:cs="Times New Roman"/>
      <w:kern w:val="2"/>
      <w:sz w:val="21"/>
      <w:szCs w:val="24"/>
    </w:rPr>
  </w:style>
  <w:style w:type="table" w:customStyle="1" w:styleId="aff8">
    <w:name w:val="报告表格"/>
    <w:basedOn w:val="a1"/>
    <w:uiPriority w:val="99"/>
    <w:qFormat/>
    <w:rsid w:val="00CD798F"/>
    <w:pPr>
      <w:spacing w:after="0" w:line="240" w:lineRule="auto"/>
    </w:pPr>
    <w:rPr>
      <w:rFonts w:ascii="Times New Roman" w:eastAsia="宋体" w:hAnsi="Times New Roman" w:cs="Times New Roman"/>
      <w:sz w:val="18"/>
      <w:szCs w:val="21"/>
    </w:rPr>
    <w:tblPr/>
  </w:style>
  <w:style w:type="paragraph" w:styleId="aff9">
    <w:name w:val="Quote"/>
    <w:basedOn w:val="a"/>
    <w:next w:val="a"/>
    <w:link w:val="affa"/>
    <w:uiPriority w:val="29"/>
    <w:qFormat/>
    <w:rsid w:val="00CD798F"/>
    <w:pPr>
      <w:widowControl/>
      <w:spacing w:beforeLines="50" w:before="160" w:afterLines="50" w:after="50" w:line="360" w:lineRule="auto"/>
      <w:ind w:firstLineChars="200" w:firstLine="200"/>
      <w:jc w:val="center"/>
    </w:pPr>
    <w:rPr>
      <w:rFonts w:ascii="宋体" w:hAnsi="宋体" w:cs="宋体"/>
      <w:i/>
      <w:iCs/>
      <w:color w:val="404040" w:themeColor="text1" w:themeTint="BF"/>
      <w:kern w:val="0"/>
      <w:sz w:val="24"/>
      <w:szCs w:val="24"/>
    </w:rPr>
  </w:style>
  <w:style w:type="character" w:customStyle="1" w:styleId="affa">
    <w:name w:val="引用 字符"/>
    <w:basedOn w:val="a0"/>
    <w:link w:val="aff9"/>
    <w:uiPriority w:val="29"/>
    <w:qFormat/>
    <w:rsid w:val="00CD798F"/>
    <w:rPr>
      <w:rFonts w:ascii="宋体" w:eastAsia="宋体" w:hAnsi="宋体" w:cs="宋体"/>
      <w:i/>
      <w:iCs/>
      <w:color w:val="404040" w:themeColor="text1" w:themeTint="BF"/>
      <w:sz w:val="24"/>
      <w:szCs w:val="24"/>
    </w:rPr>
  </w:style>
  <w:style w:type="character" w:customStyle="1" w:styleId="11">
    <w:name w:val="明显强调1"/>
    <w:basedOn w:val="a0"/>
    <w:uiPriority w:val="21"/>
    <w:semiHidden/>
    <w:qFormat/>
    <w:rsid w:val="00CD798F"/>
    <w:rPr>
      <w:i/>
      <w:iCs/>
      <w:color w:val="2E74B5" w:themeColor="accent1" w:themeShade="BF"/>
    </w:rPr>
  </w:style>
  <w:style w:type="paragraph" w:styleId="affb">
    <w:name w:val="Intense Quote"/>
    <w:basedOn w:val="a"/>
    <w:next w:val="a"/>
    <w:link w:val="affc"/>
    <w:uiPriority w:val="30"/>
    <w:qFormat/>
    <w:rsid w:val="00CD798F"/>
    <w:pPr>
      <w:widowControl/>
      <w:pBdr>
        <w:top w:val="single" w:sz="4" w:space="10" w:color="2E74B5" w:themeColor="accent1" w:themeShade="BF"/>
        <w:bottom w:val="single" w:sz="4" w:space="10" w:color="2E74B5" w:themeColor="accent1" w:themeShade="BF"/>
      </w:pBdr>
      <w:spacing w:beforeLines="50" w:before="360" w:afterLines="50" w:after="360" w:line="360" w:lineRule="auto"/>
      <w:ind w:left="864" w:right="864" w:firstLineChars="200" w:firstLine="200"/>
      <w:jc w:val="center"/>
    </w:pPr>
    <w:rPr>
      <w:rFonts w:ascii="宋体" w:hAnsi="宋体" w:cs="宋体"/>
      <w:i/>
      <w:iCs/>
      <w:color w:val="2E74B5" w:themeColor="accent1" w:themeShade="BF"/>
      <w:kern w:val="0"/>
      <w:sz w:val="24"/>
      <w:szCs w:val="24"/>
    </w:rPr>
  </w:style>
  <w:style w:type="character" w:customStyle="1" w:styleId="affc">
    <w:name w:val="明显引用 字符"/>
    <w:basedOn w:val="a0"/>
    <w:link w:val="affb"/>
    <w:uiPriority w:val="30"/>
    <w:qFormat/>
    <w:rsid w:val="00CD798F"/>
    <w:rPr>
      <w:rFonts w:ascii="宋体" w:eastAsia="宋体" w:hAnsi="宋体" w:cs="宋体"/>
      <w:i/>
      <w:iCs/>
      <w:color w:val="2E74B5" w:themeColor="accent1" w:themeShade="BF"/>
      <w:sz w:val="24"/>
      <w:szCs w:val="24"/>
    </w:rPr>
  </w:style>
  <w:style w:type="character" w:customStyle="1" w:styleId="12">
    <w:name w:val="明显参考1"/>
    <w:basedOn w:val="a0"/>
    <w:uiPriority w:val="32"/>
    <w:semiHidden/>
    <w:qFormat/>
    <w:rsid w:val="00CD798F"/>
    <w:rPr>
      <w:b/>
      <w:bCs/>
      <w:smallCaps/>
      <w:color w:val="2E74B5" w:themeColor="accent1" w:themeShade="BF"/>
      <w:spacing w:val="5"/>
    </w:rPr>
  </w:style>
  <w:style w:type="paragraph" w:customStyle="1" w:styleId="13">
    <w:name w:val="批注文字1"/>
    <w:basedOn w:val="a"/>
    <w:next w:val="a8"/>
    <w:uiPriority w:val="99"/>
    <w:semiHidden/>
    <w:qFormat/>
    <w:rsid w:val="00CD798F"/>
    <w:pPr>
      <w:widowControl/>
      <w:spacing w:beforeLines="50" w:before="50" w:afterLines="50"/>
      <w:ind w:firstLineChars="200" w:firstLine="200"/>
      <w:jc w:val="left"/>
    </w:pPr>
    <w:rPr>
      <w:rFonts w:asciiTheme="minorHAnsi" w:eastAsiaTheme="minorEastAsia" w:hAnsiTheme="minorHAnsi" w:cstheme="minorBidi"/>
    </w:rPr>
  </w:style>
  <w:style w:type="paragraph" w:customStyle="1" w:styleId="TOC31">
    <w:name w:val="TOC 31"/>
    <w:basedOn w:val="a"/>
    <w:next w:val="a"/>
    <w:autoRedefine/>
    <w:uiPriority w:val="39"/>
    <w:semiHidden/>
    <w:qFormat/>
    <w:rsid w:val="00CD798F"/>
    <w:pPr>
      <w:widowControl/>
      <w:spacing w:beforeLines="50" w:before="50" w:afterLines="50"/>
      <w:ind w:leftChars="400" w:left="840" w:firstLineChars="200" w:firstLine="200"/>
    </w:pPr>
    <w:rPr>
      <w:rFonts w:ascii="宋体" w:eastAsia="黑体" w:hAnsi="宋体" w:cs="宋体"/>
      <w:kern w:val="0"/>
      <w:sz w:val="24"/>
      <w:szCs w:val="21"/>
    </w:rPr>
  </w:style>
  <w:style w:type="paragraph" w:customStyle="1" w:styleId="TOC11">
    <w:name w:val="TOC 11"/>
    <w:basedOn w:val="a"/>
    <w:next w:val="a"/>
    <w:autoRedefine/>
    <w:uiPriority w:val="39"/>
    <w:semiHidden/>
    <w:qFormat/>
    <w:rsid w:val="00CD798F"/>
    <w:pPr>
      <w:widowControl/>
      <w:spacing w:beforeLines="50" w:before="50" w:afterLines="50"/>
      <w:ind w:firstLineChars="200" w:firstLine="200"/>
    </w:pPr>
    <w:rPr>
      <w:rFonts w:ascii="宋体" w:eastAsia="黑体" w:hAnsi="宋体" w:cs="宋体"/>
      <w:kern w:val="0"/>
      <w:sz w:val="24"/>
      <w:szCs w:val="21"/>
    </w:rPr>
  </w:style>
  <w:style w:type="paragraph" w:customStyle="1" w:styleId="TOC21">
    <w:name w:val="TOC 21"/>
    <w:basedOn w:val="a"/>
    <w:next w:val="a"/>
    <w:autoRedefine/>
    <w:uiPriority w:val="39"/>
    <w:semiHidden/>
    <w:qFormat/>
    <w:rsid w:val="00CD798F"/>
    <w:pPr>
      <w:widowControl/>
      <w:spacing w:beforeLines="50" w:before="50" w:afterLines="50"/>
      <w:ind w:leftChars="200" w:left="420" w:firstLineChars="200" w:firstLine="200"/>
    </w:pPr>
    <w:rPr>
      <w:rFonts w:ascii="宋体" w:eastAsia="黑体" w:hAnsi="宋体" w:cs="宋体"/>
      <w:kern w:val="0"/>
      <w:sz w:val="24"/>
      <w:szCs w:val="21"/>
    </w:rPr>
  </w:style>
  <w:style w:type="paragraph" w:customStyle="1" w:styleId="14">
    <w:name w:val="批注主题1"/>
    <w:basedOn w:val="a8"/>
    <w:next w:val="a8"/>
    <w:uiPriority w:val="99"/>
    <w:semiHidden/>
    <w:qFormat/>
    <w:rsid w:val="00CD798F"/>
    <w:pPr>
      <w:widowControl/>
      <w:spacing w:beforeLines="50" w:before="50" w:afterLines="50"/>
      <w:ind w:firstLineChars="200" w:firstLine="200"/>
    </w:pPr>
    <w:rPr>
      <w:rFonts w:ascii="宋体" w:hAnsi="宋体" w:cs="宋体"/>
      <w:b/>
      <w:bCs/>
      <w:sz w:val="21"/>
      <w:szCs w:val="21"/>
      <w:lang w:val="en-US" w:eastAsia="zh-CN"/>
    </w:rPr>
  </w:style>
  <w:style w:type="paragraph" w:customStyle="1" w:styleId="TOC10">
    <w:name w:val="TOC 标题1"/>
    <w:basedOn w:val="1"/>
    <w:next w:val="a"/>
    <w:uiPriority w:val="39"/>
    <w:semiHidden/>
    <w:qFormat/>
    <w:rsid w:val="00CD798F"/>
    <w:pPr>
      <w:snapToGrid w:val="0"/>
      <w:spacing w:before="240" w:after="0" w:line="259" w:lineRule="auto"/>
      <w:jc w:val="center"/>
      <w:outlineLvl w:val="9"/>
    </w:pPr>
    <w:rPr>
      <w:rFonts w:ascii="Times New Roman" w:eastAsia="黑体" w:hAnsi="Times New Roman" w:cs="Times New Roman"/>
      <w:color w:val="auto"/>
      <w:sz w:val="32"/>
      <w:szCs w:val="32"/>
    </w:rPr>
  </w:style>
  <w:style w:type="character" w:customStyle="1" w:styleId="15">
    <w:name w:val="页脚 字符1"/>
    <w:uiPriority w:val="99"/>
    <w:semiHidden/>
    <w:qFormat/>
    <w:rsid w:val="00CD798F"/>
    <w:rPr>
      <w:rFonts w:ascii="Calibri" w:eastAsia="宋体" w:hAnsi="Calibri" w:cs="Times New Roman"/>
      <w:kern w:val="2"/>
      <w:sz w:val="18"/>
      <w:szCs w:val="18"/>
    </w:rPr>
  </w:style>
  <w:style w:type="paragraph" w:customStyle="1" w:styleId="005">
    <w:name w:val="005正文"/>
    <w:link w:val="005Char"/>
    <w:qFormat/>
    <w:rsid w:val="00CD798F"/>
    <w:pPr>
      <w:widowControl w:val="0"/>
      <w:spacing w:beforeLines="50" w:before="50" w:afterLines="50" w:after="50" w:line="360" w:lineRule="auto"/>
      <w:ind w:firstLineChars="200" w:firstLine="200"/>
      <w:jc w:val="both"/>
    </w:pPr>
    <w:rPr>
      <w:rFonts w:ascii="Times New Roman" w:eastAsia="宋体" w:hAnsi="Times New Roman" w:cs="Times New Roman"/>
      <w:kern w:val="2"/>
      <w:sz w:val="24"/>
    </w:rPr>
  </w:style>
  <w:style w:type="character" w:customStyle="1" w:styleId="005Char">
    <w:name w:val="005正文 Char"/>
    <w:link w:val="005"/>
    <w:qFormat/>
    <w:rsid w:val="00CD798F"/>
    <w:rPr>
      <w:rFonts w:ascii="Times New Roman" w:eastAsia="宋体" w:hAnsi="Times New Roman" w:cs="Times New Roman"/>
      <w:kern w:val="2"/>
      <w:sz w:val="24"/>
    </w:rPr>
  </w:style>
  <w:style w:type="character" w:customStyle="1" w:styleId="110">
    <w:name w:val="明显强调11"/>
    <w:basedOn w:val="a0"/>
    <w:uiPriority w:val="21"/>
    <w:semiHidden/>
    <w:qFormat/>
    <w:rsid w:val="00CD798F"/>
    <w:rPr>
      <w:i/>
      <w:iCs/>
      <w:color w:val="2E74B5"/>
    </w:rPr>
  </w:style>
  <w:style w:type="character" w:customStyle="1" w:styleId="111">
    <w:name w:val="明显参考11"/>
    <w:basedOn w:val="a0"/>
    <w:uiPriority w:val="32"/>
    <w:semiHidden/>
    <w:qFormat/>
    <w:rsid w:val="00CD798F"/>
    <w:rPr>
      <w:b/>
      <w:bCs/>
      <w:smallCaps/>
      <w:color w:val="2E74B5"/>
      <w:spacing w:val="5"/>
    </w:rPr>
  </w:style>
  <w:style w:type="character" w:customStyle="1" w:styleId="font11">
    <w:name w:val="font11"/>
    <w:basedOn w:val="a0"/>
    <w:semiHidden/>
    <w:qFormat/>
    <w:rsid w:val="00CD798F"/>
    <w:rPr>
      <w:rFonts w:ascii="宋体" w:eastAsia="宋体" w:hAnsi="宋体" w:hint="eastAsia"/>
      <w:b/>
      <w:bCs/>
      <w:color w:val="000000"/>
      <w:sz w:val="21"/>
      <w:szCs w:val="21"/>
      <w:u w:val="none"/>
    </w:rPr>
  </w:style>
  <w:style w:type="character" w:customStyle="1" w:styleId="font21">
    <w:name w:val="font21"/>
    <w:basedOn w:val="a0"/>
    <w:semiHidden/>
    <w:qFormat/>
    <w:rsid w:val="00CD798F"/>
    <w:rPr>
      <w:rFonts w:ascii="宋体" w:eastAsia="宋体" w:hAnsi="宋体" w:hint="eastAsia"/>
      <w:b/>
      <w:bCs/>
      <w:color w:val="000000"/>
      <w:sz w:val="21"/>
      <w:szCs w:val="21"/>
      <w:u w:val="none"/>
    </w:rPr>
  </w:style>
  <w:style w:type="table" w:customStyle="1" w:styleId="16">
    <w:name w:val="网格型1"/>
    <w:basedOn w:val="a1"/>
    <w:uiPriority w:val="39"/>
    <w:qFormat/>
    <w:rsid w:val="00CD798F"/>
    <w:pPr>
      <w:spacing w:after="0" w:line="240" w:lineRule="auto"/>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uiPriority w:val="39"/>
    <w:qFormat/>
    <w:rsid w:val="00CD798F"/>
    <w:pPr>
      <w:spacing w:after="0" w:line="240" w:lineRule="auto"/>
    </w:pPr>
    <w:rPr>
      <w:rFonts w:ascii="Times New Roman" w:eastAsia="宋体" w:hAnsi="Times New Roman" w:cs="Times New Roman"/>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7">
    <w:name w:val="批注文字 字符1"/>
    <w:basedOn w:val="a0"/>
    <w:uiPriority w:val="99"/>
    <w:qFormat/>
    <w:rsid w:val="00CD798F"/>
    <w:rPr>
      <w:rFonts w:ascii="宋体" w:eastAsia="宋体" w:hAnsi="宋体" w:cs="宋体"/>
      <w:kern w:val="0"/>
      <w:sz w:val="24"/>
      <w:szCs w:val="24"/>
    </w:rPr>
  </w:style>
  <w:style w:type="character" w:customStyle="1" w:styleId="18">
    <w:name w:val="批注主题 字符1"/>
    <w:basedOn w:val="17"/>
    <w:uiPriority w:val="99"/>
    <w:semiHidden/>
    <w:qFormat/>
    <w:rsid w:val="00CD798F"/>
    <w:rPr>
      <w:rFonts w:asciiTheme="minorHAnsi" w:eastAsiaTheme="minorEastAsia" w:hAnsiTheme="minorHAnsi" w:cs="宋体"/>
      <w:b/>
      <w:bCs/>
      <w:kern w:val="0"/>
      <w:sz w:val="22"/>
      <w:szCs w:val="24"/>
    </w:rPr>
  </w:style>
  <w:style w:type="paragraph" w:customStyle="1" w:styleId="19">
    <w:name w:val="修订1"/>
    <w:hidden/>
    <w:uiPriority w:val="99"/>
    <w:qFormat/>
    <w:rsid w:val="00CD798F"/>
    <w:pPr>
      <w:spacing w:after="0" w:line="240" w:lineRule="auto"/>
    </w:pPr>
    <w:rPr>
      <w:kern w:val="2"/>
      <w:szCs w:val="24"/>
      <w14:ligatures w14:val="standardContextual"/>
    </w:rPr>
  </w:style>
  <w:style w:type="paragraph" w:customStyle="1" w:styleId="31">
    <w:name w:val="目录 31"/>
    <w:basedOn w:val="a"/>
    <w:next w:val="a"/>
    <w:autoRedefine/>
    <w:uiPriority w:val="39"/>
    <w:semiHidden/>
    <w:qFormat/>
    <w:rsid w:val="00CD798F"/>
    <w:pPr>
      <w:widowControl/>
      <w:spacing w:beforeLines="50" w:before="50" w:afterLines="50"/>
      <w:ind w:leftChars="400" w:left="840" w:firstLineChars="200" w:firstLine="200"/>
    </w:pPr>
    <w:rPr>
      <w:rFonts w:ascii="宋体" w:eastAsia="黑体" w:hAnsi="宋体" w:cs="宋体"/>
      <w:kern w:val="0"/>
      <w:sz w:val="24"/>
      <w:szCs w:val="21"/>
    </w:rPr>
  </w:style>
  <w:style w:type="paragraph" w:customStyle="1" w:styleId="112">
    <w:name w:val="目录 11"/>
    <w:basedOn w:val="a"/>
    <w:next w:val="a"/>
    <w:autoRedefine/>
    <w:semiHidden/>
    <w:qFormat/>
    <w:rsid w:val="00CD798F"/>
    <w:pPr>
      <w:widowControl/>
      <w:spacing w:beforeLines="50" w:before="50" w:afterLines="50"/>
      <w:ind w:firstLineChars="200" w:firstLine="200"/>
    </w:pPr>
    <w:rPr>
      <w:rFonts w:ascii="宋体" w:eastAsia="黑体" w:hAnsi="宋体" w:cs="宋体"/>
      <w:kern w:val="0"/>
      <w:sz w:val="24"/>
      <w:szCs w:val="21"/>
    </w:rPr>
  </w:style>
  <w:style w:type="paragraph" w:customStyle="1" w:styleId="210">
    <w:name w:val="目录 21"/>
    <w:basedOn w:val="a"/>
    <w:next w:val="a"/>
    <w:autoRedefine/>
    <w:uiPriority w:val="39"/>
    <w:semiHidden/>
    <w:qFormat/>
    <w:rsid w:val="00CD798F"/>
    <w:pPr>
      <w:widowControl/>
      <w:spacing w:beforeLines="50" w:before="50" w:afterLines="50"/>
      <w:ind w:leftChars="200" w:left="420" w:firstLineChars="200" w:firstLine="200"/>
    </w:pPr>
    <w:rPr>
      <w:rFonts w:ascii="宋体" w:eastAsia="黑体" w:hAnsi="宋体" w:cs="宋体"/>
      <w:kern w:val="0"/>
      <w:sz w:val="24"/>
      <w:szCs w:val="21"/>
    </w:rPr>
  </w:style>
  <w:style w:type="paragraph" w:customStyle="1" w:styleId="32">
    <w:name w:val="目录 32"/>
    <w:basedOn w:val="a"/>
    <w:next w:val="a"/>
    <w:autoRedefine/>
    <w:uiPriority w:val="39"/>
    <w:semiHidden/>
    <w:qFormat/>
    <w:rsid w:val="00CD798F"/>
    <w:pPr>
      <w:widowControl/>
      <w:spacing w:beforeLines="50" w:before="50" w:afterLines="50"/>
      <w:ind w:leftChars="400" w:left="840" w:firstLineChars="200" w:firstLine="200"/>
    </w:pPr>
    <w:rPr>
      <w:rFonts w:ascii="宋体" w:eastAsia="黑体" w:hAnsi="宋体" w:cs="宋体"/>
      <w:kern w:val="0"/>
      <w:sz w:val="24"/>
      <w:szCs w:val="21"/>
    </w:rPr>
  </w:style>
  <w:style w:type="paragraph" w:customStyle="1" w:styleId="120">
    <w:name w:val="目录 12"/>
    <w:basedOn w:val="a"/>
    <w:next w:val="a"/>
    <w:autoRedefine/>
    <w:uiPriority w:val="39"/>
    <w:semiHidden/>
    <w:qFormat/>
    <w:rsid w:val="00CD798F"/>
    <w:pPr>
      <w:widowControl/>
      <w:spacing w:beforeLines="50" w:before="50" w:afterLines="50"/>
      <w:ind w:firstLineChars="200" w:firstLine="200"/>
    </w:pPr>
    <w:rPr>
      <w:rFonts w:ascii="宋体" w:eastAsia="黑体" w:hAnsi="宋体" w:cs="宋体"/>
      <w:kern w:val="0"/>
      <w:sz w:val="24"/>
      <w:szCs w:val="21"/>
    </w:rPr>
  </w:style>
  <w:style w:type="paragraph" w:customStyle="1" w:styleId="22">
    <w:name w:val="目录 22"/>
    <w:basedOn w:val="a"/>
    <w:next w:val="a"/>
    <w:autoRedefine/>
    <w:uiPriority w:val="39"/>
    <w:semiHidden/>
    <w:qFormat/>
    <w:rsid w:val="00CD798F"/>
    <w:pPr>
      <w:widowControl/>
      <w:spacing w:beforeLines="50" w:before="50" w:afterLines="50"/>
      <w:ind w:leftChars="200" w:left="420" w:firstLineChars="200" w:firstLine="200"/>
    </w:pPr>
    <w:rPr>
      <w:rFonts w:ascii="宋体" w:eastAsia="黑体" w:hAnsi="宋体" w:cs="宋体"/>
      <w:kern w:val="0"/>
      <w:sz w:val="24"/>
      <w:szCs w:val="21"/>
    </w:rPr>
  </w:style>
  <w:style w:type="table" w:customStyle="1" w:styleId="33">
    <w:name w:val="网格型3"/>
    <w:basedOn w:val="a1"/>
    <w:uiPriority w:val="39"/>
    <w:qFormat/>
    <w:rsid w:val="00CD798F"/>
    <w:pPr>
      <w:spacing w:after="0" w:line="240" w:lineRule="auto"/>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报告表格1"/>
    <w:basedOn w:val="a1"/>
    <w:uiPriority w:val="99"/>
    <w:qFormat/>
    <w:rsid w:val="00CD798F"/>
    <w:pPr>
      <w:spacing w:after="0" w:line="240" w:lineRule="auto"/>
    </w:pPr>
    <w:rPr>
      <w:rFonts w:ascii="Times New Roman" w:eastAsia="宋体" w:hAnsi="Times New Roman" w:cs="Times New Roman"/>
      <w:sz w:val="18"/>
      <w:szCs w:val="21"/>
    </w:rPr>
    <w:tblPr/>
  </w:style>
  <w:style w:type="table" w:customStyle="1" w:styleId="113">
    <w:name w:val="网格型11"/>
    <w:basedOn w:val="a1"/>
    <w:uiPriority w:val="59"/>
    <w:qFormat/>
    <w:rsid w:val="00CD798F"/>
    <w:pPr>
      <w:spacing w:after="0" w:line="240" w:lineRule="auto"/>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网格型21"/>
    <w:basedOn w:val="a1"/>
    <w:uiPriority w:val="39"/>
    <w:qFormat/>
    <w:rsid w:val="00CD798F"/>
    <w:pPr>
      <w:spacing w:after="0" w:line="240" w:lineRule="auto"/>
    </w:pPr>
    <w:rPr>
      <w:rFonts w:ascii="Times New Roman" w:eastAsia="宋体" w:hAnsi="Times New Roman" w:cs="Times New Roman"/>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4">
    <w:name w:val="修订11"/>
    <w:hidden/>
    <w:uiPriority w:val="99"/>
    <w:semiHidden/>
    <w:qFormat/>
    <w:rsid w:val="00CD798F"/>
    <w:pPr>
      <w:spacing w:after="0" w:line="240" w:lineRule="auto"/>
    </w:pPr>
    <w:rPr>
      <w:rFonts w:ascii="Calibri" w:eastAsia="宋体" w:hAnsi="Calibri" w:cs="Times New Roman"/>
      <w:kern w:val="2"/>
      <w:sz w:val="21"/>
    </w:rPr>
  </w:style>
  <w:style w:type="paragraph" w:customStyle="1" w:styleId="23">
    <w:name w:val="修订2"/>
    <w:hidden/>
    <w:uiPriority w:val="99"/>
    <w:unhideWhenUsed/>
    <w:qFormat/>
    <w:rsid w:val="00CD798F"/>
    <w:pPr>
      <w:spacing w:after="0" w:line="240" w:lineRule="auto"/>
    </w:pPr>
    <w:rPr>
      <w:rFonts w:ascii="Calibri" w:eastAsia="宋体" w:hAnsi="Calibri" w:cs="Times New Roman"/>
      <w:kern w:val="2"/>
      <w:sz w:val="21"/>
    </w:rPr>
  </w:style>
  <w:style w:type="table" w:customStyle="1" w:styleId="310">
    <w:name w:val="网格型31"/>
    <w:basedOn w:val="a1"/>
    <w:uiPriority w:val="39"/>
    <w:qFormat/>
    <w:rsid w:val="00CD798F"/>
    <w:pPr>
      <w:spacing w:after="0" w:line="240" w:lineRule="auto"/>
    </w:pPr>
    <w:rPr>
      <w:rFonts w:ascii="Calibri" w:eastAsia="等线"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b">
    <w:name w:val="样式1"/>
    <w:basedOn w:val="a1"/>
    <w:uiPriority w:val="99"/>
    <w:qFormat/>
    <w:rsid w:val="00CD798F"/>
    <w:pPr>
      <w:spacing w:after="0" w:line="240" w:lineRule="auto"/>
    </w:pPr>
    <w:rPr>
      <w:rFonts w:ascii="Calibri" w:eastAsia="等线" w:hAnsi="Calibri" w:cs="Times New Roman"/>
      <w:sz w:val="20"/>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Pr>
  </w:style>
  <w:style w:type="table" w:customStyle="1" w:styleId="24">
    <w:name w:val="样式2"/>
    <w:basedOn w:val="a1"/>
    <w:uiPriority w:val="99"/>
    <w:qFormat/>
    <w:rsid w:val="00CD798F"/>
    <w:pPr>
      <w:spacing w:after="0" w:line="240" w:lineRule="auto"/>
    </w:pPr>
    <w:rPr>
      <w:rFonts w:ascii="Calibri" w:eastAsia="等线" w:hAnsi="Calibri" w:cs="Times New Roman"/>
      <w:sz w:val="20"/>
      <w:szCs w:val="20"/>
    </w:rPr>
    <w:tblP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CellMar>
        <w:left w:w="0" w:type="dxa"/>
        <w:right w:w="0" w:type="dxa"/>
      </w:tblCellMar>
    </w:tblPr>
  </w:style>
  <w:style w:type="paragraph" w:customStyle="1" w:styleId="TOC32">
    <w:name w:val="TOC 32"/>
    <w:basedOn w:val="a"/>
    <w:next w:val="a"/>
    <w:autoRedefine/>
    <w:uiPriority w:val="39"/>
    <w:semiHidden/>
    <w:qFormat/>
    <w:rsid w:val="00CD798F"/>
    <w:pPr>
      <w:widowControl/>
      <w:spacing w:beforeLines="50" w:before="50" w:afterLines="50"/>
      <w:ind w:leftChars="400" w:left="840" w:firstLineChars="200" w:firstLine="200"/>
    </w:pPr>
    <w:rPr>
      <w:rFonts w:ascii="宋体" w:eastAsia="黑体" w:hAnsi="宋体" w:cs="宋体"/>
      <w:kern w:val="0"/>
      <w:sz w:val="24"/>
      <w:szCs w:val="21"/>
    </w:rPr>
  </w:style>
  <w:style w:type="paragraph" w:customStyle="1" w:styleId="TOC12">
    <w:name w:val="TOC 12"/>
    <w:basedOn w:val="a"/>
    <w:next w:val="a"/>
    <w:autoRedefine/>
    <w:uiPriority w:val="39"/>
    <w:semiHidden/>
    <w:qFormat/>
    <w:rsid w:val="00CD798F"/>
    <w:pPr>
      <w:widowControl/>
      <w:spacing w:beforeLines="50" w:before="50" w:afterLines="50"/>
      <w:ind w:firstLineChars="200" w:firstLine="200"/>
    </w:pPr>
    <w:rPr>
      <w:rFonts w:ascii="宋体" w:eastAsia="黑体" w:hAnsi="宋体" w:cs="宋体"/>
      <w:kern w:val="0"/>
      <w:sz w:val="24"/>
      <w:szCs w:val="21"/>
    </w:rPr>
  </w:style>
  <w:style w:type="paragraph" w:customStyle="1" w:styleId="TOC22">
    <w:name w:val="TOC 22"/>
    <w:basedOn w:val="a"/>
    <w:next w:val="a"/>
    <w:autoRedefine/>
    <w:uiPriority w:val="39"/>
    <w:semiHidden/>
    <w:qFormat/>
    <w:rsid w:val="00CD798F"/>
    <w:pPr>
      <w:widowControl/>
      <w:spacing w:beforeLines="50" w:before="50" w:afterLines="50"/>
      <w:ind w:leftChars="200" w:left="420" w:firstLineChars="200" w:firstLine="200"/>
    </w:pPr>
    <w:rPr>
      <w:rFonts w:ascii="宋体" w:eastAsia="黑体" w:hAnsi="宋体" w:cs="宋体"/>
      <w:kern w:val="0"/>
      <w:sz w:val="24"/>
      <w:szCs w:val="21"/>
    </w:rPr>
  </w:style>
  <w:style w:type="table" w:customStyle="1" w:styleId="25">
    <w:name w:val="报告表格2"/>
    <w:basedOn w:val="a1"/>
    <w:uiPriority w:val="99"/>
    <w:qFormat/>
    <w:rsid w:val="00CD798F"/>
    <w:pPr>
      <w:spacing w:after="0" w:line="240" w:lineRule="auto"/>
    </w:pPr>
    <w:rPr>
      <w:rFonts w:ascii="Times New Roman" w:eastAsia="宋体" w:hAnsi="Times New Roman" w:cs="Times New Roman"/>
      <w:sz w:val="18"/>
      <w:szCs w:val="21"/>
    </w:rPr>
    <w:tblPr/>
  </w:style>
  <w:style w:type="table" w:customStyle="1" w:styleId="121">
    <w:name w:val="网格型12"/>
    <w:basedOn w:val="a1"/>
    <w:uiPriority w:val="39"/>
    <w:qFormat/>
    <w:rsid w:val="00CD798F"/>
    <w:pPr>
      <w:spacing w:after="0" w:line="240" w:lineRule="auto"/>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网格型22"/>
    <w:basedOn w:val="a1"/>
    <w:uiPriority w:val="39"/>
    <w:qFormat/>
    <w:rsid w:val="00CD798F"/>
    <w:pPr>
      <w:spacing w:after="0" w:line="240" w:lineRule="auto"/>
    </w:pPr>
    <w:rPr>
      <w:rFonts w:ascii="Times New Roman" w:eastAsia="宋体" w:hAnsi="Times New Roman" w:cs="Times New Roman"/>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4">
    <w:name w:val="修订3"/>
    <w:hidden/>
    <w:uiPriority w:val="99"/>
    <w:unhideWhenUsed/>
    <w:qFormat/>
    <w:rsid w:val="00CD798F"/>
    <w:pPr>
      <w:spacing w:after="0" w:line="240" w:lineRule="auto"/>
    </w:pPr>
    <w:rPr>
      <w:rFonts w:ascii="Calibri" w:eastAsia="宋体" w:hAnsi="Calibri" w:cs="Times New Roman"/>
      <w:kern w:val="2"/>
      <w:sz w:val="21"/>
    </w:rPr>
  </w:style>
  <w:style w:type="table" w:customStyle="1" w:styleId="320">
    <w:name w:val="网格型32"/>
    <w:basedOn w:val="a1"/>
    <w:uiPriority w:val="39"/>
    <w:qFormat/>
    <w:rsid w:val="00CD798F"/>
    <w:pPr>
      <w:spacing w:after="0" w:line="240" w:lineRule="auto"/>
    </w:pPr>
    <w:rPr>
      <w:rFonts w:ascii="Calibri" w:eastAsia="等线"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1">
    <w:name w:val="修订4"/>
    <w:hidden/>
    <w:uiPriority w:val="99"/>
    <w:unhideWhenUsed/>
    <w:qFormat/>
    <w:rsid w:val="00CD798F"/>
    <w:pPr>
      <w:spacing w:after="0" w:line="240" w:lineRule="auto"/>
    </w:pPr>
    <w:rPr>
      <w:kern w:val="2"/>
      <w:szCs w:val="24"/>
      <w14:ligatures w14:val="standardContextual"/>
    </w:rPr>
  </w:style>
  <w:style w:type="paragraph" w:customStyle="1" w:styleId="51">
    <w:name w:val="修订5"/>
    <w:hidden/>
    <w:uiPriority w:val="99"/>
    <w:unhideWhenUsed/>
    <w:qFormat/>
    <w:rsid w:val="00CD798F"/>
    <w:pPr>
      <w:spacing w:after="0" w:line="240" w:lineRule="auto"/>
    </w:pPr>
    <w:rPr>
      <w:kern w:val="2"/>
      <w:szCs w:val="24"/>
      <w14:ligatures w14:val="standardContextual"/>
    </w:rPr>
  </w:style>
  <w:style w:type="table" w:customStyle="1" w:styleId="130">
    <w:name w:val="网格型13"/>
    <w:basedOn w:val="a1"/>
    <w:uiPriority w:val="39"/>
    <w:qFormat/>
    <w:rsid w:val="00CD798F"/>
    <w:pPr>
      <w:spacing w:after="0" w:line="240" w:lineRule="auto"/>
    </w:pPr>
    <w:rPr>
      <w:rFonts w:ascii="Times New Roman" w:eastAsia="宋体" w:hAnsi="Times New Roman" w:cs="Times New Roman"/>
      <w:kern w:val="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0">
    <w:name w:val="网格型23"/>
    <w:basedOn w:val="a1"/>
    <w:uiPriority w:val="39"/>
    <w:qFormat/>
    <w:rsid w:val="00CD798F"/>
    <w:pPr>
      <w:spacing w:after="0" w:line="240" w:lineRule="auto"/>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30">
    <w:name w:val="目录 33"/>
    <w:basedOn w:val="a"/>
    <w:next w:val="a"/>
    <w:autoRedefine/>
    <w:uiPriority w:val="39"/>
    <w:semiHidden/>
    <w:qFormat/>
    <w:rsid w:val="00CD798F"/>
    <w:pPr>
      <w:widowControl/>
      <w:spacing w:beforeLines="50" w:before="50" w:afterLines="50"/>
      <w:ind w:leftChars="400" w:left="840" w:firstLineChars="200" w:firstLine="200"/>
    </w:pPr>
    <w:rPr>
      <w:rFonts w:ascii="宋体" w:eastAsia="黑体" w:hAnsi="宋体" w:cs="宋体"/>
      <w:kern w:val="0"/>
      <w:sz w:val="24"/>
      <w:szCs w:val="21"/>
    </w:rPr>
  </w:style>
  <w:style w:type="paragraph" w:customStyle="1" w:styleId="131">
    <w:name w:val="目录 13"/>
    <w:basedOn w:val="a"/>
    <w:next w:val="a"/>
    <w:autoRedefine/>
    <w:uiPriority w:val="39"/>
    <w:semiHidden/>
    <w:qFormat/>
    <w:rsid w:val="00CD798F"/>
    <w:pPr>
      <w:widowControl/>
      <w:spacing w:beforeLines="50" w:before="50" w:afterLines="50"/>
      <w:ind w:firstLineChars="200" w:firstLine="200"/>
    </w:pPr>
    <w:rPr>
      <w:rFonts w:ascii="宋体" w:eastAsia="黑体" w:hAnsi="宋体" w:cs="宋体"/>
      <w:kern w:val="0"/>
      <w:sz w:val="24"/>
      <w:szCs w:val="21"/>
    </w:rPr>
  </w:style>
  <w:style w:type="paragraph" w:customStyle="1" w:styleId="231">
    <w:name w:val="目录 23"/>
    <w:basedOn w:val="a"/>
    <w:next w:val="a"/>
    <w:autoRedefine/>
    <w:uiPriority w:val="39"/>
    <w:semiHidden/>
    <w:qFormat/>
    <w:rsid w:val="00CD798F"/>
    <w:pPr>
      <w:widowControl/>
      <w:spacing w:beforeLines="50" w:before="50" w:afterLines="50"/>
      <w:ind w:leftChars="200" w:left="420" w:firstLineChars="200" w:firstLine="200"/>
    </w:pPr>
    <w:rPr>
      <w:rFonts w:ascii="宋体" w:eastAsia="黑体" w:hAnsi="宋体" w:cs="宋体"/>
      <w:kern w:val="0"/>
      <w:sz w:val="24"/>
      <w:szCs w:val="21"/>
    </w:rPr>
  </w:style>
  <w:style w:type="table" w:customStyle="1" w:styleId="140">
    <w:name w:val="网格型14"/>
    <w:basedOn w:val="a1"/>
    <w:uiPriority w:val="39"/>
    <w:qFormat/>
    <w:rsid w:val="00CD798F"/>
    <w:pPr>
      <w:spacing w:after="0" w:line="240" w:lineRule="auto"/>
    </w:pPr>
    <w:rPr>
      <w:rFonts w:ascii="Times New Roman" w:eastAsia="宋体" w:hAnsi="Times New Roman" w:cs="Times New Roman"/>
      <w:kern w:val="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0">
    <w:name w:val="网格型24"/>
    <w:basedOn w:val="a1"/>
    <w:uiPriority w:val="39"/>
    <w:qFormat/>
    <w:rsid w:val="00CD798F"/>
    <w:pPr>
      <w:spacing w:after="0" w:line="240" w:lineRule="auto"/>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1">
    <w:name w:val="网格型33"/>
    <w:basedOn w:val="a1"/>
    <w:uiPriority w:val="39"/>
    <w:qFormat/>
    <w:rsid w:val="00CD798F"/>
    <w:pPr>
      <w:spacing w:after="0" w:line="240" w:lineRule="auto"/>
    </w:pPr>
    <w:rPr>
      <w:rFonts w:ascii="Calibri" w:eastAsia="等线"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510">
    <w:name w:val="修订51"/>
    <w:hidden/>
    <w:uiPriority w:val="99"/>
    <w:unhideWhenUsed/>
    <w:qFormat/>
    <w:rsid w:val="00CD798F"/>
    <w:pPr>
      <w:spacing w:after="0" w:line="240" w:lineRule="auto"/>
    </w:pPr>
    <w:rPr>
      <w:rFonts w:ascii="Calibri" w:eastAsia="宋体" w:hAnsi="Calibri" w:cs="Times New Roman"/>
      <w:kern w:val="2"/>
      <w:sz w:val="21"/>
    </w:rPr>
  </w:style>
  <w:style w:type="paragraph" w:customStyle="1" w:styleId="340">
    <w:name w:val="目录 34"/>
    <w:basedOn w:val="a"/>
    <w:next w:val="a"/>
    <w:autoRedefine/>
    <w:uiPriority w:val="39"/>
    <w:semiHidden/>
    <w:qFormat/>
    <w:rsid w:val="00CD798F"/>
    <w:pPr>
      <w:widowControl/>
      <w:spacing w:beforeLines="50" w:before="50" w:afterLines="50"/>
      <w:ind w:leftChars="400" w:left="840" w:firstLineChars="200" w:firstLine="200"/>
    </w:pPr>
    <w:rPr>
      <w:rFonts w:ascii="宋体" w:eastAsia="黑体" w:hAnsi="宋体" w:cs="宋体"/>
      <w:kern w:val="0"/>
      <w:sz w:val="24"/>
      <w:szCs w:val="21"/>
    </w:rPr>
  </w:style>
  <w:style w:type="paragraph" w:customStyle="1" w:styleId="141">
    <w:name w:val="目录 14"/>
    <w:basedOn w:val="a"/>
    <w:next w:val="a"/>
    <w:autoRedefine/>
    <w:uiPriority w:val="39"/>
    <w:semiHidden/>
    <w:qFormat/>
    <w:rsid w:val="00CD798F"/>
    <w:pPr>
      <w:widowControl/>
      <w:spacing w:beforeLines="50" w:before="50" w:afterLines="50"/>
      <w:ind w:firstLineChars="200" w:firstLine="200"/>
    </w:pPr>
    <w:rPr>
      <w:rFonts w:ascii="宋体" w:eastAsia="黑体" w:hAnsi="宋体" w:cs="宋体"/>
      <w:kern w:val="0"/>
      <w:sz w:val="24"/>
      <w:szCs w:val="21"/>
    </w:rPr>
  </w:style>
  <w:style w:type="paragraph" w:customStyle="1" w:styleId="241">
    <w:name w:val="目录 24"/>
    <w:basedOn w:val="a"/>
    <w:next w:val="a"/>
    <w:autoRedefine/>
    <w:uiPriority w:val="39"/>
    <w:semiHidden/>
    <w:qFormat/>
    <w:rsid w:val="00CD798F"/>
    <w:pPr>
      <w:widowControl/>
      <w:spacing w:beforeLines="50" w:before="50" w:afterLines="50"/>
      <w:ind w:leftChars="200" w:left="420" w:firstLineChars="200" w:firstLine="200"/>
    </w:pPr>
    <w:rPr>
      <w:rFonts w:ascii="宋体" w:eastAsia="黑体" w:hAnsi="宋体" w:cs="宋体"/>
      <w:kern w:val="0"/>
      <w:sz w:val="24"/>
      <w:szCs w:val="21"/>
    </w:rPr>
  </w:style>
  <w:style w:type="table" w:customStyle="1" w:styleId="150">
    <w:name w:val="网格型15"/>
    <w:basedOn w:val="a1"/>
    <w:uiPriority w:val="39"/>
    <w:qFormat/>
    <w:rsid w:val="00CD798F"/>
    <w:pPr>
      <w:spacing w:after="0" w:line="240" w:lineRule="auto"/>
    </w:pPr>
    <w:rPr>
      <w:rFonts w:ascii="Times New Roman" w:eastAsia="宋体" w:hAnsi="Times New Roman" w:cs="Times New Roman"/>
      <w:kern w:val="2"/>
      <w:szCs w:val="24"/>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0">
    <w:name w:val="网格型25"/>
    <w:basedOn w:val="a1"/>
    <w:uiPriority w:val="39"/>
    <w:qFormat/>
    <w:rsid w:val="00CD798F"/>
    <w:pPr>
      <w:spacing w:after="0" w:line="240" w:lineRule="auto"/>
    </w:pPr>
    <w:rPr>
      <w:rFonts w:ascii="Times New Roman" w:eastAsia="宋体" w:hAnsi="Times New Roman" w:cs="Times New Roman"/>
      <w:kern w:val="2"/>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1">
    <w:name w:val="网格型34"/>
    <w:basedOn w:val="a1"/>
    <w:uiPriority w:val="39"/>
    <w:qFormat/>
    <w:rsid w:val="00CD798F"/>
    <w:pPr>
      <w:spacing w:after="0" w:line="240" w:lineRule="auto"/>
    </w:pPr>
    <w:rPr>
      <w:rFonts w:ascii="Calibri" w:eastAsia="等线"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01">
    <w:name w:val="001一级标题"/>
    <w:qFormat/>
    <w:rsid w:val="00CD798F"/>
    <w:pPr>
      <w:keepNext/>
      <w:keepLines/>
      <w:pageBreakBefore/>
      <w:widowControl w:val="0"/>
      <w:spacing w:beforeLines="50" w:before="50" w:afterLines="50" w:after="50" w:line="360" w:lineRule="auto"/>
      <w:ind w:firstLineChars="200" w:firstLine="200"/>
      <w:jc w:val="both"/>
      <w:outlineLvl w:val="0"/>
    </w:pPr>
    <w:rPr>
      <w:rFonts w:ascii="Times New Roman" w:eastAsia="黑体" w:hAnsi="Times New Roman" w:cs="Times New Roman"/>
      <w:bCs/>
      <w:kern w:val="2"/>
      <w:sz w:val="24"/>
      <w:szCs w:val="28"/>
    </w:rPr>
  </w:style>
  <w:style w:type="paragraph" w:customStyle="1" w:styleId="002">
    <w:name w:val="002二级标题"/>
    <w:qFormat/>
    <w:rsid w:val="00CD798F"/>
    <w:pPr>
      <w:keepNext/>
      <w:keepLines/>
      <w:widowControl w:val="0"/>
      <w:spacing w:beforeLines="50" w:before="50" w:afterLines="50" w:after="50" w:line="360" w:lineRule="auto"/>
      <w:ind w:firstLineChars="200" w:firstLine="200"/>
      <w:jc w:val="both"/>
      <w:outlineLvl w:val="1"/>
    </w:pPr>
    <w:rPr>
      <w:rFonts w:ascii="Times New Roman" w:eastAsia="宋体" w:hAnsi="Times New Roman" w:cs="Times New Roman"/>
      <w:b/>
      <w:bCs/>
      <w:kern w:val="2"/>
      <w:sz w:val="24"/>
      <w:szCs w:val="28"/>
    </w:rPr>
  </w:style>
  <w:style w:type="paragraph" w:customStyle="1" w:styleId="003">
    <w:name w:val="003三级标题"/>
    <w:link w:val="003Char"/>
    <w:qFormat/>
    <w:rsid w:val="00CD798F"/>
    <w:pPr>
      <w:keepNext/>
      <w:keepLines/>
      <w:widowControl w:val="0"/>
      <w:spacing w:beforeLines="50" w:before="50" w:afterLines="50" w:after="50" w:line="360" w:lineRule="auto"/>
      <w:ind w:firstLineChars="200" w:firstLine="200"/>
      <w:jc w:val="both"/>
      <w:outlineLvl w:val="2"/>
    </w:pPr>
    <w:rPr>
      <w:rFonts w:ascii="Times New Roman" w:eastAsia="宋体" w:hAnsi="Times New Roman" w:cs="Times New Roman"/>
      <w:b/>
      <w:bCs/>
      <w:kern w:val="2"/>
      <w:sz w:val="24"/>
      <w:szCs w:val="28"/>
    </w:rPr>
  </w:style>
  <w:style w:type="paragraph" w:customStyle="1" w:styleId="004">
    <w:name w:val="004四级标题"/>
    <w:link w:val="004Char"/>
    <w:qFormat/>
    <w:rsid w:val="00CD798F"/>
    <w:pPr>
      <w:keepNext/>
      <w:keepLines/>
      <w:widowControl w:val="0"/>
      <w:spacing w:beforeLines="50" w:before="50" w:afterLines="50" w:after="50" w:line="360" w:lineRule="auto"/>
      <w:ind w:firstLineChars="200" w:firstLine="200"/>
      <w:jc w:val="both"/>
      <w:outlineLvl w:val="3"/>
    </w:pPr>
    <w:rPr>
      <w:rFonts w:ascii="Times New Roman" w:eastAsia="宋体" w:hAnsi="Times New Roman" w:cs="Times New Roman"/>
      <w:b/>
      <w:bCs/>
      <w:kern w:val="2"/>
      <w:sz w:val="24"/>
      <w:szCs w:val="28"/>
    </w:rPr>
  </w:style>
  <w:style w:type="paragraph" w:customStyle="1" w:styleId="0050">
    <w:name w:val="005加粗"/>
    <w:qFormat/>
    <w:rsid w:val="00CD798F"/>
    <w:pPr>
      <w:widowControl w:val="0"/>
      <w:spacing w:beforeLines="50" w:before="50" w:afterLines="50" w:after="50" w:line="360" w:lineRule="auto"/>
      <w:ind w:firstLineChars="200" w:firstLine="200"/>
      <w:jc w:val="both"/>
    </w:pPr>
    <w:rPr>
      <w:rFonts w:ascii="Times New Roman" w:eastAsia="黑体" w:hAnsi="Times New Roman" w:cs="Times New Roman"/>
      <w:kern w:val="2"/>
      <w:sz w:val="24"/>
    </w:rPr>
  </w:style>
  <w:style w:type="paragraph" w:customStyle="1" w:styleId="006">
    <w:name w:val="006备注"/>
    <w:qFormat/>
    <w:rsid w:val="00CD798F"/>
    <w:pPr>
      <w:widowControl w:val="0"/>
      <w:spacing w:after="0" w:line="240" w:lineRule="auto"/>
      <w:ind w:firstLineChars="200" w:firstLine="200"/>
      <w:jc w:val="both"/>
    </w:pPr>
    <w:rPr>
      <w:rFonts w:ascii="Times New Roman" w:eastAsia="宋体" w:hAnsi="Times New Roman" w:cs="Arial"/>
      <w:bCs/>
      <w:kern w:val="2"/>
      <w:sz w:val="21"/>
    </w:rPr>
  </w:style>
  <w:style w:type="paragraph" w:customStyle="1" w:styleId="009">
    <w:name w:val="009单位"/>
    <w:qFormat/>
    <w:rsid w:val="00CD798F"/>
    <w:pPr>
      <w:keepNext/>
      <w:widowControl w:val="0"/>
      <w:spacing w:after="0" w:line="240" w:lineRule="auto"/>
      <w:jc w:val="right"/>
    </w:pPr>
    <w:rPr>
      <w:rFonts w:ascii="Times New Roman" w:eastAsia="宋体" w:hAnsi="Times New Roman" w:cs="Times New Roman"/>
      <w:kern w:val="2"/>
      <w:sz w:val="21"/>
    </w:rPr>
  </w:style>
  <w:style w:type="paragraph" w:customStyle="1" w:styleId="61">
    <w:name w:val="修订6"/>
    <w:hidden/>
    <w:uiPriority w:val="99"/>
    <w:unhideWhenUsed/>
    <w:qFormat/>
    <w:rsid w:val="00CD798F"/>
    <w:pPr>
      <w:spacing w:after="0" w:line="240" w:lineRule="auto"/>
    </w:pPr>
    <w:rPr>
      <w:kern w:val="2"/>
      <w:szCs w:val="24"/>
      <w14:ligatures w14:val="standardContextual"/>
    </w:rPr>
  </w:style>
  <w:style w:type="paragraph" w:customStyle="1" w:styleId="71">
    <w:name w:val="修订7"/>
    <w:hidden/>
    <w:uiPriority w:val="99"/>
    <w:unhideWhenUsed/>
    <w:qFormat/>
    <w:rsid w:val="00CD798F"/>
    <w:pPr>
      <w:spacing w:after="0" w:line="240" w:lineRule="auto"/>
    </w:pPr>
    <w:rPr>
      <w:kern w:val="2"/>
      <w:szCs w:val="24"/>
      <w14:ligatures w14:val="standardContextual"/>
    </w:rPr>
  </w:style>
  <w:style w:type="table" w:customStyle="1" w:styleId="42">
    <w:name w:val="网格型4"/>
    <w:basedOn w:val="a1"/>
    <w:uiPriority w:val="39"/>
    <w:qFormat/>
    <w:rsid w:val="00CD798F"/>
    <w:pPr>
      <w:spacing w:after="0" w:line="240" w:lineRule="auto"/>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1"/>
    <w:qFormat/>
    <w:rsid w:val="00CD798F"/>
    <w:pPr>
      <w:spacing w:after="0" w:line="240" w:lineRule="auto"/>
    </w:pPr>
    <w:rPr>
      <w:rFonts w:ascii="Times New Roman" w:eastAsia="宋体"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62">
    <w:name w:val="网格型6"/>
    <w:basedOn w:val="a1"/>
    <w:autoRedefine/>
    <w:uiPriority w:val="59"/>
    <w:qFormat/>
    <w:rsid w:val="00CD798F"/>
    <w:pPr>
      <w:spacing w:after="0" w:line="240" w:lineRule="auto"/>
    </w:pPr>
    <w:rPr>
      <w:rFonts w:ascii="Times New Roman" w:eastAsia="宋体" w:hAnsi="Times New Roman" w:cs="Times New Roman"/>
      <w:sz w:val="20"/>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81">
    <w:name w:val="修订8"/>
    <w:hidden/>
    <w:uiPriority w:val="99"/>
    <w:unhideWhenUsed/>
    <w:qFormat/>
    <w:rsid w:val="00CD798F"/>
    <w:pPr>
      <w:spacing w:after="0" w:line="240" w:lineRule="auto"/>
    </w:pPr>
    <w:rPr>
      <w:kern w:val="2"/>
      <w:szCs w:val="24"/>
      <w14:ligatures w14:val="standardContextual"/>
    </w:rPr>
  </w:style>
  <w:style w:type="character" w:customStyle="1" w:styleId="font31">
    <w:name w:val="font31"/>
    <w:basedOn w:val="a0"/>
    <w:semiHidden/>
    <w:qFormat/>
    <w:rsid w:val="00CD798F"/>
    <w:rPr>
      <w:rFonts w:ascii="楷体" w:eastAsia="楷体" w:hAnsi="楷体" w:hint="eastAsia"/>
      <w:b/>
      <w:bCs/>
      <w:color w:val="FF0000"/>
      <w:sz w:val="22"/>
      <w:szCs w:val="22"/>
      <w:u w:val="none"/>
    </w:rPr>
  </w:style>
  <w:style w:type="paragraph" w:customStyle="1" w:styleId="91">
    <w:name w:val="修订9"/>
    <w:hidden/>
    <w:uiPriority w:val="99"/>
    <w:unhideWhenUsed/>
    <w:qFormat/>
    <w:rsid w:val="00CD798F"/>
    <w:pPr>
      <w:spacing w:after="0" w:line="240" w:lineRule="auto"/>
    </w:pPr>
    <w:rPr>
      <w:kern w:val="2"/>
      <w:szCs w:val="24"/>
      <w14:ligatures w14:val="standardContextual"/>
    </w:rPr>
  </w:style>
  <w:style w:type="paragraph" w:customStyle="1" w:styleId="100">
    <w:name w:val="修订10"/>
    <w:hidden/>
    <w:uiPriority w:val="99"/>
    <w:unhideWhenUsed/>
    <w:qFormat/>
    <w:rsid w:val="00CD798F"/>
    <w:pPr>
      <w:spacing w:after="0" w:line="240" w:lineRule="auto"/>
    </w:pPr>
    <w:rPr>
      <w:kern w:val="2"/>
      <w:szCs w:val="24"/>
      <w14:ligatures w14:val="standardContextual"/>
    </w:rPr>
  </w:style>
  <w:style w:type="paragraph" w:customStyle="1" w:styleId="122">
    <w:name w:val="修订12"/>
    <w:hidden/>
    <w:uiPriority w:val="99"/>
    <w:unhideWhenUsed/>
    <w:qFormat/>
    <w:rsid w:val="00CD798F"/>
    <w:pPr>
      <w:spacing w:after="0" w:line="240" w:lineRule="auto"/>
    </w:pPr>
    <w:rPr>
      <w:kern w:val="2"/>
      <w:szCs w:val="24"/>
      <w14:ligatures w14:val="standardContextual"/>
    </w:rPr>
  </w:style>
  <w:style w:type="table" w:customStyle="1" w:styleId="72">
    <w:name w:val="网格型7"/>
    <w:basedOn w:val="a1"/>
    <w:qFormat/>
    <w:rsid w:val="00CD798F"/>
    <w:pPr>
      <w:widowControl w:val="0"/>
      <w:spacing w:after="0" w:line="240" w:lineRule="auto"/>
      <w:jc w:val="both"/>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2">
    <w:name w:val="网格型8"/>
    <w:basedOn w:val="a1"/>
    <w:qFormat/>
    <w:rsid w:val="00CD798F"/>
    <w:pPr>
      <w:widowControl w:val="0"/>
      <w:spacing w:after="0" w:line="240" w:lineRule="auto"/>
      <w:jc w:val="both"/>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2">
    <w:name w:val="网格型9"/>
    <w:basedOn w:val="a1"/>
    <w:qFormat/>
    <w:rsid w:val="00CD798F"/>
    <w:pPr>
      <w:widowControl w:val="0"/>
      <w:spacing w:after="0" w:line="240" w:lineRule="auto"/>
      <w:jc w:val="both"/>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tcBorders>
        <w:top w:val="single" w:sz="4" w:space="0" w:color="auto"/>
        <w:left w:val="single" w:sz="4" w:space="0" w:color="auto"/>
        <w:bottom w:val="single" w:sz="4" w:space="0" w:color="auto"/>
        <w:right w:val="single" w:sz="4" w:space="0" w:color="auto"/>
      </w:tcBorders>
    </w:tcPr>
  </w:style>
  <w:style w:type="paragraph" w:customStyle="1" w:styleId="WPSOffice1">
    <w:name w:val="WPSOffice手动目录 1"/>
    <w:semiHidden/>
    <w:qFormat/>
    <w:rsid w:val="00CD798F"/>
    <w:pPr>
      <w:spacing w:after="0" w:line="240" w:lineRule="auto"/>
    </w:pPr>
    <w:rPr>
      <w:rFonts w:ascii="Times New Roman" w:eastAsia="宋体" w:hAnsi="Times New Roman" w:cs="Times New Roman"/>
      <w:sz w:val="20"/>
      <w:szCs w:val="20"/>
    </w:rPr>
  </w:style>
  <w:style w:type="paragraph" w:customStyle="1" w:styleId="132">
    <w:name w:val="修订13"/>
    <w:hidden/>
    <w:uiPriority w:val="99"/>
    <w:unhideWhenUsed/>
    <w:qFormat/>
    <w:rsid w:val="00CD798F"/>
    <w:pPr>
      <w:spacing w:after="0" w:line="240" w:lineRule="auto"/>
    </w:pPr>
    <w:rPr>
      <w:kern w:val="2"/>
      <w:szCs w:val="24"/>
      <w14:ligatures w14:val="standardContextual"/>
    </w:rPr>
  </w:style>
  <w:style w:type="paragraph" w:customStyle="1" w:styleId="142">
    <w:name w:val="修订14"/>
    <w:hidden/>
    <w:uiPriority w:val="99"/>
    <w:unhideWhenUsed/>
    <w:qFormat/>
    <w:rsid w:val="00CD798F"/>
    <w:pPr>
      <w:spacing w:after="0" w:line="240" w:lineRule="auto"/>
    </w:pPr>
    <w:rPr>
      <w:kern w:val="2"/>
      <w:szCs w:val="24"/>
      <w14:ligatures w14:val="standardContextual"/>
    </w:rPr>
  </w:style>
  <w:style w:type="paragraph" w:customStyle="1" w:styleId="151">
    <w:name w:val="修订15"/>
    <w:hidden/>
    <w:uiPriority w:val="99"/>
    <w:unhideWhenUsed/>
    <w:qFormat/>
    <w:rsid w:val="00CD798F"/>
    <w:pPr>
      <w:spacing w:after="0" w:line="240" w:lineRule="auto"/>
    </w:pPr>
    <w:rPr>
      <w:kern w:val="2"/>
      <w:szCs w:val="24"/>
      <w14:ligatures w14:val="standardContextual"/>
    </w:rPr>
  </w:style>
  <w:style w:type="paragraph" w:customStyle="1" w:styleId="160">
    <w:name w:val="修订16"/>
    <w:hidden/>
    <w:uiPriority w:val="99"/>
    <w:unhideWhenUsed/>
    <w:qFormat/>
    <w:rsid w:val="00CD798F"/>
    <w:pPr>
      <w:spacing w:after="0" w:line="240" w:lineRule="auto"/>
    </w:pPr>
    <w:rPr>
      <w:kern w:val="2"/>
      <w:szCs w:val="24"/>
      <w14:ligatures w14:val="standardContextual"/>
    </w:rPr>
  </w:style>
  <w:style w:type="table" w:customStyle="1" w:styleId="101">
    <w:name w:val="网格型10"/>
    <w:uiPriority w:val="39"/>
    <w:qFormat/>
    <w:rsid w:val="00CD798F"/>
    <w:pPr>
      <w:widowControl w:val="0"/>
      <w:spacing w:after="0" w:line="240" w:lineRule="auto"/>
      <w:jc w:val="both"/>
    </w:pPr>
    <w:rPr>
      <w:rFonts w:ascii="Times New Roman" w:eastAsia="宋体"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customStyle="1" w:styleId="font61">
    <w:name w:val="font61"/>
    <w:semiHidden/>
    <w:qFormat/>
    <w:rsid w:val="00CD798F"/>
    <w:rPr>
      <w:rFonts w:ascii="宋体" w:eastAsia="宋体" w:hAnsi="宋体" w:cs="宋体" w:hint="eastAsia"/>
      <w:color w:val="000000"/>
      <w:sz w:val="20"/>
      <w:szCs w:val="20"/>
      <w:u w:val="none"/>
    </w:rPr>
  </w:style>
  <w:style w:type="character" w:customStyle="1" w:styleId="font51">
    <w:name w:val="font51"/>
    <w:semiHidden/>
    <w:qFormat/>
    <w:rsid w:val="00CD798F"/>
    <w:rPr>
      <w:rFonts w:ascii="宋体" w:eastAsia="宋体" w:hAnsi="宋体" w:cs="宋体" w:hint="eastAsia"/>
      <w:color w:val="000000"/>
      <w:sz w:val="20"/>
      <w:szCs w:val="20"/>
      <w:u w:val="none"/>
    </w:rPr>
  </w:style>
  <w:style w:type="character" w:customStyle="1" w:styleId="font41">
    <w:name w:val="font41"/>
    <w:semiHidden/>
    <w:qFormat/>
    <w:rsid w:val="00CD798F"/>
    <w:rPr>
      <w:rFonts w:ascii="宋体" w:eastAsia="宋体" w:hAnsi="宋体" w:cs="宋体" w:hint="eastAsia"/>
      <w:b/>
      <w:bCs/>
      <w:color w:val="000000"/>
      <w:sz w:val="20"/>
      <w:szCs w:val="20"/>
      <w:u w:val="none"/>
    </w:rPr>
  </w:style>
  <w:style w:type="table" w:customStyle="1" w:styleId="1c">
    <w:name w:val="表格1"/>
    <w:uiPriority w:val="99"/>
    <w:qFormat/>
    <w:rsid w:val="00CD798F"/>
    <w:pPr>
      <w:spacing w:after="0" w:line="240" w:lineRule="auto"/>
    </w:pPr>
    <w:rPr>
      <w:rFonts w:ascii="Times New Roman" w:eastAsia="宋体" w:hAnsi="Times New Roman" w:cs="Times New Roman"/>
      <w:sz w:val="20"/>
      <w:szCs w:val="20"/>
    </w:rPr>
    <w:tblPr>
      <w:jc w:val="center"/>
      <w:tblBorders>
        <w:top w:val="single" w:sz="4" w:space="0" w:color="auto"/>
        <w:bottom w:val="single" w:sz="4" w:space="0" w:color="auto"/>
        <w:insideH w:val="single" w:sz="4" w:space="0" w:color="auto"/>
        <w:insideV w:val="single" w:sz="4" w:space="0" w:color="auto"/>
      </w:tblBorders>
      <w:tblCellMar>
        <w:top w:w="0" w:type="dxa"/>
        <w:left w:w="0" w:type="dxa"/>
        <w:bottom w:w="0" w:type="dxa"/>
        <w:right w:w="0" w:type="dxa"/>
      </w:tblCellMar>
    </w:tblPr>
    <w:trPr>
      <w:jc w:val="center"/>
    </w:trPr>
    <w:tcPr>
      <w:vAlign w:val="center"/>
    </w:tcPr>
  </w:style>
  <w:style w:type="character" w:customStyle="1" w:styleId="font71">
    <w:name w:val="font71"/>
    <w:semiHidden/>
    <w:qFormat/>
    <w:rsid w:val="00CD798F"/>
    <w:rPr>
      <w:rFonts w:ascii="宋体" w:eastAsia="宋体" w:hAnsi="宋体" w:cs="宋体" w:hint="eastAsia"/>
      <w:color w:val="000000"/>
      <w:sz w:val="18"/>
      <w:szCs w:val="18"/>
      <w:u w:val="none"/>
    </w:rPr>
  </w:style>
  <w:style w:type="paragraph" w:customStyle="1" w:styleId="Style13">
    <w:name w:val="_Style 13"/>
    <w:semiHidden/>
    <w:qFormat/>
    <w:rsid w:val="00CD798F"/>
    <w:pPr>
      <w:spacing w:before="120" w:after="120" w:line="288" w:lineRule="auto"/>
    </w:pPr>
    <w:rPr>
      <w:rFonts w:ascii="Arial" w:eastAsia="等线" w:hAnsi="Arial" w:cs="Arial"/>
    </w:rPr>
  </w:style>
  <w:style w:type="paragraph" w:customStyle="1" w:styleId="TableText">
    <w:name w:val="Table Text"/>
    <w:semiHidden/>
    <w:qFormat/>
    <w:rsid w:val="00CD798F"/>
    <w:pPr>
      <w:kinsoku w:val="0"/>
      <w:autoSpaceDE w:val="0"/>
      <w:autoSpaceDN w:val="0"/>
      <w:adjustRightInd w:val="0"/>
      <w:snapToGrid w:val="0"/>
      <w:spacing w:after="0" w:line="240" w:lineRule="auto"/>
      <w:textAlignment w:val="baseline"/>
    </w:pPr>
    <w:rPr>
      <w:rFonts w:ascii="宋体" w:eastAsia="宋体" w:hAnsi="宋体" w:cs="宋体"/>
      <w:snapToGrid w:val="0"/>
      <w:color w:val="000000"/>
      <w:sz w:val="21"/>
      <w:szCs w:val="21"/>
      <w:lang w:eastAsia="en-US"/>
    </w:rPr>
  </w:style>
  <w:style w:type="paragraph" w:customStyle="1" w:styleId="170">
    <w:name w:val="修订17"/>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180">
    <w:name w:val="修订18"/>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190">
    <w:name w:val="修订19"/>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00">
    <w:name w:val="修订20"/>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12">
    <w:name w:val="修订21"/>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21">
    <w:name w:val="修订22"/>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32">
    <w:name w:val="修订23"/>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42">
    <w:name w:val="修订24"/>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51">
    <w:name w:val="修订25"/>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6">
    <w:name w:val="修订26"/>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table" w:customStyle="1" w:styleId="161">
    <w:name w:val="网格型16"/>
    <w:basedOn w:val="a1"/>
    <w:next w:val="a7"/>
    <w:uiPriority w:val="39"/>
    <w:qFormat/>
    <w:rsid w:val="00CD798F"/>
    <w:pPr>
      <w:spacing w:line="278" w:lineRule="auto"/>
    </w:pPr>
    <w:rPr>
      <w:rFonts w:ascii="Arial Narrow" w:eastAsia="仿宋" w:hAnsi="Arial Narrow"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53">
    <w:name w:val="List 5"/>
    <w:basedOn w:val="a"/>
    <w:uiPriority w:val="99"/>
    <w:semiHidden/>
    <w:qFormat/>
    <w:rsid w:val="00CD798F"/>
    <w:pPr>
      <w:widowControl/>
      <w:spacing w:beforeLines="50" w:before="50" w:afterLines="50" w:after="50" w:line="360" w:lineRule="auto"/>
      <w:ind w:leftChars="800" w:left="100" w:hangingChars="200" w:hanging="200"/>
    </w:pPr>
    <w:rPr>
      <w:rFonts w:ascii="宋体" w:hAnsi="宋体"/>
      <w:kern w:val="0"/>
      <w:sz w:val="24"/>
    </w:rPr>
  </w:style>
  <w:style w:type="table" w:customStyle="1" w:styleId="171">
    <w:name w:val="网格型17"/>
    <w:basedOn w:val="a1"/>
    <w:next w:val="a7"/>
    <w:qFormat/>
    <w:rsid w:val="00CD798F"/>
    <w:pPr>
      <w:spacing w:after="0" w:line="240" w:lineRule="auto"/>
    </w:pPr>
    <w:rPr>
      <w:rFonts w:ascii="Times New Roman" w:eastAsia="宋体"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affd">
    <w:name w:val="Revision"/>
    <w:hidden/>
    <w:uiPriority w:val="99"/>
    <w:unhideWhenUsed/>
    <w:rsid w:val="00CD798F"/>
    <w:pPr>
      <w:spacing w:after="0" w:line="240" w:lineRule="auto"/>
    </w:pPr>
    <w:rPr>
      <w:rFonts w:ascii="Times New Roman" w:eastAsia="宋体" w:hAnsi="Times New Roman"/>
      <w:kern w:val="2"/>
      <w:sz w:val="24"/>
      <w:szCs w:val="24"/>
      <w14:ligatures w14:val="standardContextual"/>
    </w:rPr>
  </w:style>
  <w:style w:type="character" w:customStyle="1" w:styleId="003Char">
    <w:name w:val="003三级标题 Char"/>
    <w:link w:val="003"/>
    <w:qFormat/>
    <w:rsid w:val="00CD798F"/>
    <w:rPr>
      <w:rFonts w:ascii="Times New Roman" w:eastAsia="宋体" w:hAnsi="Times New Roman" w:cs="Times New Roman"/>
      <w:b/>
      <w:bCs/>
      <w:kern w:val="2"/>
      <w:sz w:val="24"/>
      <w:szCs w:val="28"/>
    </w:rPr>
  </w:style>
  <w:style w:type="paragraph" w:styleId="27">
    <w:name w:val="Body Text First Indent 2"/>
    <w:basedOn w:val="af1"/>
    <w:link w:val="28"/>
    <w:uiPriority w:val="99"/>
    <w:unhideWhenUsed/>
    <w:qFormat/>
    <w:rsid w:val="00CD798F"/>
    <w:pPr>
      <w:spacing w:beforeLines="0" w:before="0" w:afterLines="0" w:after="120" w:line="240" w:lineRule="auto"/>
      <w:ind w:leftChars="200" w:left="420" w:right="0" w:firstLine="420"/>
    </w:pPr>
    <w:rPr>
      <w:rFonts w:ascii="等线" w:eastAsia="等线" w:hAnsi="等线"/>
      <w:sz w:val="21"/>
      <w:szCs w:val="21"/>
    </w:rPr>
  </w:style>
  <w:style w:type="character" w:customStyle="1" w:styleId="28">
    <w:name w:val="正文文本首行缩进 2 字符"/>
    <w:basedOn w:val="af2"/>
    <w:link w:val="27"/>
    <w:uiPriority w:val="99"/>
    <w:qFormat/>
    <w:rsid w:val="00CD798F"/>
    <w:rPr>
      <w:rFonts w:ascii="等线" w:eastAsia="等线" w:hAnsi="等线" w:cs="Times New Roman"/>
      <w:sz w:val="21"/>
      <w:szCs w:val="21"/>
    </w:rPr>
  </w:style>
  <w:style w:type="character" w:customStyle="1" w:styleId="004Char">
    <w:name w:val="004四级标题 Char"/>
    <w:link w:val="004"/>
    <w:qFormat/>
    <w:rsid w:val="00CD798F"/>
    <w:rPr>
      <w:rFonts w:ascii="Times New Roman" w:eastAsia="宋体" w:hAnsi="Times New Roman" w:cs="Times New Roman"/>
      <w:b/>
      <w:bCs/>
      <w:kern w:val="2"/>
      <w:sz w:val="24"/>
      <w:szCs w:val="28"/>
    </w:rPr>
  </w:style>
  <w:style w:type="table" w:customStyle="1" w:styleId="-">
    <w:name w:val="表格-东洲标准"/>
    <w:basedOn w:val="a1"/>
    <w:uiPriority w:val="99"/>
    <w:qFormat/>
    <w:rsid w:val="00CD798F"/>
    <w:pPr>
      <w:adjustRightInd w:val="0"/>
      <w:snapToGrid w:val="0"/>
      <w:spacing w:after="0" w:line="240" w:lineRule="auto"/>
      <w:jc w:val="center"/>
    </w:pPr>
    <w:rPr>
      <w:rFonts w:ascii="宋体" w:eastAsia="宋体" w:hAnsi="宋体" w:cs="Times New Roman"/>
      <w:sz w:val="18"/>
      <w:szCs w:val="20"/>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wordWrap/>
        <w:adjustRightInd w:val="0"/>
        <w:snapToGrid w:val="0"/>
        <w:spacing w:before="0" w:beforeAutospacing="0" w:after="0" w:afterAutospacing="0" w:line="420" w:lineRule="auto"/>
        <w:contextualSpacing w:val="0"/>
      </w:pPr>
      <w:rPr>
        <w:rFonts w:ascii="黑体" w:eastAsia="宋体" w:hAnsi="黑体" w:cstheme="majorBidi"/>
        <w:b/>
        <w:bCs/>
        <w:i w:val="0"/>
        <w:sz w:val="18"/>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tcPr>
    </w:tblStylePr>
    <w:tblStylePr w:type="lastRow">
      <w:pPr>
        <w:spacing w:before="0" w:after="0" w:line="240" w:lineRule="auto"/>
      </w:pPr>
      <w:rPr>
        <w:rFonts w:asciiTheme="majorHAnsi" w:eastAsia="宋体" w:hAnsiTheme="majorHAnsi" w:cstheme="majorBidi"/>
        <w:b w:val="0"/>
        <w:bCs/>
        <w:sz w:val="18"/>
      </w:rPr>
      <w:tblPr/>
      <w:tcPr>
        <w:tcBorders>
          <w:top w:val="single" w:sz="4" w:space="0" w:color="auto"/>
          <w:left w:val="single" w:sz="4" w:space="0" w:color="auto"/>
          <w:bottom w:val="single" w:sz="6" w:space="0" w:color="auto"/>
          <w:right w:val="single" w:sz="6" w:space="0" w:color="auto"/>
          <w:insideH w:val="nil"/>
          <w:insideV w:val="single" w:sz="6" w:space="0" w:color="auto"/>
        </w:tcBorders>
      </w:tcPr>
    </w:tblStylePr>
    <w:tblStylePr w:type="firstCol">
      <w:rPr>
        <w:rFonts w:ascii="宋体" w:eastAsia="宋体" w:hAnsi="宋体" w:cstheme="majorBidi"/>
        <w:b w:val="0"/>
        <w:bCs/>
        <w:i w:val="0"/>
        <w:sz w:val="18"/>
      </w:rPr>
    </w:tblStylePr>
    <w:tblStylePr w:type="lastCol">
      <w:rPr>
        <w:rFonts w:asciiTheme="majorHAnsi" w:eastAsia="宋体" w:hAnsiTheme="majorHAnsi" w:cstheme="majorBidi"/>
        <w:b w:val="0"/>
        <w:bCs/>
        <w:sz w:val="18"/>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Vert">
      <w:rPr>
        <w:rFonts w:eastAsia="宋体"/>
        <w:sz w:val="18"/>
      </w:rPr>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shd w:val="clear" w:color="auto" w:fill="D6E6F4" w:themeFill="accent1" w:themeFillTint="3F"/>
      </w:tcPr>
    </w:tblStylePr>
    <w:tblStylePr w:type="band2Vert">
      <w:rPr>
        <w:rFonts w:eastAsia="宋体"/>
        <w:b w:val="0"/>
        <w:sz w:val="18"/>
      </w:rPr>
    </w:tblStylePr>
    <w:tblStylePr w:type="band1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tblStylePr w:type="band2Horz">
      <w:rPr>
        <w:rFonts w:eastAsia="宋体"/>
        <w:sz w:val="18"/>
      </w:rPr>
      <w:tblPr/>
      <w:tcPr>
        <w:tcBorders>
          <w:top w:val="single" w:sz="6" w:space="0" w:color="auto"/>
          <w:left w:val="single" w:sz="6" w:space="0" w:color="auto"/>
          <w:bottom w:val="single" w:sz="6" w:space="0" w:color="auto"/>
          <w:right w:val="single" w:sz="6" w:space="0" w:color="auto"/>
          <w:insideV w:val="single" w:sz="6" w:space="0" w:color="auto"/>
        </w:tcBorders>
      </w:tcPr>
    </w:tblStylePr>
  </w:style>
  <w:style w:type="character" w:styleId="affe">
    <w:name w:val="Intense Emphasis"/>
    <w:basedOn w:val="a0"/>
    <w:uiPriority w:val="21"/>
    <w:qFormat/>
    <w:rsid w:val="00CD798F"/>
    <w:rPr>
      <w:i/>
      <w:iCs/>
      <w:color w:val="2E74B5" w:themeColor="accent1" w:themeShade="BF"/>
    </w:rPr>
  </w:style>
  <w:style w:type="character" w:styleId="afff">
    <w:name w:val="Intense Reference"/>
    <w:basedOn w:val="a0"/>
    <w:uiPriority w:val="32"/>
    <w:qFormat/>
    <w:rsid w:val="00CD798F"/>
    <w:rPr>
      <w:b/>
      <w:bCs/>
      <w:smallCaps/>
      <w:color w:val="2E74B5" w:themeColor="accent1" w:themeShade="BF"/>
      <w:spacing w:val="5"/>
    </w:rPr>
  </w:style>
  <w:style w:type="character" w:customStyle="1" w:styleId="qk-md-text">
    <w:name w:val="qk-md-text"/>
    <w:basedOn w:val="a0"/>
    <w:qFormat/>
    <w:rsid w:val="00CD798F"/>
  </w:style>
  <w:style w:type="paragraph" w:customStyle="1" w:styleId="VI">
    <w:name w:val="VI 正文格式"/>
    <w:basedOn w:val="a"/>
    <w:link w:val="VIChar"/>
    <w:qFormat/>
    <w:rsid w:val="00CD798F"/>
    <w:pPr>
      <w:widowControl/>
      <w:adjustRightInd w:val="0"/>
      <w:spacing w:line="360" w:lineRule="auto"/>
      <w:ind w:firstLineChars="200" w:firstLine="200"/>
      <w:textAlignment w:val="baseline"/>
    </w:pPr>
    <w:rPr>
      <w:rFonts w:ascii="宋体" w:hAnsi="宋体"/>
      <w:kern w:val="0"/>
      <w:sz w:val="24"/>
      <w:szCs w:val="20"/>
    </w:rPr>
  </w:style>
  <w:style w:type="character" w:customStyle="1" w:styleId="VIChar">
    <w:name w:val="VI 正文格式 Char"/>
    <w:link w:val="VI"/>
    <w:qFormat/>
    <w:rsid w:val="00CD798F"/>
    <w:rPr>
      <w:rFonts w:ascii="宋体" w:eastAsia="宋体" w:hAnsi="宋体" w:cs="Times New Roman"/>
      <w:sz w:val="24"/>
      <w:szCs w:val="20"/>
    </w:rPr>
  </w:style>
  <w:style w:type="table" w:customStyle="1" w:styleId="1710">
    <w:name w:val="网格型171"/>
    <w:basedOn w:val="a1"/>
    <w:next w:val="a7"/>
    <w:uiPriority w:val="39"/>
    <w:qFormat/>
    <w:rsid w:val="00CD798F"/>
    <w:pPr>
      <w:spacing w:line="278" w:lineRule="auto"/>
    </w:pPr>
    <w:rPr>
      <w:rFonts w:ascii="Arial Narrow" w:eastAsia="仿宋" w:hAnsi="Arial Narrow"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711">
    <w:name w:val="网格型1711"/>
    <w:basedOn w:val="a1"/>
    <w:next w:val="a7"/>
    <w:qFormat/>
    <w:rsid w:val="00CD798F"/>
    <w:pPr>
      <w:spacing w:after="0" w:line="240" w:lineRule="auto"/>
    </w:pPr>
    <w:rPr>
      <w:rFonts w:ascii="Times New Roman" w:eastAsia="宋体" w:hAnsi="Times New Roman"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181">
    <w:name w:val="网格型18"/>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91">
    <w:name w:val="网格型19"/>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网格型20"/>
    <w:basedOn w:val="a1"/>
    <w:next w:val="a7"/>
    <w:uiPriority w:val="39"/>
    <w:qFormat/>
    <w:rsid w:val="00CD798F"/>
    <w:pPr>
      <w:spacing w:after="0" w:line="240" w:lineRule="auto"/>
    </w:pPr>
    <w:rPr>
      <w:rFonts w:ascii="Cambria" w:eastAsia="宋体" w:hAnsi="Cambria"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0">
    <w:name w:val="网格型26"/>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0">
    <w:name w:val="网格型27"/>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80">
    <w:name w:val="网格型28"/>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网格型29"/>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00">
    <w:name w:val="网格型30"/>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5">
    <w:name w:val="网格型35"/>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6">
    <w:name w:val="网格型36"/>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网格型37"/>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8">
    <w:name w:val="网格型38"/>
    <w:basedOn w:val="a1"/>
    <w:next w:val="a7"/>
    <w:uiPriority w:val="39"/>
    <w:qFormat/>
    <w:rsid w:val="00CD798F"/>
    <w:pPr>
      <w:spacing w:after="0" w:line="240" w:lineRule="auto"/>
    </w:pPr>
    <w:rPr>
      <w:rFonts w:ascii="Cambria" w:eastAsia="宋体" w:hAnsi="Cambria"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00">
    <w:name w:val="网格型40"/>
    <w:basedOn w:val="a1"/>
    <w:next w:val="a7"/>
    <w:uiPriority w:val="39"/>
    <w:qFormat/>
    <w:rsid w:val="00CD798F"/>
    <w:pPr>
      <w:spacing w:line="278" w:lineRule="auto"/>
    </w:pPr>
    <w:rPr>
      <w:rFonts w:ascii="Arial Narrow" w:eastAsia="仿宋" w:hAnsi="Arial Narrow"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410">
    <w:name w:val="网格型41"/>
    <w:basedOn w:val="a1"/>
    <w:next w:val="a7"/>
    <w:uiPriority w:val="39"/>
    <w:qFormat/>
    <w:rsid w:val="00CD798F"/>
    <w:pPr>
      <w:spacing w:line="278" w:lineRule="auto"/>
    </w:pPr>
    <w:rPr>
      <w:rFonts w:ascii="Arial Narrow" w:eastAsia="仿宋" w:hAnsi="Arial Narrow" w:cs="Times New Roman"/>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271">
    <w:name w:val="修订27"/>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character" w:customStyle="1" w:styleId="2a">
    <w:name w:val="明显强调2"/>
    <w:basedOn w:val="a0"/>
    <w:uiPriority w:val="21"/>
    <w:qFormat/>
    <w:rsid w:val="00CD798F"/>
    <w:rPr>
      <w:i/>
      <w:iCs/>
      <w:color w:val="2E74B5" w:themeColor="accent1" w:themeShade="BF"/>
    </w:rPr>
  </w:style>
  <w:style w:type="character" w:customStyle="1" w:styleId="2b">
    <w:name w:val="明显参考2"/>
    <w:basedOn w:val="a0"/>
    <w:uiPriority w:val="32"/>
    <w:qFormat/>
    <w:rsid w:val="00CD798F"/>
    <w:rPr>
      <w:b/>
      <w:bCs/>
      <w:smallCaps/>
      <w:color w:val="2E74B5" w:themeColor="accent1" w:themeShade="BF"/>
      <w:spacing w:val="5"/>
    </w:rPr>
  </w:style>
  <w:style w:type="numbering" w:customStyle="1" w:styleId="1d">
    <w:name w:val="无列表1"/>
    <w:next w:val="a2"/>
    <w:uiPriority w:val="99"/>
    <w:semiHidden/>
    <w:unhideWhenUsed/>
    <w:rsid w:val="00CD798F"/>
  </w:style>
  <w:style w:type="character" w:styleId="afff0">
    <w:name w:val="FollowedHyperlink"/>
    <w:basedOn w:val="a0"/>
    <w:uiPriority w:val="99"/>
    <w:semiHidden/>
    <w:qFormat/>
    <w:rsid w:val="00CD798F"/>
    <w:rPr>
      <w:color w:val="954F72" w:themeColor="followedHyperlink"/>
      <w:u w:val="single"/>
    </w:rPr>
  </w:style>
  <w:style w:type="paragraph" w:customStyle="1" w:styleId="2710">
    <w:name w:val="修订271"/>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character" w:customStyle="1" w:styleId="213">
    <w:name w:val="明显强调21"/>
    <w:basedOn w:val="a0"/>
    <w:uiPriority w:val="21"/>
    <w:qFormat/>
    <w:rsid w:val="00CD798F"/>
    <w:rPr>
      <w:i/>
      <w:iCs/>
      <w:color w:val="2E74B5" w:themeColor="accent1" w:themeShade="BF"/>
    </w:rPr>
  </w:style>
  <w:style w:type="character" w:customStyle="1" w:styleId="214">
    <w:name w:val="明显参考21"/>
    <w:basedOn w:val="a0"/>
    <w:uiPriority w:val="32"/>
    <w:qFormat/>
    <w:rsid w:val="00CD798F"/>
    <w:rPr>
      <w:b/>
      <w:bCs/>
      <w:smallCaps/>
      <w:color w:val="2E74B5" w:themeColor="accent1" w:themeShade="BF"/>
      <w:spacing w:val="5"/>
    </w:rPr>
  </w:style>
  <w:style w:type="paragraph" w:customStyle="1" w:styleId="281">
    <w:name w:val="修订28"/>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paragraph" w:customStyle="1" w:styleId="290">
    <w:name w:val="修订29"/>
    <w:hidden/>
    <w:uiPriority w:val="99"/>
    <w:unhideWhenUsed/>
    <w:qFormat/>
    <w:rsid w:val="00CD798F"/>
    <w:pPr>
      <w:spacing w:after="0" w:line="240" w:lineRule="auto"/>
    </w:pPr>
    <w:rPr>
      <w:rFonts w:ascii="Times New Roman" w:eastAsia="宋体" w:hAnsi="Times New Roman"/>
      <w:kern w:val="2"/>
      <w:sz w:val="24"/>
      <w:szCs w:val="24"/>
      <w14:ligatures w14:val="standardContextual"/>
    </w:rPr>
  </w:style>
  <w:style w:type="numbering" w:customStyle="1" w:styleId="2c">
    <w:name w:val="无列表2"/>
    <w:next w:val="a2"/>
    <w:uiPriority w:val="99"/>
    <w:semiHidden/>
    <w:unhideWhenUsed/>
    <w:rsid w:val="00CD79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qcc.com/firm/38e1951366982170618e2b09c675199c.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g"/></Relationships>
</file>

<file path=word/_rels/footer1.xml.rels><?xml version="1.0" encoding="UTF-8" standalone="yes"?>
<Relationships xmlns="http://schemas.openxmlformats.org/package/2006/relationships"><Relationship Id="rId3" Type="http://schemas.openxmlformats.org/officeDocument/2006/relationships/image" Target="media/image6.jpg"/><Relationship Id="rId2" Type="http://schemas.openxmlformats.org/officeDocument/2006/relationships/image" Target="media/image5.sv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A0278B-3550-4835-9065-6F837BB25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11952</Words>
  <Characters>68131</Characters>
  <Application>Microsoft Office Word</Application>
  <DocSecurity>0</DocSecurity>
  <Lines>567</Lines>
  <Paragraphs>159</Paragraphs>
  <ScaleCrop>false</ScaleCrop>
  <HeadingPairs>
    <vt:vector size="2" baseType="variant">
      <vt:variant>
        <vt:lpstr>Title</vt:lpstr>
      </vt:variant>
      <vt:variant>
        <vt:i4>1</vt:i4>
      </vt:variant>
    </vt:vector>
  </HeadingPairs>
  <TitlesOfParts>
    <vt:vector size="1" baseType="lpstr">
      <vt:lpstr/>
    </vt:vector>
  </TitlesOfParts>
  <Company>Orient Appraisal Co., LTD</Company>
  <LinksUpToDate>false</LinksUpToDate>
  <CharactersWithSpaces>79924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 Lin</dc:creator>
  <cp:keywords/>
  <dc:description/>
  <cp:lastModifiedBy>成浩 张</cp:lastModifiedBy>
  <cp:revision>8</cp:revision>
  <cp:lastPrinted>2026-01-27T06:33:00Z</cp:lastPrinted>
  <dcterms:created xsi:type="dcterms:W3CDTF">2026-01-27T06:53:00Z</dcterms:created>
  <dcterms:modified xsi:type="dcterms:W3CDTF">2026-01-27T09:40:00Z</dcterms:modified>
</cp:coreProperties>
</file>