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049E" w:rsidRPr="00EB671F" w:rsidRDefault="003F049E" w:rsidP="003F049E">
      <w:pPr>
        <w:autoSpaceDE w:val="0"/>
        <w:autoSpaceDN w:val="0"/>
        <w:adjustRightInd w:val="0"/>
        <w:spacing w:line="360" w:lineRule="auto"/>
        <w:rPr>
          <w:rFonts w:ascii="仿宋" w:eastAsia="仿宋" w:hAnsi="仿宋"/>
          <w:color w:val="000000"/>
          <w:sz w:val="28"/>
        </w:rPr>
      </w:pPr>
      <w:r w:rsidRPr="00EB671F">
        <w:rPr>
          <w:rFonts w:ascii="仿宋" w:eastAsia="仿宋" w:hAnsi="仿宋" w:hint="eastAsia"/>
          <w:color w:val="000000"/>
          <w:sz w:val="28"/>
        </w:rPr>
        <w:t>证券代码：301178     证券简称：天亿马     公告编号：202</w:t>
      </w:r>
      <w:r w:rsidR="00BD60FC" w:rsidRPr="00EB671F">
        <w:rPr>
          <w:rFonts w:ascii="仿宋" w:eastAsia="仿宋" w:hAnsi="仿宋" w:hint="eastAsia"/>
          <w:color w:val="000000"/>
          <w:sz w:val="28"/>
        </w:rPr>
        <w:t>6-00</w:t>
      </w:r>
      <w:r w:rsidR="005413B4">
        <w:rPr>
          <w:rFonts w:ascii="仿宋" w:eastAsia="仿宋" w:hAnsi="仿宋" w:hint="eastAsia"/>
          <w:color w:val="000000"/>
          <w:sz w:val="28"/>
        </w:rPr>
        <w:t>8</w:t>
      </w:r>
    </w:p>
    <w:p w:rsidR="003F049E" w:rsidRPr="00EB671F" w:rsidRDefault="003F049E" w:rsidP="003F049E"/>
    <w:p w:rsidR="003F049E" w:rsidRPr="00EB671F" w:rsidRDefault="003F049E" w:rsidP="003F049E">
      <w:pPr>
        <w:spacing w:line="360" w:lineRule="auto"/>
        <w:jc w:val="center"/>
        <w:rPr>
          <w:rFonts w:ascii="黑体" w:eastAsia="黑体" w:hAnsi="黑体"/>
          <w:sz w:val="36"/>
          <w:szCs w:val="36"/>
        </w:rPr>
      </w:pPr>
      <w:r w:rsidRPr="00EB671F">
        <w:rPr>
          <w:rFonts w:ascii="黑体" w:eastAsia="黑体" w:hAnsi="黑体" w:hint="eastAsia"/>
          <w:sz w:val="36"/>
          <w:szCs w:val="36"/>
        </w:rPr>
        <w:t>广东天亿马信息产业股份有限公司</w:t>
      </w:r>
    </w:p>
    <w:p w:rsidR="003F049E" w:rsidRPr="00EB671F" w:rsidRDefault="005413B4" w:rsidP="003F049E">
      <w:pPr>
        <w:spacing w:afterLines="100" w:after="312" w:line="360" w:lineRule="auto"/>
        <w:jc w:val="center"/>
        <w:rPr>
          <w:rFonts w:ascii="黑体" w:eastAsia="黑体" w:hAnsi="黑体"/>
          <w:sz w:val="36"/>
          <w:szCs w:val="36"/>
        </w:rPr>
      </w:pPr>
      <w:r>
        <w:rPr>
          <w:rFonts w:ascii="黑体" w:eastAsia="黑体" w:hAnsi="黑体" w:hint="eastAsia"/>
          <w:sz w:val="36"/>
          <w:szCs w:val="36"/>
        </w:rPr>
        <w:t>关于注销</w:t>
      </w:r>
      <w:r w:rsidR="003F049E" w:rsidRPr="00EB671F">
        <w:rPr>
          <w:rFonts w:ascii="黑体" w:eastAsia="黑体" w:hAnsi="黑体" w:hint="eastAsia"/>
          <w:sz w:val="36"/>
          <w:szCs w:val="36"/>
        </w:rPr>
        <w:t>部分募集资金现金管理</w:t>
      </w:r>
      <w:r>
        <w:rPr>
          <w:rFonts w:ascii="黑体" w:eastAsia="黑体" w:hAnsi="黑体" w:hint="eastAsia"/>
          <w:sz w:val="36"/>
          <w:szCs w:val="36"/>
        </w:rPr>
        <w:t>专用结算账户</w:t>
      </w:r>
      <w:r w:rsidR="003F049E" w:rsidRPr="00EB671F">
        <w:rPr>
          <w:rFonts w:ascii="黑体" w:eastAsia="黑体" w:hAnsi="黑体" w:hint="eastAsia"/>
          <w:sz w:val="36"/>
          <w:szCs w:val="36"/>
        </w:rPr>
        <w:t>的公告</w:t>
      </w:r>
    </w:p>
    <w:tbl>
      <w:tblPr>
        <w:tblW w:w="0" w:type="auto"/>
        <w:jc w:val="center"/>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44"/>
      </w:tblGrid>
      <w:tr w:rsidR="003F049E" w:rsidRPr="00EB671F" w:rsidTr="00085668">
        <w:trPr>
          <w:trHeight w:val="930"/>
          <w:jc w:val="center"/>
        </w:trPr>
        <w:tc>
          <w:tcPr>
            <w:tcW w:w="8544" w:type="dxa"/>
            <w:tcBorders>
              <w:top w:val="single" w:sz="4" w:space="0" w:color="auto"/>
              <w:left w:val="single" w:sz="4" w:space="0" w:color="auto"/>
              <w:bottom w:val="single" w:sz="4" w:space="0" w:color="auto"/>
              <w:right w:val="single" w:sz="4" w:space="0" w:color="auto"/>
            </w:tcBorders>
          </w:tcPr>
          <w:p w:rsidR="003F049E" w:rsidRPr="00EB671F" w:rsidRDefault="003F049E" w:rsidP="00085668">
            <w:pPr>
              <w:widowControl/>
              <w:spacing w:line="440" w:lineRule="exact"/>
              <w:ind w:firstLineChars="200" w:firstLine="560"/>
              <w:rPr>
                <w:rFonts w:ascii="楷体" w:eastAsia="楷体" w:hAnsi="楷体" w:cs="宋体"/>
                <w:color w:val="000000"/>
                <w:kern w:val="0"/>
                <w:sz w:val="28"/>
              </w:rPr>
            </w:pPr>
            <w:bookmarkStart w:id="0" w:name="OLE_LINK13"/>
            <w:bookmarkStart w:id="1" w:name="OLE_LINK14"/>
            <w:r w:rsidRPr="00EB671F">
              <w:rPr>
                <w:rFonts w:ascii="楷体" w:eastAsia="楷体" w:hAnsi="楷体" w:cs="宋体" w:hint="eastAsia"/>
                <w:color w:val="000000"/>
                <w:kern w:val="0"/>
                <w:sz w:val="28"/>
              </w:rPr>
              <w:t>本公司及董事会全体成员保证信息披露内容的真实、准确和完整，没有虚假记载、误导性陈述或重大遗漏。</w:t>
            </w:r>
          </w:p>
        </w:tc>
      </w:tr>
      <w:bookmarkEnd w:id="0"/>
      <w:bookmarkEnd w:id="1"/>
    </w:tbl>
    <w:p w:rsidR="003F049E" w:rsidRPr="00EB671F" w:rsidRDefault="003F049E" w:rsidP="003F049E">
      <w:pPr>
        <w:rPr>
          <w:rFonts w:ascii="仿宋" w:eastAsia="仿宋" w:hAnsi="仿宋"/>
          <w:sz w:val="28"/>
          <w:szCs w:val="28"/>
        </w:rPr>
      </w:pPr>
    </w:p>
    <w:p w:rsidR="0026090B" w:rsidRPr="00EB671F" w:rsidRDefault="0026090B" w:rsidP="0026090B">
      <w:pPr>
        <w:ind w:firstLineChars="200" w:firstLine="562"/>
        <w:outlineLvl w:val="0"/>
        <w:rPr>
          <w:rFonts w:ascii="仿宋" w:eastAsia="仿宋" w:hAnsi="仿宋"/>
          <w:b/>
          <w:sz w:val="28"/>
        </w:rPr>
      </w:pPr>
      <w:bookmarkStart w:id="2" w:name="OLE_LINK10"/>
      <w:r w:rsidRPr="00EB671F">
        <w:rPr>
          <w:rFonts w:ascii="仿宋" w:eastAsia="仿宋" w:hAnsi="仿宋" w:hint="eastAsia"/>
          <w:b/>
          <w:sz w:val="28"/>
        </w:rPr>
        <w:t>一、募集资金基本情况</w:t>
      </w:r>
    </w:p>
    <w:p w:rsidR="003A70C7" w:rsidRPr="00EB671F" w:rsidRDefault="00B66194" w:rsidP="0026090B">
      <w:pPr>
        <w:ind w:firstLineChars="200" w:firstLine="560"/>
        <w:rPr>
          <w:rFonts w:ascii="仿宋" w:eastAsia="仿宋" w:hAnsi="仿宋"/>
          <w:sz w:val="28"/>
        </w:rPr>
      </w:pPr>
      <w:r>
        <w:rPr>
          <w:rFonts w:ascii="仿宋" w:eastAsia="仿宋" w:hAnsi="仿宋" w:hint="eastAsia"/>
          <w:sz w:val="28"/>
        </w:rPr>
        <w:t>广东天亿马信息产业股份有限</w:t>
      </w:r>
      <w:r w:rsidR="0026090B" w:rsidRPr="00EB671F">
        <w:rPr>
          <w:rFonts w:ascii="仿宋" w:eastAsia="仿宋" w:hAnsi="仿宋" w:hint="eastAsia"/>
          <w:sz w:val="28"/>
        </w:rPr>
        <w:t>公司</w:t>
      </w:r>
      <w:r>
        <w:rPr>
          <w:rFonts w:ascii="仿宋" w:eastAsia="仿宋" w:hAnsi="仿宋" w:hint="eastAsia"/>
          <w:sz w:val="28"/>
        </w:rPr>
        <w:t>（以下简称“公司”）</w:t>
      </w:r>
      <w:r w:rsidR="0026090B" w:rsidRPr="00EB671F">
        <w:rPr>
          <w:rFonts w:ascii="仿宋" w:eastAsia="仿宋" w:hAnsi="仿宋" w:hint="eastAsia"/>
          <w:sz w:val="28"/>
        </w:rPr>
        <w:t>经中国证券监督管理委员会《关于同意广东天亿马信息产业股份有限公司首次公开发行股票注册的批复》（证监许可[2021]2937号）同意，并经深圳证券交易所同意，公司首次向社会公众发行人民币普通股（A股）股票1</w:t>
      </w:r>
      <w:r w:rsidR="004E3F1B" w:rsidRPr="00EB671F">
        <w:rPr>
          <w:rFonts w:ascii="仿宋" w:eastAsia="仿宋" w:hAnsi="仿宋" w:hint="eastAsia"/>
          <w:sz w:val="28"/>
        </w:rPr>
        <w:t>,</w:t>
      </w:r>
      <w:r w:rsidR="0026090B" w:rsidRPr="00EB671F">
        <w:rPr>
          <w:rFonts w:ascii="仿宋" w:eastAsia="仿宋" w:hAnsi="仿宋" w:hint="eastAsia"/>
          <w:sz w:val="28"/>
        </w:rPr>
        <w:t>177.80万股，每股面值人民币1.00元，每股发行价格为48.66元。本次募集资金总额为人民币573,117,480.00元，扣除发行费用人民币62,856,828.00元（不含增值税），实际募集资金净额为人民币510,260,652.00元。中审众环会计师事务所（特殊普通合伙）已于2021年11月5日对上述资金到位情况进行审验，并出具了《验资报告》（众环验字（2021）0600012号）。</w:t>
      </w:r>
    </w:p>
    <w:p w:rsidR="003A70C7" w:rsidRPr="00EB671F" w:rsidRDefault="00A925E6" w:rsidP="003A70C7">
      <w:pPr>
        <w:ind w:firstLineChars="200" w:firstLine="562"/>
        <w:outlineLvl w:val="0"/>
        <w:rPr>
          <w:rFonts w:ascii="仿宋" w:eastAsia="仿宋" w:hAnsi="仿宋"/>
          <w:b/>
          <w:sz w:val="28"/>
        </w:rPr>
      </w:pPr>
      <w:r>
        <w:rPr>
          <w:rFonts w:ascii="仿宋" w:eastAsia="仿宋" w:hAnsi="仿宋" w:hint="eastAsia"/>
          <w:b/>
          <w:sz w:val="28"/>
        </w:rPr>
        <w:t>二</w:t>
      </w:r>
      <w:r w:rsidR="003A70C7" w:rsidRPr="00EB671F">
        <w:rPr>
          <w:rFonts w:ascii="仿宋" w:eastAsia="仿宋" w:hAnsi="仿宋" w:hint="eastAsia"/>
          <w:b/>
          <w:sz w:val="28"/>
        </w:rPr>
        <w:t>、</w:t>
      </w:r>
      <w:r w:rsidR="0008627C">
        <w:rPr>
          <w:rFonts w:ascii="仿宋" w:eastAsia="仿宋" w:hAnsi="仿宋" w:hint="eastAsia"/>
          <w:b/>
          <w:sz w:val="28"/>
        </w:rPr>
        <w:t>本次</w:t>
      </w:r>
      <w:r w:rsidR="00964E02">
        <w:rPr>
          <w:rFonts w:ascii="仿宋" w:eastAsia="仿宋" w:hAnsi="仿宋" w:hint="eastAsia"/>
          <w:b/>
          <w:sz w:val="28"/>
        </w:rPr>
        <w:t>注销募集资金</w:t>
      </w:r>
      <w:bookmarkStart w:id="3" w:name="OLE_LINK46"/>
      <w:bookmarkStart w:id="4" w:name="OLE_LINK47"/>
      <w:r w:rsidR="00964E02">
        <w:rPr>
          <w:rFonts w:ascii="仿宋" w:eastAsia="仿宋" w:hAnsi="仿宋" w:hint="eastAsia"/>
          <w:b/>
          <w:sz w:val="28"/>
        </w:rPr>
        <w:t>现金管理专用结算账户</w:t>
      </w:r>
      <w:bookmarkEnd w:id="3"/>
      <w:bookmarkEnd w:id="4"/>
      <w:r w:rsidR="00964E02">
        <w:rPr>
          <w:rFonts w:ascii="仿宋" w:eastAsia="仿宋" w:hAnsi="仿宋" w:hint="eastAsia"/>
          <w:b/>
          <w:sz w:val="28"/>
        </w:rPr>
        <w:t>的情况</w:t>
      </w:r>
    </w:p>
    <w:p w:rsidR="00833E1B" w:rsidRDefault="00964E02" w:rsidP="0022023B">
      <w:pPr>
        <w:ind w:firstLineChars="200" w:firstLine="560"/>
        <w:rPr>
          <w:rFonts w:ascii="仿宋" w:eastAsia="仿宋" w:hAnsi="仿宋" w:hint="eastAsia"/>
          <w:sz w:val="28"/>
        </w:rPr>
      </w:pPr>
      <w:r>
        <w:rPr>
          <w:rFonts w:ascii="仿宋" w:eastAsia="仿宋" w:hAnsi="仿宋" w:hint="eastAsia"/>
          <w:sz w:val="28"/>
        </w:rPr>
        <w:t>鉴于前期设立的部分募集资金现金管理专用结算账</w:t>
      </w:r>
      <w:r w:rsidR="00A925E6">
        <w:rPr>
          <w:rFonts w:ascii="仿宋" w:eastAsia="仿宋" w:hAnsi="仿宋" w:hint="eastAsia"/>
          <w:sz w:val="28"/>
        </w:rPr>
        <w:t>户中相关理财产品已全部到期赎回，公司于近日办理了部分账户的注销手续。本次注销的募集资金专用结算账户的信息如下：</w:t>
      </w:r>
      <w:bookmarkStart w:id="5" w:name="OLE_LINK44"/>
      <w:bookmarkStart w:id="6" w:name="OLE_LINK45"/>
    </w:p>
    <w:p w:rsidR="00BB4BBE" w:rsidRDefault="00BB4BBE" w:rsidP="0022023B">
      <w:pPr>
        <w:ind w:firstLineChars="200" w:firstLine="560"/>
        <w:rPr>
          <w:rFonts w:ascii="仿宋" w:eastAsia="仿宋" w:hAnsi="仿宋" w:hint="eastAsia"/>
          <w:sz w:val="28"/>
        </w:rPr>
      </w:pPr>
    </w:p>
    <w:tbl>
      <w:tblPr>
        <w:tblStyle w:val="a6"/>
        <w:tblW w:w="0" w:type="auto"/>
        <w:tblLayout w:type="fixed"/>
        <w:tblLook w:val="04A0" w:firstRow="1" w:lastRow="0" w:firstColumn="1" w:lastColumn="0" w:noHBand="0" w:noVBand="1"/>
      </w:tblPr>
      <w:tblGrid>
        <w:gridCol w:w="799"/>
        <w:gridCol w:w="2143"/>
        <w:gridCol w:w="2411"/>
        <w:gridCol w:w="1750"/>
        <w:gridCol w:w="1419"/>
      </w:tblGrid>
      <w:tr w:rsidR="00F41B59" w:rsidRPr="00F41B59" w:rsidTr="00E57F13">
        <w:tc>
          <w:tcPr>
            <w:tcW w:w="799" w:type="dxa"/>
            <w:vAlign w:val="center"/>
          </w:tcPr>
          <w:bookmarkEnd w:id="5"/>
          <w:bookmarkEnd w:id="6"/>
          <w:p w:rsidR="006372E4" w:rsidRPr="00F41B59" w:rsidRDefault="006372E4" w:rsidP="00F41B59">
            <w:pPr>
              <w:jc w:val="center"/>
              <w:rPr>
                <w:rFonts w:ascii="仿宋" w:eastAsia="仿宋" w:hAnsi="仿宋" w:hint="eastAsia"/>
                <w:b/>
                <w:sz w:val="24"/>
                <w:szCs w:val="24"/>
              </w:rPr>
            </w:pPr>
            <w:r w:rsidRPr="00F41B59">
              <w:rPr>
                <w:rFonts w:ascii="仿宋" w:eastAsia="仿宋" w:hAnsi="仿宋" w:hint="eastAsia"/>
                <w:b/>
                <w:sz w:val="24"/>
                <w:szCs w:val="24"/>
              </w:rPr>
              <w:lastRenderedPageBreak/>
              <w:t>序号</w:t>
            </w:r>
          </w:p>
        </w:tc>
        <w:tc>
          <w:tcPr>
            <w:tcW w:w="2143" w:type="dxa"/>
            <w:vAlign w:val="center"/>
          </w:tcPr>
          <w:p w:rsidR="006372E4" w:rsidRPr="00F41B59" w:rsidRDefault="006372E4" w:rsidP="00F41B59">
            <w:pPr>
              <w:jc w:val="center"/>
              <w:rPr>
                <w:rFonts w:ascii="仿宋" w:eastAsia="仿宋" w:hAnsi="仿宋"/>
                <w:b/>
                <w:sz w:val="24"/>
                <w:szCs w:val="24"/>
              </w:rPr>
            </w:pPr>
            <w:r w:rsidRPr="00F41B59">
              <w:rPr>
                <w:rFonts w:ascii="仿宋" w:eastAsia="仿宋" w:hAnsi="仿宋" w:hint="eastAsia"/>
                <w:b/>
                <w:sz w:val="24"/>
                <w:szCs w:val="24"/>
              </w:rPr>
              <w:t>账户名称</w:t>
            </w:r>
          </w:p>
        </w:tc>
        <w:tc>
          <w:tcPr>
            <w:tcW w:w="2411" w:type="dxa"/>
            <w:vAlign w:val="center"/>
          </w:tcPr>
          <w:p w:rsidR="006372E4" w:rsidRPr="00F41B59" w:rsidRDefault="006372E4" w:rsidP="00F41B59">
            <w:pPr>
              <w:jc w:val="center"/>
              <w:rPr>
                <w:rFonts w:ascii="仿宋" w:eastAsia="仿宋" w:hAnsi="仿宋"/>
                <w:b/>
                <w:sz w:val="24"/>
                <w:szCs w:val="24"/>
              </w:rPr>
            </w:pPr>
            <w:r w:rsidRPr="00F41B59">
              <w:rPr>
                <w:rFonts w:ascii="仿宋" w:eastAsia="仿宋" w:hAnsi="仿宋" w:hint="eastAsia"/>
                <w:b/>
                <w:sz w:val="24"/>
                <w:szCs w:val="24"/>
              </w:rPr>
              <w:t>开户机构</w:t>
            </w:r>
          </w:p>
        </w:tc>
        <w:tc>
          <w:tcPr>
            <w:tcW w:w="1750" w:type="dxa"/>
            <w:vAlign w:val="center"/>
          </w:tcPr>
          <w:p w:rsidR="006372E4" w:rsidRPr="00F41B59" w:rsidRDefault="006372E4" w:rsidP="00F41B59">
            <w:pPr>
              <w:jc w:val="center"/>
              <w:rPr>
                <w:rFonts w:ascii="仿宋" w:eastAsia="仿宋" w:hAnsi="仿宋"/>
                <w:b/>
                <w:sz w:val="24"/>
                <w:szCs w:val="24"/>
              </w:rPr>
            </w:pPr>
            <w:r w:rsidRPr="00F41B59">
              <w:rPr>
                <w:rFonts w:ascii="仿宋" w:eastAsia="仿宋" w:hAnsi="仿宋" w:hint="eastAsia"/>
                <w:b/>
                <w:sz w:val="24"/>
                <w:szCs w:val="24"/>
              </w:rPr>
              <w:t>账号</w:t>
            </w:r>
          </w:p>
        </w:tc>
        <w:tc>
          <w:tcPr>
            <w:tcW w:w="1419" w:type="dxa"/>
            <w:vAlign w:val="center"/>
          </w:tcPr>
          <w:p w:rsidR="006372E4" w:rsidRPr="00F41B59" w:rsidRDefault="006372E4" w:rsidP="00F41B59">
            <w:pPr>
              <w:jc w:val="center"/>
              <w:rPr>
                <w:rFonts w:ascii="仿宋" w:eastAsia="仿宋" w:hAnsi="仿宋" w:hint="eastAsia"/>
                <w:b/>
                <w:sz w:val="24"/>
                <w:szCs w:val="24"/>
              </w:rPr>
            </w:pPr>
            <w:r w:rsidRPr="00F41B59">
              <w:rPr>
                <w:rFonts w:ascii="仿宋" w:eastAsia="仿宋" w:hAnsi="仿宋" w:hint="eastAsia"/>
                <w:b/>
                <w:sz w:val="24"/>
                <w:szCs w:val="24"/>
              </w:rPr>
              <w:t>账号性质</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1</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中国民生银行股份有限公司汕头华山路支行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634344114</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2</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中国建设银行股份有限公司汕头潮南支行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44050165020200001892</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3</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南洋商业银行（中国）有限公司汕头分行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0439070000364471</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4</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广东华兴银行股份有限公司深圳后海支行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805880100081869</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5</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平安银行股份有限公司广州珠江新城支行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15510753610043</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6</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东莞银行股份有限公司深圳分行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519000015081494</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D338A5"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7</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中信银行股份有限公司汕头分行</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8110901012301705423</w:t>
            </w:r>
          </w:p>
        </w:tc>
        <w:tc>
          <w:tcPr>
            <w:tcW w:w="1419"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p>
        </w:tc>
      </w:tr>
      <w:tr w:rsidR="00F41B59" w:rsidRPr="00F41B59" w:rsidTr="00E57F13">
        <w:tc>
          <w:tcPr>
            <w:tcW w:w="799" w:type="dxa"/>
            <w:vAlign w:val="center"/>
          </w:tcPr>
          <w:p w:rsidR="006372E4" w:rsidRPr="00D338A5" w:rsidRDefault="006372E4" w:rsidP="00F41B59">
            <w:pPr>
              <w:jc w:val="center"/>
              <w:rPr>
                <w:rFonts w:ascii="仿宋" w:eastAsia="仿宋" w:hAnsi="仿宋"/>
                <w:sz w:val="24"/>
                <w:szCs w:val="24"/>
              </w:rPr>
            </w:pPr>
            <w:r w:rsidRPr="00D338A5">
              <w:rPr>
                <w:rFonts w:ascii="仿宋" w:eastAsia="仿宋" w:hAnsi="仿宋" w:hint="eastAsia"/>
                <w:sz w:val="24"/>
                <w:szCs w:val="24"/>
              </w:rPr>
              <w:t>8</w:t>
            </w:r>
          </w:p>
        </w:tc>
        <w:tc>
          <w:tcPr>
            <w:tcW w:w="2143"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广东天亿马信息产业股份有限公司</w:t>
            </w:r>
          </w:p>
        </w:tc>
        <w:tc>
          <w:tcPr>
            <w:tcW w:w="2411"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国联证券股份有限公司</w:t>
            </w:r>
          </w:p>
        </w:tc>
        <w:tc>
          <w:tcPr>
            <w:tcW w:w="1750" w:type="dxa"/>
            <w:vAlign w:val="center"/>
          </w:tcPr>
          <w:p w:rsidR="006372E4" w:rsidRPr="00D338A5" w:rsidRDefault="006372E4" w:rsidP="00F41B59">
            <w:pPr>
              <w:jc w:val="center"/>
              <w:rPr>
                <w:rFonts w:ascii="仿宋" w:eastAsia="仿宋" w:hAnsi="仿宋" w:cs="宋体"/>
                <w:sz w:val="24"/>
                <w:szCs w:val="24"/>
              </w:rPr>
            </w:pPr>
            <w:r w:rsidRPr="00D338A5">
              <w:rPr>
                <w:rFonts w:ascii="仿宋" w:eastAsia="仿宋" w:hAnsi="仿宋" w:hint="eastAsia"/>
                <w:sz w:val="24"/>
                <w:szCs w:val="24"/>
              </w:rPr>
              <w:t>76700873</w:t>
            </w:r>
          </w:p>
        </w:tc>
        <w:tc>
          <w:tcPr>
            <w:tcW w:w="1419" w:type="dxa"/>
            <w:vAlign w:val="center"/>
          </w:tcPr>
          <w:p w:rsidR="006372E4" w:rsidRPr="00F41B59" w:rsidRDefault="006372E4" w:rsidP="00F41B59">
            <w:pPr>
              <w:jc w:val="center"/>
              <w:rPr>
                <w:rFonts w:ascii="仿宋" w:eastAsia="仿宋" w:hAnsi="仿宋" w:cs="宋体"/>
                <w:sz w:val="24"/>
                <w:szCs w:val="24"/>
              </w:rPr>
            </w:pPr>
            <w:r w:rsidRPr="00D338A5">
              <w:rPr>
                <w:rFonts w:ascii="仿宋" w:eastAsia="仿宋" w:hAnsi="仿宋" w:hint="eastAsia"/>
                <w:sz w:val="24"/>
                <w:szCs w:val="24"/>
              </w:rPr>
              <w:t>募集资金现金管理专用结算账户</w:t>
            </w:r>
            <w:bookmarkStart w:id="7" w:name="_GoBack"/>
            <w:bookmarkEnd w:id="7"/>
          </w:p>
        </w:tc>
      </w:tr>
    </w:tbl>
    <w:bookmarkEnd w:id="2"/>
    <w:p w:rsidR="003A70C7" w:rsidRPr="00EB671F" w:rsidRDefault="00584A6E" w:rsidP="00112427">
      <w:pPr>
        <w:ind w:firstLineChars="200" w:firstLine="562"/>
        <w:outlineLvl w:val="0"/>
        <w:rPr>
          <w:rFonts w:ascii="仿宋" w:eastAsia="仿宋" w:hAnsi="仿宋"/>
          <w:b/>
          <w:sz w:val="28"/>
        </w:rPr>
      </w:pPr>
      <w:r>
        <w:rPr>
          <w:rFonts w:ascii="仿宋" w:eastAsia="仿宋" w:hAnsi="仿宋" w:hint="eastAsia"/>
          <w:b/>
          <w:sz w:val="28"/>
        </w:rPr>
        <w:t>三</w:t>
      </w:r>
      <w:r w:rsidR="003A70C7" w:rsidRPr="00EB671F">
        <w:rPr>
          <w:rFonts w:ascii="仿宋" w:eastAsia="仿宋" w:hAnsi="仿宋" w:hint="eastAsia"/>
          <w:b/>
          <w:sz w:val="28"/>
        </w:rPr>
        <w:t>、备查文件</w:t>
      </w:r>
    </w:p>
    <w:p w:rsidR="003A70C7" w:rsidRPr="00EB671F" w:rsidRDefault="003A70C7" w:rsidP="00290E1F">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（一）</w:t>
      </w:r>
      <w:r w:rsidR="00657A5F">
        <w:rPr>
          <w:rFonts w:ascii="仿宋" w:eastAsia="仿宋" w:hAnsi="仿宋" w:hint="eastAsia"/>
          <w:sz w:val="28"/>
        </w:rPr>
        <w:t>募集资金</w:t>
      </w:r>
      <w:r w:rsidR="00657A5F" w:rsidRPr="00657A5F">
        <w:rPr>
          <w:rFonts w:ascii="仿宋" w:eastAsia="仿宋" w:hAnsi="仿宋" w:hint="eastAsia"/>
          <w:sz w:val="28"/>
        </w:rPr>
        <w:t>现金管理专用结算账户</w:t>
      </w:r>
      <w:r w:rsidR="00657A5F">
        <w:rPr>
          <w:rFonts w:ascii="仿宋" w:eastAsia="仿宋" w:hAnsi="仿宋" w:hint="eastAsia"/>
          <w:sz w:val="28"/>
        </w:rPr>
        <w:t>的销户凭证。</w:t>
      </w:r>
    </w:p>
    <w:p w:rsidR="003A70C7" w:rsidRPr="00EB671F" w:rsidRDefault="003A70C7" w:rsidP="003A70C7">
      <w:pPr>
        <w:spacing w:beforeLines="50" w:before="156" w:line="360" w:lineRule="auto"/>
        <w:ind w:firstLineChars="200" w:firstLine="560"/>
        <w:jc w:val="left"/>
        <w:rPr>
          <w:rFonts w:ascii="仿宋" w:eastAsia="仿宋" w:hAnsi="仿宋"/>
          <w:sz w:val="28"/>
        </w:rPr>
      </w:pPr>
      <w:r w:rsidRPr="00EB671F">
        <w:rPr>
          <w:rFonts w:ascii="仿宋" w:eastAsia="仿宋" w:hAnsi="仿宋" w:hint="eastAsia"/>
          <w:sz w:val="28"/>
        </w:rPr>
        <w:t>特此公告。</w:t>
      </w:r>
    </w:p>
    <w:p w:rsidR="003A70C7" w:rsidRPr="00EB671F" w:rsidRDefault="003A70C7" w:rsidP="003A70C7">
      <w:pPr>
        <w:spacing w:beforeLines="50" w:before="156" w:line="360" w:lineRule="auto"/>
        <w:ind w:firstLineChars="200" w:firstLine="560"/>
        <w:jc w:val="right"/>
        <w:rPr>
          <w:rFonts w:ascii="仿宋" w:eastAsia="仿宋" w:hAnsi="仿宋"/>
          <w:sz w:val="28"/>
        </w:rPr>
      </w:pPr>
      <w:r w:rsidRPr="00EB671F">
        <w:rPr>
          <w:rFonts w:ascii="仿宋" w:eastAsia="仿宋" w:hAnsi="仿宋" w:hint="eastAsia"/>
          <w:sz w:val="28"/>
        </w:rPr>
        <w:t>广东天亿马信息产业股份有限公司</w:t>
      </w:r>
    </w:p>
    <w:p w:rsidR="003A70C7" w:rsidRPr="00EB671F" w:rsidRDefault="003A70C7" w:rsidP="003A70C7">
      <w:pPr>
        <w:spacing w:beforeLines="50" w:before="156" w:line="360" w:lineRule="auto"/>
        <w:ind w:firstLineChars="200" w:firstLine="560"/>
        <w:jc w:val="right"/>
        <w:rPr>
          <w:rFonts w:ascii="仿宋" w:eastAsia="仿宋" w:hAnsi="仿宋"/>
          <w:sz w:val="28"/>
        </w:rPr>
      </w:pPr>
      <w:r w:rsidRPr="00EB671F">
        <w:rPr>
          <w:rFonts w:ascii="仿宋" w:eastAsia="仿宋" w:hAnsi="仿宋" w:hint="eastAsia"/>
          <w:sz w:val="28"/>
        </w:rPr>
        <w:t>董事会</w:t>
      </w:r>
    </w:p>
    <w:p w:rsidR="000147EF" w:rsidRDefault="003A70C7" w:rsidP="009263AF">
      <w:pPr>
        <w:wordWrap w:val="0"/>
        <w:spacing w:beforeLines="50" w:before="156" w:line="360" w:lineRule="auto"/>
        <w:ind w:firstLineChars="200" w:firstLine="560"/>
        <w:jc w:val="right"/>
      </w:pPr>
      <w:r w:rsidRPr="00EB671F">
        <w:rPr>
          <w:rFonts w:ascii="仿宋" w:eastAsia="仿宋" w:hAnsi="仿宋" w:hint="eastAsia"/>
          <w:sz w:val="28"/>
          <w:szCs w:val="28"/>
        </w:rPr>
        <w:t>202</w:t>
      </w:r>
      <w:r w:rsidR="00CE7494" w:rsidRPr="00EB671F">
        <w:rPr>
          <w:rFonts w:ascii="仿宋" w:eastAsia="仿宋" w:hAnsi="仿宋" w:hint="eastAsia"/>
          <w:sz w:val="28"/>
          <w:szCs w:val="28"/>
        </w:rPr>
        <w:t>6</w:t>
      </w:r>
      <w:r w:rsidRPr="00EB671F">
        <w:rPr>
          <w:rFonts w:ascii="仿宋" w:eastAsia="仿宋" w:hAnsi="仿宋" w:hint="eastAsia"/>
          <w:sz w:val="28"/>
          <w:szCs w:val="28"/>
        </w:rPr>
        <w:t>年</w:t>
      </w:r>
      <w:r w:rsidR="00CE7494" w:rsidRPr="00EB671F">
        <w:rPr>
          <w:rFonts w:ascii="仿宋" w:eastAsia="仿宋" w:hAnsi="仿宋" w:hint="eastAsia"/>
          <w:sz w:val="28"/>
          <w:szCs w:val="28"/>
        </w:rPr>
        <w:t>2</w:t>
      </w:r>
      <w:r w:rsidRPr="00EB671F">
        <w:rPr>
          <w:rFonts w:ascii="仿宋" w:eastAsia="仿宋" w:hAnsi="仿宋" w:hint="eastAsia"/>
          <w:sz w:val="28"/>
          <w:szCs w:val="28"/>
        </w:rPr>
        <w:t>月</w:t>
      </w:r>
      <w:r w:rsidR="00E02609" w:rsidRPr="00EB671F">
        <w:rPr>
          <w:rFonts w:ascii="仿宋" w:eastAsia="仿宋" w:hAnsi="仿宋" w:hint="eastAsia"/>
          <w:sz w:val="28"/>
          <w:szCs w:val="28"/>
        </w:rPr>
        <w:t>1</w:t>
      </w:r>
      <w:r w:rsidR="00946373" w:rsidRPr="00EB671F">
        <w:rPr>
          <w:rFonts w:ascii="仿宋" w:eastAsia="仿宋" w:hAnsi="仿宋" w:hint="eastAsia"/>
          <w:sz w:val="28"/>
          <w:szCs w:val="28"/>
        </w:rPr>
        <w:t>4</w:t>
      </w:r>
      <w:r w:rsidRPr="00EB671F">
        <w:rPr>
          <w:rFonts w:ascii="仿宋" w:eastAsia="仿宋" w:hAnsi="仿宋" w:hint="eastAsia"/>
          <w:sz w:val="28"/>
          <w:szCs w:val="28"/>
        </w:rPr>
        <w:t>日</w:t>
      </w:r>
    </w:p>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0C68" w:rsidRDefault="00F00C68" w:rsidP="00035D47">
      <w:r>
        <w:separator/>
      </w:r>
    </w:p>
  </w:endnote>
  <w:endnote w:type="continuationSeparator" w:id="0">
    <w:p w:rsidR="00F00C68" w:rsidRDefault="00F00C68" w:rsidP="00035D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0C68" w:rsidRDefault="00F00C68" w:rsidP="00035D47">
      <w:r>
        <w:separator/>
      </w:r>
    </w:p>
  </w:footnote>
  <w:footnote w:type="continuationSeparator" w:id="0">
    <w:p w:rsidR="00F00C68" w:rsidRDefault="00F00C68" w:rsidP="00035D4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3B9"/>
    <w:rsid w:val="000251D9"/>
    <w:rsid w:val="0002673F"/>
    <w:rsid w:val="00031D18"/>
    <w:rsid w:val="00032DD1"/>
    <w:rsid w:val="00035D47"/>
    <w:rsid w:val="000366DC"/>
    <w:rsid w:val="00047594"/>
    <w:rsid w:val="00050A6A"/>
    <w:rsid w:val="0006315D"/>
    <w:rsid w:val="00066E90"/>
    <w:rsid w:val="0007294F"/>
    <w:rsid w:val="000734CD"/>
    <w:rsid w:val="00075692"/>
    <w:rsid w:val="00085940"/>
    <w:rsid w:val="0008627C"/>
    <w:rsid w:val="00095F8D"/>
    <w:rsid w:val="000A0F46"/>
    <w:rsid w:val="000A66D9"/>
    <w:rsid w:val="000B4971"/>
    <w:rsid w:val="000C2E27"/>
    <w:rsid w:val="000D5907"/>
    <w:rsid w:val="000D69F6"/>
    <w:rsid w:val="000E242D"/>
    <w:rsid w:val="000F6757"/>
    <w:rsid w:val="00102E87"/>
    <w:rsid w:val="00104EB9"/>
    <w:rsid w:val="00110B0E"/>
    <w:rsid w:val="00112427"/>
    <w:rsid w:val="001132F3"/>
    <w:rsid w:val="0011452D"/>
    <w:rsid w:val="00116597"/>
    <w:rsid w:val="00125AF5"/>
    <w:rsid w:val="00133C67"/>
    <w:rsid w:val="00135976"/>
    <w:rsid w:val="00150E4F"/>
    <w:rsid w:val="0015652D"/>
    <w:rsid w:val="00156AF8"/>
    <w:rsid w:val="00156BA6"/>
    <w:rsid w:val="001612F8"/>
    <w:rsid w:val="001713E2"/>
    <w:rsid w:val="00190DEB"/>
    <w:rsid w:val="00192A9B"/>
    <w:rsid w:val="001A0711"/>
    <w:rsid w:val="001A2FE2"/>
    <w:rsid w:val="001B2B19"/>
    <w:rsid w:val="001C4A97"/>
    <w:rsid w:val="001D20EC"/>
    <w:rsid w:val="0021675B"/>
    <w:rsid w:val="0022023B"/>
    <w:rsid w:val="00237D8F"/>
    <w:rsid w:val="002408D8"/>
    <w:rsid w:val="00242439"/>
    <w:rsid w:val="0024626E"/>
    <w:rsid w:val="0026090B"/>
    <w:rsid w:val="00270188"/>
    <w:rsid w:val="00270934"/>
    <w:rsid w:val="00285E1E"/>
    <w:rsid w:val="00290E1F"/>
    <w:rsid w:val="002B6324"/>
    <w:rsid w:val="002C212E"/>
    <w:rsid w:val="002D1A22"/>
    <w:rsid w:val="002E1E72"/>
    <w:rsid w:val="002E32FD"/>
    <w:rsid w:val="002F2B3C"/>
    <w:rsid w:val="003026B4"/>
    <w:rsid w:val="0030695F"/>
    <w:rsid w:val="0031178B"/>
    <w:rsid w:val="00314812"/>
    <w:rsid w:val="003169CE"/>
    <w:rsid w:val="003213EE"/>
    <w:rsid w:val="00325D48"/>
    <w:rsid w:val="0034109D"/>
    <w:rsid w:val="003416FF"/>
    <w:rsid w:val="00356125"/>
    <w:rsid w:val="00361782"/>
    <w:rsid w:val="00374120"/>
    <w:rsid w:val="00374E8A"/>
    <w:rsid w:val="003754E0"/>
    <w:rsid w:val="00376131"/>
    <w:rsid w:val="003771AF"/>
    <w:rsid w:val="003820CC"/>
    <w:rsid w:val="003A5E30"/>
    <w:rsid w:val="003A70C7"/>
    <w:rsid w:val="003C299B"/>
    <w:rsid w:val="003E14EC"/>
    <w:rsid w:val="003F046C"/>
    <w:rsid w:val="003F049E"/>
    <w:rsid w:val="003F6800"/>
    <w:rsid w:val="004006FC"/>
    <w:rsid w:val="0040280D"/>
    <w:rsid w:val="0042035B"/>
    <w:rsid w:val="00421D29"/>
    <w:rsid w:val="00426299"/>
    <w:rsid w:val="0042635C"/>
    <w:rsid w:val="00427EC6"/>
    <w:rsid w:val="0043125A"/>
    <w:rsid w:val="00453689"/>
    <w:rsid w:val="00472B0F"/>
    <w:rsid w:val="00477AC4"/>
    <w:rsid w:val="004807FB"/>
    <w:rsid w:val="00486D45"/>
    <w:rsid w:val="00491E4D"/>
    <w:rsid w:val="004A7AB9"/>
    <w:rsid w:val="004C0948"/>
    <w:rsid w:val="004C0A3F"/>
    <w:rsid w:val="004C23FE"/>
    <w:rsid w:val="004C3ADA"/>
    <w:rsid w:val="004E3F1B"/>
    <w:rsid w:val="00515AA2"/>
    <w:rsid w:val="00516453"/>
    <w:rsid w:val="0053033D"/>
    <w:rsid w:val="005402BA"/>
    <w:rsid w:val="005413B4"/>
    <w:rsid w:val="00542409"/>
    <w:rsid w:val="00551D88"/>
    <w:rsid w:val="00565D08"/>
    <w:rsid w:val="00573970"/>
    <w:rsid w:val="00575560"/>
    <w:rsid w:val="005770B2"/>
    <w:rsid w:val="00584A6E"/>
    <w:rsid w:val="00597C16"/>
    <w:rsid w:val="005A7386"/>
    <w:rsid w:val="005B0D28"/>
    <w:rsid w:val="005C63AC"/>
    <w:rsid w:val="005F0388"/>
    <w:rsid w:val="005F0628"/>
    <w:rsid w:val="005F1A66"/>
    <w:rsid w:val="006021C8"/>
    <w:rsid w:val="006040B2"/>
    <w:rsid w:val="006149DE"/>
    <w:rsid w:val="00617E59"/>
    <w:rsid w:val="006372E4"/>
    <w:rsid w:val="00650E0C"/>
    <w:rsid w:val="00657A5F"/>
    <w:rsid w:val="00670C4A"/>
    <w:rsid w:val="006725F9"/>
    <w:rsid w:val="00687980"/>
    <w:rsid w:val="006A5B4B"/>
    <w:rsid w:val="006B0D00"/>
    <w:rsid w:val="006B36FA"/>
    <w:rsid w:val="006C4D61"/>
    <w:rsid w:val="006D580C"/>
    <w:rsid w:val="006D5E14"/>
    <w:rsid w:val="006E3989"/>
    <w:rsid w:val="006E74E6"/>
    <w:rsid w:val="006F4E1C"/>
    <w:rsid w:val="00702CF7"/>
    <w:rsid w:val="0071039C"/>
    <w:rsid w:val="00711960"/>
    <w:rsid w:val="00712B2E"/>
    <w:rsid w:val="007155EF"/>
    <w:rsid w:val="00715BEC"/>
    <w:rsid w:val="00717C59"/>
    <w:rsid w:val="007213BE"/>
    <w:rsid w:val="00723C84"/>
    <w:rsid w:val="00734890"/>
    <w:rsid w:val="0074321D"/>
    <w:rsid w:val="007518CB"/>
    <w:rsid w:val="00764F8E"/>
    <w:rsid w:val="00782CF2"/>
    <w:rsid w:val="00792514"/>
    <w:rsid w:val="007A00F1"/>
    <w:rsid w:val="007C797A"/>
    <w:rsid w:val="007D1F0B"/>
    <w:rsid w:val="007E3F84"/>
    <w:rsid w:val="007E6087"/>
    <w:rsid w:val="007E62BF"/>
    <w:rsid w:val="00811823"/>
    <w:rsid w:val="00816019"/>
    <w:rsid w:val="00827058"/>
    <w:rsid w:val="00833E1B"/>
    <w:rsid w:val="00835071"/>
    <w:rsid w:val="00837F69"/>
    <w:rsid w:val="00842741"/>
    <w:rsid w:val="008467EB"/>
    <w:rsid w:val="00864655"/>
    <w:rsid w:val="00880398"/>
    <w:rsid w:val="008810F3"/>
    <w:rsid w:val="008B1938"/>
    <w:rsid w:val="008B71F4"/>
    <w:rsid w:val="008B7B6D"/>
    <w:rsid w:val="008C63C2"/>
    <w:rsid w:val="008D5427"/>
    <w:rsid w:val="008E37E3"/>
    <w:rsid w:val="008F4AFE"/>
    <w:rsid w:val="00901B26"/>
    <w:rsid w:val="00921C1D"/>
    <w:rsid w:val="009263AF"/>
    <w:rsid w:val="00926765"/>
    <w:rsid w:val="00940BC8"/>
    <w:rsid w:val="00940C15"/>
    <w:rsid w:val="00945353"/>
    <w:rsid w:val="00946373"/>
    <w:rsid w:val="00956B8B"/>
    <w:rsid w:val="00960EFF"/>
    <w:rsid w:val="009618C2"/>
    <w:rsid w:val="00962D27"/>
    <w:rsid w:val="00964E02"/>
    <w:rsid w:val="0097438C"/>
    <w:rsid w:val="00975484"/>
    <w:rsid w:val="009877ED"/>
    <w:rsid w:val="00993342"/>
    <w:rsid w:val="009941FD"/>
    <w:rsid w:val="009A213E"/>
    <w:rsid w:val="009A37E2"/>
    <w:rsid w:val="009C00E0"/>
    <w:rsid w:val="009C4365"/>
    <w:rsid w:val="009C6A72"/>
    <w:rsid w:val="009E007E"/>
    <w:rsid w:val="009E6B07"/>
    <w:rsid w:val="009F2E71"/>
    <w:rsid w:val="009F43B4"/>
    <w:rsid w:val="00A0699A"/>
    <w:rsid w:val="00A4652B"/>
    <w:rsid w:val="00A504F8"/>
    <w:rsid w:val="00A53770"/>
    <w:rsid w:val="00A549C3"/>
    <w:rsid w:val="00A71043"/>
    <w:rsid w:val="00A8402A"/>
    <w:rsid w:val="00A925E6"/>
    <w:rsid w:val="00AA414D"/>
    <w:rsid w:val="00AC3BBA"/>
    <w:rsid w:val="00AD3A22"/>
    <w:rsid w:val="00AE4328"/>
    <w:rsid w:val="00AE49E9"/>
    <w:rsid w:val="00AF1210"/>
    <w:rsid w:val="00AF4D56"/>
    <w:rsid w:val="00AF6207"/>
    <w:rsid w:val="00B0418F"/>
    <w:rsid w:val="00B041FA"/>
    <w:rsid w:val="00B12169"/>
    <w:rsid w:val="00B13D9C"/>
    <w:rsid w:val="00B1790A"/>
    <w:rsid w:val="00B262F8"/>
    <w:rsid w:val="00B55052"/>
    <w:rsid w:val="00B57A62"/>
    <w:rsid w:val="00B61971"/>
    <w:rsid w:val="00B6285C"/>
    <w:rsid w:val="00B66084"/>
    <w:rsid w:val="00B66194"/>
    <w:rsid w:val="00B73BB3"/>
    <w:rsid w:val="00B8274D"/>
    <w:rsid w:val="00BA0EED"/>
    <w:rsid w:val="00BA4D15"/>
    <w:rsid w:val="00BB4BBE"/>
    <w:rsid w:val="00BD08C3"/>
    <w:rsid w:val="00BD1F03"/>
    <w:rsid w:val="00BD52DF"/>
    <w:rsid w:val="00BD60FC"/>
    <w:rsid w:val="00BD6678"/>
    <w:rsid w:val="00BF57F5"/>
    <w:rsid w:val="00C03D64"/>
    <w:rsid w:val="00C1536C"/>
    <w:rsid w:val="00C238C3"/>
    <w:rsid w:val="00C23F58"/>
    <w:rsid w:val="00C31CC2"/>
    <w:rsid w:val="00C33238"/>
    <w:rsid w:val="00C36D9B"/>
    <w:rsid w:val="00C43E4C"/>
    <w:rsid w:val="00C506CE"/>
    <w:rsid w:val="00C5256E"/>
    <w:rsid w:val="00C900E9"/>
    <w:rsid w:val="00CA2B12"/>
    <w:rsid w:val="00CA74F1"/>
    <w:rsid w:val="00CC0600"/>
    <w:rsid w:val="00CC724F"/>
    <w:rsid w:val="00CD2759"/>
    <w:rsid w:val="00CD6854"/>
    <w:rsid w:val="00CE7494"/>
    <w:rsid w:val="00CF0F5A"/>
    <w:rsid w:val="00CF3004"/>
    <w:rsid w:val="00D10D9E"/>
    <w:rsid w:val="00D144AC"/>
    <w:rsid w:val="00D25DCD"/>
    <w:rsid w:val="00D338A5"/>
    <w:rsid w:val="00D47D38"/>
    <w:rsid w:val="00D5607C"/>
    <w:rsid w:val="00D615B5"/>
    <w:rsid w:val="00D84DDC"/>
    <w:rsid w:val="00D90D7E"/>
    <w:rsid w:val="00DA165B"/>
    <w:rsid w:val="00DA7926"/>
    <w:rsid w:val="00DB0611"/>
    <w:rsid w:val="00DD4416"/>
    <w:rsid w:val="00DE197E"/>
    <w:rsid w:val="00DF1093"/>
    <w:rsid w:val="00E02609"/>
    <w:rsid w:val="00E074F7"/>
    <w:rsid w:val="00E2099D"/>
    <w:rsid w:val="00E22957"/>
    <w:rsid w:val="00E353B9"/>
    <w:rsid w:val="00E360F5"/>
    <w:rsid w:val="00E363CC"/>
    <w:rsid w:val="00E57F13"/>
    <w:rsid w:val="00E733C7"/>
    <w:rsid w:val="00E86862"/>
    <w:rsid w:val="00EA0E92"/>
    <w:rsid w:val="00EB5086"/>
    <w:rsid w:val="00EB5B79"/>
    <w:rsid w:val="00EB671F"/>
    <w:rsid w:val="00ED0F56"/>
    <w:rsid w:val="00EE10D7"/>
    <w:rsid w:val="00EE4241"/>
    <w:rsid w:val="00EF0E5C"/>
    <w:rsid w:val="00EF2C1C"/>
    <w:rsid w:val="00F00C68"/>
    <w:rsid w:val="00F012F1"/>
    <w:rsid w:val="00F3115E"/>
    <w:rsid w:val="00F33052"/>
    <w:rsid w:val="00F41B59"/>
    <w:rsid w:val="00F42631"/>
    <w:rsid w:val="00F46730"/>
    <w:rsid w:val="00F66358"/>
    <w:rsid w:val="00F7070B"/>
    <w:rsid w:val="00F849F2"/>
    <w:rsid w:val="00FA24E0"/>
    <w:rsid w:val="00FA2F97"/>
    <w:rsid w:val="00FA4C2C"/>
    <w:rsid w:val="00FA502C"/>
    <w:rsid w:val="00FB28CD"/>
    <w:rsid w:val="00FC4C32"/>
    <w:rsid w:val="00FC50E1"/>
    <w:rsid w:val="00FD0180"/>
    <w:rsid w:val="00FE4108"/>
    <w:rsid w:val="00FE58BB"/>
    <w:rsid w:val="00FF129F"/>
    <w:rsid w:val="00FF30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unhideWhenUsed/>
    <w:qFormat/>
    <w:rsid w:val="00EB5086"/>
    <w:rPr>
      <w:sz w:val="21"/>
      <w:szCs w:val="21"/>
    </w:rPr>
  </w:style>
  <w:style w:type="paragraph" w:styleId="a8">
    <w:name w:val="annotation text"/>
    <w:basedOn w:val="a"/>
    <w:link w:val="Char1"/>
    <w:uiPriority w:val="99"/>
    <w:unhideWhenUsed/>
    <w:qFormat/>
    <w:rsid w:val="00EB5086"/>
    <w:pPr>
      <w:jc w:val="left"/>
    </w:pPr>
  </w:style>
  <w:style w:type="character" w:customStyle="1" w:styleId="Char1">
    <w:name w:val="批注文字 Char"/>
    <w:basedOn w:val="a0"/>
    <w:link w:val="a8"/>
    <w:uiPriority w:val="99"/>
    <w:qFormat/>
    <w:rsid w:val="00EB5086"/>
    <w:rPr>
      <w:rFonts w:ascii="Times New Roman" w:eastAsia="宋体" w:hAnsi="Times New Roman" w:cs="Times New Roman"/>
      <w:szCs w:val="20"/>
    </w:rPr>
  </w:style>
  <w:style w:type="paragraph" w:styleId="a9">
    <w:name w:val="annotation subject"/>
    <w:basedOn w:val="a8"/>
    <w:next w:val="a8"/>
    <w:link w:val="Char2"/>
    <w:uiPriority w:val="99"/>
    <w:semiHidden/>
    <w:unhideWhenUsed/>
    <w:rsid w:val="00EB5086"/>
    <w:rPr>
      <w:b/>
      <w:bCs/>
    </w:rPr>
  </w:style>
  <w:style w:type="character" w:customStyle="1" w:styleId="Char2">
    <w:name w:val="批注主题 Char"/>
    <w:basedOn w:val="Char1"/>
    <w:link w:val="a9"/>
    <w:uiPriority w:val="99"/>
    <w:semiHidden/>
    <w:rsid w:val="00EB5086"/>
    <w:rPr>
      <w:rFonts w:ascii="Times New Roman" w:eastAsia="宋体" w:hAnsi="Times New Roman" w:cs="Times New Roman"/>
      <w:b/>
      <w:bCs/>
      <w:szCs w:val="20"/>
    </w:rPr>
  </w:style>
  <w:style w:type="paragraph" w:styleId="aa">
    <w:name w:val="Balloon Text"/>
    <w:basedOn w:val="a"/>
    <w:link w:val="Char3"/>
    <w:uiPriority w:val="99"/>
    <w:semiHidden/>
    <w:unhideWhenUsed/>
    <w:rsid w:val="00EB5086"/>
    <w:rPr>
      <w:sz w:val="18"/>
      <w:szCs w:val="18"/>
    </w:rPr>
  </w:style>
  <w:style w:type="character" w:customStyle="1" w:styleId="Char3">
    <w:name w:val="批注框文本 Char"/>
    <w:basedOn w:val="a0"/>
    <w:link w:val="aa"/>
    <w:uiPriority w:val="99"/>
    <w:semiHidden/>
    <w:rsid w:val="00EB508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A70C7"/>
    <w:rPr>
      <w:color w:val="0000FF" w:themeColor="hyperlink"/>
      <w:u w:val="single"/>
    </w:rPr>
  </w:style>
  <w:style w:type="paragraph" w:styleId="a4">
    <w:name w:val="header"/>
    <w:basedOn w:val="a"/>
    <w:link w:val="Char"/>
    <w:uiPriority w:val="99"/>
    <w:unhideWhenUsed/>
    <w:rsid w:val="00035D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35D47"/>
    <w:rPr>
      <w:rFonts w:ascii="Times New Roman" w:eastAsia="宋体" w:hAnsi="Times New Roman" w:cs="Times New Roman"/>
      <w:sz w:val="18"/>
      <w:szCs w:val="18"/>
    </w:rPr>
  </w:style>
  <w:style w:type="paragraph" w:styleId="a5">
    <w:name w:val="footer"/>
    <w:basedOn w:val="a"/>
    <w:link w:val="Char0"/>
    <w:uiPriority w:val="99"/>
    <w:unhideWhenUsed/>
    <w:rsid w:val="00035D47"/>
    <w:pPr>
      <w:tabs>
        <w:tab w:val="center" w:pos="4153"/>
        <w:tab w:val="right" w:pos="8306"/>
      </w:tabs>
      <w:snapToGrid w:val="0"/>
      <w:jc w:val="left"/>
    </w:pPr>
    <w:rPr>
      <w:sz w:val="18"/>
      <w:szCs w:val="18"/>
    </w:rPr>
  </w:style>
  <w:style w:type="character" w:customStyle="1" w:styleId="Char0">
    <w:name w:val="页脚 Char"/>
    <w:basedOn w:val="a0"/>
    <w:link w:val="a5"/>
    <w:uiPriority w:val="99"/>
    <w:rsid w:val="00035D47"/>
    <w:rPr>
      <w:rFonts w:ascii="Times New Roman" w:eastAsia="宋体" w:hAnsi="Times New Roman" w:cs="Times New Roman"/>
      <w:sz w:val="18"/>
      <w:szCs w:val="18"/>
    </w:rPr>
  </w:style>
  <w:style w:type="table" w:styleId="a6">
    <w:name w:val="Table Grid"/>
    <w:basedOn w:val="a1"/>
    <w:uiPriority w:val="59"/>
    <w:qFormat/>
    <w:rsid w:val="00D84DD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unhideWhenUsed/>
    <w:qFormat/>
    <w:rsid w:val="00EB5086"/>
    <w:rPr>
      <w:sz w:val="21"/>
      <w:szCs w:val="21"/>
    </w:rPr>
  </w:style>
  <w:style w:type="paragraph" w:styleId="a8">
    <w:name w:val="annotation text"/>
    <w:basedOn w:val="a"/>
    <w:link w:val="Char1"/>
    <w:uiPriority w:val="99"/>
    <w:unhideWhenUsed/>
    <w:qFormat/>
    <w:rsid w:val="00EB5086"/>
    <w:pPr>
      <w:jc w:val="left"/>
    </w:pPr>
  </w:style>
  <w:style w:type="character" w:customStyle="1" w:styleId="Char1">
    <w:name w:val="批注文字 Char"/>
    <w:basedOn w:val="a0"/>
    <w:link w:val="a8"/>
    <w:uiPriority w:val="99"/>
    <w:qFormat/>
    <w:rsid w:val="00EB5086"/>
    <w:rPr>
      <w:rFonts w:ascii="Times New Roman" w:eastAsia="宋体" w:hAnsi="Times New Roman" w:cs="Times New Roman"/>
      <w:szCs w:val="20"/>
    </w:rPr>
  </w:style>
  <w:style w:type="paragraph" w:styleId="a9">
    <w:name w:val="annotation subject"/>
    <w:basedOn w:val="a8"/>
    <w:next w:val="a8"/>
    <w:link w:val="Char2"/>
    <w:uiPriority w:val="99"/>
    <w:semiHidden/>
    <w:unhideWhenUsed/>
    <w:rsid w:val="00EB5086"/>
    <w:rPr>
      <w:b/>
      <w:bCs/>
    </w:rPr>
  </w:style>
  <w:style w:type="character" w:customStyle="1" w:styleId="Char2">
    <w:name w:val="批注主题 Char"/>
    <w:basedOn w:val="Char1"/>
    <w:link w:val="a9"/>
    <w:uiPriority w:val="99"/>
    <w:semiHidden/>
    <w:rsid w:val="00EB5086"/>
    <w:rPr>
      <w:rFonts w:ascii="Times New Roman" w:eastAsia="宋体" w:hAnsi="Times New Roman" w:cs="Times New Roman"/>
      <w:b/>
      <w:bCs/>
      <w:szCs w:val="20"/>
    </w:rPr>
  </w:style>
  <w:style w:type="paragraph" w:styleId="aa">
    <w:name w:val="Balloon Text"/>
    <w:basedOn w:val="a"/>
    <w:link w:val="Char3"/>
    <w:uiPriority w:val="99"/>
    <w:semiHidden/>
    <w:unhideWhenUsed/>
    <w:rsid w:val="00EB5086"/>
    <w:rPr>
      <w:sz w:val="18"/>
      <w:szCs w:val="18"/>
    </w:rPr>
  </w:style>
  <w:style w:type="character" w:customStyle="1" w:styleId="Char3">
    <w:name w:val="批注框文本 Char"/>
    <w:basedOn w:val="a0"/>
    <w:link w:val="aa"/>
    <w:uiPriority w:val="99"/>
    <w:semiHidden/>
    <w:rsid w:val="00EB5086"/>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1373</TotalTime>
  <Pages>2</Pages>
  <Words>178</Words>
  <Characters>1020</Characters>
  <Application>Microsoft Office Word</Application>
  <DocSecurity>0</DocSecurity>
  <Lines>8</Lines>
  <Paragraphs>2</Paragraphs>
  <ScaleCrop>false</ScaleCrop>
  <Company>Microsoft</Company>
  <LinksUpToDate>false</LinksUpToDate>
  <CharactersWithSpaces>1196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291</cp:revision>
  <dcterms:created xsi:type="dcterms:W3CDTF">2023-11-16T03:12:00Z</dcterms:created>
  <dcterms:modified xsi:type="dcterms:W3CDTF">2026-02-13T02:14:00Z</dcterms:modified>
</cp:coreProperties>
</file>