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2DB4D8">
      <w:pPr>
        <w:autoSpaceDE w:val="0"/>
        <w:autoSpaceDN w:val="0"/>
        <w:adjustRightInd w:val="0"/>
        <w:spacing w:line="360" w:lineRule="auto"/>
        <w:jc w:val="left"/>
        <w:rPr>
          <w:rFonts w:ascii="仿宋" w:hAnsi="仿宋" w:eastAsia="仿宋"/>
          <w:color w:val="000000"/>
          <w:sz w:val="28"/>
        </w:rPr>
      </w:pPr>
      <w:r>
        <w:rPr>
          <w:rFonts w:hint="eastAsia" w:ascii="仿宋" w:hAnsi="仿宋" w:eastAsia="仿宋"/>
          <w:color w:val="000000"/>
          <w:sz w:val="28"/>
        </w:rPr>
        <w:t>证券代码：301178    证券简称：天亿马    公告编号：2026-011</w:t>
      </w:r>
    </w:p>
    <w:p w14:paraId="17AFDAEC">
      <w:pPr>
        <w:ind w:firstLine="420"/>
      </w:pPr>
    </w:p>
    <w:p w14:paraId="30CAEB78">
      <w:pPr>
        <w:spacing w:line="360" w:lineRule="auto"/>
        <w:jc w:val="center"/>
        <w:rPr>
          <w:rFonts w:ascii="黑体" w:hAnsi="黑体" w:eastAsia="黑体"/>
          <w:sz w:val="36"/>
          <w:szCs w:val="36"/>
        </w:rPr>
      </w:pPr>
      <w:r>
        <w:rPr>
          <w:rFonts w:hint="eastAsia" w:ascii="黑体" w:hAnsi="黑体" w:eastAsia="黑体"/>
          <w:sz w:val="36"/>
          <w:szCs w:val="36"/>
        </w:rPr>
        <w:t>广东天亿马信息产业股份有限公司</w:t>
      </w:r>
    </w:p>
    <w:p w14:paraId="7ECD0FBC">
      <w:pPr>
        <w:spacing w:after="312" w:afterLines="100" w:line="360" w:lineRule="auto"/>
        <w:jc w:val="center"/>
        <w:rPr>
          <w:rFonts w:ascii="黑体" w:hAnsi="黑体" w:eastAsia="黑体"/>
          <w:sz w:val="36"/>
          <w:szCs w:val="36"/>
        </w:rPr>
      </w:pPr>
      <w:r>
        <w:rPr>
          <w:rFonts w:hint="eastAsia" w:ascii="黑体" w:hAnsi="黑体" w:eastAsia="黑体"/>
          <w:sz w:val="36"/>
          <w:szCs w:val="36"/>
        </w:rPr>
        <w:t>关于实际控制人部分股份质押及解除质押的公告</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33D00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8522" w:type="dxa"/>
            <w:tcBorders>
              <w:top w:val="single" w:color="auto" w:sz="4" w:space="0"/>
              <w:left w:val="single" w:color="auto" w:sz="4" w:space="0"/>
              <w:bottom w:val="single" w:color="auto" w:sz="4" w:space="0"/>
              <w:right w:val="single" w:color="auto" w:sz="4" w:space="0"/>
            </w:tcBorders>
          </w:tcPr>
          <w:p w14:paraId="75058686">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本公司及董事会全体成员保证信息披露内容的真实、准确和完整，没有虚假记载、误导性陈述或重大遗漏。</w:t>
            </w:r>
          </w:p>
        </w:tc>
      </w:tr>
    </w:tbl>
    <w:p w14:paraId="225F4DDD">
      <w:pPr>
        <w:ind w:firstLine="560" w:firstLineChars="200"/>
        <w:rPr>
          <w:rFonts w:ascii="仿宋" w:hAnsi="仿宋" w:eastAsia="仿宋"/>
          <w:sz w:val="28"/>
          <w:szCs w:val="28"/>
        </w:rPr>
      </w:pPr>
      <w:r>
        <w:rPr>
          <w:rFonts w:hint="eastAsia" w:ascii="仿宋" w:hAnsi="仿宋" w:eastAsia="仿宋"/>
          <w:sz w:val="28"/>
          <w:szCs w:val="28"/>
        </w:rPr>
        <w:t>广东天亿马信息产业股份有限公司（以下简称“公司”）收到公司控股股东、实际控制人林明玲女士通知，其将持有的公司部分股份办理了质押及解除质押登记手续，具体情况如下：</w:t>
      </w:r>
    </w:p>
    <w:p w14:paraId="6A36C248">
      <w:pPr>
        <w:numPr>
          <w:ilvl w:val="0"/>
          <w:numId w:val="1"/>
        </w:numPr>
        <w:ind w:firstLine="562" w:firstLineChars="200"/>
        <w:outlineLvl w:val="0"/>
        <w:rPr>
          <w:rFonts w:ascii="仿宋" w:hAnsi="仿宋" w:eastAsia="仿宋"/>
          <w:b/>
          <w:color w:val="000000"/>
          <w:sz w:val="28"/>
          <w:szCs w:val="28"/>
        </w:rPr>
      </w:pPr>
      <w:r>
        <w:rPr>
          <w:rFonts w:hint="eastAsia" w:ascii="仿宋" w:hAnsi="仿宋" w:eastAsia="仿宋"/>
          <w:b/>
          <w:color w:val="000000"/>
          <w:sz w:val="28"/>
          <w:szCs w:val="28"/>
        </w:rPr>
        <w:t>股东股份质押及解除质押的基本情况</w:t>
      </w:r>
    </w:p>
    <w:p w14:paraId="14681C74">
      <w:pPr>
        <w:numPr>
          <w:ilvl w:val="0"/>
          <w:numId w:val="2"/>
        </w:numPr>
        <w:ind w:firstLine="560" w:firstLineChars="200"/>
        <w:rPr>
          <w:rFonts w:ascii="仿宋" w:hAnsi="仿宋" w:eastAsia="仿宋"/>
          <w:sz w:val="28"/>
          <w:szCs w:val="28"/>
        </w:rPr>
      </w:pPr>
      <w:r>
        <w:rPr>
          <w:rFonts w:hint="eastAsia" w:ascii="仿宋" w:hAnsi="仿宋" w:eastAsia="仿宋"/>
          <w:sz w:val="28"/>
          <w:szCs w:val="28"/>
        </w:rPr>
        <w:t>股份质押基本情况</w:t>
      </w:r>
    </w:p>
    <w:tbl>
      <w:tblPr>
        <w:tblStyle w:val="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
        <w:gridCol w:w="1427"/>
        <w:gridCol w:w="986"/>
        <w:gridCol w:w="705"/>
        <w:gridCol w:w="806"/>
        <w:gridCol w:w="1206"/>
        <w:gridCol w:w="962"/>
        <w:gridCol w:w="990"/>
        <w:gridCol w:w="990"/>
      </w:tblGrid>
      <w:tr w14:paraId="0847C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292" w:type="pct"/>
            <w:tcBorders>
              <w:top w:val="single" w:color="auto" w:sz="4" w:space="0"/>
              <w:left w:val="single" w:color="auto" w:sz="4" w:space="0"/>
              <w:bottom w:val="single" w:color="auto" w:sz="4" w:space="0"/>
              <w:right w:val="single" w:color="auto" w:sz="4" w:space="0"/>
            </w:tcBorders>
            <w:vAlign w:val="center"/>
          </w:tcPr>
          <w:p w14:paraId="6543E5BA">
            <w:pPr>
              <w:jc w:val="center"/>
              <w:rPr>
                <w:rFonts w:ascii="仿宋" w:hAnsi="仿宋" w:eastAsia="仿宋"/>
                <w:b/>
                <w:kern w:val="0"/>
                <w:sz w:val="22"/>
              </w:rPr>
            </w:pPr>
            <w:r>
              <w:rPr>
                <w:rFonts w:ascii="仿宋" w:hAnsi="仿宋" w:eastAsia="仿宋"/>
                <w:b/>
                <w:kern w:val="0"/>
                <w:sz w:val="22"/>
              </w:rPr>
              <w:t>股东名称</w:t>
            </w:r>
          </w:p>
        </w:tc>
        <w:tc>
          <w:tcPr>
            <w:tcW w:w="868" w:type="pct"/>
            <w:tcBorders>
              <w:top w:val="single" w:color="auto" w:sz="4" w:space="0"/>
              <w:left w:val="single" w:color="auto" w:sz="4" w:space="0"/>
              <w:bottom w:val="single" w:color="auto" w:sz="4" w:space="0"/>
              <w:right w:val="single" w:color="auto" w:sz="4" w:space="0"/>
            </w:tcBorders>
            <w:vAlign w:val="center"/>
          </w:tcPr>
          <w:p w14:paraId="4505C1BD">
            <w:pPr>
              <w:jc w:val="center"/>
              <w:rPr>
                <w:rFonts w:ascii="仿宋" w:hAnsi="仿宋" w:eastAsia="仿宋"/>
                <w:b/>
                <w:kern w:val="0"/>
                <w:sz w:val="22"/>
              </w:rPr>
            </w:pPr>
            <w:r>
              <w:rPr>
                <w:rFonts w:ascii="仿宋" w:hAnsi="仿宋" w:eastAsia="仿宋"/>
                <w:b/>
                <w:kern w:val="0"/>
                <w:sz w:val="22"/>
              </w:rPr>
              <w:t>是否为控股股东或第一大股东及其一致行动人</w:t>
            </w:r>
          </w:p>
        </w:tc>
        <w:tc>
          <w:tcPr>
            <w:tcW w:w="514" w:type="pct"/>
            <w:tcBorders>
              <w:top w:val="single" w:color="auto" w:sz="4" w:space="0"/>
              <w:left w:val="single" w:color="auto" w:sz="4" w:space="0"/>
              <w:bottom w:val="single" w:color="auto" w:sz="4" w:space="0"/>
              <w:right w:val="single" w:color="auto" w:sz="4" w:space="0"/>
            </w:tcBorders>
            <w:vAlign w:val="center"/>
          </w:tcPr>
          <w:p w14:paraId="49D5E384">
            <w:pPr>
              <w:jc w:val="center"/>
              <w:rPr>
                <w:rFonts w:ascii="仿宋" w:hAnsi="仿宋" w:eastAsia="仿宋"/>
                <w:b/>
                <w:kern w:val="0"/>
                <w:sz w:val="22"/>
              </w:rPr>
            </w:pPr>
            <w:r>
              <w:rPr>
                <w:rFonts w:ascii="仿宋" w:hAnsi="仿宋" w:eastAsia="仿宋"/>
                <w:b/>
                <w:kern w:val="0"/>
                <w:sz w:val="22"/>
              </w:rPr>
              <w:t>本次质押</w:t>
            </w:r>
            <w:r>
              <w:rPr>
                <w:rFonts w:hint="eastAsia" w:ascii="仿宋" w:hAnsi="仿宋" w:eastAsia="仿宋"/>
                <w:b/>
                <w:kern w:val="0"/>
                <w:sz w:val="22"/>
              </w:rPr>
              <w:t>股份</w:t>
            </w:r>
            <w:r>
              <w:rPr>
                <w:rFonts w:ascii="仿宋" w:hAnsi="仿宋" w:eastAsia="仿宋"/>
                <w:b/>
                <w:kern w:val="0"/>
                <w:sz w:val="22"/>
              </w:rPr>
              <w:t>数量（股）</w:t>
            </w:r>
          </w:p>
        </w:tc>
        <w:tc>
          <w:tcPr>
            <w:tcW w:w="444" w:type="pct"/>
            <w:tcBorders>
              <w:top w:val="single" w:color="auto" w:sz="4" w:space="0"/>
              <w:left w:val="single" w:color="auto" w:sz="4" w:space="0"/>
              <w:bottom w:val="single" w:color="auto" w:sz="4" w:space="0"/>
              <w:right w:val="single" w:color="auto" w:sz="4" w:space="0"/>
            </w:tcBorders>
            <w:vAlign w:val="center"/>
          </w:tcPr>
          <w:p w14:paraId="34D37DF6">
            <w:pPr>
              <w:jc w:val="center"/>
              <w:rPr>
                <w:rFonts w:ascii="仿宋" w:hAnsi="仿宋" w:eastAsia="仿宋"/>
                <w:b/>
                <w:kern w:val="0"/>
                <w:sz w:val="22"/>
              </w:rPr>
            </w:pPr>
            <w:r>
              <w:rPr>
                <w:rFonts w:ascii="仿宋" w:hAnsi="仿宋" w:eastAsia="仿宋"/>
                <w:b/>
                <w:kern w:val="0"/>
                <w:sz w:val="22"/>
              </w:rPr>
              <w:t>占其所持股份比例</w:t>
            </w:r>
            <w:r>
              <w:rPr>
                <w:rFonts w:hint="eastAsia" w:ascii="仿宋" w:hAnsi="仿宋" w:eastAsia="仿宋"/>
                <w:b/>
                <w:kern w:val="0"/>
                <w:sz w:val="22"/>
              </w:rPr>
              <w:t>(%)</w:t>
            </w:r>
          </w:p>
        </w:tc>
        <w:tc>
          <w:tcPr>
            <w:tcW w:w="503" w:type="pct"/>
            <w:tcBorders>
              <w:top w:val="single" w:color="auto" w:sz="4" w:space="0"/>
              <w:left w:val="single" w:color="auto" w:sz="4" w:space="0"/>
              <w:bottom w:val="single" w:color="auto" w:sz="4" w:space="0"/>
              <w:right w:val="single" w:color="auto" w:sz="4" w:space="0"/>
            </w:tcBorders>
            <w:vAlign w:val="center"/>
          </w:tcPr>
          <w:p w14:paraId="341FF345">
            <w:pPr>
              <w:jc w:val="center"/>
              <w:rPr>
                <w:rFonts w:ascii="仿宋" w:hAnsi="仿宋" w:eastAsia="仿宋"/>
                <w:b/>
                <w:kern w:val="0"/>
                <w:sz w:val="22"/>
              </w:rPr>
            </w:pPr>
            <w:r>
              <w:rPr>
                <w:rFonts w:ascii="仿宋" w:hAnsi="仿宋" w:eastAsia="仿宋"/>
                <w:b/>
                <w:sz w:val="22"/>
              </w:rPr>
              <w:t>占公司总股本比例</w:t>
            </w:r>
            <w:r>
              <w:rPr>
                <w:rFonts w:hint="eastAsia" w:ascii="仿宋" w:hAnsi="仿宋" w:eastAsia="仿宋"/>
                <w:b/>
                <w:sz w:val="22"/>
              </w:rPr>
              <w:t>（</w:t>
            </w:r>
            <w:r>
              <w:rPr>
                <w:rFonts w:ascii="仿宋" w:hAnsi="仿宋" w:eastAsia="仿宋"/>
                <w:b/>
                <w:sz w:val="22"/>
              </w:rPr>
              <w:t>%</w:t>
            </w:r>
            <w:r>
              <w:rPr>
                <w:rFonts w:hint="eastAsia" w:ascii="仿宋" w:hAnsi="仿宋" w:eastAsia="仿宋"/>
                <w:b/>
                <w:sz w:val="22"/>
              </w:rPr>
              <w:t>）</w:t>
            </w:r>
          </w:p>
        </w:tc>
        <w:tc>
          <w:tcPr>
            <w:tcW w:w="558" w:type="pct"/>
            <w:tcBorders>
              <w:top w:val="single" w:color="auto" w:sz="4" w:space="0"/>
              <w:left w:val="single" w:color="auto" w:sz="4" w:space="0"/>
              <w:bottom w:val="single" w:color="auto" w:sz="4" w:space="0"/>
              <w:right w:val="single" w:color="auto" w:sz="4" w:space="0"/>
            </w:tcBorders>
            <w:vAlign w:val="center"/>
          </w:tcPr>
          <w:p w14:paraId="65E0440C">
            <w:pPr>
              <w:jc w:val="center"/>
              <w:rPr>
                <w:rFonts w:ascii="仿宋" w:hAnsi="仿宋" w:eastAsia="仿宋"/>
                <w:b/>
                <w:kern w:val="0"/>
                <w:sz w:val="22"/>
              </w:rPr>
            </w:pPr>
            <w:r>
              <w:rPr>
                <w:rFonts w:ascii="仿宋" w:hAnsi="仿宋" w:eastAsia="仿宋"/>
                <w:b/>
                <w:kern w:val="0"/>
                <w:sz w:val="22"/>
              </w:rPr>
              <w:t>质押起始日</w:t>
            </w:r>
          </w:p>
        </w:tc>
        <w:tc>
          <w:tcPr>
            <w:tcW w:w="595" w:type="pct"/>
            <w:tcBorders>
              <w:top w:val="single" w:color="auto" w:sz="4" w:space="0"/>
              <w:left w:val="single" w:color="auto" w:sz="4" w:space="0"/>
              <w:bottom w:val="single" w:color="auto" w:sz="4" w:space="0"/>
              <w:right w:val="single" w:color="auto" w:sz="4" w:space="0"/>
            </w:tcBorders>
            <w:vAlign w:val="center"/>
          </w:tcPr>
          <w:p w14:paraId="649C0550">
            <w:pPr>
              <w:jc w:val="center"/>
              <w:rPr>
                <w:rFonts w:ascii="仿宋" w:hAnsi="仿宋" w:eastAsia="仿宋"/>
                <w:b/>
                <w:kern w:val="0"/>
                <w:sz w:val="22"/>
              </w:rPr>
            </w:pPr>
            <w:r>
              <w:rPr>
                <w:rFonts w:ascii="仿宋" w:hAnsi="仿宋" w:eastAsia="仿宋"/>
                <w:b/>
                <w:kern w:val="0"/>
                <w:sz w:val="22"/>
              </w:rPr>
              <w:t>质押</w:t>
            </w:r>
            <w:r>
              <w:rPr>
                <w:rFonts w:hint="eastAsia" w:ascii="仿宋" w:hAnsi="仿宋" w:eastAsia="仿宋"/>
                <w:b/>
                <w:kern w:val="0"/>
                <w:sz w:val="22"/>
              </w:rPr>
              <w:t>解除</w:t>
            </w:r>
            <w:r>
              <w:rPr>
                <w:rFonts w:ascii="仿宋" w:hAnsi="仿宋" w:eastAsia="仿宋"/>
                <w:b/>
                <w:kern w:val="0"/>
                <w:sz w:val="22"/>
              </w:rPr>
              <w:t>日</w:t>
            </w:r>
          </w:p>
        </w:tc>
        <w:tc>
          <w:tcPr>
            <w:tcW w:w="611" w:type="pct"/>
            <w:tcBorders>
              <w:top w:val="single" w:color="auto" w:sz="4" w:space="0"/>
              <w:left w:val="single" w:color="auto" w:sz="4" w:space="0"/>
              <w:bottom w:val="single" w:color="auto" w:sz="4" w:space="0"/>
              <w:right w:val="single" w:color="auto" w:sz="4" w:space="0"/>
            </w:tcBorders>
            <w:vAlign w:val="center"/>
          </w:tcPr>
          <w:p w14:paraId="3660C99D">
            <w:pPr>
              <w:jc w:val="center"/>
              <w:rPr>
                <w:rFonts w:ascii="仿宋" w:hAnsi="仿宋" w:eastAsia="仿宋"/>
                <w:b/>
                <w:kern w:val="0"/>
                <w:sz w:val="22"/>
              </w:rPr>
            </w:pPr>
            <w:r>
              <w:rPr>
                <w:rFonts w:ascii="仿宋" w:hAnsi="仿宋" w:eastAsia="仿宋"/>
                <w:b/>
                <w:kern w:val="0"/>
                <w:sz w:val="22"/>
              </w:rPr>
              <w:t>质权人</w:t>
            </w:r>
          </w:p>
        </w:tc>
        <w:tc>
          <w:tcPr>
            <w:tcW w:w="611" w:type="pct"/>
            <w:tcBorders>
              <w:top w:val="single" w:color="auto" w:sz="4" w:space="0"/>
              <w:left w:val="single" w:color="auto" w:sz="4" w:space="0"/>
              <w:bottom w:val="single" w:color="auto" w:sz="4" w:space="0"/>
              <w:right w:val="single" w:color="auto" w:sz="4" w:space="0"/>
            </w:tcBorders>
            <w:vAlign w:val="center"/>
          </w:tcPr>
          <w:p w14:paraId="1DFD6472">
            <w:pPr>
              <w:jc w:val="center"/>
              <w:rPr>
                <w:rFonts w:ascii="仿宋" w:hAnsi="仿宋" w:eastAsia="仿宋"/>
                <w:b/>
                <w:kern w:val="0"/>
                <w:sz w:val="22"/>
              </w:rPr>
            </w:pPr>
            <w:r>
              <w:rPr>
                <w:rFonts w:hint="eastAsia" w:ascii="仿宋" w:hAnsi="仿宋" w:eastAsia="仿宋"/>
                <w:b/>
                <w:kern w:val="0"/>
                <w:sz w:val="22"/>
              </w:rPr>
              <w:t>质押用途</w:t>
            </w:r>
          </w:p>
        </w:tc>
      </w:tr>
      <w:tr w14:paraId="3264F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92" w:type="pct"/>
            <w:tcBorders>
              <w:top w:val="single" w:color="auto" w:sz="4" w:space="0"/>
              <w:left w:val="single" w:color="auto" w:sz="4" w:space="0"/>
              <w:bottom w:val="single" w:color="auto" w:sz="4" w:space="0"/>
              <w:right w:val="single" w:color="auto" w:sz="4" w:space="0"/>
            </w:tcBorders>
            <w:vAlign w:val="center"/>
          </w:tcPr>
          <w:p w14:paraId="7B19B2F9">
            <w:pPr>
              <w:widowControl/>
              <w:jc w:val="center"/>
              <w:rPr>
                <w:rFonts w:ascii="仿宋" w:hAnsi="仿宋" w:eastAsia="仿宋"/>
                <w:sz w:val="22"/>
              </w:rPr>
            </w:pPr>
            <w:r>
              <w:rPr>
                <w:rFonts w:hint="eastAsia" w:ascii="仿宋" w:hAnsi="仿宋" w:eastAsia="仿宋"/>
                <w:sz w:val="22"/>
              </w:rPr>
              <w:t>林明玲</w:t>
            </w:r>
          </w:p>
        </w:tc>
        <w:tc>
          <w:tcPr>
            <w:tcW w:w="868" w:type="pct"/>
            <w:tcBorders>
              <w:top w:val="single" w:color="auto" w:sz="4" w:space="0"/>
              <w:left w:val="single" w:color="auto" w:sz="4" w:space="0"/>
              <w:bottom w:val="single" w:color="auto" w:sz="4" w:space="0"/>
              <w:right w:val="single" w:color="auto" w:sz="4" w:space="0"/>
            </w:tcBorders>
            <w:vAlign w:val="center"/>
          </w:tcPr>
          <w:p w14:paraId="466931BB">
            <w:pPr>
              <w:jc w:val="center"/>
              <w:rPr>
                <w:rFonts w:ascii="仿宋" w:hAnsi="仿宋" w:eastAsia="仿宋"/>
                <w:sz w:val="22"/>
              </w:rPr>
            </w:pPr>
            <w:r>
              <w:rPr>
                <w:rFonts w:hint="eastAsia" w:ascii="仿宋" w:hAnsi="仿宋" w:eastAsia="仿宋"/>
                <w:sz w:val="22"/>
              </w:rPr>
              <w:t>是</w:t>
            </w:r>
          </w:p>
        </w:tc>
        <w:tc>
          <w:tcPr>
            <w:tcW w:w="514" w:type="pct"/>
            <w:tcBorders>
              <w:top w:val="single" w:color="auto" w:sz="4" w:space="0"/>
              <w:left w:val="single" w:color="auto" w:sz="4" w:space="0"/>
              <w:bottom w:val="single" w:color="auto" w:sz="4" w:space="0"/>
              <w:right w:val="single" w:color="auto" w:sz="4" w:space="0"/>
            </w:tcBorders>
            <w:vAlign w:val="center"/>
          </w:tcPr>
          <w:p w14:paraId="1323D458">
            <w:pPr>
              <w:jc w:val="center"/>
              <w:rPr>
                <w:rFonts w:ascii="仿宋" w:hAnsi="仿宋" w:eastAsia="仿宋"/>
                <w:sz w:val="22"/>
              </w:rPr>
            </w:pPr>
            <w:r>
              <w:rPr>
                <w:rFonts w:hint="eastAsia" w:ascii="仿宋" w:hAnsi="仿宋" w:eastAsia="仿宋"/>
                <w:sz w:val="22"/>
              </w:rPr>
              <w:t>300,000</w:t>
            </w:r>
          </w:p>
        </w:tc>
        <w:tc>
          <w:tcPr>
            <w:tcW w:w="444" w:type="pct"/>
            <w:tcBorders>
              <w:top w:val="single" w:color="auto" w:sz="4" w:space="0"/>
              <w:left w:val="single" w:color="auto" w:sz="4" w:space="0"/>
              <w:bottom w:val="single" w:color="auto" w:sz="4" w:space="0"/>
              <w:right w:val="single" w:color="auto" w:sz="4" w:space="0"/>
            </w:tcBorders>
            <w:vAlign w:val="center"/>
          </w:tcPr>
          <w:p w14:paraId="1AD2B10C">
            <w:pPr>
              <w:jc w:val="center"/>
              <w:rPr>
                <w:rFonts w:ascii="仿宋" w:hAnsi="仿宋" w:eastAsia="仿宋"/>
                <w:sz w:val="22"/>
              </w:rPr>
            </w:pPr>
            <w:r>
              <w:rPr>
                <w:rFonts w:hint="eastAsia" w:ascii="仿宋" w:hAnsi="仿宋" w:eastAsia="仿宋"/>
                <w:sz w:val="22"/>
              </w:rPr>
              <w:t>1.56</w:t>
            </w:r>
          </w:p>
        </w:tc>
        <w:tc>
          <w:tcPr>
            <w:tcW w:w="503" w:type="pct"/>
            <w:tcBorders>
              <w:top w:val="single" w:color="auto" w:sz="4" w:space="0"/>
              <w:left w:val="single" w:color="auto" w:sz="4" w:space="0"/>
              <w:bottom w:val="single" w:color="auto" w:sz="4" w:space="0"/>
              <w:right w:val="single" w:color="auto" w:sz="4" w:space="0"/>
            </w:tcBorders>
            <w:vAlign w:val="center"/>
          </w:tcPr>
          <w:p w14:paraId="198EF389">
            <w:pPr>
              <w:jc w:val="center"/>
              <w:rPr>
                <w:rFonts w:ascii="仿宋" w:hAnsi="仿宋" w:eastAsia="仿宋"/>
                <w:sz w:val="22"/>
              </w:rPr>
            </w:pPr>
            <w:r>
              <w:rPr>
                <w:rFonts w:hint="eastAsia" w:ascii="仿宋" w:hAnsi="仿宋" w:eastAsia="仿宋"/>
                <w:sz w:val="22"/>
              </w:rPr>
              <w:t>0.45</w:t>
            </w:r>
          </w:p>
        </w:tc>
        <w:tc>
          <w:tcPr>
            <w:tcW w:w="558" w:type="pct"/>
            <w:tcBorders>
              <w:top w:val="single" w:color="auto" w:sz="4" w:space="0"/>
              <w:left w:val="single" w:color="auto" w:sz="4" w:space="0"/>
              <w:bottom w:val="single" w:color="auto" w:sz="4" w:space="0"/>
              <w:right w:val="single" w:color="auto" w:sz="4" w:space="0"/>
            </w:tcBorders>
            <w:vAlign w:val="center"/>
          </w:tcPr>
          <w:p w14:paraId="5F25D803">
            <w:pPr>
              <w:jc w:val="center"/>
              <w:rPr>
                <w:rFonts w:ascii="仿宋" w:hAnsi="仿宋" w:eastAsia="仿宋"/>
                <w:sz w:val="22"/>
              </w:rPr>
            </w:pPr>
            <w:r>
              <w:rPr>
                <w:rFonts w:hint="eastAsia" w:ascii="仿宋" w:hAnsi="仿宋" w:eastAsia="仿宋"/>
                <w:sz w:val="22"/>
              </w:rPr>
              <w:t>2026-3-17</w:t>
            </w:r>
          </w:p>
        </w:tc>
        <w:tc>
          <w:tcPr>
            <w:tcW w:w="595" w:type="pct"/>
            <w:tcBorders>
              <w:top w:val="single" w:color="auto" w:sz="4" w:space="0"/>
              <w:left w:val="single" w:color="auto" w:sz="4" w:space="0"/>
              <w:bottom w:val="single" w:color="auto" w:sz="4" w:space="0"/>
              <w:right w:val="single" w:color="auto" w:sz="4" w:space="0"/>
            </w:tcBorders>
            <w:vAlign w:val="center"/>
          </w:tcPr>
          <w:p w14:paraId="58F1A0D0">
            <w:pPr>
              <w:jc w:val="center"/>
              <w:rPr>
                <w:rFonts w:ascii="仿宋" w:hAnsi="仿宋" w:eastAsia="仿宋"/>
                <w:sz w:val="22"/>
              </w:rPr>
            </w:pPr>
            <w:r>
              <w:rPr>
                <w:rFonts w:hint="eastAsia" w:ascii="仿宋" w:hAnsi="仿宋" w:eastAsia="仿宋"/>
                <w:sz w:val="22"/>
              </w:rPr>
              <w:t>办理解除质押登记手续之日</w:t>
            </w:r>
          </w:p>
        </w:tc>
        <w:tc>
          <w:tcPr>
            <w:tcW w:w="611" w:type="pct"/>
            <w:tcBorders>
              <w:top w:val="single" w:color="auto" w:sz="4" w:space="0"/>
              <w:left w:val="single" w:color="auto" w:sz="4" w:space="0"/>
              <w:bottom w:val="single" w:color="auto" w:sz="4" w:space="0"/>
              <w:right w:val="single" w:color="auto" w:sz="4" w:space="0"/>
            </w:tcBorders>
            <w:shd w:val="clear" w:color="auto" w:fill="auto"/>
            <w:vAlign w:val="center"/>
          </w:tcPr>
          <w:p w14:paraId="71F0B277">
            <w:pPr>
              <w:jc w:val="center"/>
              <w:rPr>
                <w:rFonts w:ascii="仿宋" w:hAnsi="仿宋" w:eastAsia="仿宋"/>
                <w:sz w:val="22"/>
              </w:rPr>
            </w:pPr>
            <w:r>
              <w:rPr>
                <w:rFonts w:hint="eastAsia" w:ascii="仿宋" w:hAnsi="仿宋" w:eastAsia="仿宋"/>
                <w:sz w:val="22"/>
              </w:rPr>
              <w:t>汕头市中小企业融资担保有限公司</w:t>
            </w:r>
          </w:p>
        </w:tc>
        <w:tc>
          <w:tcPr>
            <w:tcW w:w="611" w:type="pct"/>
            <w:tcBorders>
              <w:top w:val="single" w:color="auto" w:sz="4" w:space="0"/>
              <w:left w:val="single" w:color="auto" w:sz="4" w:space="0"/>
              <w:bottom w:val="single" w:color="auto" w:sz="4" w:space="0"/>
              <w:right w:val="single" w:color="auto" w:sz="4" w:space="0"/>
            </w:tcBorders>
            <w:shd w:val="clear" w:color="auto" w:fill="auto"/>
            <w:vAlign w:val="center"/>
          </w:tcPr>
          <w:p w14:paraId="67E28DA5">
            <w:pPr>
              <w:jc w:val="center"/>
              <w:rPr>
                <w:rFonts w:ascii="仿宋" w:hAnsi="仿宋" w:eastAsia="仿宋"/>
                <w:sz w:val="22"/>
              </w:rPr>
            </w:pPr>
            <w:r>
              <w:rPr>
                <w:rFonts w:hint="eastAsia" w:ascii="仿宋" w:hAnsi="仿宋" w:eastAsia="仿宋"/>
                <w:sz w:val="22"/>
              </w:rPr>
              <w:t>为第三方借款提供反担保</w:t>
            </w:r>
          </w:p>
        </w:tc>
      </w:tr>
      <w:tr w14:paraId="75325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92" w:type="pct"/>
            <w:tcBorders>
              <w:top w:val="single" w:color="auto" w:sz="4" w:space="0"/>
              <w:left w:val="single" w:color="auto" w:sz="4" w:space="0"/>
              <w:bottom w:val="single" w:color="auto" w:sz="4" w:space="0"/>
              <w:right w:val="single" w:color="auto" w:sz="4" w:space="0"/>
            </w:tcBorders>
            <w:vAlign w:val="center"/>
          </w:tcPr>
          <w:p w14:paraId="2AB8609B">
            <w:pPr>
              <w:widowControl/>
              <w:jc w:val="center"/>
              <w:rPr>
                <w:rFonts w:ascii="仿宋" w:hAnsi="仿宋" w:eastAsia="仿宋"/>
                <w:sz w:val="22"/>
              </w:rPr>
            </w:pPr>
            <w:r>
              <w:rPr>
                <w:rFonts w:hint="eastAsia" w:ascii="仿宋" w:hAnsi="仿宋" w:eastAsia="仿宋"/>
                <w:sz w:val="22"/>
              </w:rPr>
              <w:t>林明玲</w:t>
            </w:r>
          </w:p>
        </w:tc>
        <w:tc>
          <w:tcPr>
            <w:tcW w:w="868" w:type="pct"/>
            <w:tcBorders>
              <w:top w:val="single" w:color="auto" w:sz="4" w:space="0"/>
              <w:left w:val="single" w:color="auto" w:sz="4" w:space="0"/>
              <w:bottom w:val="single" w:color="auto" w:sz="4" w:space="0"/>
              <w:right w:val="single" w:color="auto" w:sz="4" w:space="0"/>
            </w:tcBorders>
            <w:vAlign w:val="center"/>
          </w:tcPr>
          <w:p w14:paraId="1AD9D3E7">
            <w:pPr>
              <w:jc w:val="center"/>
              <w:rPr>
                <w:rFonts w:ascii="仿宋" w:hAnsi="仿宋" w:eastAsia="仿宋"/>
                <w:sz w:val="22"/>
              </w:rPr>
            </w:pPr>
            <w:r>
              <w:rPr>
                <w:rFonts w:hint="eastAsia" w:ascii="仿宋" w:hAnsi="仿宋" w:eastAsia="仿宋"/>
                <w:sz w:val="22"/>
              </w:rPr>
              <w:t>是</w:t>
            </w:r>
          </w:p>
        </w:tc>
        <w:tc>
          <w:tcPr>
            <w:tcW w:w="514" w:type="pct"/>
            <w:tcBorders>
              <w:top w:val="single" w:color="auto" w:sz="4" w:space="0"/>
              <w:left w:val="single" w:color="auto" w:sz="4" w:space="0"/>
              <w:bottom w:val="single" w:color="auto" w:sz="4" w:space="0"/>
              <w:right w:val="single" w:color="auto" w:sz="4" w:space="0"/>
            </w:tcBorders>
            <w:vAlign w:val="center"/>
          </w:tcPr>
          <w:p w14:paraId="49190594">
            <w:pPr>
              <w:jc w:val="center"/>
              <w:rPr>
                <w:rFonts w:ascii="仿宋" w:hAnsi="仿宋" w:eastAsia="仿宋"/>
                <w:sz w:val="22"/>
              </w:rPr>
            </w:pPr>
            <w:r>
              <w:rPr>
                <w:rFonts w:hint="eastAsia" w:ascii="仿宋" w:hAnsi="仿宋" w:eastAsia="仿宋"/>
                <w:sz w:val="22"/>
              </w:rPr>
              <w:t>450,000</w:t>
            </w:r>
          </w:p>
        </w:tc>
        <w:tc>
          <w:tcPr>
            <w:tcW w:w="444" w:type="pct"/>
            <w:tcBorders>
              <w:top w:val="single" w:color="auto" w:sz="4" w:space="0"/>
              <w:left w:val="single" w:color="auto" w:sz="4" w:space="0"/>
              <w:bottom w:val="single" w:color="auto" w:sz="4" w:space="0"/>
              <w:right w:val="single" w:color="auto" w:sz="4" w:space="0"/>
            </w:tcBorders>
            <w:vAlign w:val="center"/>
          </w:tcPr>
          <w:p w14:paraId="496621E4">
            <w:pPr>
              <w:jc w:val="center"/>
              <w:rPr>
                <w:rFonts w:ascii="仿宋" w:hAnsi="仿宋" w:eastAsia="仿宋"/>
                <w:sz w:val="22"/>
              </w:rPr>
            </w:pPr>
            <w:r>
              <w:rPr>
                <w:rFonts w:hint="eastAsia" w:ascii="仿宋" w:hAnsi="仿宋" w:eastAsia="仿宋"/>
                <w:sz w:val="22"/>
              </w:rPr>
              <w:t>2.34</w:t>
            </w:r>
          </w:p>
        </w:tc>
        <w:tc>
          <w:tcPr>
            <w:tcW w:w="503" w:type="pct"/>
            <w:tcBorders>
              <w:top w:val="single" w:color="auto" w:sz="4" w:space="0"/>
              <w:left w:val="single" w:color="auto" w:sz="4" w:space="0"/>
              <w:bottom w:val="single" w:color="auto" w:sz="4" w:space="0"/>
              <w:right w:val="single" w:color="auto" w:sz="4" w:space="0"/>
            </w:tcBorders>
            <w:vAlign w:val="center"/>
          </w:tcPr>
          <w:p w14:paraId="0B7841C0">
            <w:pPr>
              <w:jc w:val="center"/>
              <w:rPr>
                <w:rFonts w:ascii="仿宋" w:hAnsi="仿宋" w:eastAsia="仿宋"/>
                <w:sz w:val="22"/>
              </w:rPr>
            </w:pPr>
            <w:r>
              <w:rPr>
                <w:rFonts w:hint="eastAsia" w:ascii="仿宋" w:hAnsi="仿宋" w:eastAsia="仿宋"/>
                <w:sz w:val="22"/>
              </w:rPr>
              <w:t>0.67</w:t>
            </w:r>
          </w:p>
        </w:tc>
        <w:tc>
          <w:tcPr>
            <w:tcW w:w="558" w:type="pct"/>
            <w:tcBorders>
              <w:top w:val="single" w:color="auto" w:sz="4" w:space="0"/>
              <w:left w:val="single" w:color="auto" w:sz="4" w:space="0"/>
              <w:bottom w:val="single" w:color="auto" w:sz="4" w:space="0"/>
              <w:right w:val="single" w:color="auto" w:sz="4" w:space="0"/>
            </w:tcBorders>
            <w:shd w:val="clear" w:color="auto" w:fill="auto"/>
            <w:vAlign w:val="center"/>
          </w:tcPr>
          <w:p w14:paraId="4019A0F5">
            <w:pPr>
              <w:jc w:val="center"/>
              <w:rPr>
                <w:rFonts w:ascii="仿宋" w:hAnsi="仿宋" w:eastAsia="仿宋"/>
                <w:sz w:val="22"/>
              </w:rPr>
            </w:pPr>
            <w:r>
              <w:rPr>
                <w:rFonts w:hint="eastAsia" w:ascii="仿宋" w:hAnsi="仿宋" w:eastAsia="仿宋"/>
                <w:sz w:val="22"/>
              </w:rPr>
              <w:t>2026-3-17</w:t>
            </w:r>
          </w:p>
        </w:tc>
        <w:tc>
          <w:tcPr>
            <w:tcW w:w="595" w:type="pct"/>
            <w:tcBorders>
              <w:top w:val="single" w:color="auto" w:sz="4" w:space="0"/>
              <w:left w:val="single" w:color="auto" w:sz="4" w:space="0"/>
              <w:bottom w:val="single" w:color="auto" w:sz="4" w:space="0"/>
              <w:right w:val="single" w:color="auto" w:sz="4" w:space="0"/>
            </w:tcBorders>
            <w:vAlign w:val="center"/>
          </w:tcPr>
          <w:p w14:paraId="5D9659B3">
            <w:pPr>
              <w:jc w:val="center"/>
              <w:rPr>
                <w:rFonts w:ascii="仿宋" w:hAnsi="仿宋" w:eastAsia="仿宋"/>
                <w:sz w:val="22"/>
              </w:rPr>
            </w:pPr>
            <w:r>
              <w:rPr>
                <w:rFonts w:hint="eastAsia" w:ascii="仿宋" w:hAnsi="仿宋" w:eastAsia="仿宋"/>
                <w:sz w:val="22"/>
              </w:rPr>
              <w:t>办理解除质押登记手续之日</w:t>
            </w:r>
          </w:p>
        </w:tc>
        <w:tc>
          <w:tcPr>
            <w:tcW w:w="611" w:type="pct"/>
            <w:tcBorders>
              <w:top w:val="single" w:color="auto" w:sz="4" w:space="0"/>
              <w:left w:val="single" w:color="auto" w:sz="4" w:space="0"/>
              <w:bottom w:val="single" w:color="auto" w:sz="4" w:space="0"/>
              <w:right w:val="single" w:color="auto" w:sz="4" w:space="0"/>
            </w:tcBorders>
            <w:vAlign w:val="center"/>
          </w:tcPr>
          <w:p w14:paraId="239FD300">
            <w:pPr>
              <w:rPr>
                <w:rFonts w:ascii="仿宋" w:hAnsi="仿宋" w:eastAsia="仿宋"/>
                <w:sz w:val="22"/>
              </w:rPr>
            </w:pPr>
            <w:r>
              <w:rPr>
                <w:rFonts w:hint="eastAsia" w:ascii="仿宋" w:hAnsi="仿宋" w:eastAsia="仿宋"/>
                <w:sz w:val="22"/>
              </w:rPr>
              <w:t>汕头市中小企业融资担保有限公司</w:t>
            </w:r>
          </w:p>
        </w:tc>
        <w:tc>
          <w:tcPr>
            <w:tcW w:w="611" w:type="pct"/>
            <w:tcBorders>
              <w:top w:val="single" w:color="auto" w:sz="4" w:space="0"/>
              <w:left w:val="single" w:color="auto" w:sz="4" w:space="0"/>
              <w:bottom w:val="single" w:color="auto" w:sz="4" w:space="0"/>
              <w:right w:val="single" w:color="auto" w:sz="4" w:space="0"/>
            </w:tcBorders>
            <w:vAlign w:val="center"/>
          </w:tcPr>
          <w:p w14:paraId="67B38D55">
            <w:pPr>
              <w:jc w:val="center"/>
              <w:rPr>
                <w:rFonts w:ascii="仿宋" w:hAnsi="仿宋" w:eastAsia="仿宋"/>
                <w:sz w:val="22"/>
              </w:rPr>
            </w:pPr>
            <w:r>
              <w:rPr>
                <w:rFonts w:hint="eastAsia" w:ascii="仿宋" w:hAnsi="仿宋" w:eastAsia="仿宋"/>
                <w:sz w:val="22"/>
              </w:rPr>
              <w:t>为第三方借款提供反担保</w:t>
            </w:r>
          </w:p>
        </w:tc>
      </w:tr>
    </w:tbl>
    <w:p w14:paraId="386C63E7">
      <w:pPr>
        <w:spacing w:line="360" w:lineRule="auto"/>
        <w:ind w:firstLine="440" w:firstLineChars="200"/>
        <w:rPr>
          <w:rFonts w:ascii="仿宋" w:hAnsi="仿宋" w:eastAsia="仿宋"/>
          <w:color w:val="000000"/>
          <w:sz w:val="22"/>
          <w:szCs w:val="22"/>
        </w:rPr>
      </w:pPr>
      <w:r>
        <w:rPr>
          <w:rFonts w:hint="eastAsia" w:ascii="仿宋" w:hAnsi="仿宋" w:eastAsia="仿宋"/>
          <w:color w:val="000000"/>
          <w:sz w:val="22"/>
          <w:szCs w:val="22"/>
        </w:rPr>
        <w:t>注：（1）本公告限售股包括部分高管锁定股；</w:t>
      </w:r>
    </w:p>
    <w:p w14:paraId="626056D9">
      <w:pPr>
        <w:spacing w:line="360" w:lineRule="auto"/>
        <w:ind w:firstLine="880" w:firstLineChars="400"/>
        <w:rPr>
          <w:rFonts w:ascii="仿宋" w:hAnsi="仿宋" w:eastAsia="仿宋"/>
          <w:color w:val="000000"/>
          <w:sz w:val="22"/>
          <w:szCs w:val="22"/>
        </w:rPr>
      </w:pPr>
      <w:r>
        <w:rPr>
          <w:rFonts w:hint="eastAsia" w:ascii="仿宋" w:hAnsi="仿宋" w:eastAsia="仿宋"/>
          <w:color w:val="000000"/>
          <w:sz w:val="22"/>
          <w:szCs w:val="22"/>
        </w:rPr>
        <w:t>（2）本公告除特别说明外，数值保留2位小数，数据尾差为计算时四舍五入所致。</w:t>
      </w:r>
    </w:p>
    <w:p w14:paraId="4C0A3CDB">
      <w:pPr>
        <w:numPr>
          <w:ilvl w:val="0"/>
          <w:numId w:val="2"/>
        </w:numPr>
        <w:ind w:firstLine="560" w:firstLineChars="200"/>
        <w:rPr>
          <w:rFonts w:ascii="仿宋" w:hAnsi="仿宋" w:eastAsia="仿宋"/>
          <w:sz w:val="28"/>
          <w:szCs w:val="28"/>
        </w:rPr>
      </w:pPr>
      <w:r>
        <w:rPr>
          <w:rFonts w:hint="eastAsia" w:ascii="仿宋" w:hAnsi="仿宋" w:eastAsia="仿宋"/>
          <w:sz w:val="28"/>
          <w:szCs w:val="28"/>
        </w:rPr>
        <w:t>股份解除质押基本情况</w:t>
      </w:r>
    </w:p>
    <w:tbl>
      <w:tblPr>
        <w:tblStyle w:val="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1658"/>
        <w:gridCol w:w="986"/>
        <w:gridCol w:w="817"/>
        <w:gridCol w:w="950"/>
        <w:gridCol w:w="1206"/>
        <w:gridCol w:w="1206"/>
        <w:gridCol w:w="1160"/>
      </w:tblGrid>
      <w:tr w14:paraId="53FDA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314" w:type="pct"/>
            <w:tcBorders>
              <w:top w:val="single" w:color="auto" w:sz="4" w:space="0"/>
              <w:left w:val="single" w:color="auto" w:sz="4" w:space="0"/>
              <w:bottom w:val="single" w:color="auto" w:sz="4" w:space="0"/>
              <w:right w:val="single" w:color="auto" w:sz="4" w:space="0"/>
            </w:tcBorders>
            <w:vAlign w:val="center"/>
          </w:tcPr>
          <w:p w14:paraId="2C5AF2DE">
            <w:pPr>
              <w:jc w:val="center"/>
              <w:rPr>
                <w:rFonts w:ascii="仿宋" w:hAnsi="仿宋" w:eastAsia="仿宋"/>
                <w:b/>
                <w:kern w:val="0"/>
                <w:sz w:val="22"/>
              </w:rPr>
            </w:pPr>
            <w:r>
              <w:rPr>
                <w:rFonts w:ascii="仿宋" w:hAnsi="仿宋" w:eastAsia="仿宋"/>
                <w:b/>
                <w:kern w:val="0"/>
                <w:sz w:val="22"/>
              </w:rPr>
              <w:t>股东名称</w:t>
            </w:r>
          </w:p>
        </w:tc>
        <w:tc>
          <w:tcPr>
            <w:tcW w:w="972" w:type="pct"/>
            <w:tcBorders>
              <w:top w:val="single" w:color="auto" w:sz="4" w:space="0"/>
              <w:left w:val="single" w:color="auto" w:sz="4" w:space="0"/>
              <w:bottom w:val="single" w:color="auto" w:sz="4" w:space="0"/>
              <w:right w:val="single" w:color="auto" w:sz="4" w:space="0"/>
            </w:tcBorders>
            <w:vAlign w:val="center"/>
          </w:tcPr>
          <w:p w14:paraId="3823F3A8">
            <w:pPr>
              <w:jc w:val="center"/>
              <w:rPr>
                <w:rFonts w:ascii="仿宋" w:hAnsi="仿宋" w:eastAsia="仿宋"/>
                <w:b/>
                <w:kern w:val="0"/>
                <w:sz w:val="22"/>
              </w:rPr>
            </w:pPr>
            <w:r>
              <w:rPr>
                <w:rFonts w:ascii="仿宋" w:hAnsi="仿宋" w:eastAsia="仿宋"/>
                <w:b/>
                <w:kern w:val="0"/>
                <w:sz w:val="22"/>
              </w:rPr>
              <w:t>是否为控股股东或第一大股东及其一致行动人</w:t>
            </w:r>
          </w:p>
        </w:tc>
        <w:tc>
          <w:tcPr>
            <w:tcW w:w="578" w:type="pct"/>
            <w:tcBorders>
              <w:top w:val="single" w:color="auto" w:sz="4" w:space="0"/>
              <w:left w:val="single" w:color="auto" w:sz="4" w:space="0"/>
              <w:bottom w:val="single" w:color="auto" w:sz="4" w:space="0"/>
              <w:right w:val="single" w:color="auto" w:sz="4" w:space="0"/>
            </w:tcBorders>
            <w:vAlign w:val="center"/>
          </w:tcPr>
          <w:p w14:paraId="56475909">
            <w:pPr>
              <w:jc w:val="center"/>
              <w:rPr>
                <w:rFonts w:ascii="仿宋" w:hAnsi="仿宋" w:eastAsia="仿宋"/>
                <w:b/>
                <w:kern w:val="0"/>
                <w:sz w:val="22"/>
              </w:rPr>
            </w:pPr>
            <w:r>
              <w:rPr>
                <w:rFonts w:ascii="仿宋" w:hAnsi="仿宋" w:eastAsia="仿宋"/>
                <w:b/>
                <w:kern w:val="0"/>
                <w:sz w:val="22"/>
              </w:rPr>
              <w:t>本次</w:t>
            </w:r>
            <w:r>
              <w:rPr>
                <w:rFonts w:hint="eastAsia" w:ascii="仿宋" w:hAnsi="仿宋" w:eastAsia="仿宋"/>
                <w:b/>
                <w:kern w:val="0"/>
                <w:sz w:val="22"/>
              </w:rPr>
              <w:t>解除</w:t>
            </w:r>
            <w:r>
              <w:rPr>
                <w:rFonts w:ascii="仿宋" w:hAnsi="仿宋" w:eastAsia="仿宋"/>
                <w:b/>
                <w:kern w:val="0"/>
                <w:sz w:val="22"/>
              </w:rPr>
              <w:t>质押</w:t>
            </w:r>
            <w:r>
              <w:rPr>
                <w:rFonts w:hint="eastAsia" w:ascii="仿宋" w:hAnsi="仿宋" w:eastAsia="仿宋"/>
                <w:b/>
                <w:kern w:val="0"/>
                <w:sz w:val="22"/>
              </w:rPr>
              <w:t>股份</w:t>
            </w:r>
            <w:r>
              <w:rPr>
                <w:rFonts w:ascii="仿宋" w:hAnsi="仿宋" w:eastAsia="仿宋"/>
                <w:b/>
                <w:kern w:val="0"/>
                <w:sz w:val="22"/>
              </w:rPr>
              <w:t>数量（股）</w:t>
            </w:r>
          </w:p>
        </w:tc>
        <w:tc>
          <w:tcPr>
            <w:tcW w:w="479" w:type="pct"/>
            <w:tcBorders>
              <w:top w:val="single" w:color="auto" w:sz="4" w:space="0"/>
              <w:left w:val="single" w:color="auto" w:sz="4" w:space="0"/>
              <w:bottom w:val="single" w:color="auto" w:sz="4" w:space="0"/>
              <w:right w:val="single" w:color="auto" w:sz="4" w:space="0"/>
            </w:tcBorders>
            <w:vAlign w:val="center"/>
          </w:tcPr>
          <w:p w14:paraId="0A2F826B">
            <w:pPr>
              <w:jc w:val="center"/>
              <w:rPr>
                <w:rFonts w:ascii="仿宋" w:hAnsi="仿宋" w:eastAsia="仿宋"/>
                <w:b/>
                <w:kern w:val="0"/>
                <w:sz w:val="22"/>
              </w:rPr>
            </w:pPr>
            <w:r>
              <w:rPr>
                <w:rFonts w:ascii="仿宋" w:hAnsi="仿宋" w:eastAsia="仿宋"/>
                <w:b/>
                <w:kern w:val="0"/>
                <w:sz w:val="22"/>
              </w:rPr>
              <w:t>占其所持股份比例</w:t>
            </w:r>
            <w:r>
              <w:rPr>
                <w:rFonts w:hint="eastAsia" w:ascii="仿宋" w:hAnsi="仿宋" w:eastAsia="仿宋"/>
                <w:b/>
                <w:kern w:val="0"/>
                <w:sz w:val="22"/>
              </w:rPr>
              <w:t>(%)</w:t>
            </w:r>
          </w:p>
        </w:tc>
        <w:tc>
          <w:tcPr>
            <w:tcW w:w="557" w:type="pct"/>
            <w:tcBorders>
              <w:top w:val="single" w:color="auto" w:sz="4" w:space="0"/>
              <w:left w:val="single" w:color="auto" w:sz="4" w:space="0"/>
              <w:bottom w:val="single" w:color="auto" w:sz="4" w:space="0"/>
              <w:right w:val="single" w:color="auto" w:sz="4" w:space="0"/>
            </w:tcBorders>
            <w:vAlign w:val="center"/>
          </w:tcPr>
          <w:p w14:paraId="5BAAF5AC">
            <w:pPr>
              <w:jc w:val="center"/>
              <w:rPr>
                <w:rFonts w:ascii="仿宋" w:hAnsi="仿宋" w:eastAsia="仿宋"/>
                <w:b/>
                <w:kern w:val="0"/>
                <w:sz w:val="22"/>
              </w:rPr>
            </w:pPr>
            <w:r>
              <w:rPr>
                <w:rFonts w:ascii="仿宋" w:hAnsi="仿宋" w:eastAsia="仿宋"/>
                <w:b/>
                <w:sz w:val="22"/>
              </w:rPr>
              <w:t>占公司总股本比例</w:t>
            </w:r>
            <w:r>
              <w:rPr>
                <w:rFonts w:hint="eastAsia" w:ascii="仿宋" w:hAnsi="仿宋" w:eastAsia="仿宋"/>
                <w:b/>
                <w:sz w:val="22"/>
              </w:rPr>
              <w:t>（</w:t>
            </w:r>
            <w:r>
              <w:rPr>
                <w:rFonts w:ascii="仿宋" w:hAnsi="仿宋" w:eastAsia="仿宋"/>
                <w:b/>
                <w:sz w:val="22"/>
              </w:rPr>
              <w:t>%</w:t>
            </w:r>
            <w:r>
              <w:rPr>
                <w:rFonts w:hint="eastAsia" w:ascii="仿宋" w:hAnsi="仿宋" w:eastAsia="仿宋"/>
                <w:b/>
                <w:sz w:val="22"/>
              </w:rPr>
              <w:t>）</w:t>
            </w:r>
          </w:p>
        </w:tc>
        <w:tc>
          <w:tcPr>
            <w:tcW w:w="707" w:type="pct"/>
            <w:tcBorders>
              <w:top w:val="single" w:color="auto" w:sz="4" w:space="0"/>
              <w:left w:val="single" w:color="auto" w:sz="4" w:space="0"/>
              <w:bottom w:val="single" w:color="auto" w:sz="4" w:space="0"/>
              <w:right w:val="single" w:color="auto" w:sz="4" w:space="0"/>
            </w:tcBorders>
            <w:vAlign w:val="center"/>
          </w:tcPr>
          <w:p w14:paraId="489FA72B">
            <w:pPr>
              <w:jc w:val="center"/>
              <w:rPr>
                <w:rFonts w:ascii="仿宋" w:hAnsi="仿宋" w:eastAsia="仿宋"/>
                <w:b/>
                <w:kern w:val="0"/>
                <w:sz w:val="22"/>
              </w:rPr>
            </w:pPr>
            <w:r>
              <w:rPr>
                <w:rFonts w:ascii="仿宋" w:hAnsi="仿宋" w:eastAsia="仿宋"/>
                <w:b/>
                <w:kern w:val="0"/>
                <w:sz w:val="22"/>
              </w:rPr>
              <w:t>质押起始日</w:t>
            </w:r>
          </w:p>
        </w:tc>
        <w:tc>
          <w:tcPr>
            <w:tcW w:w="707" w:type="pct"/>
            <w:tcBorders>
              <w:top w:val="single" w:color="auto" w:sz="4" w:space="0"/>
              <w:left w:val="single" w:color="auto" w:sz="4" w:space="0"/>
              <w:bottom w:val="single" w:color="auto" w:sz="4" w:space="0"/>
              <w:right w:val="single" w:color="auto" w:sz="4" w:space="0"/>
            </w:tcBorders>
            <w:vAlign w:val="center"/>
          </w:tcPr>
          <w:p w14:paraId="2FDCF4BD">
            <w:pPr>
              <w:jc w:val="center"/>
              <w:rPr>
                <w:rFonts w:ascii="仿宋" w:hAnsi="仿宋" w:eastAsia="仿宋"/>
                <w:b/>
                <w:kern w:val="0"/>
                <w:sz w:val="22"/>
              </w:rPr>
            </w:pPr>
            <w:r>
              <w:rPr>
                <w:rFonts w:ascii="仿宋" w:hAnsi="仿宋" w:eastAsia="仿宋"/>
                <w:b/>
                <w:kern w:val="0"/>
                <w:sz w:val="22"/>
              </w:rPr>
              <w:t>质押</w:t>
            </w:r>
            <w:r>
              <w:rPr>
                <w:rFonts w:hint="eastAsia" w:ascii="仿宋" w:hAnsi="仿宋" w:eastAsia="仿宋"/>
                <w:b/>
                <w:kern w:val="0"/>
                <w:sz w:val="22"/>
              </w:rPr>
              <w:t>解除</w:t>
            </w:r>
            <w:r>
              <w:rPr>
                <w:rFonts w:ascii="仿宋" w:hAnsi="仿宋" w:eastAsia="仿宋"/>
                <w:b/>
                <w:kern w:val="0"/>
                <w:sz w:val="22"/>
              </w:rPr>
              <w:t>日</w:t>
            </w:r>
          </w:p>
        </w:tc>
        <w:tc>
          <w:tcPr>
            <w:tcW w:w="680" w:type="pct"/>
            <w:tcBorders>
              <w:top w:val="single" w:color="auto" w:sz="4" w:space="0"/>
              <w:left w:val="single" w:color="auto" w:sz="4" w:space="0"/>
              <w:bottom w:val="single" w:color="auto" w:sz="4" w:space="0"/>
              <w:right w:val="single" w:color="auto" w:sz="4" w:space="0"/>
            </w:tcBorders>
            <w:vAlign w:val="center"/>
          </w:tcPr>
          <w:p w14:paraId="4AA5C183">
            <w:pPr>
              <w:jc w:val="center"/>
              <w:rPr>
                <w:rFonts w:ascii="仿宋" w:hAnsi="仿宋" w:eastAsia="仿宋"/>
                <w:b/>
                <w:kern w:val="0"/>
                <w:sz w:val="22"/>
              </w:rPr>
            </w:pPr>
            <w:r>
              <w:rPr>
                <w:rFonts w:ascii="仿宋" w:hAnsi="仿宋" w:eastAsia="仿宋"/>
                <w:b/>
                <w:kern w:val="0"/>
                <w:sz w:val="22"/>
              </w:rPr>
              <w:t>质权人</w:t>
            </w:r>
          </w:p>
        </w:tc>
      </w:tr>
      <w:tr w14:paraId="0B71C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14" w:type="pct"/>
            <w:tcBorders>
              <w:top w:val="single" w:color="auto" w:sz="4" w:space="0"/>
              <w:left w:val="single" w:color="auto" w:sz="4" w:space="0"/>
              <w:bottom w:val="single" w:color="auto" w:sz="4" w:space="0"/>
              <w:right w:val="single" w:color="auto" w:sz="4" w:space="0"/>
            </w:tcBorders>
            <w:vAlign w:val="center"/>
          </w:tcPr>
          <w:p w14:paraId="4571073E">
            <w:pPr>
              <w:widowControl/>
              <w:jc w:val="center"/>
              <w:rPr>
                <w:rFonts w:ascii="仿宋" w:hAnsi="仿宋" w:eastAsia="仿宋"/>
                <w:sz w:val="22"/>
              </w:rPr>
            </w:pPr>
            <w:r>
              <w:rPr>
                <w:rFonts w:hint="eastAsia" w:ascii="仿宋" w:hAnsi="仿宋" w:eastAsia="仿宋"/>
                <w:sz w:val="22"/>
              </w:rPr>
              <w:t>林明玲</w:t>
            </w:r>
          </w:p>
        </w:tc>
        <w:tc>
          <w:tcPr>
            <w:tcW w:w="972" w:type="pct"/>
            <w:tcBorders>
              <w:top w:val="single" w:color="auto" w:sz="4" w:space="0"/>
              <w:left w:val="single" w:color="auto" w:sz="4" w:space="0"/>
              <w:bottom w:val="single" w:color="auto" w:sz="4" w:space="0"/>
              <w:right w:val="single" w:color="auto" w:sz="4" w:space="0"/>
            </w:tcBorders>
            <w:vAlign w:val="center"/>
          </w:tcPr>
          <w:p w14:paraId="1C2FA58D">
            <w:pPr>
              <w:jc w:val="center"/>
              <w:rPr>
                <w:rFonts w:ascii="仿宋" w:hAnsi="仿宋" w:eastAsia="仿宋"/>
                <w:sz w:val="22"/>
              </w:rPr>
            </w:pPr>
            <w:r>
              <w:rPr>
                <w:rFonts w:hint="eastAsia" w:ascii="仿宋" w:hAnsi="仿宋" w:eastAsia="仿宋"/>
                <w:sz w:val="22"/>
              </w:rPr>
              <w:t>是</w:t>
            </w:r>
          </w:p>
        </w:tc>
        <w:tc>
          <w:tcPr>
            <w:tcW w:w="578" w:type="pct"/>
            <w:tcBorders>
              <w:top w:val="single" w:color="auto" w:sz="4" w:space="0"/>
              <w:left w:val="single" w:color="auto" w:sz="4" w:space="0"/>
              <w:bottom w:val="single" w:color="auto" w:sz="4" w:space="0"/>
              <w:right w:val="single" w:color="auto" w:sz="4" w:space="0"/>
            </w:tcBorders>
            <w:vAlign w:val="center"/>
          </w:tcPr>
          <w:p w14:paraId="6AEEC565">
            <w:pPr>
              <w:jc w:val="center"/>
              <w:rPr>
                <w:rFonts w:ascii="仿宋" w:hAnsi="仿宋" w:eastAsia="仿宋"/>
                <w:sz w:val="22"/>
              </w:rPr>
            </w:pPr>
            <w:r>
              <w:rPr>
                <w:rFonts w:hint="eastAsia" w:ascii="仿宋" w:hAnsi="仿宋" w:eastAsia="仿宋"/>
                <w:sz w:val="22"/>
              </w:rPr>
              <w:t>950,000</w:t>
            </w:r>
          </w:p>
        </w:tc>
        <w:tc>
          <w:tcPr>
            <w:tcW w:w="479" w:type="pct"/>
            <w:tcBorders>
              <w:top w:val="single" w:color="auto" w:sz="4" w:space="0"/>
              <w:left w:val="single" w:color="auto" w:sz="4" w:space="0"/>
              <w:bottom w:val="single" w:color="auto" w:sz="4" w:space="0"/>
              <w:right w:val="single" w:color="auto" w:sz="4" w:space="0"/>
            </w:tcBorders>
            <w:vAlign w:val="center"/>
          </w:tcPr>
          <w:p w14:paraId="6517B637">
            <w:pPr>
              <w:jc w:val="center"/>
              <w:rPr>
                <w:rFonts w:ascii="仿宋" w:hAnsi="仿宋" w:eastAsia="仿宋"/>
                <w:sz w:val="22"/>
              </w:rPr>
            </w:pPr>
            <w:r>
              <w:rPr>
                <w:rFonts w:hint="eastAsia" w:ascii="仿宋" w:hAnsi="仿宋" w:eastAsia="仿宋"/>
                <w:sz w:val="22"/>
              </w:rPr>
              <w:t>4.95</w:t>
            </w:r>
          </w:p>
        </w:tc>
        <w:tc>
          <w:tcPr>
            <w:tcW w:w="557" w:type="pct"/>
            <w:tcBorders>
              <w:top w:val="single" w:color="auto" w:sz="4" w:space="0"/>
              <w:left w:val="single" w:color="auto" w:sz="4" w:space="0"/>
              <w:bottom w:val="single" w:color="auto" w:sz="4" w:space="0"/>
              <w:right w:val="single" w:color="auto" w:sz="4" w:space="0"/>
            </w:tcBorders>
            <w:vAlign w:val="center"/>
          </w:tcPr>
          <w:p w14:paraId="59B645DA">
            <w:pPr>
              <w:jc w:val="center"/>
              <w:rPr>
                <w:rFonts w:ascii="仿宋" w:hAnsi="仿宋" w:eastAsia="仿宋"/>
                <w:sz w:val="22"/>
              </w:rPr>
            </w:pPr>
            <w:r>
              <w:rPr>
                <w:rFonts w:hint="eastAsia" w:ascii="仿宋" w:hAnsi="仿宋" w:eastAsia="仿宋"/>
                <w:sz w:val="22"/>
              </w:rPr>
              <w:t>1.42</w:t>
            </w:r>
          </w:p>
        </w:tc>
        <w:tc>
          <w:tcPr>
            <w:tcW w:w="707" w:type="pct"/>
            <w:tcBorders>
              <w:top w:val="single" w:color="auto" w:sz="4" w:space="0"/>
              <w:left w:val="single" w:color="auto" w:sz="4" w:space="0"/>
              <w:bottom w:val="single" w:color="auto" w:sz="4" w:space="0"/>
              <w:right w:val="single" w:color="auto" w:sz="4" w:space="0"/>
            </w:tcBorders>
            <w:vAlign w:val="center"/>
          </w:tcPr>
          <w:p w14:paraId="40A2AF49">
            <w:pPr>
              <w:jc w:val="center"/>
              <w:rPr>
                <w:rFonts w:ascii="仿宋" w:hAnsi="仿宋" w:eastAsia="仿宋"/>
                <w:sz w:val="22"/>
              </w:rPr>
            </w:pPr>
            <w:r>
              <w:rPr>
                <w:rFonts w:hint="eastAsia" w:ascii="仿宋" w:hAnsi="仿宋" w:eastAsia="仿宋"/>
                <w:sz w:val="22"/>
              </w:rPr>
              <w:t>2025-3-18</w:t>
            </w:r>
          </w:p>
        </w:tc>
        <w:tc>
          <w:tcPr>
            <w:tcW w:w="707" w:type="pct"/>
            <w:tcBorders>
              <w:top w:val="single" w:color="auto" w:sz="4" w:space="0"/>
              <w:left w:val="single" w:color="auto" w:sz="4" w:space="0"/>
              <w:bottom w:val="single" w:color="auto" w:sz="4" w:space="0"/>
              <w:right w:val="single" w:color="auto" w:sz="4" w:space="0"/>
            </w:tcBorders>
            <w:vAlign w:val="center"/>
          </w:tcPr>
          <w:p w14:paraId="3C2B5D5C">
            <w:pPr>
              <w:jc w:val="center"/>
              <w:rPr>
                <w:rFonts w:ascii="仿宋" w:hAnsi="仿宋" w:eastAsia="仿宋"/>
                <w:sz w:val="22"/>
              </w:rPr>
            </w:pPr>
            <w:r>
              <w:rPr>
                <w:rFonts w:hint="eastAsia" w:ascii="仿宋" w:hAnsi="仿宋" w:eastAsia="仿宋"/>
                <w:sz w:val="22"/>
              </w:rPr>
              <w:t>2026-3-17</w:t>
            </w:r>
          </w:p>
        </w:tc>
        <w:tc>
          <w:tcPr>
            <w:tcW w:w="680" w:type="pct"/>
            <w:tcBorders>
              <w:top w:val="single" w:color="auto" w:sz="4" w:space="0"/>
              <w:left w:val="single" w:color="auto" w:sz="4" w:space="0"/>
              <w:bottom w:val="single" w:color="auto" w:sz="4" w:space="0"/>
              <w:right w:val="single" w:color="auto" w:sz="4" w:space="0"/>
            </w:tcBorders>
            <w:vAlign w:val="center"/>
          </w:tcPr>
          <w:p w14:paraId="66A96417">
            <w:pPr>
              <w:jc w:val="center"/>
              <w:rPr>
                <w:rFonts w:ascii="仿宋" w:hAnsi="仿宋" w:eastAsia="仿宋"/>
                <w:sz w:val="22"/>
              </w:rPr>
            </w:pPr>
            <w:r>
              <w:rPr>
                <w:rFonts w:hint="eastAsia" w:ascii="仿宋" w:hAnsi="仿宋" w:eastAsia="仿宋"/>
                <w:sz w:val="22"/>
              </w:rPr>
              <w:t>汕头市中小企业融资担保有限公司</w:t>
            </w:r>
          </w:p>
        </w:tc>
      </w:tr>
    </w:tbl>
    <w:p w14:paraId="54B1FB79">
      <w:pPr>
        <w:spacing w:line="360" w:lineRule="auto"/>
        <w:ind w:firstLine="560" w:firstLineChars="200"/>
        <w:rPr>
          <w:rFonts w:ascii="仿宋" w:hAnsi="仿宋" w:eastAsia="仿宋"/>
          <w:color w:val="000000"/>
          <w:sz w:val="28"/>
        </w:rPr>
      </w:pPr>
      <w:r>
        <w:rPr>
          <w:rFonts w:hint="eastAsia" w:ascii="仿宋" w:hAnsi="仿宋" w:eastAsia="仿宋"/>
          <w:color w:val="000000"/>
          <w:sz w:val="28"/>
        </w:rPr>
        <w:t>以上实际控制人质押及解除质押股份不存在负担重大资产重组等业绩补偿义务。</w:t>
      </w:r>
    </w:p>
    <w:p w14:paraId="6A21F8AE">
      <w:pPr>
        <w:numPr>
          <w:ilvl w:val="0"/>
          <w:numId w:val="1"/>
        </w:numPr>
        <w:ind w:firstLine="562" w:firstLineChars="200"/>
        <w:outlineLvl w:val="0"/>
        <w:rPr>
          <w:rFonts w:ascii="仿宋" w:hAnsi="仿宋" w:eastAsia="仿宋"/>
          <w:b/>
          <w:color w:val="000000"/>
          <w:sz w:val="28"/>
          <w:szCs w:val="28"/>
        </w:rPr>
      </w:pPr>
      <w:r>
        <w:rPr>
          <w:rFonts w:hint="eastAsia" w:ascii="仿宋" w:hAnsi="仿宋" w:eastAsia="仿宋"/>
          <w:b/>
          <w:color w:val="000000"/>
          <w:sz w:val="28"/>
          <w:szCs w:val="28"/>
        </w:rPr>
        <w:t>股东股份累计被质押的情况</w:t>
      </w:r>
    </w:p>
    <w:p w14:paraId="4F3480DB">
      <w:pPr>
        <w:spacing w:line="360" w:lineRule="auto"/>
        <w:ind w:firstLine="560" w:firstLineChars="200"/>
        <w:rPr>
          <w:rFonts w:ascii="仿宋" w:hAnsi="仿宋" w:eastAsia="仿宋"/>
          <w:color w:val="000000"/>
          <w:sz w:val="28"/>
        </w:rPr>
      </w:pPr>
      <w:r>
        <w:rPr>
          <w:rFonts w:hint="eastAsia" w:ascii="仿宋" w:hAnsi="仿宋" w:eastAsia="仿宋"/>
          <w:color w:val="000000"/>
          <w:sz w:val="28"/>
        </w:rPr>
        <w:t>截至公告披露日，公司实际控制人及其一致行动人所持质押股份情况如下：</w:t>
      </w:r>
    </w:p>
    <w:tbl>
      <w:tblPr>
        <w:tblStyle w:val="5"/>
        <w:tblW w:w="107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1312"/>
        <w:gridCol w:w="851"/>
        <w:gridCol w:w="1134"/>
        <w:gridCol w:w="1276"/>
        <w:gridCol w:w="708"/>
        <w:gridCol w:w="709"/>
        <w:gridCol w:w="1134"/>
        <w:gridCol w:w="851"/>
        <w:gridCol w:w="1417"/>
        <w:gridCol w:w="886"/>
      </w:tblGrid>
      <w:tr w14:paraId="33468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83" w:type="dxa"/>
            <w:vMerge w:val="restart"/>
            <w:tcBorders>
              <w:top w:val="single" w:color="auto" w:sz="4" w:space="0"/>
              <w:left w:val="single" w:color="auto" w:sz="4" w:space="0"/>
              <w:right w:val="single" w:color="auto" w:sz="4" w:space="0"/>
            </w:tcBorders>
            <w:vAlign w:val="center"/>
          </w:tcPr>
          <w:p w14:paraId="78E03B7F">
            <w:pPr>
              <w:jc w:val="center"/>
              <w:rPr>
                <w:rFonts w:ascii="仿宋" w:hAnsi="仿宋" w:eastAsia="仿宋"/>
                <w:b/>
                <w:kern w:val="0"/>
                <w:sz w:val="22"/>
                <w:szCs w:val="22"/>
              </w:rPr>
            </w:pPr>
            <w:r>
              <w:rPr>
                <w:rFonts w:ascii="仿宋" w:hAnsi="仿宋" w:eastAsia="仿宋"/>
                <w:b/>
                <w:kern w:val="0"/>
                <w:sz w:val="22"/>
                <w:szCs w:val="22"/>
              </w:rPr>
              <w:t>股东名称</w:t>
            </w:r>
          </w:p>
        </w:tc>
        <w:tc>
          <w:tcPr>
            <w:tcW w:w="1312" w:type="dxa"/>
            <w:vMerge w:val="restart"/>
            <w:tcBorders>
              <w:top w:val="single" w:color="auto" w:sz="4" w:space="0"/>
              <w:left w:val="single" w:color="auto" w:sz="4" w:space="0"/>
              <w:right w:val="single" w:color="auto" w:sz="4" w:space="0"/>
            </w:tcBorders>
            <w:vAlign w:val="center"/>
          </w:tcPr>
          <w:p w14:paraId="71FBE708">
            <w:pPr>
              <w:jc w:val="center"/>
              <w:rPr>
                <w:rFonts w:ascii="仿宋" w:hAnsi="仿宋" w:eastAsia="仿宋"/>
                <w:b/>
                <w:kern w:val="0"/>
                <w:sz w:val="22"/>
                <w:szCs w:val="22"/>
              </w:rPr>
            </w:pPr>
            <w:r>
              <w:rPr>
                <w:rFonts w:ascii="仿宋" w:hAnsi="仿宋" w:eastAsia="仿宋"/>
                <w:b/>
                <w:kern w:val="0"/>
                <w:sz w:val="22"/>
                <w:szCs w:val="22"/>
              </w:rPr>
              <w:t>持股数量</w:t>
            </w:r>
          </w:p>
          <w:p w14:paraId="25F76C26">
            <w:pPr>
              <w:jc w:val="center"/>
              <w:rPr>
                <w:rFonts w:ascii="仿宋" w:hAnsi="仿宋" w:eastAsia="仿宋"/>
                <w:b/>
                <w:kern w:val="0"/>
                <w:sz w:val="22"/>
                <w:szCs w:val="22"/>
              </w:rPr>
            </w:pPr>
            <w:r>
              <w:rPr>
                <w:rFonts w:hint="eastAsia" w:ascii="仿宋" w:hAnsi="仿宋" w:eastAsia="仿宋"/>
                <w:b/>
                <w:kern w:val="0"/>
                <w:sz w:val="22"/>
                <w:szCs w:val="22"/>
              </w:rPr>
              <w:t>(股)</w:t>
            </w:r>
          </w:p>
        </w:tc>
        <w:tc>
          <w:tcPr>
            <w:tcW w:w="851" w:type="dxa"/>
            <w:vMerge w:val="restart"/>
            <w:tcBorders>
              <w:top w:val="single" w:color="auto" w:sz="4" w:space="0"/>
              <w:left w:val="single" w:color="auto" w:sz="4" w:space="0"/>
              <w:right w:val="single" w:color="auto" w:sz="4" w:space="0"/>
            </w:tcBorders>
            <w:vAlign w:val="center"/>
          </w:tcPr>
          <w:p w14:paraId="6922E5D3">
            <w:pPr>
              <w:jc w:val="center"/>
              <w:rPr>
                <w:rFonts w:ascii="仿宋" w:hAnsi="仿宋" w:eastAsia="仿宋"/>
                <w:b/>
                <w:kern w:val="0"/>
                <w:sz w:val="22"/>
                <w:szCs w:val="22"/>
              </w:rPr>
            </w:pPr>
            <w:r>
              <w:rPr>
                <w:rFonts w:ascii="仿宋" w:hAnsi="仿宋" w:eastAsia="仿宋"/>
                <w:b/>
                <w:kern w:val="0"/>
                <w:sz w:val="22"/>
                <w:szCs w:val="22"/>
              </w:rPr>
              <w:t>持股比例</w:t>
            </w:r>
            <w:r>
              <w:rPr>
                <w:rFonts w:hint="eastAsia" w:ascii="仿宋" w:hAnsi="仿宋" w:eastAsia="仿宋"/>
                <w:b/>
                <w:kern w:val="0"/>
                <w:sz w:val="22"/>
                <w:szCs w:val="22"/>
              </w:rPr>
              <w:t>(%)</w:t>
            </w:r>
          </w:p>
        </w:tc>
        <w:tc>
          <w:tcPr>
            <w:tcW w:w="1134" w:type="dxa"/>
            <w:vMerge w:val="restart"/>
            <w:tcBorders>
              <w:top w:val="single" w:color="auto" w:sz="4" w:space="0"/>
              <w:left w:val="single" w:color="auto" w:sz="4" w:space="0"/>
              <w:right w:val="single" w:color="auto" w:sz="4" w:space="0"/>
            </w:tcBorders>
            <w:vAlign w:val="center"/>
          </w:tcPr>
          <w:p w14:paraId="269A1914">
            <w:pPr>
              <w:jc w:val="center"/>
              <w:rPr>
                <w:rFonts w:ascii="仿宋" w:hAnsi="仿宋" w:eastAsia="仿宋"/>
                <w:b/>
                <w:kern w:val="0"/>
                <w:sz w:val="22"/>
                <w:szCs w:val="22"/>
              </w:rPr>
            </w:pPr>
            <w:r>
              <w:rPr>
                <w:rFonts w:ascii="仿宋" w:hAnsi="仿宋" w:eastAsia="仿宋"/>
                <w:b/>
                <w:kern w:val="0"/>
                <w:sz w:val="22"/>
                <w:szCs w:val="22"/>
              </w:rPr>
              <w:t>本次</w:t>
            </w:r>
            <w:r>
              <w:rPr>
                <w:rFonts w:hint="eastAsia" w:ascii="仿宋" w:hAnsi="仿宋" w:eastAsia="仿宋"/>
                <w:b/>
                <w:kern w:val="0"/>
                <w:sz w:val="22"/>
                <w:szCs w:val="22"/>
              </w:rPr>
              <w:t>业务办理</w:t>
            </w:r>
            <w:r>
              <w:rPr>
                <w:rFonts w:ascii="仿宋" w:hAnsi="仿宋" w:eastAsia="仿宋"/>
                <w:b/>
                <w:kern w:val="0"/>
                <w:sz w:val="22"/>
                <w:szCs w:val="22"/>
              </w:rPr>
              <w:t>前</w:t>
            </w:r>
            <w:r>
              <w:rPr>
                <w:rFonts w:hint="eastAsia" w:ascii="仿宋" w:hAnsi="仿宋" w:eastAsia="仿宋"/>
                <w:b/>
                <w:kern w:val="0"/>
                <w:sz w:val="22"/>
                <w:szCs w:val="22"/>
              </w:rPr>
              <w:t>累计被</w:t>
            </w:r>
            <w:r>
              <w:rPr>
                <w:rFonts w:ascii="仿宋" w:hAnsi="仿宋" w:eastAsia="仿宋"/>
                <w:b/>
                <w:kern w:val="0"/>
                <w:sz w:val="22"/>
                <w:szCs w:val="22"/>
              </w:rPr>
              <w:t>质押股份数量</w:t>
            </w:r>
            <w:r>
              <w:rPr>
                <w:rFonts w:hint="eastAsia" w:ascii="仿宋" w:hAnsi="仿宋" w:eastAsia="仿宋"/>
                <w:b/>
                <w:kern w:val="0"/>
                <w:sz w:val="22"/>
                <w:szCs w:val="22"/>
              </w:rPr>
              <w:t>(股)</w:t>
            </w:r>
          </w:p>
        </w:tc>
        <w:tc>
          <w:tcPr>
            <w:tcW w:w="1276" w:type="dxa"/>
            <w:vMerge w:val="restart"/>
            <w:tcBorders>
              <w:top w:val="single" w:color="auto" w:sz="4" w:space="0"/>
              <w:left w:val="single" w:color="auto" w:sz="4" w:space="0"/>
              <w:right w:val="single" w:color="auto" w:sz="4" w:space="0"/>
            </w:tcBorders>
            <w:vAlign w:val="center"/>
          </w:tcPr>
          <w:p w14:paraId="0F495D37">
            <w:pPr>
              <w:jc w:val="center"/>
              <w:rPr>
                <w:rFonts w:ascii="仿宋" w:hAnsi="仿宋" w:eastAsia="仿宋"/>
                <w:b/>
                <w:kern w:val="0"/>
                <w:sz w:val="22"/>
                <w:szCs w:val="22"/>
              </w:rPr>
            </w:pPr>
            <w:r>
              <w:rPr>
                <w:rFonts w:ascii="仿宋" w:hAnsi="仿宋" w:eastAsia="仿宋"/>
                <w:b/>
                <w:kern w:val="0"/>
                <w:sz w:val="22"/>
                <w:szCs w:val="22"/>
              </w:rPr>
              <w:t>本次</w:t>
            </w:r>
            <w:r>
              <w:rPr>
                <w:rFonts w:hint="eastAsia" w:ascii="仿宋" w:hAnsi="仿宋" w:eastAsia="仿宋"/>
                <w:b/>
                <w:kern w:val="0"/>
                <w:sz w:val="22"/>
                <w:szCs w:val="22"/>
              </w:rPr>
              <w:t>业务办理</w:t>
            </w:r>
            <w:r>
              <w:rPr>
                <w:rFonts w:ascii="仿宋" w:hAnsi="仿宋" w:eastAsia="仿宋"/>
                <w:b/>
                <w:kern w:val="0"/>
                <w:sz w:val="22"/>
                <w:szCs w:val="22"/>
              </w:rPr>
              <w:t>后</w:t>
            </w:r>
            <w:r>
              <w:rPr>
                <w:rFonts w:hint="eastAsia" w:ascii="仿宋" w:hAnsi="仿宋" w:eastAsia="仿宋"/>
                <w:b/>
                <w:kern w:val="0"/>
                <w:sz w:val="22"/>
                <w:szCs w:val="22"/>
              </w:rPr>
              <w:t>累计被</w:t>
            </w:r>
            <w:r>
              <w:rPr>
                <w:rFonts w:ascii="仿宋" w:hAnsi="仿宋" w:eastAsia="仿宋"/>
                <w:b/>
                <w:kern w:val="0"/>
                <w:sz w:val="22"/>
                <w:szCs w:val="22"/>
              </w:rPr>
              <w:t>质押股份数量</w:t>
            </w:r>
            <w:r>
              <w:rPr>
                <w:rFonts w:hint="eastAsia" w:ascii="仿宋" w:hAnsi="仿宋" w:eastAsia="仿宋"/>
                <w:b/>
                <w:kern w:val="0"/>
                <w:sz w:val="22"/>
                <w:szCs w:val="22"/>
              </w:rPr>
              <w:t>(股)</w:t>
            </w:r>
          </w:p>
        </w:tc>
        <w:tc>
          <w:tcPr>
            <w:tcW w:w="708" w:type="dxa"/>
            <w:vMerge w:val="restart"/>
            <w:tcBorders>
              <w:top w:val="single" w:color="auto" w:sz="4" w:space="0"/>
              <w:left w:val="single" w:color="auto" w:sz="4" w:space="0"/>
              <w:right w:val="single" w:color="auto" w:sz="4" w:space="0"/>
            </w:tcBorders>
            <w:vAlign w:val="center"/>
          </w:tcPr>
          <w:p w14:paraId="1F599EEE">
            <w:pPr>
              <w:jc w:val="center"/>
              <w:rPr>
                <w:rFonts w:ascii="仿宋" w:hAnsi="仿宋" w:eastAsia="仿宋"/>
                <w:b/>
                <w:kern w:val="0"/>
                <w:sz w:val="22"/>
                <w:szCs w:val="22"/>
              </w:rPr>
            </w:pPr>
            <w:r>
              <w:rPr>
                <w:rFonts w:ascii="仿宋" w:hAnsi="仿宋" w:eastAsia="仿宋"/>
                <w:b/>
                <w:kern w:val="0"/>
                <w:sz w:val="22"/>
                <w:szCs w:val="22"/>
              </w:rPr>
              <w:t>占其所持股份比例</w:t>
            </w:r>
            <w:r>
              <w:rPr>
                <w:rFonts w:hint="eastAsia" w:ascii="仿宋" w:hAnsi="仿宋" w:eastAsia="仿宋"/>
                <w:b/>
                <w:kern w:val="0"/>
                <w:sz w:val="22"/>
                <w:szCs w:val="22"/>
              </w:rPr>
              <w:t>（%）</w:t>
            </w:r>
          </w:p>
        </w:tc>
        <w:tc>
          <w:tcPr>
            <w:tcW w:w="709" w:type="dxa"/>
            <w:vMerge w:val="restart"/>
            <w:tcBorders>
              <w:top w:val="single" w:color="auto" w:sz="4" w:space="0"/>
              <w:left w:val="single" w:color="auto" w:sz="4" w:space="0"/>
              <w:right w:val="single" w:color="auto" w:sz="4" w:space="0"/>
            </w:tcBorders>
            <w:vAlign w:val="center"/>
          </w:tcPr>
          <w:p w14:paraId="11AFA46F">
            <w:pPr>
              <w:jc w:val="center"/>
              <w:rPr>
                <w:rFonts w:ascii="仿宋" w:hAnsi="仿宋" w:eastAsia="仿宋"/>
                <w:b/>
                <w:kern w:val="0"/>
                <w:sz w:val="22"/>
                <w:szCs w:val="22"/>
              </w:rPr>
            </w:pPr>
            <w:r>
              <w:rPr>
                <w:rFonts w:ascii="仿宋" w:hAnsi="仿宋" w:eastAsia="仿宋"/>
                <w:b/>
                <w:sz w:val="22"/>
                <w:szCs w:val="22"/>
              </w:rPr>
              <w:t>占公司总股本比例</w:t>
            </w:r>
            <w:r>
              <w:rPr>
                <w:rFonts w:hint="eastAsia" w:ascii="仿宋" w:hAnsi="仿宋" w:eastAsia="仿宋"/>
                <w:b/>
                <w:sz w:val="22"/>
                <w:szCs w:val="22"/>
              </w:rPr>
              <w:t>（%）</w:t>
            </w:r>
          </w:p>
        </w:tc>
        <w:tc>
          <w:tcPr>
            <w:tcW w:w="1985" w:type="dxa"/>
            <w:gridSpan w:val="2"/>
            <w:tcBorders>
              <w:top w:val="single" w:color="auto" w:sz="4" w:space="0"/>
              <w:left w:val="single" w:color="auto" w:sz="4" w:space="0"/>
              <w:bottom w:val="single" w:color="auto" w:sz="4" w:space="0"/>
              <w:right w:val="single" w:color="auto" w:sz="4" w:space="0"/>
            </w:tcBorders>
            <w:vAlign w:val="center"/>
          </w:tcPr>
          <w:p w14:paraId="21FC90B6">
            <w:pPr>
              <w:jc w:val="center"/>
              <w:rPr>
                <w:rFonts w:ascii="仿宋" w:hAnsi="仿宋" w:eastAsia="仿宋"/>
                <w:b/>
                <w:kern w:val="0"/>
                <w:sz w:val="22"/>
                <w:szCs w:val="22"/>
              </w:rPr>
            </w:pPr>
            <w:r>
              <w:rPr>
                <w:rFonts w:ascii="仿宋" w:hAnsi="仿宋" w:eastAsia="仿宋"/>
                <w:b/>
                <w:kern w:val="0"/>
                <w:sz w:val="22"/>
                <w:szCs w:val="22"/>
              </w:rPr>
              <w:t>已质押股份</w:t>
            </w:r>
          </w:p>
          <w:p w14:paraId="1B7A994A">
            <w:pPr>
              <w:jc w:val="center"/>
              <w:rPr>
                <w:rFonts w:ascii="仿宋" w:hAnsi="仿宋" w:eastAsia="仿宋"/>
                <w:b/>
                <w:kern w:val="0"/>
                <w:sz w:val="22"/>
                <w:szCs w:val="22"/>
              </w:rPr>
            </w:pPr>
            <w:r>
              <w:rPr>
                <w:rFonts w:ascii="仿宋" w:hAnsi="仿宋" w:eastAsia="仿宋"/>
                <w:b/>
                <w:kern w:val="0"/>
                <w:sz w:val="22"/>
                <w:szCs w:val="22"/>
              </w:rPr>
              <w:t>情况</w:t>
            </w:r>
          </w:p>
        </w:tc>
        <w:tc>
          <w:tcPr>
            <w:tcW w:w="2303" w:type="dxa"/>
            <w:gridSpan w:val="2"/>
            <w:tcBorders>
              <w:top w:val="single" w:color="auto" w:sz="4" w:space="0"/>
              <w:left w:val="single" w:color="auto" w:sz="4" w:space="0"/>
              <w:right w:val="single" w:color="auto" w:sz="4" w:space="0"/>
            </w:tcBorders>
            <w:vAlign w:val="center"/>
          </w:tcPr>
          <w:p w14:paraId="008343DA">
            <w:pPr>
              <w:jc w:val="center"/>
              <w:rPr>
                <w:rFonts w:ascii="仿宋" w:hAnsi="仿宋" w:eastAsia="仿宋"/>
                <w:b/>
                <w:kern w:val="0"/>
                <w:sz w:val="22"/>
                <w:szCs w:val="22"/>
              </w:rPr>
            </w:pPr>
            <w:r>
              <w:rPr>
                <w:rFonts w:ascii="仿宋" w:hAnsi="仿宋" w:eastAsia="仿宋"/>
                <w:b/>
                <w:kern w:val="0"/>
                <w:sz w:val="22"/>
                <w:szCs w:val="22"/>
              </w:rPr>
              <w:t>未质押股份</w:t>
            </w:r>
          </w:p>
          <w:p w14:paraId="31E299F5">
            <w:pPr>
              <w:jc w:val="center"/>
              <w:rPr>
                <w:rFonts w:ascii="仿宋" w:hAnsi="仿宋" w:eastAsia="仿宋"/>
                <w:b/>
                <w:kern w:val="0"/>
                <w:sz w:val="22"/>
                <w:szCs w:val="22"/>
              </w:rPr>
            </w:pPr>
            <w:r>
              <w:rPr>
                <w:rFonts w:ascii="仿宋" w:hAnsi="仿宋" w:eastAsia="仿宋"/>
                <w:b/>
                <w:kern w:val="0"/>
                <w:sz w:val="22"/>
                <w:szCs w:val="22"/>
              </w:rPr>
              <w:t>情况</w:t>
            </w:r>
          </w:p>
        </w:tc>
      </w:tr>
      <w:tr w14:paraId="6E188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83" w:type="dxa"/>
            <w:vMerge w:val="continue"/>
            <w:tcBorders>
              <w:left w:val="single" w:color="auto" w:sz="4" w:space="0"/>
              <w:bottom w:val="single" w:color="auto" w:sz="4" w:space="0"/>
              <w:right w:val="single" w:color="auto" w:sz="4" w:space="0"/>
            </w:tcBorders>
            <w:vAlign w:val="center"/>
          </w:tcPr>
          <w:p w14:paraId="5D666990">
            <w:pPr>
              <w:jc w:val="center"/>
              <w:rPr>
                <w:rFonts w:ascii="仿宋" w:hAnsi="仿宋" w:eastAsia="仿宋"/>
                <w:b/>
                <w:kern w:val="0"/>
                <w:sz w:val="22"/>
                <w:szCs w:val="22"/>
              </w:rPr>
            </w:pPr>
          </w:p>
        </w:tc>
        <w:tc>
          <w:tcPr>
            <w:tcW w:w="1312" w:type="dxa"/>
            <w:vMerge w:val="continue"/>
            <w:tcBorders>
              <w:left w:val="single" w:color="auto" w:sz="4" w:space="0"/>
              <w:bottom w:val="single" w:color="auto" w:sz="4" w:space="0"/>
              <w:right w:val="single" w:color="auto" w:sz="4" w:space="0"/>
            </w:tcBorders>
            <w:vAlign w:val="center"/>
          </w:tcPr>
          <w:p w14:paraId="5DF21C67">
            <w:pPr>
              <w:jc w:val="center"/>
              <w:rPr>
                <w:rFonts w:ascii="仿宋" w:hAnsi="仿宋" w:eastAsia="仿宋"/>
                <w:b/>
                <w:kern w:val="0"/>
                <w:sz w:val="22"/>
                <w:szCs w:val="22"/>
              </w:rPr>
            </w:pPr>
          </w:p>
        </w:tc>
        <w:tc>
          <w:tcPr>
            <w:tcW w:w="851" w:type="dxa"/>
            <w:vMerge w:val="continue"/>
            <w:tcBorders>
              <w:left w:val="single" w:color="auto" w:sz="4" w:space="0"/>
              <w:bottom w:val="single" w:color="auto" w:sz="4" w:space="0"/>
              <w:right w:val="single" w:color="auto" w:sz="4" w:space="0"/>
            </w:tcBorders>
            <w:vAlign w:val="center"/>
          </w:tcPr>
          <w:p w14:paraId="6DC2B7E3">
            <w:pPr>
              <w:jc w:val="center"/>
              <w:rPr>
                <w:rFonts w:ascii="仿宋" w:hAnsi="仿宋" w:eastAsia="仿宋"/>
                <w:b/>
                <w:kern w:val="0"/>
                <w:sz w:val="22"/>
                <w:szCs w:val="22"/>
              </w:rPr>
            </w:pPr>
          </w:p>
        </w:tc>
        <w:tc>
          <w:tcPr>
            <w:tcW w:w="1134" w:type="dxa"/>
            <w:vMerge w:val="continue"/>
            <w:tcBorders>
              <w:left w:val="single" w:color="auto" w:sz="4" w:space="0"/>
              <w:bottom w:val="single" w:color="auto" w:sz="4" w:space="0"/>
              <w:right w:val="single" w:color="auto" w:sz="4" w:space="0"/>
            </w:tcBorders>
          </w:tcPr>
          <w:p w14:paraId="544FBBD4">
            <w:pPr>
              <w:jc w:val="center"/>
              <w:rPr>
                <w:rFonts w:ascii="仿宋" w:hAnsi="仿宋" w:eastAsia="仿宋"/>
                <w:b/>
                <w:kern w:val="0"/>
                <w:sz w:val="22"/>
                <w:szCs w:val="22"/>
              </w:rPr>
            </w:pPr>
          </w:p>
        </w:tc>
        <w:tc>
          <w:tcPr>
            <w:tcW w:w="1276" w:type="dxa"/>
            <w:vMerge w:val="continue"/>
            <w:tcBorders>
              <w:left w:val="single" w:color="auto" w:sz="4" w:space="0"/>
              <w:bottom w:val="single" w:color="auto" w:sz="4" w:space="0"/>
              <w:right w:val="single" w:color="auto" w:sz="4" w:space="0"/>
            </w:tcBorders>
            <w:vAlign w:val="center"/>
          </w:tcPr>
          <w:p w14:paraId="68057879">
            <w:pPr>
              <w:jc w:val="center"/>
              <w:rPr>
                <w:rFonts w:ascii="仿宋" w:hAnsi="仿宋" w:eastAsia="仿宋"/>
                <w:b/>
                <w:kern w:val="0"/>
                <w:sz w:val="22"/>
                <w:szCs w:val="22"/>
              </w:rPr>
            </w:pPr>
          </w:p>
        </w:tc>
        <w:tc>
          <w:tcPr>
            <w:tcW w:w="708" w:type="dxa"/>
            <w:vMerge w:val="continue"/>
            <w:tcBorders>
              <w:left w:val="single" w:color="auto" w:sz="4" w:space="0"/>
              <w:bottom w:val="single" w:color="auto" w:sz="4" w:space="0"/>
              <w:right w:val="single" w:color="auto" w:sz="4" w:space="0"/>
            </w:tcBorders>
            <w:vAlign w:val="center"/>
          </w:tcPr>
          <w:p w14:paraId="40821614">
            <w:pPr>
              <w:jc w:val="center"/>
              <w:rPr>
                <w:rFonts w:ascii="仿宋" w:hAnsi="仿宋" w:eastAsia="仿宋"/>
                <w:b/>
                <w:kern w:val="0"/>
                <w:sz w:val="22"/>
                <w:szCs w:val="22"/>
              </w:rPr>
            </w:pPr>
          </w:p>
        </w:tc>
        <w:tc>
          <w:tcPr>
            <w:tcW w:w="709" w:type="dxa"/>
            <w:vMerge w:val="continue"/>
            <w:tcBorders>
              <w:left w:val="single" w:color="auto" w:sz="4" w:space="0"/>
              <w:bottom w:val="single" w:color="auto" w:sz="4" w:space="0"/>
              <w:right w:val="single" w:color="auto" w:sz="4" w:space="0"/>
            </w:tcBorders>
            <w:vAlign w:val="center"/>
          </w:tcPr>
          <w:p w14:paraId="7F69F46E">
            <w:pPr>
              <w:jc w:val="center"/>
              <w:rPr>
                <w:rFonts w:ascii="仿宋" w:hAnsi="仿宋" w:eastAsia="仿宋"/>
                <w:b/>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14:paraId="3F5D8844">
            <w:pPr>
              <w:jc w:val="center"/>
              <w:rPr>
                <w:rFonts w:ascii="仿宋" w:hAnsi="仿宋" w:eastAsia="仿宋"/>
                <w:b/>
                <w:kern w:val="0"/>
                <w:sz w:val="22"/>
                <w:szCs w:val="22"/>
              </w:rPr>
            </w:pPr>
            <w:r>
              <w:rPr>
                <w:rFonts w:ascii="仿宋" w:hAnsi="仿宋" w:eastAsia="仿宋"/>
                <w:b/>
                <w:kern w:val="0"/>
                <w:sz w:val="22"/>
                <w:szCs w:val="22"/>
              </w:rPr>
              <w:t>已质押股份限售和冻结</w:t>
            </w:r>
            <w:r>
              <w:rPr>
                <w:rFonts w:hint="eastAsia" w:ascii="仿宋" w:hAnsi="仿宋" w:eastAsia="仿宋"/>
                <w:b/>
                <w:kern w:val="0"/>
                <w:sz w:val="22"/>
                <w:szCs w:val="22"/>
              </w:rPr>
              <w:t>、标记</w:t>
            </w:r>
            <w:r>
              <w:rPr>
                <w:rFonts w:ascii="仿宋" w:hAnsi="仿宋" w:eastAsia="仿宋"/>
                <w:b/>
                <w:kern w:val="0"/>
                <w:sz w:val="22"/>
                <w:szCs w:val="22"/>
              </w:rPr>
              <w:t>数量</w:t>
            </w:r>
            <w:r>
              <w:rPr>
                <w:rFonts w:hint="eastAsia" w:ascii="仿宋" w:hAnsi="仿宋" w:eastAsia="仿宋"/>
                <w:b/>
                <w:kern w:val="0"/>
                <w:sz w:val="22"/>
                <w:szCs w:val="22"/>
              </w:rPr>
              <w:t>(股)</w:t>
            </w:r>
          </w:p>
        </w:tc>
        <w:tc>
          <w:tcPr>
            <w:tcW w:w="851" w:type="dxa"/>
            <w:tcBorders>
              <w:left w:val="single" w:color="auto" w:sz="4" w:space="0"/>
              <w:bottom w:val="single" w:color="auto" w:sz="4" w:space="0"/>
              <w:right w:val="single" w:color="auto" w:sz="4" w:space="0"/>
            </w:tcBorders>
            <w:vAlign w:val="center"/>
          </w:tcPr>
          <w:p w14:paraId="11C85A4B">
            <w:pPr>
              <w:jc w:val="center"/>
              <w:rPr>
                <w:rFonts w:ascii="仿宋" w:hAnsi="仿宋" w:eastAsia="仿宋"/>
                <w:b/>
                <w:kern w:val="0"/>
                <w:sz w:val="22"/>
                <w:szCs w:val="22"/>
              </w:rPr>
            </w:pPr>
            <w:r>
              <w:rPr>
                <w:rFonts w:ascii="仿宋" w:hAnsi="仿宋" w:eastAsia="仿宋"/>
                <w:b/>
                <w:kern w:val="0"/>
                <w:sz w:val="22"/>
                <w:szCs w:val="22"/>
              </w:rPr>
              <w:t>占已质押股份比例</w:t>
            </w:r>
            <w:r>
              <w:rPr>
                <w:rFonts w:hint="eastAsia" w:ascii="仿宋" w:hAnsi="仿宋" w:eastAsia="仿宋"/>
                <w:b/>
                <w:kern w:val="0"/>
                <w:sz w:val="22"/>
                <w:szCs w:val="22"/>
              </w:rPr>
              <w:t>（%）</w:t>
            </w:r>
          </w:p>
        </w:tc>
        <w:tc>
          <w:tcPr>
            <w:tcW w:w="1417" w:type="dxa"/>
            <w:tcBorders>
              <w:left w:val="single" w:color="auto" w:sz="4" w:space="0"/>
              <w:bottom w:val="single" w:color="auto" w:sz="4" w:space="0"/>
              <w:right w:val="single" w:color="auto" w:sz="4" w:space="0"/>
            </w:tcBorders>
            <w:vAlign w:val="center"/>
          </w:tcPr>
          <w:p w14:paraId="2BF4E35D">
            <w:pPr>
              <w:jc w:val="center"/>
              <w:rPr>
                <w:rFonts w:ascii="仿宋" w:hAnsi="仿宋" w:eastAsia="仿宋"/>
                <w:b/>
                <w:kern w:val="0"/>
                <w:sz w:val="22"/>
                <w:szCs w:val="22"/>
              </w:rPr>
            </w:pPr>
            <w:r>
              <w:rPr>
                <w:rFonts w:ascii="仿宋" w:hAnsi="仿宋" w:eastAsia="仿宋"/>
                <w:b/>
                <w:kern w:val="0"/>
                <w:sz w:val="22"/>
                <w:szCs w:val="22"/>
              </w:rPr>
              <w:t>未质押股份限售和冻结数量</w:t>
            </w:r>
          </w:p>
          <w:p w14:paraId="17DBB228">
            <w:pPr>
              <w:jc w:val="center"/>
              <w:rPr>
                <w:rFonts w:ascii="仿宋" w:hAnsi="仿宋" w:eastAsia="仿宋"/>
                <w:b/>
                <w:kern w:val="0"/>
                <w:sz w:val="22"/>
                <w:szCs w:val="22"/>
              </w:rPr>
            </w:pPr>
            <w:r>
              <w:rPr>
                <w:rFonts w:hint="eastAsia" w:ascii="仿宋" w:hAnsi="仿宋" w:eastAsia="仿宋"/>
                <w:b/>
                <w:kern w:val="0"/>
                <w:sz w:val="22"/>
                <w:szCs w:val="22"/>
              </w:rPr>
              <w:t>(股)</w:t>
            </w:r>
          </w:p>
        </w:tc>
        <w:tc>
          <w:tcPr>
            <w:tcW w:w="886" w:type="dxa"/>
            <w:tcBorders>
              <w:left w:val="single" w:color="auto" w:sz="4" w:space="0"/>
              <w:bottom w:val="single" w:color="auto" w:sz="4" w:space="0"/>
              <w:right w:val="single" w:color="auto" w:sz="4" w:space="0"/>
            </w:tcBorders>
            <w:vAlign w:val="center"/>
          </w:tcPr>
          <w:p w14:paraId="609B6998">
            <w:pPr>
              <w:jc w:val="center"/>
              <w:rPr>
                <w:rFonts w:ascii="仿宋" w:hAnsi="仿宋" w:eastAsia="仿宋"/>
                <w:b/>
                <w:kern w:val="0"/>
                <w:sz w:val="22"/>
                <w:szCs w:val="22"/>
              </w:rPr>
            </w:pPr>
            <w:r>
              <w:rPr>
                <w:rFonts w:ascii="仿宋" w:hAnsi="仿宋" w:eastAsia="仿宋"/>
                <w:b/>
                <w:kern w:val="0"/>
                <w:sz w:val="22"/>
                <w:szCs w:val="22"/>
              </w:rPr>
              <w:t>占未质押股份比例</w:t>
            </w:r>
            <w:r>
              <w:rPr>
                <w:rFonts w:hint="eastAsia" w:ascii="仿宋" w:hAnsi="仿宋" w:eastAsia="仿宋"/>
                <w:b/>
                <w:kern w:val="0"/>
                <w:sz w:val="22"/>
                <w:szCs w:val="22"/>
              </w:rPr>
              <w:t>（%）</w:t>
            </w:r>
          </w:p>
        </w:tc>
      </w:tr>
      <w:tr w14:paraId="74216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83" w:type="dxa"/>
            <w:tcBorders>
              <w:top w:val="single" w:color="auto" w:sz="4" w:space="0"/>
              <w:left w:val="single" w:color="auto" w:sz="4" w:space="0"/>
              <w:bottom w:val="single" w:color="auto" w:sz="4" w:space="0"/>
              <w:right w:val="single" w:color="auto" w:sz="4" w:space="0"/>
            </w:tcBorders>
            <w:vAlign w:val="center"/>
          </w:tcPr>
          <w:p w14:paraId="7C47C47E">
            <w:pPr>
              <w:widowControl/>
              <w:jc w:val="right"/>
              <w:rPr>
                <w:rFonts w:ascii="仿宋" w:hAnsi="仿宋" w:eastAsia="仿宋"/>
                <w:sz w:val="22"/>
              </w:rPr>
            </w:pPr>
            <w:r>
              <w:rPr>
                <w:rFonts w:hint="eastAsia" w:ascii="仿宋" w:hAnsi="仿宋" w:eastAsia="仿宋"/>
                <w:sz w:val="22"/>
              </w:rPr>
              <w:t>林明玲</w:t>
            </w:r>
          </w:p>
        </w:tc>
        <w:tc>
          <w:tcPr>
            <w:tcW w:w="1312" w:type="dxa"/>
            <w:tcBorders>
              <w:top w:val="single" w:color="auto" w:sz="4" w:space="0"/>
              <w:left w:val="single" w:color="auto" w:sz="4" w:space="0"/>
              <w:bottom w:val="single" w:color="auto" w:sz="4" w:space="0"/>
              <w:right w:val="single" w:color="auto" w:sz="4" w:space="0"/>
            </w:tcBorders>
            <w:vAlign w:val="center"/>
          </w:tcPr>
          <w:p w14:paraId="6DC4FA46">
            <w:pPr>
              <w:jc w:val="right"/>
              <w:rPr>
                <w:rFonts w:eastAsia="仿宋"/>
                <w:sz w:val="20"/>
              </w:rPr>
            </w:pPr>
            <w:r>
              <w:rPr>
                <w:rFonts w:eastAsia="仿宋"/>
                <w:sz w:val="20"/>
              </w:rPr>
              <w:t>19,199,824</w:t>
            </w:r>
          </w:p>
        </w:tc>
        <w:tc>
          <w:tcPr>
            <w:tcW w:w="851" w:type="dxa"/>
            <w:tcBorders>
              <w:top w:val="single" w:color="auto" w:sz="4" w:space="0"/>
              <w:left w:val="single" w:color="auto" w:sz="4" w:space="0"/>
              <w:bottom w:val="single" w:color="auto" w:sz="4" w:space="0"/>
              <w:right w:val="single" w:color="auto" w:sz="4" w:space="0"/>
            </w:tcBorders>
            <w:vAlign w:val="center"/>
          </w:tcPr>
          <w:p w14:paraId="17CEEFD2">
            <w:pPr>
              <w:jc w:val="center"/>
              <w:rPr>
                <w:rFonts w:eastAsia="仿宋"/>
                <w:sz w:val="20"/>
              </w:rPr>
            </w:pPr>
            <w:r>
              <w:rPr>
                <w:rFonts w:eastAsia="仿宋"/>
                <w:sz w:val="20"/>
              </w:rPr>
              <w:t>28.72</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24BE79B2">
            <w:pPr>
              <w:jc w:val="right"/>
              <w:rPr>
                <w:rFonts w:eastAsia="仿宋"/>
                <w:sz w:val="20"/>
              </w:rPr>
            </w:pPr>
            <w:r>
              <w:rPr>
                <w:rFonts w:eastAsia="仿宋"/>
                <w:sz w:val="20"/>
              </w:rPr>
              <w:t>5,535,000</w:t>
            </w:r>
          </w:p>
        </w:tc>
        <w:tc>
          <w:tcPr>
            <w:tcW w:w="1276" w:type="dxa"/>
            <w:tcBorders>
              <w:top w:val="single" w:color="auto" w:sz="4" w:space="0"/>
              <w:left w:val="single" w:color="auto" w:sz="4" w:space="0"/>
              <w:bottom w:val="single" w:color="auto" w:sz="4" w:space="0"/>
              <w:right w:val="single" w:color="auto" w:sz="4" w:space="0"/>
            </w:tcBorders>
            <w:vAlign w:val="center"/>
          </w:tcPr>
          <w:p w14:paraId="088F19B2">
            <w:pPr>
              <w:jc w:val="right"/>
              <w:rPr>
                <w:rFonts w:eastAsia="仿宋"/>
                <w:sz w:val="20"/>
              </w:rPr>
            </w:pPr>
            <w:r>
              <w:rPr>
                <w:rFonts w:hint="eastAsia" w:eastAsia="仿宋"/>
                <w:sz w:val="20"/>
              </w:rPr>
              <w:t>5</w:t>
            </w:r>
            <w:r>
              <w:rPr>
                <w:rFonts w:eastAsia="仿宋"/>
                <w:sz w:val="20"/>
              </w:rPr>
              <w:t>,</w:t>
            </w:r>
            <w:r>
              <w:rPr>
                <w:rFonts w:hint="eastAsia" w:eastAsia="仿宋"/>
                <w:sz w:val="20"/>
              </w:rPr>
              <w:t>335</w:t>
            </w:r>
            <w:r>
              <w:rPr>
                <w:rFonts w:eastAsia="仿宋"/>
                <w:sz w:val="20"/>
              </w:rPr>
              <w:t>,</w:t>
            </w:r>
            <w:r>
              <w:rPr>
                <w:rFonts w:hint="eastAsia" w:eastAsia="仿宋"/>
                <w:sz w:val="20"/>
              </w:rPr>
              <w:t>000</w:t>
            </w:r>
          </w:p>
        </w:tc>
        <w:tc>
          <w:tcPr>
            <w:tcW w:w="708" w:type="dxa"/>
            <w:tcBorders>
              <w:top w:val="single" w:color="auto" w:sz="4" w:space="0"/>
              <w:left w:val="single" w:color="auto" w:sz="4" w:space="0"/>
              <w:bottom w:val="single" w:color="auto" w:sz="4" w:space="0"/>
              <w:right w:val="single" w:color="auto" w:sz="4" w:space="0"/>
            </w:tcBorders>
            <w:vAlign w:val="center"/>
          </w:tcPr>
          <w:p w14:paraId="751B42A0">
            <w:pPr>
              <w:jc w:val="center"/>
              <w:rPr>
                <w:rFonts w:eastAsia="仿宋"/>
                <w:sz w:val="20"/>
              </w:rPr>
            </w:pPr>
            <w:r>
              <w:rPr>
                <w:rFonts w:hint="eastAsia" w:eastAsia="仿宋"/>
                <w:sz w:val="20"/>
              </w:rPr>
              <w:t>27.79</w:t>
            </w:r>
          </w:p>
        </w:tc>
        <w:tc>
          <w:tcPr>
            <w:tcW w:w="709" w:type="dxa"/>
            <w:tcBorders>
              <w:top w:val="single" w:color="auto" w:sz="4" w:space="0"/>
              <w:left w:val="single" w:color="auto" w:sz="4" w:space="0"/>
              <w:bottom w:val="single" w:color="auto" w:sz="4" w:space="0"/>
              <w:right w:val="single" w:color="auto" w:sz="4" w:space="0"/>
            </w:tcBorders>
            <w:vAlign w:val="center"/>
          </w:tcPr>
          <w:p w14:paraId="7C1FDC7B">
            <w:pPr>
              <w:jc w:val="center"/>
              <w:rPr>
                <w:rFonts w:eastAsia="仿宋"/>
                <w:sz w:val="20"/>
              </w:rPr>
            </w:pPr>
            <w:r>
              <w:rPr>
                <w:rFonts w:hint="eastAsia" w:eastAsia="仿宋"/>
                <w:sz w:val="20"/>
              </w:rPr>
              <w:t>7.98</w:t>
            </w:r>
          </w:p>
        </w:tc>
        <w:tc>
          <w:tcPr>
            <w:tcW w:w="1134" w:type="dxa"/>
            <w:tcBorders>
              <w:top w:val="single" w:color="auto" w:sz="4" w:space="0"/>
              <w:left w:val="single" w:color="auto" w:sz="4" w:space="0"/>
              <w:bottom w:val="single" w:color="auto" w:sz="4" w:space="0"/>
              <w:right w:val="single" w:color="auto" w:sz="4" w:space="0"/>
            </w:tcBorders>
            <w:vAlign w:val="center"/>
          </w:tcPr>
          <w:p w14:paraId="7CC0725F">
            <w:pPr>
              <w:jc w:val="right"/>
              <w:rPr>
                <w:rFonts w:eastAsia="仿宋"/>
                <w:sz w:val="20"/>
              </w:rPr>
            </w:pPr>
            <w:r>
              <w:rPr>
                <w:rFonts w:hint="eastAsia" w:eastAsia="仿宋"/>
                <w:sz w:val="20"/>
              </w:rPr>
              <w:t>2</w:t>
            </w:r>
            <w:r>
              <w:rPr>
                <w:rFonts w:eastAsia="仿宋"/>
                <w:sz w:val="20"/>
              </w:rPr>
              <w:t>,</w:t>
            </w:r>
            <w:r>
              <w:rPr>
                <w:rFonts w:hint="eastAsia" w:eastAsia="仿宋"/>
                <w:sz w:val="20"/>
              </w:rPr>
              <w:t>775</w:t>
            </w:r>
            <w:r>
              <w:rPr>
                <w:rFonts w:eastAsia="仿宋"/>
                <w:sz w:val="20"/>
              </w:rPr>
              <w:t>,</w:t>
            </w:r>
            <w:r>
              <w:rPr>
                <w:rFonts w:hint="eastAsia" w:eastAsia="仿宋"/>
                <w:sz w:val="20"/>
              </w:rPr>
              <w:t>000</w:t>
            </w:r>
          </w:p>
        </w:tc>
        <w:tc>
          <w:tcPr>
            <w:tcW w:w="851" w:type="dxa"/>
            <w:tcBorders>
              <w:top w:val="single" w:color="auto" w:sz="4" w:space="0"/>
              <w:left w:val="single" w:color="auto" w:sz="4" w:space="0"/>
              <w:bottom w:val="single" w:color="auto" w:sz="4" w:space="0"/>
              <w:right w:val="single" w:color="auto" w:sz="4" w:space="0"/>
            </w:tcBorders>
            <w:vAlign w:val="center"/>
          </w:tcPr>
          <w:p w14:paraId="28CBE3C5">
            <w:pPr>
              <w:jc w:val="center"/>
              <w:rPr>
                <w:rFonts w:eastAsia="仿宋"/>
                <w:sz w:val="20"/>
              </w:rPr>
            </w:pPr>
            <w:r>
              <w:rPr>
                <w:rFonts w:hint="eastAsia" w:eastAsia="仿宋"/>
                <w:sz w:val="20"/>
              </w:rPr>
              <w:t>52.01</w:t>
            </w:r>
          </w:p>
        </w:tc>
        <w:tc>
          <w:tcPr>
            <w:tcW w:w="1417" w:type="dxa"/>
            <w:tcBorders>
              <w:top w:val="single" w:color="auto" w:sz="4" w:space="0"/>
              <w:left w:val="single" w:color="auto" w:sz="4" w:space="0"/>
              <w:bottom w:val="single" w:color="auto" w:sz="4" w:space="0"/>
              <w:right w:val="single" w:color="auto" w:sz="4" w:space="0"/>
            </w:tcBorders>
            <w:vAlign w:val="center"/>
          </w:tcPr>
          <w:p w14:paraId="08CBC24B">
            <w:pPr>
              <w:jc w:val="right"/>
              <w:rPr>
                <w:rFonts w:eastAsia="仿宋"/>
                <w:bCs/>
                <w:color w:val="000000"/>
                <w:sz w:val="20"/>
              </w:rPr>
            </w:pPr>
            <w:r>
              <w:rPr>
                <w:rFonts w:hint="eastAsia" w:eastAsia="仿宋"/>
                <w:bCs/>
                <w:color w:val="000000"/>
                <w:sz w:val="20"/>
              </w:rPr>
              <w:t>11,592,868</w:t>
            </w:r>
          </w:p>
        </w:tc>
        <w:tc>
          <w:tcPr>
            <w:tcW w:w="886" w:type="dxa"/>
            <w:tcBorders>
              <w:top w:val="single" w:color="auto" w:sz="4" w:space="0"/>
              <w:left w:val="single" w:color="auto" w:sz="4" w:space="0"/>
              <w:bottom w:val="single" w:color="auto" w:sz="4" w:space="0"/>
              <w:right w:val="single" w:color="auto" w:sz="4" w:space="0"/>
            </w:tcBorders>
            <w:vAlign w:val="center"/>
          </w:tcPr>
          <w:p w14:paraId="4EBF3202">
            <w:pPr>
              <w:jc w:val="right"/>
              <w:rPr>
                <w:rFonts w:eastAsia="仿宋"/>
                <w:bCs/>
                <w:color w:val="000000"/>
                <w:sz w:val="20"/>
              </w:rPr>
            </w:pPr>
            <w:r>
              <w:rPr>
                <w:rFonts w:hint="eastAsia" w:eastAsia="仿宋"/>
                <w:bCs/>
                <w:color w:val="000000"/>
                <w:sz w:val="20"/>
              </w:rPr>
              <w:t>83.61</w:t>
            </w:r>
          </w:p>
        </w:tc>
      </w:tr>
      <w:tr w14:paraId="6DDB4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83" w:type="dxa"/>
            <w:tcBorders>
              <w:top w:val="single" w:color="auto" w:sz="4" w:space="0"/>
              <w:left w:val="single" w:color="auto" w:sz="4" w:space="0"/>
              <w:bottom w:val="single" w:color="auto" w:sz="4" w:space="0"/>
              <w:right w:val="single" w:color="auto" w:sz="4" w:space="0"/>
            </w:tcBorders>
            <w:vAlign w:val="center"/>
          </w:tcPr>
          <w:p w14:paraId="66169B3C">
            <w:pPr>
              <w:widowControl/>
              <w:jc w:val="right"/>
              <w:rPr>
                <w:rFonts w:ascii="仿宋" w:hAnsi="仿宋" w:eastAsia="仿宋"/>
                <w:sz w:val="22"/>
              </w:rPr>
            </w:pPr>
            <w:r>
              <w:rPr>
                <w:rFonts w:hint="eastAsia" w:ascii="仿宋" w:hAnsi="仿宋" w:eastAsia="仿宋"/>
                <w:sz w:val="22"/>
              </w:rPr>
              <w:t>马学沛</w:t>
            </w:r>
          </w:p>
        </w:tc>
        <w:tc>
          <w:tcPr>
            <w:tcW w:w="1312" w:type="dxa"/>
            <w:tcBorders>
              <w:top w:val="single" w:color="auto" w:sz="4" w:space="0"/>
              <w:left w:val="single" w:color="auto" w:sz="4" w:space="0"/>
              <w:bottom w:val="single" w:color="auto" w:sz="4" w:space="0"/>
              <w:right w:val="single" w:color="auto" w:sz="4" w:space="0"/>
            </w:tcBorders>
            <w:vAlign w:val="center"/>
          </w:tcPr>
          <w:p w14:paraId="57346B2E">
            <w:pPr>
              <w:jc w:val="right"/>
              <w:rPr>
                <w:rFonts w:eastAsia="仿宋"/>
                <w:sz w:val="20"/>
              </w:rPr>
            </w:pPr>
            <w:r>
              <w:rPr>
                <w:rFonts w:eastAsia="仿宋"/>
                <w:sz w:val="20"/>
              </w:rPr>
              <w:t>4,054,120</w:t>
            </w:r>
          </w:p>
        </w:tc>
        <w:tc>
          <w:tcPr>
            <w:tcW w:w="851" w:type="dxa"/>
            <w:tcBorders>
              <w:top w:val="single" w:color="auto" w:sz="4" w:space="0"/>
              <w:left w:val="single" w:color="auto" w:sz="4" w:space="0"/>
              <w:bottom w:val="single" w:color="auto" w:sz="4" w:space="0"/>
              <w:right w:val="single" w:color="auto" w:sz="4" w:space="0"/>
            </w:tcBorders>
            <w:vAlign w:val="center"/>
          </w:tcPr>
          <w:p w14:paraId="40563116">
            <w:pPr>
              <w:jc w:val="center"/>
              <w:rPr>
                <w:rFonts w:eastAsia="仿宋"/>
                <w:sz w:val="20"/>
              </w:rPr>
            </w:pPr>
            <w:r>
              <w:rPr>
                <w:rFonts w:eastAsia="仿宋"/>
                <w:sz w:val="20"/>
              </w:rPr>
              <w:t>6.06</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4AB80BE3">
            <w:pPr>
              <w:jc w:val="right"/>
              <w:rPr>
                <w:rFonts w:eastAsia="仿宋"/>
                <w:sz w:val="20"/>
              </w:rPr>
            </w:pPr>
            <w:r>
              <w:rPr>
                <w:rFonts w:eastAsia="仿宋"/>
                <w:bCs/>
                <w:color w:val="000000"/>
                <w:sz w:val="20"/>
              </w:rPr>
              <w:t>1,850,000</w:t>
            </w:r>
          </w:p>
        </w:tc>
        <w:tc>
          <w:tcPr>
            <w:tcW w:w="1276" w:type="dxa"/>
            <w:tcBorders>
              <w:top w:val="single" w:color="auto" w:sz="4" w:space="0"/>
              <w:left w:val="single" w:color="auto" w:sz="4" w:space="0"/>
              <w:bottom w:val="single" w:color="auto" w:sz="4" w:space="0"/>
              <w:right w:val="single" w:color="auto" w:sz="4" w:space="0"/>
            </w:tcBorders>
            <w:vAlign w:val="center"/>
          </w:tcPr>
          <w:p w14:paraId="2036363E">
            <w:pPr>
              <w:jc w:val="right"/>
              <w:rPr>
                <w:rFonts w:eastAsia="仿宋"/>
                <w:sz w:val="20"/>
              </w:rPr>
            </w:pPr>
            <w:r>
              <w:rPr>
                <w:rFonts w:eastAsia="仿宋"/>
                <w:bCs/>
                <w:color w:val="000000"/>
                <w:sz w:val="20"/>
              </w:rPr>
              <w:t>1,850,000</w:t>
            </w:r>
          </w:p>
        </w:tc>
        <w:tc>
          <w:tcPr>
            <w:tcW w:w="708" w:type="dxa"/>
            <w:tcBorders>
              <w:top w:val="single" w:color="auto" w:sz="4" w:space="0"/>
              <w:left w:val="single" w:color="auto" w:sz="4" w:space="0"/>
              <w:bottom w:val="single" w:color="auto" w:sz="4" w:space="0"/>
              <w:right w:val="single" w:color="auto" w:sz="4" w:space="0"/>
            </w:tcBorders>
            <w:vAlign w:val="center"/>
          </w:tcPr>
          <w:p w14:paraId="4BF11AF3">
            <w:pPr>
              <w:jc w:val="center"/>
              <w:rPr>
                <w:rFonts w:eastAsia="仿宋"/>
                <w:sz w:val="20"/>
              </w:rPr>
            </w:pPr>
            <w:r>
              <w:rPr>
                <w:rFonts w:hint="eastAsia" w:eastAsia="仿宋"/>
                <w:sz w:val="20"/>
              </w:rPr>
              <w:t>45.63</w:t>
            </w:r>
          </w:p>
        </w:tc>
        <w:tc>
          <w:tcPr>
            <w:tcW w:w="709" w:type="dxa"/>
            <w:tcBorders>
              <w:top w:val="single" w:color="auto" w:sz="4" w:space="0"/>
              <w:left w:val="single" w:color="auto" w:sz="4" w:space="0"/>
              <w:bottom w:val="single" w:color="auto" w:sz="4" w:space="0"/>
              <w:right w:val="single" w:color="auto" w:sz="4" w:space="0"/>
            </w:tcBorders>
            <w:vAlign w:val="center"/>
          </w:tcPr>
          <w:p w14:paraId="6AF0C909">
            <w:pPr>
              <w:jc w:val="center"/>
              <w:rPr>
                <w:rFonts w:eastAsia="仿宋"/>
                <w:sz w:val="20"/>
              </w:rPr>
            </w:pPr>
            <w:r>
              <w:rPr>
                <w:rFonts w:hint="eastAsia" w:eastAsia="仿宋"/>
                <w:sz w:val="20"/>
              </w:rPr>
              <w:t>2.77</w:t>
            </w:r>
          </w:p>
        </w:tc>
        <w:tc>
          <w:tcPr>
            <w:tcW w:w="1134" w:type="dxa"/>
            <w:tcBorders>
              <w:top w:val="single" w:color="auto" w:sz="4" w:space="0"/>
              <w:left w:val="single" w:color="auto" w:sz="4" w:space="0"/>
              <w:bottom w:val="single" w:color="auto" w:sz="4" w:space="0"/>
              <w:right w:val="single" w:color="auto" w:sz="4" w:space="0"/>
            </w:tcBorders>
            <w:vAlign w:val="center"/>
          </w:tcPr>
          <w:p w14:paraId="368A9BCE">
            <w:pPr>
              <w:jc w:val="right"/>
              <w:rPr>
                <w:rFonts w:eastAsia="仿宋"/>
                <w:sz w:val="20"/>
              </w:rPr>
            </w:pPr>
            <w:r>
              <w:rPr>
                <w:rFonts w:hint="eastAsia" w:eastAsia="仿宋"/>
                <w:sz w:val="20"/>
              </w:rPr>
              <w:t>804</w:t>
            </w:r>
            <w:r>
              <w:rPr>
                <w:rFonts w:eastAsia="仿宋"/>
                <w:sz w:val="20"/>
              </w:rPr>
              <w:t>,</w:t>
            </w:r>
            <w:r>
              <w:rPr>
                <w:rFonts w:hint="eastAsia" w:eastAsia="仿宋"/>
                <w:sz w:val="20"/>
              </w:rPr>
              <w:t>470</w:t>
            </w:r>
          </w:p>
        </w:tc>
        <w:tc>
          <w:tcPr>
            <w:tcW w:w="851" w:type="dxa"/>
            <w:tcBorders>
              <w:top w:val="single" w:color="auto" w:sz="4" w:space="0"/>
              <w:left w:val="single" w:color="auto" w:sz="4" w:space="0"/>
              <w:bottom w:val="single" w:color="auto" w:sz="4" w:space="0"/>
              <w:right w:val="single" w:color="auto" w:sz="4" w:space="0"/>
            </w:tcBorders>
            <w:vAlign w:val="center"/>
          </w:tcPr>
          <w:p w14:paraId="73F29685">
            <w:pPr>
              <w:jc w:val="center"/>
              <w:rPr>
                <w:rFonts w:eastAsia="仿宋"/>
                <w:sz w:val="20"/>
              </w:rPr>
            </w:pPr>
            <w:r>
              <w:rPr>
                <w:rFonts w:hint="eastAsia" w:eastAsia="仿宋"/>
                <w:sz w:val="20"/>
              </w:rPr>
              <w:t>43.48</w:t>
            </w:r>
          </w:p>
        </w:tc>
        <w:tc>
          <w:tcPr>
            <w:tcW w:w="1417" w:type="dxa"/>
            <w:tcBorders>
              <w:top w:val="single" w:color="auto" w:sz="4" w:space="0"/>
              <w:left w:val="single" w:color="auto" w:sz="4" w:space="0"/>
              <w:bottom w:val="single" w:color="auto" w:sz="4" w:space="0"/>
              <w:right w:val="single" w:color="auto" w:sz="4" w:space="0"/>
            </w:tcBorders>
            <w:vAlign w:val="center"/>
          </w:tcPr>
          <w:p w14:paraId="4B6306FA">
            <w:pPr>
              <w:widowControl/>
              <w:jc w:val="right"/>
              <w:rPr>
                <w:rFonts w:eastAsia="仿宋"/>
                <w:sz w:val="20"/>
              </w:rPr>
            </w:pPr>
            <w:r>
              <w:rPr>
                <w:rFonts w:hint="eastAsia" w:eastAsia="仿宋"/>
                <w:sz w:val="20"/>
              </w:rPr>
              <w:t>2</w:t>
            </w:r>
            <w:r>
              <w:rPr>
                <w:rFonts w:eastAsia="仿宋"/>
                <w:sz w:val="20"/>
              </w:rPr>
              <w:t>,</w:t>
            </w:r>
            <w:r>
              <w:rPr>
                <w:rFonts w:hint="eastAsia" w:eastAsia="仿宋"/>
                <w:sz w:val="20"/>
              </w:rPr>
              <w:t>204</w:t>
            </w:r>
            <w:r>
              <w:rPr>
                <w:rFonts w:eastAsia="仿宋"/>
                <w:sz w:val="20"/>
              </w:rPr>
              <w:t>,</w:t>
            </w:r>
            <w:r>
              <w:rPr>
                <w:rFonts w:hint="eastAsia" w:eastAsia="仿宋"/>
                <w:sz w:val="20"/>
              </w:rPr>
              <w:t>120</w:t>
            </w:r>
          </w:p>
        </w:tc>
        <w:tc>
          <w:tcPr>
            <w:tcW w:w="886" w:type="dxa"/>
            <w:tcBorders>
              <w:top w:val="single" w:color="auto" w:sz="4" w:space="0"/>
              <w:left w:val="single" w:color="auto" w:sz="4" w:space="0"/>
              <w:bottom w:val="single" w:color="auto" w:sz="4" w:space="0"/>
              <w:right w:val="single" w:color="auto" w:sz="4" w:space="0"/>
            </w:tcBorders>
            <w:vAlign w:val="center"/>
          </w:tcPr>
          <w:p w14:paraId="61F6944B">
            <w:pPr>
              <w:jc w:val="center"/>
              <w:rPr>
                <w:rFonts w:eastAsia="仿宋"/>
                <w:sz w:val="20"/>
              </w:rPr>
            </w:pPr>
            <w:r>
              <w:rPr>
                <w:rFonts w:hint="eastAsia" w:eastAsia="仿宋"/>
                <w:sz w:val="20"/>
              </w:rPr>
              <w:t>100.00</w:t>
            </w:r>
          </w:p>
        </w:tc>
      </w:tr>
      <w:tr w14:paraId="1DCDF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483" w:type="dxa"/>
            <w:tcBorders>
              <w:top w:val="single" w:color="auto" w:sz="4" w:space="0"/>
              <w:left w:val="single" w:color="auto" w:sz="4" w:space="0"/>
              <w:bottom w:val="single" w:color="auto" w:sz="4" w:space="0"/>
              <w:right w:val="single" w:color="auto" w:sz="4" w:space="0"/>
            </w:tcBorders>
            <w:vAlign w:val="center"/>
          </w:tcPr>
          <w:p w14:paraId="4191F4E1">
            <w:pPr>
              <w:widowControl/>
              <w:jc w:val="right"/>
              <w:rPr>
                <w:rFonts w:ascii="仿宋" w:hAnsi="仿宋" w:eastAsia="仿宋"/>
                <w:sz w:val="22"/>
                <w:szCs w:val="22"/>
              </w:rPr>
            </w:pPr>
            <w:r>
              <w:rPr>
                <w:rFonts w:ascii="仿宋" w:hAnsi="仿宋" w:eastAsia="仿宋"/>
                <w:sz w:val="22"/>
                <w:szCs w:val="22"/>
              </w:rPr>
              <w:t>合计</w:t>
            </w:r>
          </w:p>
        </w:tc>
        <w:tc>
          <w:tcPr>
            <w:tcW w:w="1312" w:type="dxa"/>
            <w:tcBorders>
              <w:top w:val="single" w:color="auto" w:sz="4" w:space="0"/>
              <w:left w:val="single" w:color="auto" w:sz="4" w:space="0"/>
              <w:bottom w:val="single" w:color="auto" w:sz="4" w:space="0"/>
              <w:right w:val="single" w:color="auto" w:sz="4" w:space="0"/>
            </w:tcBorders>
            <w:vAlign w:val="center"/>
          </w:tcPr>
          <w:p w14:paraId="68D01D49">
            <w:pPr>
              <w:jc w:val="right"/>
              <w:rPr>
                <w:rFonts w:eastAsia="仿宋"/>
                <w:sz w:val="20"/>
              </w:rPr>
            </w:pPr>
            <w:r>
              <w:rPr>
                <w:rFonts w:eastAsia="仿宋"/>
                <w:sz w:val="20"/>
              </w:rPr>
              <w:t>23,253,944</w:t>
            </w:r>
          </w:p>
        </w:tc>
        <w:tc>
          <w:tcPr>
            <w:tcW w:w="851" w:type="dxa"/>
            <w:tcBorders>
              <w:top w:val="single" w:color="auto" w:sz="4" w:space="0"/>
              <w:left w:val="single" w:color="auto" w:sz="4" w:space="0"/>
              <w:bottom w:val="single" w:color="auto" w:sz="4" w:space="0"/>
              <w:right w:val="single" w:color="auto" w:sz="4" w:space="0"/>
            </w:tcBorders>
            <w:vAlign w:val="center"/>
          </w:tcPr>
          <w:p w14:paraId="01DED4D6">
            <w:pPr>
              <w:jc w:val="center"/>
              <w:rPr>
                <w:rFonts w:eastAsia="仿宋"/>
                <w:sz w:val="20"/>
              </w:rPr>
            </w:pPr>
            <w:r>
              <w:rPr>
                <w:rFonts w:eastAsia="仿宋"/>
                <w:sz w:val="20"/>
              </w:rPr>
              <w:t>34.78</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78353299">
            <w:pPr>
              <w:jc w:val="right"/>
              <w:rPr>
                <w:rFonts w:eastAsia="仿宋"/>
                <w:sz w:val="20"/>
              </w:rPr>
            </w:pPr>
            <w:r>
              <w:rPr>
                <w:rFonts w:eastAsia="仿宋"/>
                <w:bCs/>
                <w:color w:val="000000"/>
                <w:sz w:val="20"/>
              </w:rPr>
              <w:t>7,385,000</w:t>
            </w:r>
          </w:p>
        </w:tc>
        <w:tc>
          <w:tcPr>
            <w:tcW w:w="1276" w:type="dxa"/>
            <w:tcBorders>
              <w:top w:val="single" w:color="auto" w:sz="4" w:space="0"/>
              <w:left w:val="single" w:color="auto" w:sz="4" w:space="0"/>
              <w:bottom w:val="single" w:color="auto" w:sz="4" w:space="0"/>
              <w:right w:val="single" w:color="auto" w:sz="4" w:space="0"/>
            </w:tcBorders>
            <w:vAlign w:val="center"/>
          </w:tcPr>
          <w:p w14:paraId="44560CAA">
            <w:pPr>
              <w:jc w:val="right"/>
              <w:rPr>
                <w:rFonts w:eastAsia="仿宋"/>
                <w:sz w:val="20"/>
              </w:rPr>
            </w:pPr>
            <w:r>
              <w:rPr>
                <w:rFonts w:eastAsia="仿宋"/>
                <w:bCs/>
                <w:color w:val="000000"/>
                <w:sz w:val="20"/>
              </w:rPr>
              <w:t>7,</w:t>
            </w:r>
            <w:r>
              <w:rPr>
                <w:rFonts w:hint="eastAsia" w:eastAsia="仿宋"/>
                <w:bCs/>
                <w:color w:val="000000"/>
                <w:sz w:val="20"/>
              </w:rPr>
              <w:t>18</w:t>
            </w:r>
            <w:r>
              <w:rPr>
                <w:rFonts w:eastAsia="仿宋"/>
                <w:bCs/>
                <w:color w:val="000000"/>
                <w:sz w:val="20"/>
              </w:rPr>
              <w:t>5,000</w:t>
            </w:r>
          </w:p>
        </w:tc>
        <w:tc>
          <w:tcPr>
            <w:tcW w:w="708" w:type="dxa"/>
            <w:tcBorders>
              <w:top w:val="single" w:color="auto" w:sz="4" w:space="0"/>
              <w:left w:val="single" w:color="auto" w:sz="4" w:space="0"/>
              <w:bottom w:val="single" w:color="auto" w:sz="4" w:space="0"/>
              <w:right w:val="single" w:color="auto" w:sz="4" w:space="0"/>
            </w:tcBorders>
            <w:vAlign w:val="center"/>
          </w:tcPr>
          <w:p w14:paraId="1C9BA5DB">
            <w:pPr>
              <w:jc w:val="center"/>
              <w:rPr>
                <w:rFonts w:eastAsia="仿宋"/>
                <w:sz w:val="20"/>
              </w:rPr>
            </w:pPr>
            <w:r>
              <w:rPr>
                <w:rFonts w:hint="eastAsia" w:eastAsia="仿宋"/>
                <w:sz w:val="20"/>
              </w:rPr>
              <w:t>30.90</w:t>
            </w:r>
          </w:p>
        </w:tc>
        <w:tc>
          <w:tcPr>
            <w:tcW w:w="709" w:type="dxa"/>
            <w:tcBorders>
              <w:top w:val="single" w:color="auto" w:sz="4" w:space="0"/>
              <w:left w:val="single" w:color="auto" w:sz="4" w:space="0"/>
              <w:bottom w:val="single" w:color="auto" w:sz="4" w:space="0"/>
              <w:right w:val="single" w:color="auto" w:sz="4" w:space="0"/>
            </w:tcBorders>
            <w:vAlign w:val="center"/>
          </w:tcPr>
          <w:p w14:paraId="67653C74">
            <w:pPr>
              <w:jc w:val="center"/>
              <w:rPr>
                <w:rFonts w:eastAsia="仿宋"/>
                <w:sz w:val="20"/>
              </w:rPr>
            </w:pPr>
            <w:r>
              <w:rPr>
                <w:rFonts w:hint="eastAsia" w:eastAsia="仿宋"/>
                <w:sz w:val="20"/>
              </w:rPr>
              <w:t>10.75</w:t>
            </w:r>
          </w:p>
        </w:tc>
        <w:tc>
          <w:tcPr>
            <w:tcW w:w="1134" w:type="dxa"/>
            <w:tcBorders>
              <w:top w:val="single" w:color="auto" w:sz="4" w:space="0"/>
              <w:left w:val="single" w:color="auto" w:sz="4" w:space="0"/>
              <w:bottom w:val="single" w:color="auto" w:sz="4" w:space="0"/>
              <w:right w:val="single" w:color="auto" w:sz="4" w:space="0"/>
            </w:tcBorders>
            <w:vAlign w:val="center"/>
          </w:tcPr>
          <w:p w14:paraId="7BC0C687">
            <w:pPr>
              <w:jc w:val="right"/>
              <w:rPr>
                <w:rFonts w:eastAsia="仿宋"/>
                <w:sz w:val="20"/>
              </w:rPr>
            </w:pPr>
            <w:r>
              <w:rPr>
                <w:rFonts w:hint="eastAsia" w:eastAsia="仿宋"/>
                <w:sz w:val="20"/>
              </w:rPr>
              <w:t>3,579,470</w:t>
            </w:r>
          </w:p>
        </w:tc>
        <w:tc>
          <w:tcPr>
            <w:tcW w:w="851" w:type="dxa"/>
            <w:tcBorders>
              <w:top w:val="single" w:color="auto" w:sz="4" w:space="0"/>
              <w:left w:val="single" w:color="auto" w:sz="4" w:space="0"/>
              <w:bottom w:val="single" w:color="auto" w:sz="4" w:space="0"/>
              <w:right w:val="single" w:color="auto" w:sz="4" w:space="0"/>
            </w:tcBorders>
            <w:vAlign w:val="center"/>
          </w:tcPr>
          <w:p w14:paraId="537DA49B">
            <w:pPr>
              <w:jc w:val="center"/>
              <w:rPr>
                <w:rFonts w:eastAsia="仿宋"/>
                <w:sz w:val="20"/>
              </w:rPr>
            </w:pPr>
            <w:r>
              <w:rPr>
                <w:rFonts w:hint="eastAsia" w:eastAsia="仿宋"/>
                <w:sz w:val="20"/>
              </w:rPr>
              <w:t>49.82</w:t>
            </w:r>
          </w:p>
        </w:tc>
        <w:tc>
          <w:tcPr>
            <w:tcW w:w="1417" w:type="dxa"/>
            <w:tcBorders>
              <w:top w:val="single" w:color="auto" w:sz="4" w:space="0"/>
              <w:left w:val="single" w:color="auto" w:sz="4" w:space="0"/>
              <w:bottom w:val="single" w:color="auto" w:sz="4" w:space="0"/>
              <w:right w:val="single" w:color="auto" w:sz="4" w:space="0"/>
            </w:tcBorders>
            <w:vAlign w:val="center"/>
          </w:tcPr>
          <w:p w14:paraId="4FD51D81">
            <w:pPr>
              <w:widowControl/>
              <w:jc w:val="right"/>
              <w:rPr>
                <w:rFonts w:eastAsia="仿宋"/>
                <w:bCs/>
                <w:color w:val="000000"/>
                <w:sz w:val="20"/>
              </w:rPr>
            </w:pPr>
            <w:r>
              <w:rPr>
                <w:rFonts w:hint="eastAsia" w:eastAsia="仿宋"/>
                <w:bCs/>
                <w:color w:val="000000"/>
                <w:sz w:val="20"/>
              </w:rPr>
              <w:t>13</w:t>
            </w:r>
            <w:r>
              <w:rPr>
                <w:rFonts w:eastAsia="仿宋"/>
                <w:sz w:val="20"/>
              </w:rPr>
              <w:t>,</w:t>
            </w:r>
            <w:r>
              <w:rPr>
                <w:rFonts w:hint="eastAsia" w:eastAsia="仿宋"/>
                <w:bCs/>
                <w:color w:val="000000"/>
                <w:sz w:val="20"/>
              </w:rPr>
              <w:t>796</w:t>
            </w:r>
            <w:r>
              <w:rPr>
                <w:rFonts w:eastAsia="仿宋"/>
                <w:sz w:val="20"/>
              </w:rPr>
              <w:t>,</w:t>
            </w:r>
            <w:r>
              <w:rPr>
                <w:rFonts w:hint="eastAsia" w:eastAsia="仿宋"/>
                <w:bCs/>
                <w:color w:val="000000"/>
                <w:sz w:val="20"/>
              </w:rPr>
              <w:t>988</w:t>
            </w:r>
          </w:p>
        </w:tc>
        <w:tc>
          <w:tcPr>
            <w:tcW w:w="886" w:type="dxa"/>
            <w:tcBorders>
              <w:top w:val="single" w:color="auto" w:sz="4" w:space="0"/>
              <w:left w:val="single" w:color="auto" w:sz="4" w:space="0"/>
              <w:bottom w:val="single" w:color="auto" w:sz="4" w:space="0"/>
              <w:right w:val="single" w:color="auto" w:sz="4" w:space="0"/>
            </w:tcBorders>
            <w:vAlign w:val="center"/>
          </w:tcPr>
          <w:p w14:paraId="25839DB0">
            <w:pPr>
              <w:widowControl/>
              <w:jc w:val="right"/>
              <w:rPr>
                <w:rFonts w:eastAsia="仿宋"/>
                <w:bCs/>
                <w:color w:val="000000"/>
                <w:sz w:val="20"/>
              </w:rPr>
            </w:pPr>
            <w:r>
              <w:rPr>
                <w:rFonts w:hint="eastAsia" w:eastAsia="仿宋"/>
                <w:bCs/>
                <w:color w:val="000000"/>
                <w:sz w:val="20"/>
              </w:rPr>
              <w:t>85.86</w:t>
            </w:r>
          </w:p>
        </w:tc>
      </w:tr>
    </w:tbl>
    <w:p w14:paraId="0C42D54D">
      <w:pPr>
        <w:numPr>
          <w:ilvl w:val="0"/>
          <w:numId w:val="1"/>
        </w:numPr>
        <w:ind w:firstLine="562" w:firstLineChars="200"/>
        <w:outlineLvl w:val="0"/>
        <w:rPr>
          <w:rFonts w:ascii="仿宋" w:hAnsi="仿宋" w:eastAsia="仿宋"/>
          <w:b/>
          <w:color w:val="000000"/>
          <w:sz w:val="28"/>
          <w:szCs w:val="28"/>
        </w:rPr>
      </w:pPr>
      <w:r>
        <w:rPr>
          <w:rFonts w:hint="eastAsia" w:ascii="仿宋" w:hAnsi="仿宋" w:eastAsia="仿宋"/>
          <w:b/>
          <w:color w:val="000000"/>
          <w:sz w:val="28"/>
          <w:szCs w:val="28"/>
        </w:rPr>
        <w:t>其他说明</w:t>
      </w:r>
    </w:p>
    <w:p w14:paraId="39E72163">
      <w:pPr>
        <w:spacing w:line="360" w:lineRule="auto"/>
        <w:ind w:firstLine="560" w:firstLineChars="200"/>
        <w:rPr>
          <w:rFonts w:ascii="仿宋" w:hAnsi="仿宋" w:eastAsia="仿宋"/>
          <w:color w:val="000000"/>
          <w:sz w:val="28"/>
        </w:rPr>
      </w:pPr>
      <w:r>
        <w:rPr>
          <w:rFonts w:hint="eastAsia" w:ascii="仿宋" w:hAnsi="仿宋" w:eastAsia="仿宋"/>
          <w:color w:val="000000"/>
          <w:sz w:val="28"/>
        </w:rPr>
        <w:t>截至本公告披露日，公司控股股东、实际控制人及其一致行动人资信情况、财务状况良好，具备相应的偿还能力，其质押的股份不存在平仓或被强制过户的风险。</w:t>
      </w:r>
    </w:p>
    <w:p w14:paraId="05B30C1A">
      <w:pPr>
        <w:numPr>
          <w:ilvl w:val="0"/>
          <w:numId w:val="1"/>
        </w:numPr>
        <w:ind w:firstLine="562" w:firstLineChars="200"/>
        <w:outlineLvl w:val="0"/>
        <w:rPr>
          <w:rFonts w:ascii="仿宋" w:hAnsi="仿宋" w:eastAsia="仿宋"/>
          <w:b/>
          <w:color w:val="000000"/>
          <w:sz w:val="28"/>
          <w:szCs w:val="28"/>
        </w:rPr>
      </w:pPr>
      <w:r>
        <w:rPr>
          <w:rFonts w:hint="eastAsia" w:ascii="仿宋" w:hAnsi="仿宋" w:eastAsia="仿宋"/>
          <w:b/>
          <w:color w:val="000000"/>
          <w:sz w:val="28"/>
          <w:szCs w:val="28"/>
        </w:rPr>
        <w:t>备查文件</w:t>
      </w:r>
    </w:p>
    <w:p w14:paraId="591219C7">
      <w:pPr>
        <w:numPr>
          <w:ilvl w:val="0"/>
          <w:numId w:val="3"/>
        </w:numPr>
        <w:spacing w:line="360" w:lineRule="auto"/>
        <w:ind w:firstLine="560" w:firstLineChars="200"/>
        <w:rPr>
          <w:rFonts w:ascii="仿宋" w:hAnsi="仿宋" w:eastAsia="仿宋"/>
          <w:color w:val="000000"/>
          <w:sz w:val="28"/>
        </w:rPr>
      </w:pPr>
      <w:r>
        <w:rPr>
          <w:rFonts w:hint="eastAsia" w:ascii="仿宋" w:hAnsi="仿宋" w:eastAsia="仿宋"/>
          <w:color w:val="000000"/>
          <w:sz w:val="28"/>
        </w:rPr>
        <w:t>证券质押登记证明</w:t>
      </w:r>
      <w:r>
        <w:rPr>
          <w:rFonts w:hint="eastAsia" w:ascii="仿宋" w:hAnsi="仿宋" w:eastAsia="仿宋"/>
          <w:color w:val="000000"/>
          <w:sz w:val="28"/>
          <w:lang w:val="en-US" w:eastAsia="zh-CN"/>
        </w:rPr>
        <w:t>;</w:t>
      </w:r>
    </w:p>
    <w:p w14:paraId="40F274EE">
      <w:pPr>
        <w:numPr>
          <w:ilvl w:val="0"/>
          <w:numId w:val="3"/>
        </w:numPr>
        <w:spacing w:line="360" w:lineRule="auto"/>
        <w:ind w:firstLine="560" w:firstLineChars="200"/>
        <w:rPr>
          <w:rFonts w:ascii="仿宋" w:hAnsi="仿宋" w:eastAsia="仿宋"/>
          <w:color w:val="000000"/>
          <w:sz w:val="28"/>
        </w:rPr>
      </w:pPr>
      <w:r>
        <w:rPr>
          <w:rFonts w:hint="eastAsia" w:ascii="仿宋" w:hAnsi="仿宋" w:eastAsia="仿宋"/>
          <w:color w:val="000000"/>
          <w:sz w:val="28"/>
          <w:lang w:eastAsia="zh-CN"/>
        </w:rPr>
        <w:t>解除证券质押登记通知；</w:t>
      </w:r>
    </w:p>
    <w:p w14:paraId="7DA00270">
      <w:pPr>
        <w:numPr>
          <w:ilvl w:val="0"/>
          <w:numId w:val="3"/>
        </w:numPr>
        <w:spacing w:line="360" w:lineRule="auto"/>
        <w:ind w:firstLine="560" w:firstLineChars="200"/>
        <w:rPr>
          <w:rFonts w:ascii="仿宋" w:hAnsi="仿宋" w:eastAsia="仿宋"/>
          <w:color w:val="000000"/>
          <w:sz w:val="28"/>
        </w:rPr>
      </w:pPr>
      <w:r>
        <w:rPr>
          <w:rFonts w:hint="eastAsia" w:ascii="仿宋" w:hAnsi="仿宋" w:eastAsia="仿宋"/>
          <w:color w:val="000000"/>
          <w:sz w:val="28"/>
        </w:rPr>
        <w:t>证券质押及司法冻结明细表</w:t>
      </w:r>
      <w:r>
        <w:rPr>
          <w:rFonts w:hint="eastAsia" w:ascii="仿宋" w:hAnsi="仿宋" w:eastAsia="仿宋"/>
          <w:color w:val="000000"/>
          <w:sz w:val="28"/>
          <w:lang w:eastAsia="zh-CN"/>
        </w:rPr>
        <w:t>。</w:t>
      </w:r>
      <w:bookmarkStart w:id="0" w:name="_GoBack"/>
      <w:bookmarkEnd w:id="0"/>
    </w:p>
    <w:p w14:paraId="56E8826A">
      <w:pPr>
        <w:spacing w:line="360" w:lineRule="auto"/>
        <w:ind w:firstLine="560" w:firstLineChars="200"/>
        <w:rPr>
          <w:rFonts w:ascii="仿宋" w:hAnsi="仿宋" w:eastAsia="仿宋"/>
          <w:color w:val="000000"/>
          <w:sz w:val="28"/>
        </w:rPr>
      </w:pPr>
      <w:r>
        <w:rPr>
          <w:rFonts w:hint="eastAsia" w:ascii="仿宋" w:hAnsi="仿宋" w:eastAsia="仿宋"/>
          <w:color w:val="000000"/>
          <w:sz w:val="28"/>
        </w:rPr>
        <w:t>特此公告。</w:t>
      </w:r>
    </w:p>
    <w:p w14:paraId="455B83ED">
      <w:pPr>
        <w:pStyle w:val="12"/>
        <w:spacing w:line="360" w:lineRule="auto"/>
        <w:ind w:firstLine="560" w:firstLineChars="200"/>
        <w:jc w:val="right"/>
        <w:rPr>
          <w:rFonts w:ascii="仿宋" w:hAnsi="仿宋" w:eastAsia="仿宋" w:cs="Times New Roman"/>
          <w:bCs/>
          <w:sz w:val="28"/>
          <w:szCs w:val="28"/>
        </w:rPr>
      </w:pPr>
      <w:r>
        <w:rPr>
          <w:rFonts w:hint="eastAsia" w:ascii="仿宋" w:hAnsi="仿宋" w:eastAsia="仿宋" w:cs="Times New Roman"/>
          <w:bCs/>
          <w:sz w:val="28"/>
          <w:szCs w:val="28"/>
        </w:rPr>
        <w:t>广东天亿马信息产业股份有限</w:t>
      </w:r>
      <w:r>
        <w:rPr>
          <w:rFonts w:ascii="仿宋" w:hAnsi="仿宋" w:eastAsia="仿宋" w:cs="Times New Roman"/>
          <w:bCs/>
          <w:sz w:val="28"/>
          <w:szCs w:val="28"/>
        </w:rPr>
        <w:t>公司</w:t>
      </w:r>
    </w:p>
    <w:p w14:paraId="5ED44383">
      <w:pPr>
        <w:snapToGrid w:val="0"/>
        <w:spacing w:line="360" w:lineRule="auto"/>
        <w:ind w:firstLine="560" w:firstLineChars="200"/>
        <w:jc w:val="right"/>
        <w:rPr>
          <w:rFonts w:ascii="仿宋" w:hAnsi="仿宋" w:eastAsia="仿宋"/>
          <w:bCs/>
          <w:sz w:val="28"/>
          <w:szCs w:val="21"/>
        </w:rPr>
      </w:pPr>
      <w:r>
        <w:rPr>
          <w:rFonts w:hint="eastAsia" w:ascii="仿宋" w:hAnsi="仿宋" w:eastAsia="仿宋"/>
          <w:bCs/>
          <w:sz w:val="28"/>
          <w:szCs w:val="21"/>
        </w:rPr>
        <w:t>董事会</w:t>
      </w:r>
    </w:p>
    <w:p w14:paraId="1E5AD9F8">
      <w:pPr>
        <w:wordWrap w:val="0"/>
        <w:snapToGrid w:val="0"/>
        <w:spacing w:line="360" w:lineRule="auto"/>
        <w:ind w:firstLine="560" w:firstLineChars="200"/>
        <w:jc w:val="right"/>
        <w:rPr>
          <w:rFonts w:ascii="仿宋" w:hAnsi="仿宋" w:eastAsia="仿宋"/>
          <w:color w:val="000000"/>
          <w:sz w:val="28"/>
        </w:rPr>
      </w:pPr>
      <w:r>
        <w:rPr>
          <w:rFonts w:hint="eastAsia" w:ascii="仿宋" w:hAnsi="仿宋" w:eastAsia="仿宋"/>
          <w:bCs/>
          <w:sz w:val="28"/>
          <w:szCs w:val="21"/>
        </w:rPr>
        <w:t>2026年3月18日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597AAC"/>
    <w:multiLevelType w:val="singleLevel"/>
    <w:tmpl w:val="80597AAC"/>
    <w:lvl w:ilvl="0" w:tentative="0">
      <w:start w:val="1"/>
      <w:numFmt w:val="chineseCounting"/>
      <w:suff w:val="nothing"/>
      <w:lvlText w:val="%1、"/>
      <w:lvlJc w:val="left"/>
      <w:rPr>
        <w:rFonts w:hint="eastAsia"/>
      </w:rPr>
    </w:lvl>
  </w:abstractNum>
  <w:abstractNum w:abstractNumId="1">
    <w:nsid w:val="90518F2E"/>
    <w:multiLevelType w:val="singleLevel"/>
    <w:tmpl w:val="90518F2E"/>
    <w:lvl w:ilvl="0" w:tentative="0">
      <w:start w:val="1"/>
      <w:numFmt w:val="chineseCounting"/>
      <w:suff w:val="nothing"/>
      <w:lvlText w:val="（%1）"/>
      <w:lvlJc w:val="left"/>
      <w:rPr>
        <w:rFonts w:hint="eastAsia"/>
      </w:rPr>
    </w:lvl>
  </w:abstractNum>
  <w:abstractNum w:abstractNumId="2">
    <w:nsid w:val="79B2B352"/>
    <w:multiLevelType w:val="singleLevel"/>
    <w:tmpl w:val="79B2B352"/>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172A27"/>
    <w:rsid w:val="000021E7"/>
    <w:rsid w:val="00015067"/>
    <w:rsid w:val="000150E3"/>
    <w:rsid w:val="00025127"/>
    <w:rsid w:val="0003012A"/>
    <w:rsid w:val="00031E63"/>
    <w:rsid w:val="00032580"/>
    <w:rsid w:val="00032F1E"/>
    <w:rsid w:val="000345CD"/>
    <w:rsid w:val="00041A85"/>
    <w:rsid w:val="00044319"/>
    <w:rsid w:val="00050F52"/>
    <w:rsid w:val="00067FC6"/>
    <w:rsid w:val="0007007A"/>
    <w:rsid w:val="00076E34"/>
    <w:rsid w:val="000A0B3F"/>
    <w:rsid w:val="000A31A2"/>
    <w:rsid w:val="000C461C"/>
    <w:rsid w:val="000D3789"/>
    <w:rsid w:val="000D689F"/>
    <w:rsid w:val="000E098E"/>
    <w:rsid w:val="000E1C83"/>
    <w:rsid w:val="000F1458"/>
    <w:rsid w:val="000F1613"/>
    <w:rsid w:val="000F30D5"/>
    <w:rsid w:val="000F3BDE"/>
    <w:rsid w:val="000F63AF"/>
    <w:rsid w:val="000F657B"/>
    <w:rsid w:val="001000A8"/>
    <w:rsid w:val="00110797"/>
    <w:rsid w:val="00114A05"/>
    <w:rsid w:val="00125E7B"/>
    <w:rsid w:val="00135D46"/>
    <w:rsid w:val="00144EBF"/>
    <w:rsid w:val="0014590B"/>
    <w:rsid w:val="0015227C"/>
    <w:rsid w:val="001529BF"/>
    <w:rsid w:val="00162F8B"/>
    <w:rsid w:val="001723BB"/>
    <w:rsid w:val="00172A27"/>
    <w:rsid w:val="00185CFE"/>
    <w:rsid w:val="0019104B"/>
    <w:rsid w:val="00193266"/>
    <w:rsid w:val="0019448B"/>
    <w:rsid w:val="001958D3"/>
    <w:rsid w:val="00197627"/>
    <w:rsid w:val="00197A7C"/>
    <w:rsid w:val="001A3FC3"/>
    <w:rsid w:val="001B28C4"/>
    <w:rsid w:val="001B554D"/>
    <w:rsid w:val="001B6E9F"/>
    <w:rsid w:val="001D23AE"/>
    <w:rsid w:val="001D300D"/>
    <w:rsid w:val="001F4DAC"/>
    <w:rsid w:val="00201392"/>
    <w:rsid w:val="002079BB"/>
    <w:rsid w:val="002109AC"/>
    <w:rsid w:val="00214E0B"/>
    <w:rsid w:val="00214F90"/>
    <w:rsid w:val="00220A74"/>
    <w:rsid w:val="0022434F"/>
    <w:rsid w:val="00230514"/>
    <w:rsid w:val="00232C19"/>
    <w:rsid w:val="00235B6F"/>
    <w:rsid w:val="00241C56"/>
    <w:rsid w:val="00253C07"/>
    <w:rsid w:val="00253C7F"/>
    <w:rsid w:val="0026579F"/>
    <w:rsid w:val="00274847"/>
    <w:rsid w:val="0028517B"/>
    <w:rsid w:val="002869AC"/>
    <w:rsid w:val="00290995"/>
    <w:rsid w:val="00291BD3"/>
    <w:rsid w:val="00295A25"/>
    <w:rsid w:val="002964CE"/>
    <w:rsid w:val="002C08FF"/>
    <w:rsid w:val="002C0B87"/>
    <w:rsid w:val="002D0622"/>
    <w:rsid w:val="002E2223"/>
    <w:rsid w:val="002F6DC6"/>
    <w:rsid w:val="002F7E62"/>
    <w:rsid w:val="0030097E"/>
    <w:rsid w:val="00301D87"/>
    <w:rsid w:val="00316CC5"/>
    <w:rsid w:val="003207BD"/>
    <w:rsid w:val="00321F2E"/>
    <w:rsid w:val="00323A20"/>
    <w:rsid w:val="0032751C"/>
    <w:rsid w:val="00332678"/>
    <w:rsid w:val="0034052F"/>
    <w:rsid w:val="00362121"/>
    <w:rsid w:val="00362DA3"/>
    <w:rsid w:val="00381902"/>
    <w:rsid w:val="00381C62"/>
    <w:rsid w:val="0038572F"/>
    <w:rsid w:val="003924F1"/>
    <w:rsid w:val="00392844"/>
    <w:rsid w:val="003A4C39"/>
    <w:rsid w:val="003B14E6"/>
    <w:rsid w:val="003B3C36"/>
    <w:rsid w:val="003C1905"/>
    <w:rsid w:val="003C717A"/>
    <w:rsid w:val="003D0009"/>
    <w:rsid w:val="003D0902"/>
    <w:rsid w:val="003E2CF8"/>
    <w:rsid w:val="003E458A"/>
    <w:rsid w:val="00404C9A"/>
    <w:rsid w:val="00412D95"/>
    <w:rsid w:val="004131DB"/>
    <w:rsid w:val="004141D4"/>
    <w:rsid w:val="00425B72"/>
    <w:rsid w:val="00431113"/>
    <w:rsid w:val="004345AE"/>
    <w:rsid w:val="004447F6"/>
    <w:rsid w:val="004512A2"/>
    <w:rsid w:val="004568C0"/>
    <w:rsid w:val="00460565"/>
    <w:rsid w:val="00466383"/>
    <w:rsid w:val="00477A8F"/>
    <w:rsid w:val="004833FA"/>
    <w:rsid w:val="00493509"/>
    <w:rsid w:val="004A34F5"/>
    <w:rsid w:val="004A5040"/>
    <w:rsid w:val="004B2C95"/>
    <w:rsid w:val="004B7DB5"/>
    <w:rsid w:val="004C4805"/>
    <w:rsid w:val="004C617E"/>
    <w:rsid w:val="004C6536"/>
    <w:rsid w:val="004D2C92"/>
    <w:rsid w:val="004E1C1E"/>
    <w:rsid w:val="004F0222"/>
    <w:rsid w:val="00501564"/>
    <w:rsid w:val="00506EE0"/>
    <w:rsid w:val="00507DC6"/>
    <w:rsid w:val="00512210"/>
    <w:rsid w:val="00516E77"/>
    <w:rsid w:val="0053165D"/>
    <w:rsid w:val="00540647"/>
    <w:rsid w:val="00540EB2"/>
    <w:rsid w:val="00541CE4"/>
    <w:rsid w:val="00546FD9"/>
    <w:rsid w:val="00547894"/>
    <w:rsid w:val="005577EE"/>
    <w:rsid w:val="00557D1A"/>
    <w:rsid w:val="00565511"/>
    <w:rsid w:val="00565E6F"/>
    <w:rsid w:val="00566DF4"/>
    <w:rsid w:val="00580069"/>
    <w:rsid w:val="00580B37"/>
    <w:rsid w:val="0058208E"/>
    <w:rsid w:val="00592C09"/>
    <w:rsid w:val="00594438"/>
    <w:rsid w:val="00594D70"/>
    <w:rsid w:val="005A35B2"/>
    <w:rsid w:val="005B16CF"/>
    <w:rsid w:val="005C11D5"/>
    <w:rsid w:val="005C6695"/>
    <w:rsid w:val="005C7017"/>
    <w:rsid w:val="005C7896"/>
    <w:rsid w:val="005D457D"/>
    <w:rsid w:val="005F0FBF"/>
    <w:rsid w:val="005F48D9"/>
    <w:rsid w:val="005F5C8F"/>
    <w:rsid w:val="00602DD5"/>
    <w:rsid w:val="00622197"/>
    <w:rsid w:val="00624132"/>
    <w:rsid w:val="00626BCB"/>
    <w:rsid w:val="00627C14"/>
    <w:rsid w:val="0063187B"/>
    <w:rsid w:val="00632C45"/>
    <w:rsid w:val="00643901"/>
    <w:rsid w:val="00661661"/>
    <w:rsid w:val="00661B39"/>
    <w:rsid w:val="00661C55"/>
    <w:rsid w:val="0066749F"/>
    <w:rsid w:val="006709A2"/>
    <w:rsid w:val="00676BED"/>
    <w:rsid w:val="00685E98"/>
    <w:rsid w:val="006918CA"/>
    <w:rsid w:val="006979A9"/>
    <w:rsid w:val="006A0A48"/>
    <w:rsid w:val="006A58F6"/>
    <w:rsid w:val="006B2564"/>
    <w:rsid w:val="006B2640"/>
    <w:rsid w:val="006C6F6F"/>
    <w:rsid w:val="006D00D6"/>
    <w:rsid w:val="006E446E"/>
    <w:rsid w:val="006E4CB6"/>
    <w:rsid w:val="006F1BE4"/>
    <w:rsid w:val="006F1EEB"/>
    <w:rsid w:val="006F4A9F"/>
    <w:rsid w:val="00710AA7"/>
    <w:rsid w:val="00712645"/>
    <w:rsid w:val="00716A6C"/>
    <w:rsid w:val="00734569"/>
    <w:rsid w:val="00734677"/>
    <w:rsid w:val="00734EB6"/>
    <w:rsid w:val="00736F20"/>
    <w:rsid w:val="007421DE"/>
    <w:rsid w:val="007444F8"/>
    <w:rsid w:val="00745871"/>
    <w:rsid w:val="007513CF"/>
    <w:rsid w:val="00754C12"/>
    <w:rsid w:val="00755256"/>
    <w:rsid w:val="00756EAD"/>
    <w:rsid w:val="00775C46"/>
    <w:rsid w:val="007868F0"/>
    <w:rsid w:val="00787383"/>
    <w:rsid w:val="00790D85"/>
    <w:rsid w:val="007B0B82"/>
    <w:rsid w:val="007B144C"/>
    <w:rsid w:val="007C175B"/>
    <w:rsid w:val="007D1CD4"/>
    <w:rsid w:val="007F0B4E"/>
    <w:rsid w:val="00806319"/>
    <w:rsid w:val="00811C51"/>
    <w:rsid w:val="008173B2"/>
    <w:rsid w:val="00831E25"/>
    <w:rsid w:val="00832FF1"/>
    <w:rsid w:val="00835F11"/>
    <w:rsid w:val="0084277D"/>
    <w:rsid w:val="0084537E"/>
    <w:rsid w:val="00846CC5"/>
    <w:rsid w:val="00854B3F"/>
    <w:rsid w:val="0085756F"/>
    <w:rsid w:val="0086270D"/>
    <w:rsid w:val="0087048C"/>
    <w:rsid w:val="00870530"/>
    <w:rsid w:val="0088049C"/>
    <w:rsid w:val="00883E76"/>
    <w:rsid w:val="00891127"/>
    <w:rsid w:val="00891431"/>
    <w:rsid w:val="00894E42"/>
    <w:rsid w:val="008C1ECD"/>
    <w:rsid w:val="008C4BE7"/>
    <w:rsid w:val="008D2875"/>
    <w:rsid w:val="008E03C8"/>
    <w:rsid w:val="008E292E"/>
    <w:rsid w:val="008F351F"/>
    <w:rsid w:val="00900325"/>
    <w:rsid w:val="00911B66"/>
    <w:rsid w:val="009128FC"/>
    <w:rsid w:val="0091443E"/>
    <w:rsid w:val="00916C57"/>
    <w:rsid w:val="009240F4"/>
    <w:rsid w:val="00926961"/>
    <w:rsid w:val="00937350"/>
    <w:rsid w:val="00942783"/>
    <w:rsid w:val="0094412E"/>
    <w:rsid w:val="00946D3D"/>
    <w:rsid w:val="00947A82"/>
    <w:rsid w:val="00952E32"/>
    <w:rsid w:val="00956B8D"/>
    <w:rsid w:val="00956F5F"/>
    <w:rsid w:val="00957F25"/>
    <w:rsid w:val="00962DEB"/>
    <w:rsid w:val="00967431"/>
    <w:rsid w:val="00975BAB"/>
    <w:rsid w:val="00983F6D"/>
    <w:rsid w:val="00993E9C"/>
    <w:rsid w:val="009A1328"/>
    <w:rsid w:val="009A1F6C"/>
    <w:rsid w:val="009A25E5"/>
    <w:rsid w:val="009D353A"/>
    <w:rsid w:val="009D3DE3"/>
    <w:rsid w:val="009D4343"/>
    <w:rsid w:val="009D7AC3"/>
    <w:rsid w:val="009E3DD7"/>
    <w:rsid w:val="009E7109"/>
    <w:rsid w:val="009E7F8A"/>
    <w:rsid w:val="00A00ED5"/>
    <w:rsid w:val="00A01925"/>
    <w:rsid w:val="00A154C3"/>
    <w:rsid w:val="00A15FEE"/>
    <w:rsid w:val="00A17FF7"/>
    <w:rsid w:val="00A2217B"/>
    <w:rsid w:val="00A231D6"/>
    <w:rsid w:val="00A23482"/>
    <w:rsid w:val="00A331F8"/>
    <w:rsid w:val="00A36F98"/>
    <w:rsid w:val="00A43DFF"/>
    <w:rsid w:val="00A47AD4"/>
    <w:rsid w:val="00A52D5E"/>
    <w:rsid w:val="00A56B2B"/>
    <w:rsid w:val="00A604D3"/>
    <w:rsid w:val="00A60707"/>
    <w:rsid w:val="00A634DB"/>
    <w:rsid w:val="00A63B00"/>
    <w:rsid w:val="00A6438B"/>
    <w:rsid w:val="00A72312"/>
    <w:rsid w:val="00A76703"/>
    <w:rsid w:val="00A81FFE"/>
    <w:rsid w:val="00A91422"/>
    <w:rsid w:val="00AA1510"/>
    <w:rsid w:val="00AB1F5D"/>
    <w:rsid w:val="00AB263C"/>
    <w:rsid w:val="00AB52F2"/>
    <w:rsid w:val="00AC0EFF"/>
    <w:rsid w:val="00AD7A37"/>
    <w:rsid w:val="00AE143B"/>
    <w:rsid w:val="00AE5327"/>
    <w:rsid w:val="00AF1A93"/>
    <w:rsid w:val="00AF29EC"/>
    <w:rsid w:val="00B04B70"/>
    <w:rsid w:val="00B145CB"/>
    <w:rsid w:val="00B22D5A"/>
    <w:rsid w:val="00B3344B"/>
    <w:rsid w:val="00B34007"/>
    <w:rsid w:val="00B35750"/>
    <w:rsid w:val="00B45A36"/>
    <w:rsid w:val="00B51A4E"/>
    <w:rsid w:val="00B54B23"/>
    <w:rsid w:val="00B64904"/>
    <w:rsid w:val="00B736B5"/>
    <w:rsid w:val="00B746DF"/>
    <w:rsid w:val="00B777E4"/>
    <w:rsid w:val="00B77F6F"/>
    <w:rsid w:val="00B901D7"/>
    <w:rsid w:val="00BA3008"/>
    <w:rsid w:val="00BA61D2"/>
    <w:rsid w:val="00BA67C8"/>
    <w:rsid w:val="00BD3E3D"/>
    <w:rsid w:val="00BE3ECE"/>
    <w:rsid w:val="00BE433D"/>
    <w:rsid w:val="00BE6450"/>
    <w:rsid w:val="00C11EB4"/>
    <w:rsid w:val="00C222B3"/>
    <w:rsid w:val="00C3305E"/>
    <w:rsid w:val="00C35812"/>
    <w:rsid w:val="00C3687D"/>
    <w:rsid w:val="00C40512"/>
    <w:rsid w:val="00C41BF6"/>
    <w:rsid w:val="00C47DC7"/>
    <w:rsid w:val="00C507BB"/>
    <w:rsid w:val="00C54D1E"/>
    <w:rsid w:val="00C57306"/>
    <w:rsid w:val="00C60FE8"/>
    <w:rsid w:val="00C61B31"/>
    <w:rsid w:val="00C661CE"/>
    <w:rsid w:val="00C67660"/>
    <w:rsid w:val="00C7638F"/>
    <w:rsid w:val="00C86D6C"/>
    <w:rsid w:val="00C927D3"/>
    <w:rsid w:val="00C95911"/>
    <w:rsid w:val="00C97A7A"/>
    <w:rsid w:val="00CA20FB"/>
    <w:rsid w:val="00CA3161"/>
    <w:rsid w:val="00CA64AC"/>
    <w:rsid w:val="00CB00E6"/>
    <w:rsid w:val="00CB3735"/>
    <w:rsid w:val="00CC02BD"/>
    <w:rsid w:val="00CC724F"/>
    <w:rsid w:val="00CC7418"/>
    <w:rsid w:val="00CD06A0"/>
    <w:rsid w:val="00CD0946"/>
    <w:rsid w:val="00CD7535"/>
    <w:rsid w:val="00CE3330"/>
    <w:rsid w:val="00CE5969"/>
    <w:rsid w:val="00CF5D48"/>
    <w:rsid w:val="00D007BB"/>
    <w:rsid w:val="00D01641"/>
    <w:rsid w:val="00D1167E"/>
    <w:rsid w:val="00D149BE"/>
    <w:rsid w:val="00D20947"/>
    <w:rsid w:val="00D310B0"/>
    <w:rsid w:val="00D31995"/>
    <w:rsid w:val="00D4189A"/>
    <w:rsid w:val="00D47470"/>
    <w:rsid w:val="00D50027"/>
    <w:rsid w:val="00D546C8"/>
    <w:rsid w:val="00D63018"/>
    <w:rsid w:val="00D642F4"/>
    <w:rsid w:val="00D66C8B"/>
    <w:rsid w:val="00D6779A"/>
    <w:rsid w:val="00D70AF1"/>
    <w:rsid w:val="00D74BB8"/>
    <w:rsid w:val="00D84A1D"/>
    <w:rsid w:val="00D85115"/>
    <w:rsid w:val="00D9330A"/>
    <w:rsid w:val="00DA31A5"/>
    <w:rsid w:val="00DA4949"/>
    <w:rsid w:val="00DA6ECC"/>
    <w:rsid w:val="00DB65DD"/>
    <w:rsid w:val="00DD426F"/>
    <w:rsid w:val="00DD78CE"/>
    <w:rsid w:val="00DF14A4"/>
    <w:rsid w:val="00DF6865"/>
    <w:rsid w:val="00E13912"/>
    <w:rsid w:val="00E16B3C"/>
    <w:rsid w:val="00E203C2"/>
    <w:rsid w:val="00E2099D"/>
    <w:rsid w:val="00E21885"/>
    <w:rsid w:val="00E23C26"/>
    <w:rsid w:val="00E40058"/>
    <w:rsid w:val="00E50952"/>
    <w:rsid w:val="00E55BCC"/>
    <w:rsid w:val="00E61F1C"/>
    <w:rsid w:val="00E650A8"/>
    <w:rsid w:val="00E6676E"/>
    <w:rsid w:val="00E709E6"/>
    <w:rsid w:val="00E7539B"/>
    <w:rsid w:val="00E8639F"/>
    <w:rsid w:val="00E92C76"/>
    <w:rsid w:val="00E942CB"/>
    <w:rsid w:val="00E9616A"/>
    <w:rsid w:val="00EA1A56"/>
    <w:rsid w:val="00EA284E"/>
    <w:rsid w:val="00EA4559"/>
    <w:rsid w:val="00EA6736"/>
    <w:rsid w:val="00EC3D5E"/>
    <w:rsid w:val="00EC619C"/>
    <w:rsid w:val="00EF62EB"/>
    <w:rsid w:val="00F13BD9"/>
    <w:rsid w:val="00F13F43"/>
    <w:rsid w:val="00F16F59"/>
    <w:rsid w:val="00F30C29"/>
    <w:rsid w:val="00F32938"/>
    <w:rsid w:val="00F3615E"/>
    <w:rsid w:val="00F42685"/>
    <w:rsid w:val="00F4780E"/>
    <w:rsid w:val="00F53A97"/>
    <w:rsid w:val="00F569C0"/>
    <w:rsid w:val="00F62091"/>
    <w:rsid w:val="00F63507"/>
    <w:rsid w:val="00F650E2"/>
    <w:rsid w:val="00F828A7"/>
    <w:rsid w:val="00F921C3"/>
    <w:rsid w:val="00F93DD0"/>
    <w:rsid w:val="00FA5794"/>
    <w:rsid w:val="00FC3305"/>
    <w:rsid w:val="00FC75F6"/>
    <w:rsid w:val="00FD07E3"/>
    <w:rsid w:val="00FE7DF6"/>
    <w:rsid w:val="00FF176A"/>
    <w:rsid w:val="00FF1FAF"/>
    <w:rsid w:val="00FF5140"/>
    <w:rsid w:val="00FF52AC"/>
    <w:rsid w:val="03843986"/>
    <w:rsid w:val="03AA5DB1"/>
    <w:rsid w:val="04BF3ADE"/>
    <w:rsid w:val="060D2627"/>
    <w:rsid w:val="061340E1"/>
    <w:rsid w:val="064B65D2"/>
    <w:rsid w:val="06986394"/>
    <w:rsid w:val="07500A1D"/>
    <w:rsid w:val="099D2F7B"/>
    <w:rsid w:val="0B1701D0"/>
    <w:rsid w:val="0C175D72"/>
    <w:rsid w:val="0C3D1EB8"/>
    <w:rsid w:val="0C8A2C23"/>
    <w:rsid w:val="0DE14AC5"/>
    <w:rsid w:val="0E197DBB"/>
    <w:rsid w:val="0F606BD2"/>
    <w:rsid w:val="108150B2"/>
    <w:rsid w:val="10A33CD2"/>
    <w:rsid w:val="12130FC5"/>
    <w:rsid w:val="12453BED"/>
    <w:rsid w:val="124C30A7"/>
    <w:rsid w:val="12552544"/>
    <w:rsid w:val="12D15108"/>
    <w:rsid w:val="141B23B3"/>
    <w:rsid w:val="148166BA"/>
    <w:rsid w:val="15804BC3"/>
    <w:rsid w:val="158D108E"/>
    <w:rsid w:val="16CB6312"/>
    <w:rsid w:val="16F77F74"/>
    <w:rsid w:val="18C94AD3"/>
    <w:rsid w:val="19232435"/>
    <w:rsid w:val="1A6F3939"/>
    <w:rsid w:val="1A8B0292"/>
    <w:rsid w:val="1C284B16"/>
    <w:rsid w:val="1D126153"/>
    <w:rsid w:val="1FEA753A"/>
    <w:rsid w:val="1FF81FA6"/>
    <w:rsid w:val="20085EE1"/>
    <w:rsid w:val="24B23B32"/>
    <w:rsid w:val="25317C88"/>
    <w:rsid w:val="27457610"/>
    <w:rsid w:val="27FA0805"/>
    <w:rsid w:val="286B525F"/>
    <w:rsid w:val="28B24AEB"/>
    <w:rsid w:val="2A5423D7"/>
    <w:rsid w:val="2C385DA0"/>
    <w:rsid w:val="2C701096"/>
    <w:rsid w:val="2D4D13D7"/>
    <w:rsid w:val="2D987795"/>
    <w:rsid w:val="2DCF6290"/>
    <w:rsid w:val="2DD33014"/>
    <w:rsid w:val="2DE811CB"/>
    <w:rsid w:val="2DEE4968"/>
    <w:rsid w:val="2DF83A39"/>
    <w:rsid w:val="31B13167"/>
    <w:rsid w:val="336F6BC3"/>
    <w:rsid w:val="351E2CD3"/>
    <w:rsid w:val="36E44B5A"/>
    <w:rsid w:val="36FD79CA"/>
    <w:rsid w:val="378C0A32"/>
    <w:rsid w:val="39294E48"/>
    <w:rsid w:val="3CCE49EA"/>
    <w:rsid w:val="3DE43692"/>
    <w:rsid w:val="3E432AAE"/>
    <w:rsid w:val="3E497999"/>
    <w:rsid w:val="3EFFD34C"/>
    <w:rsid w:val="3FA7A7EA"/>
    <w:rsid w:val="40956EC5"/>
    <w:rsid w:val="417A0FA3"/>
    <w:rsid w:val="418036D2"/>
    <w:rsid w:val="42072045"/>
    <w:rsid w:val="433A57F6"/>
    <w:rsid w:val="439B47F3"/>
    <w:rsid w:val="43C7383A"/>
    <w:rsid w:val="456B16B7"/>
    <w:rsid w:val="469553AE"/>
    <w:rsid w:val="47121270"/>
    <w:rsid w:val="471D7844"/>
    <w:rsid w:val="477E06B3"/>
    <w:rsid w:val="48CC544E"/>
    <w:rsid w:val="499E503D"/>
    <w:rsid w:val="49D46CB0"/>
    <w:rsid w:val="49ED38CE"/>
    <w:rsid w:val="49F34CD7"/>
    <w:rsid w:val="4AA76E30"/>
    <w:rsid w:val="4B8F7333"/>
    <w:rsid w:val="4C1338C1"/>
    <w:rsid w:val="4C4A6E65"/>
    <w:rsid w:val="4F400944"/>
    <w:rsid w:val="504F7091"/>
    <w:rsid w:val="51B00003"/>
    <w:rsid w:val="532C36B9"/>
    <w:rsid w:val="53D97703"/>
    <w:rsid w:val="54AB2576"/>
    <w:rsid w:val="55572544"/>
    <w:rsid w:val="57300692"/>
    <w:rsid w:val="58E115E1"/>
    <w:rsid w:val="58F5275D"/>
    <w:rsid w:val="5C4C26D6"/>
    <w:rsid w:val="5CB36BF9"/>
    <w:rsid w:val="5D896437"/>
    <w:rsid w:val="5D8E2099"/>
    <w:rsid w:val="607536DA"/>
    <w:rsid w:val="608B4D11"/>
    <w:rsid w:val="61686204"/>
    <w:rsid w:val="61CB4CA4"/>
    <w:rsid w:val="624520A2"/>
    <w:rsid w:val="634E31D8"/>
    <w:rsid w:val="637C7B09"/>
    <w:rsid w:val="648626C2"/>
    <w:rsid w:val="649966D5"/>
    <w:rsid w:val="66BC1470"/>
    <w:rsid w:val="67582877"/>
    <w:rsid w:val="676D1FAA"/>
    <w:rsid w:val="67EFE2ED"/>
    <w:rsid w:val="681349F0"/>
    <w:rsid w:val="68376BC2"/>
    <w:rsid w:val="69BE7511"/>
    <w:rsid w:val="6A1231B1"/>
    <w:rsid w:val="6A6D488B"/>
    <w:rsid w:val="6E3F653F"/>
    <w:rsid w:val="6EAE5472"/>
    <w:rsid w:val="6F0A3EF3"/>
    <w:rsid w:val="74510D7A"/>
    <w:rsid w:val="74C31C7A"/>
    <w:rsid w:val="756574BC"/>
    <w:rsid w:val="76E21799"/>
    <w:rsid w:val="788C05D2"/>
    <w:rsid w:val="798B088A"/>
    <w:rsid w:val="7D7B5B8C"/>
    <w:rsid w:val="7E5F22E5"/>
    <w:rsid w:val="EEF06BB7"/>
    <w:rsid w:val="F7F99994"/>
    <w:rsid w:val="FEF7142E"/>
    <w:rsid w:val="FFF658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autoRedefine/>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autoRedefine/>
    <w:qFormat/>
    <w:uiPriority w:val="99"/>
    <w:rPr>
      <w:sz w:val="18"/>
      <w:szCs w:val="18"/>
    </w:rPr>
  </w:style>
  <w:style w:type="character" w:customStyle="1" w:styleId="9">
    <w:name w:val="页脚 Char"/>
    <w:basedOn w:val="7"/>
    <w:link w:val="3"/>
    <w:autoRedefine/>
    <w:qFormat/>
    <w:uiPriority w:val="99"/>
    <w:rPr>
      <w:sz w:val="18"/>
      <w:szCs w:val="18"/>
    </w:rPr>
  </w:style>
  <w:style w:type="paragraph" w:styleId="10">
    <w:name w:val="List Paragraph"/>
    <w:basedOn w:val="1"/>
    <w:autoRedefine/>
    <w:qFormat/>
    <w:uiPriority w:val="34"/>
    <w:pPr>
      <w:ind w:firstLine="420" w:firstLineChars="200"/>
    </w:pPr>
    <w:rPr>
      <w:szCs w:val="24"/>
    </w:rPr>
  </w:style>
  <w:style w:type="character" w:customStyle="1" w:styleId="11">
    <w:name w:val="批注框文本 Char"/>
    <w:basedOn w:val="7"/>
    <w:link w:val="2"/>
    <w:autoRedefine/>
    <w:semiHidden/>
    <w:qFormat/>
    <w:uiPriority w:val="99"/>
    <w:rPr>
      <w:rFonts w:ascii="Times New Roman" w:hAnsi="Times New Roman" w:eastAsia="宋体" w:cs="Times New Roman"/>
      <w:sz w:val="18"/>
      <w:szCs w:val="18"/>
    </w:rPr>
  </w:style>
  <w:style w:type="paragraph" w:customStyle="1" w:styleId="12">
    <w:name w:val="p15"/>
    <w:basedOn w:val="1"/>
    <w:autoRedefine/>
    <w:qFormat/>
    <w:uiPriority w:val="0"/>
    <w:pPr>
      <w:widowControl/>
      <w:ind w:firstLine="420"/>
    </w:pPr>
    <w:rPr>
      <w:rFonts w:ascii="Calibri" w:hAnsi="Calibri" w:cs="宋体"/>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863a652e-8d4f-43b7-88b6-186f527a8113</errorID>
      <errorWord>(</errorWord>
      <group>L1_Format</group>
      <groupName>格式问题</groupName>
      <ability>L2_HalfPunc</ability>
      <abilityName>全半角检查</abilityName>
      <candidateList>
        <item>（</item>
      </candidateList>
      <explain>文本全半角错误。</explain>
      <paraID>34D37DF6</paraID>
      <start>8</start>
      <end>9</end>
      <status>unmodified</status>
      <modifiedWord/>
      <trackRevisions>false</trackRevisions>
    </reviewItem>
    <reviewItem>
      <errorID>6532a065-3dfb-44d9-bd69-d3c834acac43</errorID>
      <errorWord>)</errorWord>
      <group>L1_Format</group>
      <groupName>格式问题</groupName>
      <ability>L2_HalfPunc</ability>
      <abilityName>全半角检查</abilityName>
      <candidateList>
        <item>）</item>
      </candidateList>
      <explain>文本全半角错误。</explain>
      <paraID>34D37DF6</paraID>
      <start>10</start>
      <end>11</end>
      <status>unmodified</status>
      <modifiedWord/>
      <trackRevisions>false</trackRevisions>
    </reviewItem>
    <reviewItem>
      <errorID>fb37c048-ba0f-450e-92c5-ad502074bb89</errorID>
      <errorWord>限</errorWord>
      <group>L1_AI</group>
      <groupName>深度校对</groupName>
      <ability>L2_AI_Grammar</ability>
      <abilityName>语法纠错</abilityName>
      <candidateList>
        <item>涉及的限</item>
      </candidateList>
      <explain/>
      <paraID>386C63E7</paraID>
      <start>8</start>
      <end>9</end>
      <status>unmodified</status>
      <modifiedWord/>
      <trackRevisions>false</trackRevisions>
    </reviewItem>
    <reviewItem>
      <errorID>f53f33c2-c47c-43ac-bba0-d9d126daa2ad</errorID>
      <errorWord>(</errorWord>
      <group>L1_Format</group>
      <groupName>格式问题</groupName>
      <ability>L2_HalfPunc</ability>
      <abilityName>全半角检查</abilityName>
      <candidateList>
        <item>（</item>
      </candidateList>
      <explain>文本全半角错误。</explain>
      <paraID> A2F826B</paraID>
      <start>8</start>
      <end>9</end>
      <status>unmodified</status>
      <modifiedWord/>
      <trackRevisions>false</trackRevisions>
    </reviewItem>
    <reviewItem>
      <errorID>3479a73b-a2d8-41a1-a8fd-377bee02d266</errorID>
      <errorWord>)</errorWord>
      <group>L1_Format</group>
      <groupName>格式问题</groupName>
      <ability>L2_HalfPunc</ability>
      <abilityName>全半角检查</abilityName>
      <candidateList>
        <item>）</item>
      </candidateList>
      <explain>文本全半角错误。</explain>
      <paraID> A2F826B</paraID>
      <start>10</start>
      <end>11</end>
      <status>unmodified</status>
      <modifiedWord/>
      <trackRevisions>false</trackRevisions>
    </reviewItem>
    <reviewItem>
      <errorID>aae6e86d-aad6-4234-958f-e4d20898bbea</errorID>
      <errorWord>(</errorWord>
      <group>L1_Format</group>
      <groupName>格式问题</groupName>
      <ability>L2_HalfPunc</ability>
      <abilityName>全半角检查</abilityName>
      <candidateList>
        <item>（</item>
      </candidateList>
      <explain>文本全半角错误。</explain>
      <paraID>25F76C26</paraID>
      <start>0</start>
      <end>1</end>
      <status>unmodified</status>
      <modifiedWord/>
      <trackRevisions>false</trackRevisions>
    </reviewItem>
    <reviewItem>
      <errorID>83a0ce04-c717-4d7a-8b2f-0aa60cb1f4b9</errorID>
      <errorWord>)</errorWord>
      <group>L1_Format</group>
      <groupName>格式问题</groupName>
      <ability>L2_HalfPunc</ability>
      <abilityName>全半角检查</abilityName>
      <candidateList>
        <item>）</item>
      </candidateList>
      <explain>文本全半角错误。</explain>
      <paraID>25F76C26</paraID>
      <start>2</start>
      <end>3</end>
      <status>unmodified</status>
      <modifiedWord/>
      <trackRevisions>false</trackRevisions>
    </reviewItem>
    <reviewItem>
      <errorID>960b7919-8cdc-4d28-97a5-3a766409be46</errorID>
      <errorWord>(</errorWord>
      <group>L1_Format</group>
      <groupName>格式问题</groupName>
      <ability>L2_HalfPunc</ability>
      <abilityName>全半角检查</abilityName>
      <candidateList>
        <item>（</item>
      </candidateList>
      <explain>文本全半角错误。</explain>
      <paraID>6922E5D3</paraID>
      <start>4</start>
      <end>5</end>
      <status>unmodified</status>
      <modifiedWord/>
      <trackRevisions>false</trackRevisions>
    </reviewItem>
    <reviewItem>
      <errorID>61801769-bef2-4f68-9be8-aff9b2ee298f</errorID>
      <errorWord>)</errorWord>
      <group>L1_Format</group>
      <groupName>格式问题</groupName>
      <ability>L2_HalfPunc</ability>
      <abilityName>全半角检查</abilityName>
      <candidateList>
        <item>）</item>
      </candidateList>
      <explain>文本全半角错误。</explain>
      <paraID>6922E5D3</paraID>
      <start>6</start>
      <end>7</end>
      <status>unmodified</status>
      <modifiedWord/>
      <trackRevisions>false</trackRevisions>
    </reviewItem>
    <reviewItem>
      <errorID>266b5254-f3dd-45db-81df-a50b807af59f</errorID>
      <errorWord>(</errorWord>
      <group>L1_Format</group>
      <groupName>格式问题</groupName>
      <ability>L2_HalfPunc</ability>
      <abilityName>全半角检查</abilityName>
      <candidateList>
        <item>（</item>
      </candidateList>
      <explain>文本全半角错误。</explain>
      <paraID>269A1914</paraID>
      <start>16</start>
      <end>17</end>
      <status>unmodified</status>
      <modifiedWord/>
      <trackRevisions>false</trackRevisions>
    </reviewItem>
    <reviewItem>
      <errorID>a6842265-271c-4ebe-8755-b61343d9b6ec</errorID>
      <errorWord>)</errorWord>
      <group>L1_Format</group>
      <groupName>格式问题</groupName>
      <ability>L2_HalfPunc</ability>
      <abilityName>全半角检查</abilityName>
      <candidateList>
        <item>）</item>
      </candidateList>
      <explain>文本全半角错误。</explain>
      <paraID>269A1914</paraID>
      <start>18</start>
      <end>19</end>
      <status>unmodified</status>
      <modifiedWord/>
      <trackRevisions>false</trackRevisions>
    </reviewItem>
    <reviewItem>
      <errorID>3a190433-8ed1-4ce5-adbf-02ca4219c50d</errorID>
      <errorWord>(</errorWord>
      <group>L1_Format</group>
      <groupName>格式问题</groupName>
      <ability>L2_HalfPunc</ability>
      <abilityName>全半角检查</abilityName>
      <candidateList>
        <item>（</item>
      </candidateList>
      <explain>文本全半角错误。</explain>
      <paraID> F495D37</paraID>
      <start>16</start>
      <end>17</end>
      <status>unmodified</status>
      <modifiedWord/>
      <trackRevisions>false</trackRevisions>
    </reviewItem>
    <reviewItem>
      <errorID>e6478606-fb5a-4284-bd09-8c7a96e26a88</errorID>
      <errorWord>)</errorWord>
      <group>L1_Format</group>
      <groupName>格式问题</groupName>
      <ability>L2_HalfPunc</ability>
      <abilityName>全半角检查</abilityName>
      <candidateList>
        <item>）</item>
      </candidateList>
      <explain>文本全半角错误。</explain>
      <paraID> F495D37</paraID>
      <start>18</start>
      <end>19</end>
      <status>unmodified</status>
      <modifiedWord/>
      <trackRevisions>false</trackRevisions>
    </reviewItem>
    <reviewItem>
      <errorID>4e7e7ffd-39be-4535-b440-69f8772a1d73</errorID>
      <errorWord>(</errorWord>
      <group>L1_Format</group>
      <groupName>格式问题</groupName>
      <ability>L2_HalfPunc</ability>
      <abilityName>全半角检查</abilityName>
      <candidateList>
        <item>（</item>
      </candidateList>
      <explain>文本全半角错误。</explain>
      <paraID>3F5D8844</paraID>
      <start>15</start>
      <end>16</end>
      <status>unmodified</status>
      <modifiedWord/>
      <trackRevisions>false</trackRevisions>
    </reviewItem>
    <reviewItem>
      <errorID>2860e164-8a06-49ed-b057-11dfa2a03758</errorID>
      <errorWord>)</errorWord>
      <group>L1_Format</group>
      <groupName>格式问题</groupName>
      <ability>L2_HalfPunc</ability>
      <abilityName>全半角检查</abilityName>
      <candidateList>
        <item>）</item>
      </candidateList>
      <explain>文本全半角错误。</explain>
      <paraID>3F5D8844</paraID>
      <start>17</start>
      <end>18</end>
      <status>unmodified</status>
      <modifiedWord/>
      <trackRevisions>false</trackRevisions>
    </reviewItem>
    <reviewItem>
      <errorID>5dcafa7c-9bb0-4996-ab70-9b3e6c1aa751</errorID>
      <errorWord>(</errorWord>
      <group>L1_Format</group>
      <groupName>格式问题</groupName>
      <ability>L2_HalfPunc</ability>
      <abilityName>全半角检查</abilityName>
      <candidateList>
        <item>（</item>
      </candidateList>
      <explain>文本全半角错误。</explain>
      <paraID>17DBB228</paraID>
      <start>0</start>
      <end>1</end>
      <status>unmodified</status>
      <modifiedWord/>
      <trackRevisions>false</trackRevisions>
    </reviewItem>
    <reviewItem>
      <errorID>9d572baa-a02a-498a-8c03-42fce4039b15</errorID>
      <errorWord>)</errorWord>
      <group>L1_Format</group>
      <groupName>格式问题</groupName>
      <ability>L2_HalfPunc</ability>
      <abilityName>全半角检查</abilityName>
      <candidateList>
        <item>）</item>
      </candidateList>
      <explain>文本全半角错误。</explain>
      <paraID>17DBB228</paraID>
      <start>2</start>
      <end>3</end>
      <status>unmodified</status>
      <modifiedWord/>
      <trackRevisions>false</trackRevisions>
    </reviewItem>
  </reviewItems>
  <config/>
</contractReview>
</file>

<file path=customXml/itemProps1.xml><?xml version="1.0" encoding="utf-8"?>
<ds:datastoreItem xmlns:ds="http://schemas.openxmlformats.org/officeDocument/2006/customXml" ds:itemID="{927091EB-6E74-4952-8953-0F3B0D41EFE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943</Words>
  <Characters>1213</Characters>
  <Lines>9</Lines>
  <Paragraphs>2</Paragraphs>
  <TotalTime>0</TotalTime>
  <ScaleCrop>false</ScaleCrop>
  <LinksUpToDate>false</LinksUpToDate>
  <CharactersWithSpaces>1221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2022-04-21T20:48:00Z</dcterms:created>
  <dc:creator>hsq</dc:creator>
  <cp:lastModifiedBy>黄舒倩</cp:lastModifiedBy>
  <cp:lastPrinted>2025-03-20T03:28:00Z</cp:lastPrinted>
  <dcterms:modified xsi:type="dcterms:W3CDTF">2026-03-18T07:44:45Z</dcterms:modified>
  <cp:revision>378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5015CB42ED720964F835DA674BBDF743_43</vt:lpwstr>
  </property>
  <property fmtid="{D5CDD505-2E9C-101B-9397-08002B2CF9AE}" pid="4" name="KSOTemplateDocerSaveRecord">
    <vt:lpwstr>eyJoZGlkIjoiYjc3NTVmODk5OWI4YTU0YmU5MTlhYzJjMjBkNzFlNmEiLCJ1c2VySWQiOiIyNDMwNTgyMjAifQ==</vt:lpwstr>
  </property>
</Properties>
</file>