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0763C0C">
      <w:pPr>
        <w:autoSpaceDE w:val="0"/>
        <w:autoSpaceDN w:val="0"/>
        <w:adjustRightInd w:val="0"/>
        <w:spacing w:line="360" w:lineRule="auto"/>
        <w:jc w:val="left"/>
        <w:rPr>
          <w:rFonts w:ascii="仿宋" w:hAnsi="仿宋" w:eastAsia="仿宋"/>
          <w:sz w:val="28"/>
        </w:rPr>
      </w:pPr>
      <w:r>
        <w:rPr>
          <w:rFonts w:hint="eastAsia" w:ascii="仿宋" w:hAnsi="仿宋" w:eastAsia="仿宋"/>
          <w:sz w:val="28"/>
        </w:rPr>
        <w:t>证券代码：301178     证券简称：天亿马    公告编号：2026-012</w:t>
      </w:r>
    </w:p>
    <w:p w14:paraId="12EA7234"/>
    <w:p w14:paraId="472BE033">
      <w:pPr>
        <w:spacing w:line="360" w:lineRule="auto"/>
        <w:jc w:val="center"/>
        <w:rPr>
          <w:rFonts w:ascii="黑体" w:hAnsi="黑体" w:eastAsia="黑体"/>
          <w:sz w:val="36"/>
          <w:szCs w:val="36"/>
        </w:rPr>
      </w:pPr>
      <w:r>
        <w:rPr>
          <w:rFonts w:hint="eastAsia" w:ascii="黑体" w:hAnsi="黑体" w:eastAsia="黑体"/>
          <w:sz w:val="36"/>
          <w:szCs w:val="36"/>
        </w:rPr>
        <w:t>广东天亿马信息产业股份有限公司</w:t>
      </w:r>
    </w:p>
    <w:p w14:paraId="7944DDEA">
      <w:pPr>
        <w:spacing w:after="312" w:afterLines="100" w:line="360" w:lineRule="auto"/>
        <w:jc w:val="center"/>
        <w:rPr>
          <w:rFonts w:ascii="黑体" w:hAnsi="黑体" w:eastAsia="黑体"/>
          <w:sz w:val="36"/>
          <w:szCs w:val="36"/>
        </w:rPr>
      </w:pPr>
      <w:r>
        <w:rPr>
          <w:rFonts w:hint="eastAsia" w:ascii="黑体" w:hAnsi="黑体" w:eastAsia="黑体"/>
          <w:sz w:val="36"/>
          <w:szCs w:val="36"/>
        </w:rPr>
        <w:t>关于为子公司申请融资提供担保的进展公告</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D8E0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tcPr>
          <w:p w14:paraId="62024E98">
            <w:pPr>
              <w:widowControl/>
              <w:spacing w:line="440" w:lineRule="exact"/>
              <w:ind w:firstLine="560" w:firstLineChars="200"/>
              <w:rPr>
                <w:rFonts w:ascii="楷体" w:hAnsi="楷体" w:eastAsia="楷体" w:cs="宋体"/>
                <w:kern w:val="0"/>
                <w:sz w:val="28"/>
              </w:rPr>
            </w:pPr>
            <w:r>
              <w:rPr>
                <w:rFonts w:hint="eastAsia" w:ascii="楷体" w:hAnsi="楷体" w:eastAsia="楷体" w:cs="宋体"/>
                <w:kern w:val="0"/>
                <w:sz w:val="28"/>
              </w:rPr>
              <w:t>本公司及董事会全体成员保证信息披露的内容真实、准确、完整，没有虚假记载、误导性陈述或重大遗漏。</w:t>
            </w:r>
          </w:p>
        </w:tc>
      </w:tr>
    </w:tbl>
    <w:p w14:paraId="7A009F39">
      <w:pPr>
        <w:spacing w:line="360" w:lineRule="auto"/>
        <w:ind w:firstLine="562" w:firstLineChars="200"/>
        <w:outlineLvl w:val="0"/>
        <w:rPr>
          <w:rFonts w:ascii="仿宋" w:hAnsi="仿宋" w:eastAsia="仿宋"/>
          <w:b/>
          <w:sz w:val="28"/>
        </w:rPr>
      </w:pPr>
      <w:r>
        <w:rPr>
          <w:rFonts w:hint="eastAsia" w:ascii="仿宋" w:hAnsi="仿宋" w:eastAsia="仿宋"/>
          <w:b/>
          <w:sz w:val="28"/>
        </w:rPr>
        <w:t>一、担保情况概述</w:t>
      </w:r>
    </w:p>
    <w:p w14:paraId="07D75F95">
      <w:pPr>
        <w:spacing w:line="360" w:lineRule="auto"/>
        <w:ind w:firstLine="560" w:firstLineChars="200"/>
        <w:rPr>
          <w:rFonts w:ascii="仿宋" w:hAnsi="仿宋" w:eastAsia="仿宋"/>
          <w:sz w:val="28"/>
        </w:rPr>
      </w:pPr>
      <w:r>
        <w:rPr>
          <w:rFonts w:hint="eastAsia" w:ascii="仿宋" w:hAnsi="仿宋" w:eastAsia="仿宋"/>
          <w:sz w:val="28"/>
        </w:rPr>
        <w:t>广东天亿马信息产业股份有限公司（以下简称“公司”“天亿马”）于</w:t>
      </w:r>
      <w:r>
        <w:rPr>
          <w:rFonts w:hint="eastAsia" w:ascii="仿宋" w:hAnsi="仿宋" w:eastAsia="仿宋"/>
          <w:sz w:val="28"/>
          <w:szCs w:val="28"/>
        </w:rPr>
        <w:t>2025年4月18日召开第三届董事会第三十次会议</w:t>
      </w:r>
      <w:r>
        <w:rPr>
          <w:rFonts w:hint="eastAsia" w:ascii="仿宋" w:hAnsi="仿宋" w:eastAsia="仿宋"/>
          <w:sz w:val="28"/>
        </w:rPr>
        <w:t>，并于2025年5月13日召开2024年年度股东会，审议通过了</w:t>
      </w:r>
      <w:r>
        <w:rPr>
          <w:rFonts w:hint="eastAsia" w:ascii="仿宋" w:hAnsi="仿宋" w:eastAsia="仿宋"/>
          <w:sz w:val="28"/>
          <w:szCs w:val="28"/>
        </w:rPr>
        <w:t>《</w:t>
      </w:r>
      <w:r>
        <w:rPr>
          <w:rFonts w:hint="eastAsia" w:ascii="仿宋" w:hAnsi="仿宋" w:eastAsia="仿宋"/>
          <w:sz w:val="28"/>
        </w:rPr>
        <w:t>关于子公司申请综合授信额度并由公司为其提供担保的议案</w:t>
      </w:r>
      <w:r>
        <w:rPr>
          <w:rFonts w:hint="eastAsia" w:ascii="仿宋" w:hAnsi="仿宋" w:eastAsia="仿宋"/>
          <w:sz w:val="28"/>
          <w:szCs w:val="28"/>
        </w:rPr>
        <w:t>》</w:t>
      </w:r>
      <w:r>
        <w:rPr>
          <w:rFonts w:hint="eastAsia" w:ascii="仿宋" w:hAnsi="仿宋" w:eastAsia="仿宋"/>
          <w:sz w:val="28"/>
        </w:rPr>
        <w:t>，同意为子公司向银行等金融机构申请总额度不超过28,000万元(人民币万元，下同)的融资提供担保，其中为广东天亿马信息科技有限公司（以下简称“天亿马科技”）。在符合法律、行政法规及相关规定的前提下，在2024年年度股东会审议通过的额度范围内及其有效期内，公司并表范围内主体及未来授权期内新设立或纳入的子公司间担保额度可以进行调剂。该事项自股东会审议通过后至次年年度股东会召开前有效。具体内容详见公司披露于巨潮资讯网（www.cninfo.com.cn）的《广东天亿马信息产业股份有限公司关于子公司申请综合授信额度并由公司为其提供担保的公告》（公告编号：2025-029）。</w:t>
      </w:r>
    </w:p>
    <w:p w14:paraId="017EEAFD">
      <w:pPr>
        <w:spacing w:line="360" w:lineRule="auto"/>
        <w:ind w:firstLine="560" w:firstLineChars="200"/>
        <w:rPr>
          <w:rFonts w:ascii="仿宋" w:hAnsi="仿宋" w:eastAsia="仿宋"/>
          <w:sz w:val="28"/>
        </w:rPr>
      </w:pPr>
      <w:r>
        <w:rPr>
          <w:rFonts w:hint="eastAsia" w:ascii="仿宋" w:hAnsi="仿宋" w:eastAsia="仿宋"/>
          <w:sz w:val="28"/>
        </w:rPr>
        <w:t>为满足全资子公司天亿马科技业务发展及实际经营需要，在公司2024年年度股东会审议批准的额度范围内，公司为其向中国银行股份有限公司广州天河支行（以下简称“中国银行”）融资提供债权本金最高额为1,000万元的连带责任担保。</w:t>
      </w:r>
    </w:p>
    <w:p w14:paraId="3B3BA4EB">
      <w:pPr>
        <w:spacing w:line="360" w:lineRule="auto"/>
        <w:ind w:firstLine="562" w:firstLineChars="200"/>
        <w:outlineLvl w:val="0"/>
        <w:rPr>
          <w:rFonts w:ascii="仿宋" w:hAnsi="仿宋" w:eastAsia="仿宋"/>
          <w:b/>
          <w:sz w:val="28"/>
        </w:rPr>
      </w:pPr>
      <w:r>
        <w:rPr>
          <w:rFonts w:hint="eastAsia" w:ascii="仿宋" w:hAnsi="仿宋" w:eastAsia="仿宋"/>
          <w:b/>
          <w:sz w:val="28"/>
        </w:rPr>
        <w:t>二、担保进展情况</w:t>
      </w:r>
    </w:p>
    <w:p w14:paraId="57DF8700">
      <w:pPr>
        <w:spacing w:line="360" w:lineRule="auto"/>
        <w:ind w:firstLine="560" w:firstLineChars="200"/>
        <w:rPr>
          <w:rFonts w:ascii="仿宋" w:hAnsi="仿宋" w:eastAsia="仿宋"/>
          <w:sz w:val="28"/>
        </w:rPr>
      </w:pPr>
      <w:r>
        <w:rPr>
          <w:rFonts w:hint="eastAsia" w:ascii="仿宋" w:hAnsi="仿宋" w:eastAsia="仿宋"/>
          <w:sz w:val="28"/>
        </w:rPr>
        <w:t>公司于2026年3月27日与中国银行签订了《最高额保证合同》，同意为全资子公司天亿马科技债务提供连带责任担保，最高债权额为本金1,000万元和所发生利息及其他应付款项之和。保证期间为主合同债务人债务履行期限届满之日起三年。本次担保发生前，公司对天亿马科技实际担保余额为</w:t>
      </w:r>
      <w:r>
        <w:rPr>
          <w:rFonts w:hint="eastAsia" w:ascii="仿宋" w:hAnsi="仿宋" w:eastAsia="仿宋"/>
          <w:sz w:val="28"/>
          <w:szCs w:val="28"/>
        </w:rPr>
        <w:t>4,900</w:t>
      </w:r>
      <w:r>
        <w:rPr>
          <w:rFonts w:hint="eastAsia" w:ascii="仿宋" w:hAnsi="仿宋" w:eastAsia="仿宋"/>
          <w:sz w:val="28"/>
        </w:rPr>
        <w:t>万元；本次担保发生后，公司对天亿马科技可用担保额度约为人民币3,900万元，该额度将于2025年年度股东会召开后失效。</w:t>
      </w:r>
    </w:p>
    <w:p w14:paraId="4791A35B">
      <w:pPr>
        <w:spacing w:line="360" w:lineRule="auto"/>
        <w:ind w:firstLine="562" w:firstLineChars="200"/>
        <w:outlineLvl w:val="0"/>
        <w:rPr>
          <w:rFonts w:ascii="仿宋" w:hAnsi="仿宋" w:eastAsia="仿宋"/>
          <w:b/>
          <w:sz w:val="28"/>
        </w:rPr>
      </w:pPr>
      <w:r>
        <w:rPr>
          <w:rFonts w:hint="eastAsia" w:ascii="仿宋" w:hAnsi="仿宋" w:eastAsia="仿宋"/>
          <w:b/>
          <w:sz w:val="28"/>
        </w:rPr>
        <w:t>三、被担保方基本情况</w:t>
      </w:r>
    </w:p>
    <w:p w14:paraId="1E63CE7E">
      <w:pPr>
        <w:spacing w:line="360" w:lineRule="auto"/>
        <w:ind w:firstLine="562" w:firstLineChars="200"/>
        <w:outlineLvl w:val="1"/>
        <w:rPr>
          <w:rFonts w:ascii="仿宋" w:hAnsi="仿宋" w:eastAsia="仿宋"/>
          <w:b/>
          <w:sz w:val="28"/>
        </w:rPr>
      </w:pPr>
      <w:r>
        <w:rPr>
          <w:rFonts w:hint="eastAsia" w:ascii="仿宋" w:hAnsi="仿宋" w:eastAsia="仿宋"/>
          <w:b/>
          <w:sz w:val="28"/>
        </w:rPr>
        <w:t>被担保方一：天亿马科技</w:t>
      </w:r>
    </w:p>
    <w:tbl>
      <w:tblPr>
        <w:tblStyle w:val="9"/>
        <w:tblW w:w="5053"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9"/>
        <w:gridCol w:w="6943"/>
      </w:tblGrid>
      <w:tr w14:paraId="2D90AE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pct"/>
            <w:tcBorders>
              <w:insideH w:val="single" w:sz="8" w:space="0"/>
              <w:insideV w:val="nil"/>
            </w:tcBorders>
          </w:tcPr>
          <w:p w14:paraId="7CBE153D">
            <w:pPr>
              <w:spacing w:before="0" w:after="0" w:line="240" w:lineRule="auto"/>
              <w:rPr>
                <w:rFonts w:ascii="仿宋" w:hAnsi="仿宋" w:eastAsia="仿宋"/>
                <w:b w:val="0"/>
                <w:bCs/>
                <w:color w:val="auto"/>
                <w:sz w:val="24"/>
                <w:szCs w:val="24"/>
              </w:rPr>
            </w:pPr>
            <w:r>
              <w:rPr>
                <w:rFonts w:hint="eastAsia" w:ascii="仿宋" w:hAnsi="仿宋" w:eastAsia="仿宋"/>
                <w:b w:val="0"/>
                <w:bCs/>
                <w:color w:val="auto"/>
                <w:sz w:val="24"/>
                <w:szCs w:val="24"/>
              </w:rPr>
              <w:t>企业名称</w:t>
            </w:r>
          </w:p>
        </w:tc>
        <w:tc>
          <w:tcPr>
            <w:tcW w:w="4031" w:type="pct"/>
            <w:tcBorders>
              <w:insideH w:val="single" w:sz="8" w:space="0"/>
              <w:insideV w:val="nil"/>
            </w:tcBorders>
          </w:tcPr>
          <w:p w14:paraId="2341C78A">
            <w:pPr>
              <w:spacing w:before="0" w:after="0" w:line="240" w:lineRule="auto"/>
              <w:rPr>
                <w:rFonts w:ascii="仿宋" w:hAnsi="仿宋" w:eastAsia="仿宋"/>
                <w:b w:val="0"/>
                <w:bCs/>
                <w:color w:val="auto"/>
                <w:sz w:val="24"/>
                <w:szCs w:val="24"/>
              </w:rPr>
            </w:pPr>
            <w:r>
              <w:rPr>
                <w:rFonts w:hint="eastAsia" w:ascii="仿宋" w:hAnsi="仿宋" w:eastAsia="仿宋"/>
                <w:b w:val="0"/>
                <w:bCs/>
                <w:color w:val="auto"/>
                <w:sz w:val="24"/>
                <w:szCs w:val="24"/>
              </w:rPr>
              <w:t>广东天亿马信息科技有限公司</w:t>
            </w:r>
          </w:p>
        </w:tc>
      </w:tr>
      <w:tr w14:paraId="60A6D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pct"/>
          </w:tcPr>
          <w:p w14:paraId="40149274">
            <w:pPr>
              <w:rPr>
                <w:rFonts w:ascii="仿宋" w:hAnsi="仿宋" w:eastAsia="仿宋"/>
                <w:b w:val="0"/>
                <w:bCs/>
                <w:color w:val="auto"/>
                <w:sz w:val="24"/>
                <w:szCs w:val="24"/>
              </w:rPr>
            </w:pPr>
            <w:r>
              <w:rPr>
                <w:rFonts w:hint="eastAsia" w:ascii="仿宋" w:hAnsi="仿宋" w:eastAsia="仿宋"/>
                <w:b w:val="0"/>
                <w:bCs/>
                <w:color w:val="auto"/>
                <w:sz w:val="24"/>
                <w:szCs w:val="24"/>
              </w:rPr>
              <w:t>成立日期</w:t>
            </w:r>
          </w:p>
        </w:tc>
        <w:tc>
          <w:tcPr>
            <w:tcW w:w="4031" w:type="pct"/>
          </w:tcPr>
          <w:p w14:paraId="70434B26">
            <w:pPr>
              <w:rPr>
                <w:rFonts w:ascii="仿宋" w:hAnsi="仿宋" w:eastAsia="仿宋"/>
                <w:color w:val="auto"/>
                <w:sz w:val="24"/>
                <w:szCs w:val="24"/>
              </w:rPr>
            </w:pPr>
            <w:r>
              <w:rPr>
                <w:rFonts w:ascii="仿宋" w:hAnsi="仿宋" w:eastAsia="仿宋"/>
                <w:color w:val="auto"/>
                <w:sz w:val="24"/>
                <w:szCs w:val="24"/>
              </w:rPr>
              <w:t>2020-06-08</w:t>
            </w:r>
          </w:p>
        </w:tc>
      </w:tr>
      <w:tr w14:paraId="54E8E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pct"/>
          </w:tcPr>
          <w:p w14:paraId="7B90587A">
            <w:pPr>
              <w:rPr>
                <w:rFonts w:ascii="仿宋" w:hAnsi="仿宋" w:eastAsia="仿宋"/>
                <w:b w:val="0"/>
                <w:bCs/>
                <w:color w:val="auto"/>
                <w:sz w:val="24"/>
                <w:szCs w:val="24"/>
              </w:rPr>
            </w:pPr>
            <w:r>
              <w:rPr>
                <w:rFonts w:hint="eastAsia" w:ascii="仿宋" w:hAnsi="仿宋" w:eastAsia="仿宋"/>
                <w:b w:val="0"/>
                <w:bCs/>
                <w:color w:val="auto"/>
                <w:sz w:val="24"/>
                <w:szCs w:val="24"/>
              </w:rPr>
              <w:t>注册地点</w:t>
            </w:r>
          </w:p>
        </w:tc>
        <w:tc>
          <w:tcPr>
            <w:tcW w:w="4031" w:type="pct"/>
          </w:tcPr>
          <w:p w14:paraId="6B9F2F5D">
            <w:pPr>
              <w:rPr>
                <w:rFonts w:ascii="仿宋" w:hAnsi="仿宋" w:eastAsia="仿宋"/>
                <w:color w:val="auto"/>
                <w:sz w:val="24"/>
                <w:szCs w:val="24"/>
              </w:rPr>
            </w:pPr>
            <w:r>
              <w:rPr>
                <w:rFonts w:hint="eastAsia" w:ascii="仿宋" w:hAnsi="仿宋" w:eastAsia="仿宋"/>
                <w:color w:val="auto"/>
                <w:sz w:val="24"/>
                <w:szCs w:val="24"/>
              </w:rPr>
              <w:t>广州市天河区天河北路365号之一3901-3904房</w:t>
            </w:r>
          </w:p>
        </w:tc>
      </w:tr>
      <w:tr w14:paraId="7B0C48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pct"/>
          </w:tcPr>
          <w:p w14:paraId="05842AF1">
            <w:pPr>
              <w:rPr>
                <w:rFonts w:ascii="仿宋" w:hAnsi="仿宋" w:eastAsia="仿宋"/>
                <w:b w:val="0"/>
                <w:bCs/>
                <w:color w:val="auto"/>
                <w:sz w:val="24"/>
                <w:szCs w:val="24"/>
              </w:rPr>
            </w:pPr>
            <w:r>
              <w:rPr>
                <w:rFonts w:hint="eastAsia" w:ascii="仿宋" w:hAnsi="仿宋" w:eastAsia="仿宋"/>
                <w:b w:val="0"/>
                <w:bCs/>
                <w:color w:val="auto"/>
                <w:sz w:val="24"/>
                <w:szCs w:val="24"/>
              </w:rPr>
              <w:t>法定代表人</w:t>
            </w:r>
          </w:p>
        </w:tc>
        <w:tc>
          <w:tcPr>
            <w:tcW w:w="4031" w:type="pct"/>
          </w:tcPr>
          <w:p w14:paraId="3A702370">
            <w:pPr>
              <w:rPr>
                <w:rFonts w:ascii="仿宋" w:hAnsi="仿宋" w:eastAsia="仿宋"/>
                <w:color w:val="auto"/>
                <w:sz w:val="24"/>
                <w:szCs w:val="24"/>
              </w:rPr>
            </w:pPr>
            <w:r>
              <w:rPr>
                <w:rFonts w:hint="eastAsia" w:ascii="仿宋" w:hAnsi="仿宋" w:eastAsia="仿宋"/>
                <w:color w:val="auto"/>
                <w:sz w:val="24"/>
                <w:szCs w:val="24"/>
              </w:rPr>
              <w:t>林明玲</w:t>
            </w:r>
          </w:p>
        </w:tc>
      </w:tr>
      <w:tr w14:paraId="2573E6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pct"/>
          </w:tcPr>
          <w:p w14:paraId="21553E6D">
            <w:pPr>
              <w:rPr>
                <w:rFonts w:ascii="仿宋" w:hAnsi="仿宋" w:eastAsia="仿宋"/>
                <w:b w:val="0"/>
                <w:bCs/>
                <w:color w:val="auto"/>
                <w:sz w:val="24"/>
                <w:szCs w:val="24"/>
              </w:rPr>
            </w:pPr>
            <w:r>
              <w:rPr>
                <w:rFonts w:hint="eastAsia" w:ascii="仿宋" w:hAnsi="仿宋" w:eastAsia="仿宋"/>
                <w:b w:val="0"/>
                <w:bCs/>
                <w:color w:val="auto"/>
                <w:sz w:val="24"/>
                <w:szCs w:val="24"/>
              </w:rPr>
              <w:t>注册资本</w:t>
            </w:r>
          </w:p>
        </w:tc>
        <w:tc>
          <w:tcPr>
            <w:tcW w:w="4031" w:type="pct"/>
          </w:tcPr>
          <w:p w14:paraId="5E48AF24">
            <w:pPr>
              <w:rPr>
                <w:rFonts w:ascii="仿宋" w:hAnsi="仿宋" w:eastAsia="仿宋"/>
                <w:color w:val="auto"/>
                <w:sz w:val="24"/>
                <w:szCs w:val="24"/>
              </w:rPr>
            </w:pPr>
            <w:r>
              <w:rPr>
                <w:rFonts w:hint="eastAsia" w:ascii="仿宋" w:hAnsi="仿宋" w:eastAsia="仿宋"/>
                <w:color w:val="auto"/>
                <w:sz w:val="24"/>
                <w:szCs w:val="24"/>
              </w:rPr>
              <w:t>1000万元人民币</w:t>
            </w:r>
          </w:p>
        </w:tc>
      </w:tr>
      <w:tr w14:paraId="13E9D4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pct"/>
          </w:tcPr>
          <w:p w14:paraId="6A53F2FE">
            <w:pPr>
              <w:rPr>
                <w:rFonts w:ascii="仿宋" w:hAnsi="仿宋" w:eastAsia="仿宋"/>
                <w:b w:val="0"/>
                <w:bCs/>
                <w:color w:val="auto"/>
                <w:sz w:val="24"/>
                <w:szCs w:val="24"/>
              </w:rPr>
            </w:pPr>
            <w:r>
              <w:rPr>
                <w:rFonts w:hint="eastAsia" w:ascii="仿宋" w:hAnsi="仿宋" w:eastAsia="仿宋"/>
                <w:b w:val="0"/>
                <w:bCs/>
                <w:color w:val="auto"/>
                <w:sz w:val="24"/>
                <w:szCs w:val="24"/>
              </w:rPr>
              <w:t>经营范围</w:t>
            </w:r>
          </w:p>
        </w:tc>
        <w:tc>
          <w:tcPr>
            <w:tcW w:w="4031" w:type="pct"/>
          </w:tcPr>
          <w:p w14:paraId="319DF5C2">
            <w:pPr>
              <w:rPr>
                <w:rFonts w:ascii="仿宋" w:hAnsi="仿宋" w:eastAsia="仿宋"/>
                <w:color w:val="auto"/>
                <w:sz w:val="24"/>
                <w:szCs w:val="24"/>
              </w:rPr>
            </w:pPr>
            <w:r>
              <w:rPr>
                <w:rFonts w:hint="eastAsia" w:ascii="仿宋" w:hAnsi="仿宋" w:eastAsia="仿宋"/>
                <w:color w:val="auto"/>
                <w:sz w:val="24"/>
                <w:szCs w:val="24"/>
              </w:rPr>
              <w:t>信息系统集成服务；信息技术咨询服务；软件开发；技术服务、技术开发、技术咨询、技术交流、技术转让、技术推广；发电技术服务；新能源原动设备销售；新兴能源技术研发；计算机及办公设备维修；信息系统运行维护服务；办公设备销售；通信设备销售；计算机软硬件及辅助设备零售；计算机软硬件及辅助设备批发；集成电路设计；安全技术防范系统设计施工服务；智能控制系统集成；轨道交通运营管理系统开发；轨道交通专用设备、关键系统及部件销售；轨道交通通信信号系统开发；安全系统监控服务；数据处理和存储支持服务；工程管理服务；地理遥感信息服务；输电、供电、受电电力设施的安装、维修和试验；电气安装服务；施工专业作业；雷电防护装置检测；建筑智能化系统设计；</w:t>
            </w:r>
          </w:p>
        </w:tc>
      </w:tr>
      <w:tr w14:paraId="7A55D1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pct"/>
          </w:tcPr>
          <w:p w14:paraId="384FF8D8">
            <w:pPr>
              <w:rPr>
                <w:rFonts w:ascii="仿宋" w:hAnsi="仿宋" w:eastAsia="仿宋"/>
                <w:b w:val="0"/>
                <w:bCs/>
                <w:color w:val="auto"/>
                <w:sz w:val="24"/>
                <w:szCs w:val="24"/>
              </w:rPr>
            </w:pPr>
            <w:r>
              <w:rPr>
                <w:rFonts w:hint="eastAsia" w:ascii="仿宋" w:hAnsi="仿宋" w:eastAsia="仿宋"/>
                <w:b w:val="0"/>
                <w:bCs/>
                <w:color w:val="auto"/>
                <w:sz w:val="24"/>
                <w:szCs w:val="24"/>
              </w:rPr>
              <w:t>是否为失信被执行人</w:t>
            </w:r>
          </w:p>
        </w:tc>
        <w:tc>
          <w:tcPr>
            <w:tcW w:w="4031" w:type="pct"/>
            <w:vAlign w:val="center"/>
          </w:tcPr>
          <w:p w14:paraId="6F0A546D">
            <w:pPr>
              <w:rPr>
                <w:rFonts w:ascii="仿宋" w:hAnsi="仿宋" w:eastAsia="仿宋"/>
                <w:color w:val="auto"/>
                <w:sz w:val="24"/>
                <w:szCs w:val="24"/>
              </w:rPr>
            </w:pPr>
            <w:r>
              <w:rPr>
                <w:rFonts w:hint="eastAsia" w:ascii="仿宋" w:hAnsi="仿宋" w:eastAsia="仿宋"/>
                <w:color w:val="auto"/>
                <w:sz w:val="24"/>
                <w:szCs w:val="24"/>
              </w:rPr>
              <w:t>否</w:t>
            </w:r>
          </w:p>
        </w:tc>
      </w:tr>
      <w:tr w14:paraId="01A45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69" w:type="pct"/>
          </w:tcPr>
          <w:p w14:paraId="336CA16E">
            <w:pPr>
              <w:rPr>
                <w:rFonts w:ascii="仿宋" w:hAnsi="仿宋" w:eastAsia="仿宋"/>
                <w:b w:val="0"/>
                <w:bCs/>
                <w:color w:val="auto"/>
                <w:sz w:val="24"/>
                <w:szCs w:val="24"/>
              </w:rPr>
            </w:pPr>
            <w:r>
              <w:rPr>
                <w:rFonts w:hint="eastAsia" w:ascii="仿宋" w:hAnsi="仿宋" w:eastAsia="仿宋"/>
                <w:b w:val="0"/>
                <w:bCs/>
                <w:color w:val="auto"/>
                <w:sz w:val="24"/>
                <w:szCs w:val="24"/>
              </w:rPr>
              <w:t>股权结构</w:t>
            </w:r>
          </w:p>
        </w:tc>
        <w:tc>
          <w:tcPr>
            <w:tcW w:w="4031" w:type="pct"/>
            <w:vAlign w:val="center"/>
          </w:tcPr>
          <w:p w14:paraId="6979D319">
            <w:pPr>
              <w:rPr>
                <w:rFonts w:ascii="仿宋" w:hAnsi="仿宋" w:eastAsia="仿宋"/>
                <w:color w:val="auto"/>
                <w:sz w:val="24"/>
                <w:szCs w:val="24"/>
              </w:rPr>
            </w:pPr>
            <w:r>
              <w:rPr>
                <w:rFonts w:hint="eastAsia" w:ascii="仿宋" w:hAnsi="仿宋" w:eastAsia="仿宋"/>
                <w:color w:val="auto"/>
                <w:sz w:val="24"/>
                <w:szCs w:val="24"/>
              </w:rPr>
              <w:t>天亿马持股100%</w:t>
            </w:r>
          </w:p>
        </w:tc>
      </w:tr>
    </w:tbl>
    <w:p w14:paraId="4949ADF6">
      <w:pPr>
        <w:spacing w:before="156" w:beforeLines="50" w:line="360" w:lineRule="auto"/>
        <w:ind w:firstLine="560" w:firstLineChars="200"/>
        <w:rPr>
          <w:rFonts w:ascii="仿宋" w:hAnsi="仿宋" w:eastAsia="仿宋"/>
          <w:sz w:val="28"/>
        </w:rPr>
      </w:pPr>
      <w:r>
        <w:rPr>
          <w:rFonts w:hint="eastAsia" w:ascii="仿宋" w:hAnsi="仿宋" w:eastAsia="仿宋"/>
          <w:sz w:val="28"/>
        </w:rPr>
        <w:t>天亿马科技最近一年又一期财务数据如下：</w:t>
      </w:r>
    </w:p>
    <w:p w14:paraId="2AA3A03E">
      <w:pPr>
        <w:spacing w:line="360" w:lineRule="auto"/>
        <w:ind w:firstLine="420" w:firstLineChars="200"/>
        <w:jc w:val="right"/>
        <w:rPr>
          <w:rFonts w:ascii="仿宋" w:hAnsi="仿宋" w:eastAsia="仿宋"/>
        </w:rPr>
      </w:pPr>
      <w:r>
        <w:rPr>
          <w:rFonts w:hint="eastAsia" w:ascii="仿宋" w:hAnsi="仿宋" w:eastAsia="仿宋"/>
        </w:rPr>
        <w:t>单位：元</w:t>
      </w:r>
    </w:p>
    <w:tbl>
      <w:tblPr>
        <w:tblStyle w:val="9"/>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74"/>
        <w:gridCol w:w="3122"/>
        <w:gridCol w:w="3123"/>
      </w:tblGrid>
      <w:tr w14:paraId="6860B9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 w:hRule="atLeast"/>
        </w:trPr>
        <w:tc>
          <w:tcPr>
            <w:tcW w:w="1334" w:type="pct"/>
            <w:tcBorders>
              <w:insideH w:val="single" w:sz="8" w:space="0"/>
              <w:insideV w:val="nil"/>
            </w:tcBorders>
            <w:vAlign w:val="center"/>
          </w:tcPr>
          <w:p w14:paraId="2CF46722">
            <w:pPr>
              <w:spacing w:before="0" w:after="0" w:line="240" w:lineRule="auto"/>
              <w:jc w:val="center"/>
              <w:rPr>
                <w:rFonts w:ascii="仿宋" w:hAnsi="仿宋" w:eastAsia="仿宋"/>
                <w:b w:val="0"/>
                <w:bCs w:val="0"/>
                <w:color w:val="auto"/>
                <w:kern w:val="0"/>
                <w:sz w:val="22"/>
                <w:szCs w:val="22"/>
              </w:rPr>
            </w:pPr>
            <w:bookmarkStart w:id="0" w:name="_GoBack"/>
            <w:r>
              <w:rPr>
                <w:rFonts w:hint="eastAsia" w:ascii="仿宋" w:hAnsi="仿宋" w:eastAsia="仿宋"/>
                <w:b/>
                <w:bCs/>
                <w:color w:val="auto"/>
                <w:kern w:val="0"/>
                <w:sz w:val="22"/>
                <w:szCs w:val="22"/>
              </w:rPr>
              <w:t>项目</w:t>
            </w:r>
          </w:p>
        </w:tc>
        <w:tc>
          <w:tcPr>
            <w:tcW w:w="1832" w:type="pct"/>
            <w:tcBorders>
              <w:insideH w:val="single" w:sz="8" w:space="0"/>
              <w:insideV w:val="nil"/>
            </w:tcBorders>
            <w:vAlign w:val="center"/>
          </w:tcPr>
          <w:p w14:paraId="05D4C3F2">
            <w:pPr>
              <w:spacing w:before="0" w:after="0" w:line="240" w:lineRule="auto"/>
              <w:jc w:val="center"/>
              <w:rPr>
                <w:rFonts w:ascii="仿宋" w:hAnsi="仿宋" w:eastAsia="仿宋"/>
                <w:b w:val="0"/>
                <w:bCs w:val="0"/>
                <w:color w:val="auto"/>
                <w:kern w:val="0"/>
                <w:sz w:val="22"/>
                <w:szCs w:val="22"/>
              </w:rPr>
            </w:pPr>
            <w:r>
              <w:rPr>
                <w:rFonts w:hint="eastAsia" w:ascii="仿宋" w:hAnsi="仿宋" w:eastAsia="仿宋"/>
                <w:b/>
                <w:bCs/>
                <w:color w:val="auto"/>
                <w:kern w:val="0"/>
                <w:sz w:val="22"/>
                <w:szCs w:val="22"/>
              </w:rPr>
              <w:t>2025年末/2025年</w:t>
            </w:r>
          </w:p>
          <w:p w14:paraId="6BEF77AC">
            <w:pPr>
              <w:spacing w:before="0" w:after="0" w:line="240" w:lineRule="auto"/>
              <w:jc w:val="center"/>
              <w:rPr>
                <w:rFonts w:ascii="仿宋" w:hAnsi="仿宋" w:eastAsia="仿宋"/>
                <w:b w:val="0"/>
                <w:bCs w:val="0"/>
                <w:color w:val="auto"/>
                <w:kern w:val="0"/>
                <w:sz w:val="22"/>
                <w:szCs w:val="22"/>
              </w:rPr>
            </w:pPr>
            <w:r>
              <w:rPr>
                <w:rFonts w:hint="eastAsia" w:ascii="仿宋" w:hAnsi="仿宋" w:eastAsia="仿宋"/>
                <w:b/>
                <w:bCs/>
                <w:color w:val="auto"/>
                <w:kern w:val="0"/>
                <w:sz w:val="22"/>
                <w:szCs w:val="22"/>
              </w:rPr>
              <w:t>（经审计）</w:t>
            </w:r>
          </w:p>
        </w:tc>
        <w:tc>
          <w:tcPr>
            <w:tcW w:w="1832" w:type="pct"/>
            <w:tcBorders>
              <w:insideH w:val="single" w:sz="8" w:space="0"/>
              <w:insideV w:val="nil"/>
            </w:tcBorders>
            <w:shd w:val="clear" w:color="auto" w:fill="auto"/>
            <w:vAlign w:val="center"/>
          </w:tcPr>
          <w:p w14:paraId="19BAEC44">
            <w:pPr>
              <w:spacing w:before="0" w:after="0" w:line="240" w:lineRule="auto"/>
              <w:jc w:val="center"/>
              <w:rPr>
                <w:rFonts w:ascii="仿宋" w:hAnsi="仿宋" w:eastAsia="仿宋"/>
                <w:b w:val="0"/>
                <w:bCs w:val="0"/>
                <w:color w:val="auto"/>
                <w:kern w:val="0"/>
                <w:sz w:val="22"/>
                <w:szCs w:val="22"/>
              </w:rPr>
            </w:pPr>
            <w:r>
              <w:rPr>
                <w:rFonts w:hint="eastAsia" w:ascii="仿宋" w:hAnsi="仿宋" w:eastAsia="仿宋"/>
                <w:b/>
                <w:bCs/>
                <w:color w:val="auto"/>
                <w:kern w:val="0"/>
                <w:sz w:val="22"/>
                <w:szCs w:val="22"/>
              </w:rPr>
              <w:t>2024年末/2024年</w:t>
            </w:r>
          </w:p>
          <w:p w14:paraId="07C6D505">
            <w:pPr>
              <w:spacing w:before="0" w:after="0" w:line="240" w:lineRule="auto"/>
              <w:jc w:val="center"/>
              <w:rPr>
                <w:rFonts w:ascii="仿宋" w:hAnsi="仿宋" w:eastAsia="仿宋"/>
                <w:b w:val="0"/>
                <w:bCs w:val="0"/>
                <w:color w:val="auto"/>
                <w:kern w:val="0"/>
                <w:sz w:val="22"/>
                <w:szCs w:val="22"/>
              </w:rPr>
            </w:pPr>
            <w:r>
              <w:rPr>
                <w:rFonts w:hint="eastAsia" w:ascii="仿宋" w:hAnsi="仿宋" w:eastAsia="仿宋"/>
                <w:b/>
                <w:bCs/>
                <w:color w:val="auto"/>
                <w:kern w:val="0"/>
                <w:sz w:val="22"/>
                <w:szCs w:val="22"/>
              </w:rPr>
              <w:t>（经审计）</w:t>
            </w:r>
          </w:p>
        </w:tc>
      </w:tr>
      <w:tr w14:paraId="65A62F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334" w:type="pct"/>
          </w:tcPr>
          <w:p w14:paraId="61AF22F6">
            <w:pPr>
              <w:jc w:val="center"/>
              <w:rPr>
                <w:rFonts w:ascii="仿宋" w:hAnsi="仿宋" w:eastAsia="仿宋"/>
                <w:b w:val="0"/>
                <w:bCs w:val="0"/>
                <w:color w:val="auto"/>
                <w:kern w:val="0"/>
                <w:sz w:val="22"/>
                <w:szCs w:val="22"/>
              </w:rPr>
            </w:pPr>
            <w:r>
              <w:rPr>
                <w:rFonts w:hint="eastAsia" w:ascii="仿宋" w:hAnsi="仿宋" w:eastAsia="仿宋"/>
                <w:b w:val="0"/>
                <w:bCs w:val="0"/>
                <w:color w:val="auto"/>
                <w:kern w:val="0"/>
                <w:sz w:val="22"/>
                <w:szCs w:val="22"/>
              </w:rPr>
              <w:t>资产总额</w:t>
            </w:r>
          </w:p>
        </w:tc>
        <w:tc>
          <w:tcPr>
            <w:tcW w:w="1832" w:type="pct"/>
            <w:shd w:val="clear" w:color="auto" w:fill="auto"/>
            <w:vAlign w:val="center"/>
          </w:tcPr>
          <w:p w14:paraId="0C60F009">
            <w:pPr>
              <w:widowControl/>
              <w:jc w:val="right"/>
              <w:textAlignment w:val="center"/>
              <w:rPr>
                <w:rFonts w:ascii="仿宋" w:hAnsi="仿宋" w:eastAsia="仿宋" w:cstheme="minorBidi"/>
                <w:color w:val="auto"/>
                <w:kern w:val="0"/>
                <w:sz w:val="20"/>
                <w:szCs w:val="24"/>
              </w:rPr>
            </w:pPr>
            <w:r>
              <w:rPr>
                <w:rFonts w:hint="eastAsia" w:ascii="仿宋" w:hAnsi="仿宋" w:eastAsia="仿宋" w:cs="仿宋"/>
                <w:color w:val="auto"/>
                <w:kern w:val="0"/>
                <w:sz w:val="20"/>
                <w:lang w:bidi="ar"/>
              </w:rPr>
              <w:t xml:space="preserve"> 49,641,289.01 </w:t>
            </w:r>
          </w:p>
        </w:tc>
        <w:tc>
          <w:tcPr>
            <w:tcW w:w="1832" w:type="pct"/>
            <w:shd w:val="clear" w:color="auto" w:fill="auto"/>
            <w:vAlign w:val="center"/>
          </w:tcPr>
          <w:p w14:paraId="7E7F13BE">
            <w:pPr>
              <w:jc w:val="right"/>
              <w:rPr>
                <w:rFonts w:ascii="仿宋" w:hAnsi="仿宋" w:eastAsia="仿宋" w:cstheme="minorBidi"/>
                <w:color w:val="auto"/>
                <w:kern w:val="0"/>
                <w:sz w:val="22"/>
                <w:szCs w:val="22"/>
              </w:rPr>
            </w:pPr>
            <w:r>
              <w:rPr>
                <w:rFonts w:hint="eastAsia" w:ascii="仿宋" w:hAnsi="仿宋" w:eastAsia="仿宋"/>
                <w:color w:val="auto"/>
                <w:kern w:val="0"/>
                <w:sz w:val="22"/>
                <w:szCs w:val="22"/>
              </w:rPr>
              <w:t>49,599,618.44</w:t>
            </w:r>
          </w:p>
        </w:tc>
      </w:tr>
      <w:tr w14:paraId="2EF1CE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334" w:type="pct"/>
          </w:tcPr>
          <w:p w14:paraId="336DE8BC">
            <w:pPr>
              <w:jc w:val="center"/>
              <w:rPr>
                <w:rFonts w:ascii="仿宋" w:hAnsi="仿宋" w:eastAsia="仿宋"/>
                <w:b w:val="0"/>
                <w:bCs w:val="0"/>
                <w:color w:val="auto"/>
                <w:kern w:val="0"/>
                <w:sz w:val="22"/>
                <w:szCs w:val="22"/>
              </w:rPr>
            </w:pPr>
            <w:r>
              <w:rPr>
                <w:rFonts w:hint="eastAsia" w:ascii="仿宋" w:hAnsi="仿宋" w:eastAsia="仿宋"/>
                <w:b w:val="0"/>
                <w:bCs w:val="0"/>
                <w:color w:val="auto"/>
                <w:kern w:val="0"/>
                <w:sz w:val="22"/>
                <w:szCs w:val="22"/>
              </w:rPr>
              <w:t>负债总额</w:t>
            </w:r>
          </w:p>
        </w:tc>
        <w:tc>
          <w:tcPr>
            <w:tcW w:w="1832" w:type="pct"/>
            <w:shd w:val="clear" w:color="auto" w:fill="auto"/>
          </w:tcPr>
          <w:p w14:paraId="5F5251CE">
            <w:pPr>
              <w:widowControl/>
              <w:jc w:val="right"/>
              <w:textAlignment w:val="top"/>
              <w:rPr>
                <w:rFonts w:ascii="仿宋" w:hAnsi="仿宋" w:eastAsia="仿宋" w:cstheme="minorBidi"/>
                <w:color w:val="auto"/>
                <w:kern w:val="0"/>
                <w:sz w:val="20"/>
                <w:szCs w:val="24"/>
              </w:rPr>
            </w:pPr>
            <w:r>
              <w:rPr>
                <w:rFonts w:hint="eastAsia" w:ascii="仿宋" w:hAnsi="仿宋" w:eastAsia="仿宋" w:cs="仿宋"/>
                <w:color w:val="auto"/>
                <w:kern w:val="0"/>
                <w:sz w:val="20"/>
                <w:lang w:bidi="ar"/>
              </w:rPr>
              <w:t xml:space="preserve"> 33,987,748.59 </w:t>
            </w:r>
          </w:p>
        </w:tc>
        <w:tc>
          <w:tcPr>
            <w:tcW w:w="1832" w:type="pct"/>
            <w:shd w:val="clear" w:color="auto" w:fill="auto"/>
            <w:vAlign w:val="center"/>
          </w:tcPr>
          <w:p w14:paraId="300F18AD">
            <w:pPr>
              <w:jc w:val="right"/>
              <w:rPr>
                <w:rFonts w:ascii="仿宋" w:hAnsi="仿宋" w:eastAsia="仿宋" w:cstheme="minorBidi"/>
                <w:color w:val="auto"/>
                <w:kern w:val="0"/>
                <w:sz w:val="22"/>
                <w:szCs w:val="22"/>
              </w:rPr>
            </w:pPr>
            <w:r>
              <w:rPr>
                <w:rFonts w:hint="eastAsia" w:ascii="仿宋" w:hAnsi="仿宋" w:eastAsia="仿宋"/>
                <w:color w:val="auto"/>
                <w:kern w:val="0"/>
                <w:sz w:val="22"/>
                <w:szCs w:val="22"/>
              </w:rPr>
              <w:t>33,933,528.33</w:t>
            </w:r>
          </w:p>
        </w:tc>
      </w:tr>
      <w:tr w14:paraId="39B4B7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334" w:type="pct"/>
          </w:tcPr>
          <w:p w14:paraId="1B6728D0">
            <w:pPr>
              <w:jc w:val="right"/>
              <w:rPr>
                <w:rFonts w:ascii="仿宋" w:hAnsi="仿宋" w:eastAsia="仿宋"/>
                <w:b w:val="0"/>
                <w:bCs w:val="0"/>
                <w:color w:val="auto"/>
                <w:kern w:val="0"/>
                <w:sz w:val="22"/>
                <w:szCs w:val="22"/>
              </w:rPr>
            </w:pPr>
            <w:r>
              <w:rPr>
                <w:rFonts w:hint="eastAsia" w:ascii="仿宋" w:hAnsi="仿宋" w:eastAsia="仿宋"/>
                <w:b w:val="0"/>
                <w:bCs w:val="0"/>
                <w:color w:val="auto"/>
                <w:kern w:val="0"/>
                <w:sz w:val="22"/>
                <w:szCs w:val="22"/>
              </w:rPr>
              <w:t>其中：银行贷款总额</w:t>
            </w:r>
          </w:p>
        </w:tc>
        <w:tc>
          <w:tcPr>
            <w:tcW w:w="1832" w:type="pct"/>
            <w:shd w:val="clear" w:color="auto" w:fill="auto"/>
          </w:tcPr>
          <w:p w14:paraId="2A1082E5">
            <w:pPr>
              <w:widowControl/>
              <w:jc w:val="right"/>
              <w:textAlignment w:val="top"/>
              <w:rPr>
                <w:rFonts w:ascii="仿宋" w:hAnsi="仿宋" w:eastAsia="仿宋" w:cstheme="minorBidi"/>
                <w:color w:val="auto"/>
                <w:kern w:val="0"/>
                <w:sz w:val="20"/>
                <w:szCs w:val="24"/>
              </w:rPr>
            </w:pPr>
            <w:r>
              <w:rPr>
                <w:rFonts w:hint="eastAsia" w:ascii="仿宋" w:hAnsi="仿宋" w:eastAsia="仿宋" w:cs="仿宋"/>
                <w:color w:val="auto"/>
                <w:kern w:val="0"/>
                <w:sz w:val="20"/>
                <w:lang w:bidi="ar"/>
              </w:rPr>
              <w:t xml:space="preserve"> 13,013,841.66 </w:t>
            </w:r>
          </w:p>
        </w:tc>
        <w:tc>
          <w:tcPr>
            <w:tcW w:w="1832" w:type="pct"/>
            <w:shd w:val="clear" w:color="auto" w:fill="auto"/>
            <w:vAlign w:val="center"/>
          </w:tcPr>
          <w:p w14:paraId="645012CB">
            <w:pPr>
              <w:jc w:val="right"/>
              <w:rPr>
                <w:rFonts w:ascii="仿宋" w:hAnsi="仿宋" w:eastAsia="仿宋" w:cstheme="minorBidi"/>
                <w:color w:val="auto"/>
                <w:kern w:val="0"/>
                <w:sz w:val="22"/>
                <w:szCs w:val="22"/>
              </w:rPr>
            </w:pPr>
            <w:r>
              <w:rPr>
                <w:rFonts w:hint="eastAsia" w:ascii="仿宋" w:hAnsi="仿宋" w:eastAsia="仿宋"/>
                <w:color w:val="auto"/>
                <w:kern w:val="0"/>
                <w:sz w:val="22"/>
                <w:szCs w:val="22"/>
              </w:rPr>
              <w:t>10,009,930.55</w:t>
            </w:r>
          </w:p>
        </w:tc>
      </w:tr>
      <w:tr w14:paraId="273839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334" w:type="pct"/>
          </w:tcPr>
          <w:p w14:paraId="64DEE734">
            <w:pPr>
              <w:jc w:val="center"/>
              <w:rPr>
                <w:rFonts w:ascii="仿宋" w:hAnsi="仿宋" w:eastAsia="仿宋"/>
                <w:b w:val="0"/>
                <w:bCs w:val="0"/>
                <w:color w:val="auto"/>
                <w:kern w:val="0"/>
                <w:sz w:val="22"/>
                <w:szCs w:val="22"/>
              </w:rPr>
            </w:pPr>
            <w:r>
              <w:rPr>
                <w:rFonts w:hint="eastAsia" w:ascii="仿宋" w:hAnsi="仿宋" w:eastAsia="仿宋"/>
                <w:b w:val="0"/>
                <w:bCs w:val="0"/>
                <w:color w:val="auto"/>
                <w:kern w:val="0"/>
                <w:sz w:val="22"/>
                <w:szCs w:val="22"/>
              </w:rPr>
              <w:t>流动负债总额</w:t>
            </w:r>
          </w:p>
        </w:tc>
        <w:tc>
          <w:tcPr>
            <w:tcW w:w="1832" w:type="pct"/>
            <w:shd w:val="clear" w:color="auto" w:fill="auto"/>
          </w:tcPr>
          <w:p w14:paraId="2CB7214B">
            <w:pPr>
              <w:widowControl/>
              <w:jc w:val="right"/>
              <w:textAlignment w:val="top"/>
              <w:rPr>
                <w:rFonts w:ascii="仿宋" w:hAnsi="仿宋" w:eastAsia="仿宋" w:cstheme="minorBidi"/>
                <w:color w:val="auto"/>
                <w:kern w:val="0"/>
                <w:sz w:val="20"/>
                <w:szCs w:val="24"/>
              </w:rPr>
            </w:pPr>
            <w:r>
              <w:rPr>
                <w:rFonts w:hint="eastAsia" w:ascii="仿宋" w:hAnsi="仿宋" w:eastAsia="仿宋" w:cs="仿宋"/>
                <w:color w:val="auto"/>
                <w:kern w:val="0"/>
                <w:sz w:val="20"/>
                <w:lang w:bidi="ar"/>
              </w:rPr>
              <w:t xml:space="preserve"> 31,045,999.12 </w:t>
            </w:r>
          </w:p>
        </w:tc>
        <w:tc>
          <w:tcPr>
            <w:tcW w:w="1832" w:type="pct"/>
            <w:shd w:val="clear" w:color="auto" w:fill="auto"/>
            <w:vAlign w:val="center"/>
          </w:tcPr>
          <w:p w14:paraId="42063A5A">
            <w:pPr>
              <w:jc w:val="right"/>
              <w:rPr>
                <w:rFonts w:ascii="仿宋" w:hAnsi="仿宋" w:eastAsia="仿宋" w:cstheme="minorBidi"/>
                <w:color w:val="auto"/>
                <w:kern w:val="0"/>
                <w:sz w:val="22"/>
                <w:szCs w:val="22"/>
              </w:rPr>
            </w:pPr>
            <w:r>
              <w:rPr>
                <w:rFonts w:hint="eastAsia" w:ascii="仿宋" w:hAnsi="仿宋" w:eastAsia="仿宋"/>
                <w:color w:val="auto"/>
                <w:kern w:val="0"/>
                <w:sz w:val="22"/>
                <w:szCs w:val="22"/>
              </w:rPr>
              <w:t>33,776,379.87</w:t>
            </w:r>
          </w:p>
        </w:tc>
      </w:tr>
      <w:tr w14:paraId="687A40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334" w:type="pct"/>
          </w:tcPr>
          <w:p w14:paraId="32F2F4FB">
            <w:pPr>
              <w:jc w:val="center"/>
              <w:rPr>
                <w:rFonts w:ascii="仿宋" w:hAnsi="仿宋" w:eastAsia="仿宋"/>
                <w:b w:val="0"/>
                <w:bCs w:val="0"/>
                <w:color w:val="auto"/>
                <w:kern w:val="0"/>
                <w:sz w:val="22"/>
                <w:szCs w:val="22"/>
              </w:rPr>
            </w:pPr>
            <w:r>
              <w:rPr>
                <w:rFonts w:hint="eastAsia" w:ascii="仿宋" w:hAnsi="仿宋" w:eastAsia="仿宋"/>
                <w:b w:val="0"/>
                <w:bCs w:val="0"/>
                <w:color w:val="auto"/>
                <w:kern w:val="0"/>
                <w:sz w:val="22"/>
                <w:szCs w:val="22"/>
              </w:rPr>
              <w:t>净资产</w:t>
            </w:r>
          </w:p>
        </w:tc>
        <w:tc>
          <w:tcPr>
            <w:tcW w:w="1832" w:type="pct"/>
            <w:shd w:val="clear" w:color="auto" w:fill="auto"/>
          </w:tcPr>
          <w:p w14:paraId="70559038">
            <w:pPr>
              <w:widowControl/>
              <w:jc w:val="right"/>
              <w:textAlignment w:val="top"/>
              <w:rPr>
                <w:rFonts w:ascii="仿宋" w:hAnsi="仿宋" w:eastAsia="仿宋" w:cstheme="minorBidi"/>
                <w:color w:val="auto"/>
                <w:kern w:val="0"/>
                <w:sz w:val="20"/>
                <w:szCs w:val="24"/>
              </w:rPr>
            </w:pPr>
            <w:r>
              <w:rPr>
                <w:rFonts w:hint="eastAsia" w:ascii="仿宋" w:hAnsi="仿宋" w:eastAsia="仿宋" w:cs="仿宋"/>
                <w:color w:val="auto"/>
                <w:kern w:val="0"/>
                <w:sz w:val="20"/>
                <w:lang w:bidi="ar"/>
              </w:rPr>
              <w:t xml:space="preserve"> 15,653,540.42 </w:t>
            </w:r>
          </w:p>
        </w:tc>
        <w:tc>
          <w:tcPr>
            <w:tcW w:w="1832" w:type="pct"/>
            <w:shd w:val="clear" w:color="auto" w:fill="auto"/>
            <w:vAlign w:val="center"/>
          </w:tcPr>
          <w:p w14:paraId="59C2001F">
            <w:pPr>
              <w:jc w:val="right"/>
              <w:rPr>
                <w:rFonts w:ascii="仿宋" w:hAnsi="仿宋" w:eastAsia="仿宋" w:cstheme="minorBidi"/>
                <w:color w:val="auto"/>
                <w:kern w:val="0"/>
                <w:sz w:val="22"/>
                <w:szCs w:val="22"/>
              </w:rPr>
            </w:pPr>
            <w:r>
              <w:rPr>
                <w:rFonts w:hint="eastAsia" w:ascii="仿宋" w:hAnsi="仿宋" w:eastAsia="仿宋"/>
                <w:color w:val="auto"/>
                <w:kern w:val="0"/>
                <w:sz w:val="22"/>
                <w:szCs w:val="22"/>
              </w:rPr>
              <w:t>15,666,090.11</w:t>
            </w:r>
          </w:p>
        </w:tc>
      </w:tr>
      <w:tr w14:paraId="55429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334" w:type="pct"/>
          </w:tcPr>
          <w:p w14:paraId="350A455F">
            <w:pPr>
              <w:jc w:val="center"/>
              <w:rPr>
                <w:rFonts w:ascii="仿宋" w:hAnsi="仿宋" w:eastAsia="仿宋"/>
                <w:b w:val="0"/>
                <w:bCs w:val="0"/>
                <w:color w:val="auto"/>
                <w:kern w:val="0"/>
                <w:sz w:val="22"/>
                <w:szCs w:val="22"/>
              </w:rPr>
            </w:pPr>
            <w:r>
              <w:rPr>
                <w:rFonts w:hint="eastAsia" w:ascii="仿宋" w:hAnsi="仿宋" w:eastAsia="仿宋"/>
                <w:b w:val="0"/>
                <w:bCs w:val="0"/>
                <w:color w:val="auto"/>
                <w:kern w:val="0"/>
                <w:sz w:val="22"/>
                <w:szCs w:val="22"/>
              </w:rPr>
              <w:t>营业收入</w:t>
            </w:r>
          </w:p>
        </w:tc>
        <w:tc>
          <w:tcPr>
            <w:tcW w:w="1832" w:type="pct"/>
            <w:shd w:val="clear" w:color="auto" w:fill="auto"/>
          </w:tcPr>
          <w:p w14:paraId="6B49071B">
            <w:pPr>
              <w:widowControl/>
              <w:jc w:val="right"/>
              <w:textAlignment w:val="top"/>
              <w:rPr>
                <w:rFonts w:ascii="仿宋" w:hAnsi="仿宋" w:eastAsia="仿宋" w:cstheme="minorBidi"/>
                <w:color w:val="auto"/>
                <w:kern w:val="0"/>
                <w:sz w:val="20"/>
                <w:szCs w:val="24"/>
              </w:rPr>
            </w:pPr>
            <w:r>
              <w:rPr>
                <w:rFonts w:hint="eastAsia" w:ascii="仿宋" w:hAnsi="仿宋" w:eastAsia="仿宋" w:cs="仿宋"/>
                <w:color w:val="auto"/>
                <w:kern w:val="0"/>
                <w:sz w:val="20"/>
                <w:lang w:bidi="ar"/>
              </w:rPr>
              <w:t xml:space="preserve"> 63,315,014.82 </w:t>
            </w:r>
          </w:p>
        </w:tc>
        <w:tc>
          <w:tcPr>
            <w:tcW w:w="1832" w:type="pct"/>
            <w:shd w:val="clear" w:color="auto" w:fill="auto"/>
            <w:vAlign w:val="center"/>
          </w:tcPr>
          <w:p w14:paraId="63125006">
            <w:pPr>
              <w:jc w:val="right"/>
              <w:rPr>
                <w:rFonts w:ascii="仿宋" w:hAnsi="仿宋" w:eastAsia="仿宋" w:cstheme="minorBidi"/>
                <w:color w:val="auto"/>
                <w:kern w:val="0"/>
                <w:sz w:val="22"/>
                <w:szCs w:val="22"/>
              </w:rPr>
            </w:pPr>
            <w:r>
              <w:rPr>
                <w:rFonts w:hint="eastAsia" w:ascii="仿宋" w:hAnsi="仿宋" w:eastAsia="仿宋"/>
                <w:color w:val="auto"/>
                <w:kern w:val="0"/>
                <w:sz w:val="22"/>
                <w:szCs w:val="22"/>
              </w:rPr>
              <w:t>87,037,974.92</w:t>
            </w:r>
          </w:p>
        </w:tc>
      </w:tr>
      <w:tr w14:paraId="5550EE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334" w:type="pct"/>
          </w:tcPr>
          <w:p w14:paraId="771C63D2">
            <w:pPr>
              <w:jc w:val="center"/>
              <w:rPr>
                <w:rFonts w:ascii="仿宋" w:hAnsi="仿宋" w:eastAsia="仿宋"/>
                <w:b w:val="0"/>
                <w:bCs w:val="0"/>
                <w:color w:val="auto"/>
                <w:kern w:val="0"/>
                <w:sz w:val="22"/>
                <w:szCs w:val="22"/>
              </w:rPr>
            </w:pPr>
            <w:r>
              <w:rPr>
                <w:rFonts w:hint="eastAsia" w:ascii="仿宋" w:hAnsi="仿宋" w:eastAsia="仿宋"/>
                <w:b w:val="0"/>
                <w:bCs w:val="0"/>
                <w:color w:val="auto"/>
                <w:kern w:val="0"/>
                <w:sz w:val="22"/>
                <w:szCs w:val="22"/>
              </w:rPr>
              <w:t>利润总额</w:t>
            </w:r>
          </w:p>
        </w:tc>
        <w:tc>
          <w:tcPr>
            <w:tcW w:w="1832" w:type="pct"/>
            <w:shd w:val="clear" w:color="auto" w:fill="auto"/>
          </w:tcPr>
          <w:p w14:paraId="56BC08F1">
            <w:pPr>
              <w:widowControl/>
              <w:jc w:val="right"/>
              <w:textAlignment w:val="top"/>
              <w:rPr>
                <w:rFonts w:ascii="仿宋" w:hAnsi="仿宋" w:eastAsia="仿宋" w:cstheme="minorBidi"/>
                <w:color w:val="auto"/>
                <w:kern w:val="0"/>
                <w:sz w:val="20"/>
                <w:szCs w:val="24"/>
              </w:rPr>
            </w:pPr>
            <w:r>
              <w:rPr>
                <w:rFonts w:hint="eastAsia" w:ascii="仿宋" w:hAnsi="仿宋" w:eastAsia="仿宋" w:cs="仿宋"/>
                <w:color w:val="auto"/>
                <w:kern w:val="0"/>
                <w:sz w:val="20"/>
                <w:lang w:bidi="ar"/>
              </w:rPr>
              <w:t xml:space="preserve"> -1,084,298.61 </w:t>
            </w:r>
          </w:p>
        </w:tc>
        <w:tc>
          <w:tcPr>
            <w:tcW w:w="1832" w:type="pct"/>
            <w:shd w:val="clear" w:color="auto" w:fill="auto"/>
            <w:vAlign w:val="center"/>
          </w:tcPr>
          <w:p w14:paraId="08C1CA14">
            <w:pPr>
              <w:jc w:val="right"/>
              <w:rPr>
                <w:rFonts w:ascii="仿宋" w:hAnsi="仿宋" w:eastAsia="仿宋" w:cstheme="minorBidi"/>
                <w:color w:val="auto"/>
                <w:kern w:val="0"/>
                <w:sz w:val="22"/>
                <w:szCs w:val="22"/>
              </w:rPr>
            </w:pPr>
            <w:r>
              <w:rPr>
                <w:rFonts w:hint="eastAsia" w:ascii="仿宋" w:hAnsi="仿宋" w:eastAsia="仿宋"/>
                <w:color w:val="auto"/>
                <w:kern w:val="0"/>
                <w:sz w:val="22"/>
                <w:szCs w:val="22"/>
              </w:rPr>
              <w:t>-806,041.01</w:t>
            </w:r>
          </w:p>
        </w:tc>
      </w:tr>
      <w:tr w14:paraId="0F7E44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trPr>
        <w:tc>
          <w:tcPr>
            <w:tcW w:w="1334" w:type="pct"/>
          </w:tcPr>
          <w:p w14:paraId="3BD7D0C0">
            <w:pPr>
              <w:jc w:val="center"/>
              <w:rPr>
                <w:rFonts w:ascii="仿宋" w:hAnsi="仿宋" w:eastAsia="仿宋"/>
                <w:b w:val="0"/>
                <w:bCs/>
                <w:color w:val="auto"/>
                <w:kern w:val="0"/>
                <w:sz w:val="22"/>
                <w:szCs w:val="22"/>
              </w:rPr>
            </w:pPr>
            <w:r>
              <w:rPr>
                <w:rFonts w:hint="eastAsia" w:ascii="仿宋" w:hAnsi="仿宋" w:eastAsia="仿宋"/>
                <w:b w:val="0"/>
                <w:bCs w:val="0"/>
                <w:color w:val="auto"/>
                <w:kern w:val="0"/>
                <w:sz w:val="22"/>
                <w:szCs w:val="22"/>
              </w:rPr>
              <w:t>净利润</w:t>
            </w:r>
          </w:p>
        </w:tc>
        <w:tc>
          <w:tcPr>
            <w:tcW w:w="1832" w:type="pct"/>
            <w:shd w:val="clear" w:color="auto" w:fill="auto"/>
          </w:tcPr>
          <w:p w14:paraId="61701A02">
            <w:pPr>
              <w:widowControl/>
              <w:jc w:val="right"/>
              <w:textAlignment w:val="top"/>
              <w:rPr>
                <w:rFonts w:ascii="仿宋" w:hAnsi="仿宋" w:eastAsia="仿宋" w:cstheme="minorBidi"/>
                <w:color w:val="auto"/>
                <w:kern w:val="0"/>
                <w:sz w:val="20"/>
                <w:szCs w:val="24"/>
              </w:rPr>
            </w:pPr>
            <w:r>
              <w:rPr>
                <w:rFonts w:hint="eastAsia" w:ascii="仿宋" w:hAnsi="仿宋" w:eastAsia="仿宋" w:cs="仿宋"/>
                <w:color w:val="auto"/>
                <w:kern w:val="0"/>
                <w:sz w:val="20"/>
                <w:lang w:bidi="ar"/>
              </w:rPr>
              <w:t xml:space="preserve"> -899,453.24 </w:t>
            </w:r>
          </w:p>
        </w:tc>
        <w:tc>
          <w:tcPr>
            <w:tcW w:w="1832" w:type="pct"/>
            <w:shd w:val="clear" w:color="auto" w:fill="auto"/>
            <w:vAlign w:val="center"/>
          </w:tcPr>
          <w:p w14:paraId="790CF354">
            <w:pPr>
              <w:jc w:val="right"/>
              <w:rPr>
                <w:rFonts w:ascii="仿宋" w:hAnsi="仿宋" w:eastAsia="仿宋" w:cstheme="minorBidi"/>
                <w:color w:val="auto"/>
                <w:kern w:val="0"/>
                <w:sz w:val="22"/>
                <w:szCs w:val="22"/>
              </w:rPr>
            </w:pPr>
            <w:r>
              <w:rPr>
                <w:rFonts w:hint="eastAsia" w:ascii="仿宋" w:hAnsi="仿宋" w:eastAsia="仿宋"/>
                <w:color w:val="auto"/>
                <w:kern w:val="0"/>
                <w:sz w:val="22"/>
                <w:szCs w:val="22"/>
              </w:rPr>
              <w:t>-488,761.28</w:t>
            </w:r>
          </w:p>
        </w:tc>
      </w:tr>
      <w:bookmarkEnd w:id="0"/>
    </w:tbl>
    <w:p w14:paraId="6ACB5BE4">
      <w:pPr>
        <w:spacing w:line="360" w:lineRule="auto"/>
        <w:ind w:firstLine="562" w:firstLineChars="200"/>
        <w:outlineLvl w:val="0"/>
        <w:rPr>
          <w:rFonts w:ascii="仿宋" w:hAnsi="仿宋" w:eastAsia="仿宋"/>
          <w:b/>
          <w:sz w:val="28"/>
        </w:rPr>
      </w:pPr>
      <w:r>
        <w:rPr>
          <w:rFonts w:hint="eastAsia" w:ascii="仿宋" w:hAnsi="仿宋" w:eastAsia="仿宋"/>
          <w:b/>
          <w:sz w:val="28"/>
        </w:rPr>
        <w:t>四、担保协议的主要内容</w:t>
      </w:r>
    </w:p>
    <w:p w14:paraId="6A578940">
      <w:pPr>
        <w:spacing w:before="156" w:beforeLines="50" w:line="360" w:lineRule="auto"/>
        <w:ind w:firstLine="560" w:firstLineChars="200"/>
        <w:rPr>
          <w:rFonts w:ascii="仿宋" w:hAnsi="仿宋" w:eastAsia="仿宋"/>
          <w:sz w:val="28"/>
        </w:rPr>
      </w:pPr>
      <w:r>
        <w:rPr>
          <w:rFonts w:hint="eastAsia" w:ascii="仿宋" w:hAnsi="仿宋" w:eastAsia="仿宋"/>
          <w:sz w:val="28"/>
        </w:rPr>
        <w:t>（一）债权人：中国银行股份有限公司广州天河支行</w:t>
      </w:r>
    </w:p>
    <w:p w14:paraId="76193369">
      <w:pPr>
        <w:spacing w:before="156" w:beforeLines="50" w:line="360" w:lineRule="auto"/>
        <w:ind w:firstLine="560" w:firstLineChars="200"/>
        <w:rPr>
          <w:rFonts w:ascii="仿宋" w:hAnsi="仿宋" w:eastAsia="仿宋"/>
          <w:sz w:val="28"/>
        </w:rPr>
      </w:pPr>
      <w:r>
        <w:rPr>
          <w:rFonts w:hint="eastAsia" w:ascii="仿宋" w:hAnsi="仿宋" w:eastAsia="仿宋"/>
          <w:sz w:val="28"/>
        </w:rPr>
        <w:t>（二）保证人：广东天亿马信息产业股份有限公司</w:t>
      </w:r>
    </w:p>
    <w:p w14:paraId="3FD62D8B">
      <w:pPr>
        <w:spacing w:before="156" w:beforeLines="50" w:line="360" w:lineRule="auto"/>
        <w:ind w:firstLine="560" w:firstLineChars="200"/>
        <w:rPr>
          <w:rFonts w:ascii="仿宋" w:hAnsi="仿宋" w:eastAsia="仿宋"/>
          <w:sz w:val="28"/>
        </w:rPr>
      </w:pPr>
      <w:r>
        <w:rPr>
          <w:rFonts w:hint="eastAsia" w:ascii="仿宋" w:hAnsi="仿宋" w:eastAsia="仿宋"/>
          <w:sz w:val="28"/>
        </w:rPr>
        <w:t>（三）被担保的债务人：广东天亿马信息科技有限公司</w:t>
      </w:r>
    </w:p>
    <w:p w14:paraId="32FFF847">
      <w:pPr>
        <w:spacing w:before="156" w:beforeLines="50" w:line="360" w:lineRule="auto"/>
        <w:ind w:firstLine="560" w:firstLineChars="200"/>
        <w:rPr>
          <w:rFonts w:ascii="仿宋" w:hAnsi="仿宋" w:eastAsia="仿宋"/>
          <w:sz w:val="28"/>
        </w:rPr>
      </w:pPr>
      <w:r>
        <w:rPr>
          <w:rFonts w:hint="eastAsia" w:ascii="仿宋" w:hAnsi="仿宋" w:eastAsia="仿宋"/>
          <w:sz w:val="28"/>
        </w:rPr>
        <w:t>（四）被担保的主债权：债权人与债务人于2026年3月3日至2030年12月31日期间所签订的一系列融资文件而对债务人享有的全部债权。</w:t>
      </w:r>
    </w:p>
    <w:p w14:paraId="4724C492">
      <w:pPr>
        <w:spacing w:before="156" w:beforeLines="50" w:line="360" w:lineRule="auto"/>
        <w:ind w:firstLine="560" w:firstLineChars="200"/>
        <w:rPr>
          <w:rFonts w:ascii="仿宋" w:hAnsi="仿宋" w:eastAsia="仿宋"/>
          <w:sz w:val="28"/>
        </w:rPr>
      </w:pPr>
      <w:r>
        <w:rPr>
          <w:rFonts w:hint="eastAsia" w:ascii="仿宋" w:hAnsi="仿宋" w:eastAsia="仿宋"/>
          <w:sz w:val="28"/>
        </w:rPr>
        <w:t>（五）最高债权额：债权本金人民币1,000万元和所发生的利息及其他所有应付费用之和。</w:t>
      </w:r>
    </w:p>
    <w:p w14:paraId="6895E955">
      <w:pPr>
        <w:spacing w:before="156" w:beforeLines="50" w:line="360" w:lineRule="auto"/>
        <w:ind w:firstLine="560" w:firstLineChars="200"/>
        <w:rPr>
          <w:rFonts w:ascii="仿宋" w:hAnsi="仿宋" w:eastAsia="仿宋"/>
          <w:sz w:val="28"/>
        </w:rPr>
      </w:pPr>
      <w:r>
        <w:rPr>
          <w:rFonts w:hint="eastAsia" w:ascii="仿宋" w:hAnsi="仿宋" w:eastAsia="仿宋"/>
          <w:sz w:val="28"/>
        </w:rPr>
        <w:t>（六）保证方式：连带责任保证</w:t>
      </w:r>
    </w:p>
    <w:p w14:paraId="415A3AB7">
      <w:pPr>
        <w:spacing w:before="156" w:beforeLines="50" w:line="360" w:lineRule="auto"/>
        <w:ind w:firstLine="560" w:firstLineChars="200"/>
        <w:rPr>
          <w:rFonts w:ascii="仿宋" w:hAnsi="仿宋" w:eastAsia="仿宋"/>
          <w:sz w:val="28"/>
        </w:rPr>
      </w:pPr>
      <w:r>
        <w:rPr>
          <w:rFonts w:hint="eastAsia" w:ascii="仿宋" w:hAnsi="仿宋" w:eastAsia="仿宋"/>
          <w:sz w:val="28"/>
        </w:rPr>
        <w:t>（七）担保范围：主合同项下的债权本金和其他所有应付费用。</w:t>
      </w:r>
    </w:p>
    <w:p w14:paraId="0A028214">
      <w:pPr>
        <w:spacing w:before="156" w:beforeLines="50" w:line="360" w:lineRule="auto"/>
        <w:ind w:firstLine="560" w:firstLineChars="200"/>
        <w:rPr>
          <w:rFonts w:ascii="仿宋" w:hAnsi="仿宋" w:eastAsia="仿宋"/>
          <w:sz w:val="28"/>
        </w:rPr>
      </w:pPr>
      <w:r>
        <w:rPr>
          <w:rFonts w:hint="eastAsia" w:ascii="仿宋" w:hAnsi="仿宋" w:eastAsia="仿宋"/>
          <w:sz w:val="28"/>
        </w:rPr>
        <w:t>（八）保证期间：主合同债务人履行债务期限届满之日起三年。</w:t>
      </w:r>
    </w:p>
    <w:p w14:paraId="1F882EC9">
      <w:pPr>
        <w:spacing w:before="156" w:beforeLines="50" w:line="360" w:lineRule="auto"/>
        <w:ind w:firstLine="560" w:firstLineChars="200"/>
        <w:rPr>
          <w:rFonts w:ascii="仿宋" w:hAnsi="仿宋" w:eastAsia="仿宋"/>
          <w:sz w:val="28"/>
        </w:rPr>
      </w:pPr>
      <w:r>
        <w:rPr>
          <w:rFonts w:hint="eastAsia" w:ascii="仿宋" w:hAnsi="仿宋" w:eastAsia="仿宋"/>
          <w:sz w:val="28"/>
        </w:rPr>
        <w:t>（九）合同的生效和终止：自双方法定代表人、负责人或其授权签字人签署并加盖公章之日生效。</w:t>
      </w:r>
    </w:p>
    <w:p w14:paraId="7F1E7EFD">
      <w:pPr>
        <w:spacing w:line="360" w:lineRule="auto"/>
        <w:ind w:firstLine="562" w:firstLineChars="200"/>
        <w:outlineLvl w:val="0"/>
        <w:rPr>
          <w:rFonts w:ascii="仿宋" w:hAnsi="仿宋" w:eastAsia="仿宋"/>
          <w:b/>
          <w:sz w:val="28"/>
        </w:rPr>
      </w:pPr>
      <w:r>
        <w:rPr>
          <w:rFonts w:hint="eastAsia" w:ascii="仿宋" w:hAnsi="仿宋" w:eastAsia="仿宋"/>
          <w:b/>
          <w:sz w:val="28"/>
        </w:rPr>
        <w:t>五、累计对外担保数量及逾期担保数量</w:t>
      </w:r>
    </w:p>
    <w:p w14:paraId="1076B36E">
      <w:pPr>
        <w:spacing w:before="156" w:beforeLines="50" w:line="360" w:lineRule="auto"/>
        <w:ind w:firstLine="560" w:firstLineChars="200"/>
        <w:rPr>
          <w:rFonts w:ascii="仿宋" w:hAnsi="仿宋" w:eastAsia="仿宋"/>
          <w:sz w:val="28"/>
        </w:rPr>
      </w:pPr>
      <w:r>
        <w:rPr>
          <w:rFonts w:hint="eastAsia" w:ascii="仿宋" w:hAnsi="仿宋" w:eastAsia="仿宋"/>
          <w:sz w:val="28"/>
        </w:rPr>
        <w:t>截至本公告日，</w:t>
      </w:r>
      <w:r>
        <w:rPr>
          <w:rFonts w:hint="eastAsia" w:ascii="仿宋" w:hAnsi="仿宋" w:eastAsia="仿宋"/>
          <w:sz w:val="28"/>
          <w:szCs w:val="28"/>
        </w:rPr>
        <w:t>公司对合并报表范围内单位提供的实际担保余额为人民币17,088.05万元，占公司2025年经审计净资产的</w:t>
      </w:r>
      <w:r>
        <w:rPr>
          <w:rFonts w:hint="eastAsia" w:ascii="仿宋" w:hAnsi="仿宋" w:eastAsia="仿宋"/>
          <w:sz w:val="28"/>
          <w:szCs w:val="28"/>
          <w:lang w:val="en-US" w:eastAsia="zh-CN"/>
        </w:rPr>
        <w:t>21.99</w:t>
      </w:r>
      <w:r>
        <w:rPr>
          <w:rFonts w:hint="eastAsia" w:ascii="仿宋" w:hAnsi="仿宋" w:eastAsia="仿宋"/>
          <w:sz w:val="28"/>
          <w:szCs w:val="28"/>
        </w:rPr>
        <w:t>%；</w:t>
      </w:r>
      <w:r>
        <w:rPr>
          <w:rFonts w:hint="eastAsia" w:ascii="仿宋" w:hAnsi="仿宋" w:eastAsia="仿宋"/>
          <w:sz w:val="28"/>
        </w:rPr>
        <w:t>公司及子公司对合并报表范围外单位提供的担保余额为0元。公司及子公司无逾期对外担保、无涉及诉讼的对外担保或因担保被判决败诉而应承担损失的情形。</w:t>
      </w:r>
    </w:p>
    <w:p w14:paraId="5BF6004D">
      <w:pPr>
        <w:spacing w:line="360" w:lineRule="auto"/>
        <w:ind w:firstLine="562" w:firstLineChars="200"/>
        <w:outlineLvl w:val="0"/>
        <w:rPr>
          <w:rFonts w:ascii="仿宋" w:hAnsi="仿宋" w:eastAsia="仿宋"/>
          <w:b/>
          <w:sz w:val="28"/>
        </w:rPr>
      </w:pPr>
      <w:r>
        <w:rPr>
          <w:rFonts w:hint="eastAsia" w:ascii="仿宋" w:hAnsi="仿宋" w:eastAsia="仿宋"/>
          <w:b/>
          <w:sz w:val="28"/>
        </w:rPr>
        <w:t>六、备查文件</w:t>
      </w:r>
    </w:p>
    <w:p w14:paraId="6CED21F2">
      <w:pPr>
        <w:spacing w:line="360" w:lineRule="auto"/>
        <w:ind w:firstLine="560" w:firstLineChars="200"/>
        <w:rPr>
          <w:rFonts w:ascii="仿宋" w:hAnsi="仿宋" w:eastAsia="仿宋"/>
          <w:sz w:val="28"/>
        </w:rPr>
      </w:pPr>
      <w:r>
        <w:rPr>
          <w:rFonts w:hint="eastAsia" w:ascii="仿宋" w:hAnsi="仿宋" w:eastAsia="仿宋"/>
          <w:sz w:val="28"/>
        </w:rPr>
        <w:t>（一）与中国银行股份有限公司广州天河支行签订的《最高额保证合同》</w:t>
      </w:r>
    </w:p>
    <w:p w14:paraId="73AC4CBA">
      <w:pPr>
        <w:spacing w:line="360" w:lineRule="auto"/>
        <w:ind w:firstLine="560" w:firstLineChars="200"/>
        <w:rPr>
          <w:rFonts w:ascii="仿宋" w:hAnsi="仿宋" w:eastAsia="仿宋"/>
          <w:sz w:val="28"/>
        </w:rPr>
      </w:pPr>
      <w:r>
        <w:rPr>
          <w:rFonts w:hint="eastAsia" w:ascii="仿宋" w:hAnsi="仿宋" w:eastAsia="仿宋"/>
          <w:sz w:val="28"/>
        </w:rPr>
        <w:t>特此公告。</w:t>
      </w:r>
    </w:p>
    <w:p w14:paraId="340860A6">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广东天亿马信息产业股份有限公司</w:t>
      </w:r>
    </w:p>
    <w:p w14:paraId="40709B7E">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董事会</w:t>
      </w:r>
    </w:p>
    <w:p w14:paraId="3B0A0CC9">
      <w:pPr>
        <w:wordWrap w:val="0"/>
        <w:spacing w:before="156" w:beforeLines="50" w:line="360" w:lineRule="auto"/>
        <w:ind w:firstLine="560" w:firstLineChars="200"/>
        <w:jc w:val="right"/>
        <w:rPr>
          <w:rFonts w:ascii="仿宋" w:hAnsi="仿宋" w:eastAsia="仿宋"/>
          <w:sz w:val="28"/>
        </w:rPr>
      </w:pPr>
      <w:r>
        <w:rPr>
          <w:rFonts w:hint="eastAsia" w:ascii="仿宋" w:hAnsi="仿宋" w:eastAsia="仿宋"/>
          <w:sz w:val="28"/>
          <w:szCs w:val="28"/>
        </w:rPr>
        <w:t>2026年3月31日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27B3"/>
    <w:rsid w:val="00000592"/>
    <w:rsid w:val="00001DD5"/>
    <w:rsid w:val="00001F91"/>
    <w:rsid w:val="00001FF3"/>
    <w:rsid w:val="00005D60"/>
    <w:rsid w:val="00006924"/>
    <w:rsid w:val="00007891"/>
    <w:rsid w:val="000078D4"/>
    <w:rsid w:val="000101C9"/>
    <w:rsid w:val="0001026F"/>
    <w:rsid w:val="000109B6"/>
    <w:rsid w:val="000126BF"/>
    <w:rsid w:val="00013211"/>
    <w:rsid w:val="00016C94"/>
    <w:rsid w:val="00016DAB"/>
    <w:rsid w:val="00022564"/>
    <w:rsid w:val="000240EC"/>
    <w:rsid w:val="000241C3"/>
    <w:rsid w:val="000249B7"/>
    <w:rsid w:val="00025778"/>
    <w:rsid w:val="00027A5E"/>
    <w:rsid w:val="000300EC"/>
    <w:rsid w:val="000322D1"/>
    <w:rsid w:val="00032B37"/>
    <w:rsid w:val="000355CF"/>
    <w:rsid w:val="00047123"/>
    <w:rsid w:val="000567AE"/>
    <w:rsid w:val="00061411"/>
    <w:rsid w:val="000633C2"/>
    <w:rsid w:val="00063596"/>
    <w:rsid w:val="000637A2"/>
    <w:rsid w:val="000648AD"/>
    <w:rsid w:val="00064CE2"/>
    <w:rsid w:val="00065027"/>
    <w:rsid w:val="000744C5"/>
    <w:rsid w:val="000751D6"/>
    <w:rsid w:val="000755AE"/>
    <w:rsid w:val="00076DD8"/>
    <w:rsid w:val="00080A48"/>
    <w:rsid w:val="00081C3D"/>
    <w:rsid w:val="00084890"/>
    <w:rsid w:val="00093C95"/>
    <w:rsid w:val="00095F25"/>
    <w:rsid w:val="000A277D"/>
    <w:rsid w:val="000A330F"/>
    <w:rsid w:val="000A5F8B"/>
    <w:rsid w:val="000A7303"/>
    <w:rsid w:val="000A74CD"/>
    <w:rsid w:val="000B11CC"/>
    <w:rsid w:val="000B12BA"/>
    <w:rsid w:val="000B2A6B"/>
    <w:rsid w:val="000B309B"/>
    <w:rsid w:val="000B5727"/>
    <w:rsid w:val="000B70BA"/>
    <w:rsid w:val="000C118A"/>
    <w:rsid w:val="000C33E2"/>
    <w:rsid w:val="000C7083"/>
    <w:rsid w:val="000D13E8"/>
    <w:rsid w:val="000D21C4"/>
    <w:rsid w:val="000D26F9"/>
    <w:rsid w:val="000D64B1"/>
    <w:rsid w:val="000D731F"/>
    <w:rsid w:val="000E0840"/>
    <w:rsid w:val="000E127B"/>
    <w:rsid w:val="000E186F"/>
    <w:rsid w:val="000E52AB"/>
    <w:rsid w:val="000E609C"/>
    <w:rsid w:val="000F305F"/>
    <w:rsid w:val="000F4DAD"/>
    <w:rsid w:val="000F66AA"/>
    <w:rsid w:val="000F6B9C"/>
    <w:rsid w:val="0010273A"/>
    <w:rsid w:val="00106D6D"/>
    <w:rsid w:val="001112CE"/>
    <w:rsid w:val="0011282A"/>
    <w:rsid w:val="0011367E"/>
    <w:rsid w:val="00114514"/>
    <w:rsid w:val="00114F78"/>
    <w:rsid w:val="001170A5"/>
    <w:rsid w:val="00117295"/>
    <w:rsid w:val="001211D0"/>
    <w:rsid w:val="00121DE8"/>
    <w:rsid w:val="0012363D"/>
    <w:rsid w:val="0012647E"/>
    <w:rsid w:val="00127FE6"/>
    <w:rsid w:val="001306CA"/>
    <w:rsid w:val="0013084D"/>
    <w:rsid w:val="00131A47"/>
    <w:rsid w:val="00132FCD"/>
    <w:rsid w:val="00133647"/>
    <w:rsid w:val="00135B94"/>
    <w:rsid w:val="0013679D"/>
    <w:rsid w:val="0013755F"/>
    <w:rsid w:val="00141BF6"/>
    <w:rsid w:val="0014501B"/>
    <w:rsid w:val="001456E4"/>
    <w:rsid w:val="00145E05"/>
    <w:rsid w:val="00147439"/>
    <w:rsid w:val="00152DAE"/>
    <w:rsid w:val="00153315"/>
    <w:rsid w:val="0015387D"/>
    <w:rsid w:val="0015451E"/>
    <w:rsid w:val="00155039"/>
    <w:rsid w:val="00155EED"/>
    <w:rsid w:val="001567BD"/>
    <w:rsid w:val="001609B2"/>
    <w:rsid w:val="00170C80"/>
    <w:rsid w:val="00173BE5"/>
    <w:rsid w:val="00175FD0"/>
    <w:rsid w:val="001763BF"/>
    <w:rsid w:val="00176BF2"/>
    <w:rsid w:val="0017726B"/>
    <w:rsid w:val="001800FC"/>
    <w:rsid w:val="00182C0E"/>
    <w:rsid w:val="00183FF3"/>
    <w:rsid w:val="00184B28"/>
    <w:rsid w:val="00186FCA"/>
    <w:rsid w:val="00190FAA"/>
    <w:rsid w:val="00191A60"/>
    <w:rsid w:val="00192371"/>
    <w:rsid w:val="00193039"/>
    <w:rsid w:val="001937CE"/>
    <w:rsid w:val="00194D3F"/>
    <w:rsid w:val="00195B33"/>
    <w:rsid w:val="00196C83"/>
    <w:rsid w:val="001A2082"/>
    <w:rsid w:val="001A3C8F"/>
    <w:rsid w:val="001A48A7"/>
    <w:rsid w:val="001A4937"/>
    <w:rsid w:val="001A52ED"/>
    <w:rsid w:val="001A5475"/>
    <w:rsid w:val="001A5B56"/>
    <w:rsid w:val="001A5FB1"/>
    <w:rsid w:val="001A76CB"/>
    <w:rsid w:val="001B04CE"/>
    <w:rsid w:val="001B0C9A"/>
    <w:rsid w:val="001B3CE0"/>
    <w:rsid w:val="001B5306"/>
    <w:rsid w:val="001C14B7"/>
    <w:rsid w:val="001C28C7"/>
    <w:rsid w:val="001C29F4"/>
    <w:rsid w:val="001C5C4A"/>
    <w:rsid w:val="001C5DA2"/>
    <w:rsid w:val="001C6591"/>
    <w:rsid w:val="001D07EA"/>
    <w:rsid w:val="001D15D9"/>
    <w:rsid w:val="001D22EE"/>
    <w:rsid w:val="001D244D"/>
    <w:rsid w:val="001D2962"/>
    <w:rsid w:val="001D6DE2"/>
    <w:rsid w:val="001E02B1"/>
    <w:rsid w:val="001E06DB"/>
    <w:rsid w:val="001E0A1D"/>
    <w:rsid w:val="001E10CB"/>
    <w:rsid w:val="001E1735"/>
    <w:rsid w:val="001E1EC8"/>
    <w:rsid w:val="001E3347"/>
    <w:rsid w:val="001E6CDE"/>
    <w:rsid w:val="001F0399"/>
    <w:rsid w:val="001F1CD3"/>
    <w:rsid w:val="001F1F9F"/>
    <w:rsid w:val="001F2CEE"/>
    <w:rsid w:val="001F3CED"/>
    <w:rsid w:val="001F449D"/>
    <w:rsid w:val="001F4A9B"/>
    <w:rsid w:val="001F5FAD"/>
    <w:rsid w:val="001F6152"/>
    <w:rsid w:val="002012EA"/>
    <w:rsid w:val="002025E8"/>
    <w:rsid w:val="00202B6B"/>
    <w:rsid w:val="00203AFE"/>
    <w:rsid w:val="0020476C"/>
    <w:rsid w:val="002048DE"/>
    <w:rsid w:val="00205333"/>
    <w:rsid w:val="0020711F"/>
    <w:rsid w:val="002104FA"/>
    <w:rsid w:val="002124F1"/>
    <w:rsid w:val="00213C21"/>
    <w:rsid w:val="002143DF"/>
    <w:rsid w:val="00216934"/>
    <w:rsid w:val="00217029"/>
    <w:rsid w:val="0022006C"/>
    <w:rsid w:val="00220687"/>
    <w:rsid w:val="00220CB2"/>
    <w:rsid w:val="0022285B"/>
    <w:rsid w:val="00222A0A"/>
    <w:rsid w:val="0022305F"/>
    <w:rsid w:val="00223960"/>
    <w:rsid w:val="00224BD6"/>
    <w:rsid w:val="002252CB"/>
    <w:rsid w:val="002300C5"/>
    <w:rsid w:val="00232E86"/>
    <w:rsid w:val="00234716"/>
    <w:rsid w:val="00235346"/>
    <w:rsid w:val="00240551"/>
    <w:rsid w:val="002411E3"/>
    <w:rsid w:val="00245C2E"/>
    <w:rsid w:val="00246155"/>
    <w:rsid w:val="0025280E"/>
    <w:rsid w:val="00255256"/>
    <w:rsid w:val="00255C86"/>
    <w:rsid w:val="002573EF"/>
    <w:rsid w:val="002602A9"/>
    <w:rsid w:val="00261181"/>
    <w:rsid w:val="002614CC"/>
    <w:rsid w:val="002619AD"/>
    <w:rsid w:val="0026280E"/>
    <w:rsid w:val="00262A64"/>
    <w:rsid w:val="00263332"/>
    <w:rsid w:val="00263DD5"/>
    <w:rsid w:val="00267179"/>
    <w:rsid w:val="002702C5"/>
    <w:rsid w:val="00272EFE"/>
    <w:rsid w:val="00274B19"/>
    <w:rsid w:val="0027546D"/>
    <w:rsid w:val="00275892"/>
    <w:rsid w:val="00275E40"/>
    <w:rsid w:val="00276362"/>
    <w:rsid w:val="0027711B"/>
    <w:rsid w:val="00277EBD"/>
    <w:rsid w:val="002839F1"/>
    <w:rsid w:val="002865A5"/>
    <w:rsid w:val="002866D3"/>
    <w:rsid w:val="00286AAC"/>
    <w:rsid w:val="00286D5B"/>
    <w:rsid w:val="00286FF7"/>
    <w:rsid w:val="00290834"/>
    <w:rsid w:val="002918DD"/>
    <w:rsid w:val="00295C76"/>
    <w:rsid w:val="002A1368"/>
    <w:rsid w:val="002A1A75"/>
    <w:rsid w:val="002A1F3A"/>
    <w:rsid w:val="002A2417"/>
    <w:rsid w:val="002A5B7A"/>
    <w:rsid w:val="002A7B72"/>
    <w:rsid w:val="002B12B7"/>
    <w:rsid w:val="002B164A"/>
    <w:rsid w:val="002B3645"/>
    <w:rsid w:val="002B7EA6"/>
    <w:rsid w:val="002C02B1"/>
    <w:rsid w:val="002C08B0"/>
    <w:rsid w:val="002C2483"/>
    <w:rsid w:val="002C2C64"/>
    <w:rsid w:val="002C5C1A"/>
    <w:rsid w:val="002C6822"/>
    <w:rsid w:val="002C694C"/>
    <w:rsid w:val="002D3023"/>
    <w:rsid w:val="002D322E"/>
    <w:rsid w:val="002E4E4D"/>
    <w:rsid w:val="002E5A91"/>
    <w:rsid w:val="002E7634"/>
    <w:rsid w:val="002F2169"/>
    <w:rsid w:val="002F41F1"/>
    <w:rsid w:val="002F507A"/>
    <w:rsid w:val="002F50EE"/>
    <w:rsid w:val="002F6391"/>
    <w:rsid w:val="002F6B4A"/>
    <w:rsid w:val="00301DF8"/>
    <w:rsid w:val="0030581C"/>
    <w:rsid w:val="00311125"/>
    <w:rsid w:val="00311524"/>
    <w:rsid w:val="00312BEA"/>
    <w:rsid w:val="0031459A"/>
    <w:rsid w:val="00315250"/>
    <w:rsid w:val="0031618C"/>
    <w:rsid w:val="00316972"/>
    <w:rsid w:val="0031765E"/>
    <w:rsid w:val="0032113C"/>
    <w:rsid w:val="0032439A"/>
    <w:rsid w:val="0032529C"/>
    <w:rsid w:val="003265AC"/>
    <w:rsid w:val="00326C42"/>
    <w:rsid w:val="00330F82"/>
    <w:rsid w:val="003313F1"/>
    <w:rsid w:val="003318D3"/>
    <w:rsid w:val="00332258"/>
    <w:rsid w:val="00341C97"/>
    <w:rsid w:val="0034342B"/>
    <w:rsid w:val="0034389E"/>
    <w:rsid w:val="0034648D"/>
    <w:rsid w:val="00346AC3"/>
    <w:rsid w:val="00347396"/>
    <w:rsid w:val="00353139"/>
    <w:rsid w:val="0035529C"/>
    <w:rsid w:val="003568D5"/>
    <w:rsid w:val="00357D85"/>
    <w:rsid w:val="00360181"/>
    <w:rsid w:val="0036086D"/>
    <w:rsid w:val="00360C17"/>
    <w:rsid w:val="0036248D"/>
    <w:rsid w:val="00364AD7"/>
    <w:rsid w:val="00365E9F"/>
    <w:rsid w:val="003720F5"/>
    <w:rsid w:val="00372C9B"/>
    <w:rsid w:val="00374600"/>
    <w:rsid w:val="00374A59"/>
    <w:rsid w:val="00375593"/>
    <w:rsid w:val="00375750"/>
    <w:rsid w:val="00375DDE"/>
    <w:rsid w:val="00381091"/>
    <w:rsid w:val="003815DB"/>
    <w:rsid w:val="00381988"/>
    <w:rsid w:val="00382B3C"/>
    <w:rsid w:val="003846B3"/>
    <w:rsid w:val="00387919"/>
    <w:rsid w:val="003930EE"/>
    <w:rsid w:val="00393AC5"/>
    <w:rsid w:val="00395DBE"/>
    <w:rsid w:val="00396B91"/>
    <w:rsid w:val="00397D95"/>
    <w:rsid w:val="00397DFF"/>
    <w:rsid w:val="003A2964"/>
    <w:rsid w:val="003A300C"/>
    <w:rsid w:val="003A38CF"/>
    <w:rsid w:val="003A45BD"/>
    <w:rsid w:val="003A49C3"/>
    <w:rsid w:val="003A58E1"/>
    <w:rsid w:val="003B001B"/>
    <w:rsid w:val="003B2388"/>
    <w:rsid w:val="003B4403"/>
    <w:rsid w:val="003B49E1"/>
    <w:rsid w:val="003B51B0"/>
    <w:rsid w:val="003B54E0"/>
    <w:rsid w:val="003B6F56"/>
    <w:rsid w:val="003C039A"/>
    <w:rsid w:val="003C0808"/>
    <w:rsid w:val="003C0ACE"/>
    <w:rsid w:val="003C4FBE"/>
    <w:rsid w:val="003C65AC"/>
    <w:rsid w:val="003C6F10"/>
    <w:rsid w:val="003C7238"/>
    <w:rsid w:val="003C7F95"/>
    <w:rsid w:val="003D1C9C"/>
    <w:rsid w:val="003D33B3"/>
    <w:rsid w:val="003D450D"/>
    <w:rsid w:val="003D5444"/>
    <w:rsid w:val="003D603E"/>
    <w:rsid w:val="003E2314"/>
    <w:rsid w:val="003E3B5E"/>
    <w:rsid w:val="003E5913"/>
    <w:rsid w:val="003F0F2A"/>
    <w:rsid w:val="003F2781"/>
    <w:rsid w:val="003F53B2"/>
    <w:rsid w:val="003F6E03"/>
    <w:rsid w:val="00401ADC"/>
    <w:rsid w:val="004024F6"/>
    <w:rsid w:val="00405E4A"/>
    <w:rsid w:val="00407EFA"/>
    <w:rsid w:val="00410061"/>
    <w:rsid w:val="004106F7"/>
    <w:rsid w:val="004112AB"/>
    <w:rsid w:val="00412952"/>
    <w:rsid w:val="0041334D"/>
    <w:rsid w:val="00414EBC"/>
    <w:rsid w:val="004153DE"/>
    <w:rsid w:val="00415F62"/>
    <w:rsid w:val="00415FCF"/>
    <w:rsid w:val="00417E68"/>
    <w:rsid w:val="00421006"/>
    <w:rsid w:val="0042163F"/>
    <w:rsid w:val="00423572"/>
    <w:rsid w:val="00426E9E"/>
    <w:rsid w:val="00432334"/>
    <w:rsid w:val="00434202"/>
    <w:rsid w:val="00435D3B"/>
    <w:rsid w:val="00436580"/>
    <w:rsid w:val="004373D4"/>
    <w:rsid w:val="00437F6E"/>
    <w:rsid w:val="0044355C"/>
    <w:rsid w:val="004440AD"/>
    <w:rsid w:val="00446D95"/>
    <w:rsid w:val="004471F2"/>
    <w:rsid w:val="00450396"/>
    <w:rsid w:val="00451106"/>
    <w:rsid w:val="00452F24"/>
    <w:rsid w:val="00454D8B"/>
    <w:rsid w:val="004563C2"/>
    <w:rsid w:val="00460D28"/>
    <w:rsid w:val="0046127A"/>
    <w:rsid w:val="004633EF"/>
    <w:rsid w:val="004637BD"/>
    <w:rsid w:val="00463A3A"/>
    <w:rsid w:val="00464800"/>
    <w:rsid w:val="00464C29"/>
    <w:rsid w:val="00465C4F"/>
    <w:rsid w:val="00466303"/>
    <w:rsid w:val="00466FFA"/>
    <w:rsid w:val="00472E10"/>
    <w:rsid w:val="00475AD8"/>
    <w:rsid w:val="00480970"/>
    <w:rsid w:val="00483B6F"/>
    <w:rsid w:val="00484BB7"/>
    <w:rsid w:val="00485C8B"/>
    <w:rsid w:val="0049397F"/>
    <w:rsid w:val="00494243"/>
    <w:rsid w:val="004A01DD"/>
    <w:rsid w:val="004A0FDC"/>
    <w:rsid w:val="004A2ED1"/>
    <w:rsid w:val="004A3458"/>
    <w:rsid w:val="004A5018"/>
    <w:rsid w:val="004A5050"/>
    <w:rsid w:val="004A5769"/>
    <w:rsid w:val="004A62A1"/>
    <w:rsid w:val="004B0266"/>
    <w:rsid w:val="004B0A33"/>
    <w:rsid w:val="004B5B8E"/>
    <w:rsid w:val="004B7E62"/>
    <w:rsid w:val="004C16D9"/>
    <w:rsid w:val="004C1CB6"/>
    <w:rsid w:val="004C3DC9"/>
    <w:rsid w:val="004C573F"/>
    <w:rsid w:val="004C632D"/>
    <w:rsid w:val="004C6C14"/>
    <w:rsid w:val="004D1BEB"/>
    <w:rsid w:val="004D30CD"/>
    <w:rsid w:val="004D43C9"/>
    <w:rsid w:val="004D472A"/>
    <w:rsid w:val="004D717C"/>
    <w:rsid w:val="004E2BCE"/>
    <w:rsid w:val="004E5D99"/>
    <w:rsid w:val="004E64E4"/>
    <w:rsid w:val="004E6590"/>
    <w:rsid w:val="004E6668"/>
    <w:rsid w:val="004E6854"/>
    <w:rsid w:val="004F048F"/>
    <w:rsid w:val="004F0583"/>
    <w:rsid w:val="004F101A"/>
    <w:rsid w:val="004F237B"/>
    <w:rsid w:val="004F35D5"/>
    <w:rsid w:val="004F5B94"/>
    <w:rsid w:val="004F72EA"/>
    <w:rsid w:val="004F756F"/>
    <w:rsid w:val="004F766D"/>
    <w:rsid w:val="005039CA"/>
    <w:rsid w:val="00504467"/>
    <w:rsid w:val="005063AE"/>
    <w:rsid w:val="00506858"/>
    <w:rsid w:val="00507F1B"/>
    <w:rsid w:val="00510B5F"/>
    <w:rsid w:val="00510EDF"/>
    <w:rsid w:val="00510FD3"/>
    <w:rsid w:val="00511DDA"/>
    <w:rsid w:val="00514EF9"/>
    <w:rsid w:val="005154EC"/>
    <w:rsid w:val="0052269C"/>
    <w:rsid w:val="00522F6B"/>
    <w:rsid w:val="0052481D"/>
    <w:rsid w:val="00525899"/>
    <w:rsid w:val="00525E74"/>
    <w:rsid w:val="00527265"/>
    <w:rsid w:val="0052789D"/>
    <w:rsid w:val="00527D0E"/>
    <w:rsid w:val="00530166"/>
    <w:rsid w:val="005317FA"/>
    <w:rsid w:val="0053191A"/>
    <w:rsid w:val="00531AC2"/>
    <w:rsid w:val="005325F9"/>
    <w:rsid w:val="00532FCB"/>
    <w:rsid w:val="00540CD9"/>
    <w:rsid w:val="00546F87"/>
    <w:rsid w:val="00547609"/>
    <w:rsid w:val="005505BE"/>
    <w:rsid w:val="0055105C"/>
    <w:rsid w:val="00551160"/>
    <w:rsid w:val="00551AE2"/>
    <w:rsid w:val="0055266A"/>
    <w:rsid w:val="00553076"/>
    <w:rsid w:val="00560ABC"/>
    <w:rsid w:val="00561060"/>
    <w:rsid w:val="00562C18"/>
    <w:rsid w:val="00563E7F"/>
    <w:rsid w:val="005661ED"/>
    <w:rsid w:val="005704DC"/>
    <w:rsid w:val="00575050"/>
    <w:rsid w:val="00575271"/>
    <w:rsid w:val="00575DE6"/>
    <w:rsid w:val="00576DAF"/>
    <w:rsid w:val="00577AC9"/>
    <w:rsid w:val="0058127C"/>
    <w:rsid w:val="005817EB"/>
    <w:rsid w:val="00581863"/>
    <w:rsid w:val="005860CC"/>
    <w:rsid w:val="00586522"/>
    <w:rsid w:val="00586FAF"/>
    <w:rsid w:val="0059060A"/>
    <w:rsid w:val="005913B0"/>
    <w:rsid w:val="00591BC9"/>
    <w:rsid w:val="005921C6"/>
    <w:rsid w:val="00593136"/>
    <w:rsid w:val="0059463C"/>
    <w:rsid w:val="0059501E"/>
    <w:rsid w:val="005956DD"/>
    <w:rsid w:val="00596C99"/>
    <w:rsid w:val="005970F7"/>
    <w:rsid w:val="0059754B"/>
    <w:rsid w:val="005977F2"/>
    <w:rsid w:val="00597861"/>
    <w:rsid w:val="005A04A2"/>
    <w:rsid w:val="005A11EA"/>
    <w:rsid w:val="005A4545"/>
    <w:rsid w:val="005A49FF"/>
    <w:rsid w:val="005A5343"/>
    <w:rsid w:val="005B1EBB"/>
    <w:rsid w:val="005B2233"/>
    <w:rsid w:val="005B4768"/>
    <w:rsid w:val="005C0917"/>
    <w:rsid w:val="005D077A"/>
    <w:rsid w:val="005D4719"/>
    <w:rsid w:val="005D4EFC"/>
    <w:rsid w:val="005D61D8"/>
    <w:rsid w:val="005D7329"/>
    <w:rsid w:val="005D7D92"/>
    <w:rsid w:val="005E0C93"/>
    <w:rsid w:val="005E227C"/>
    <w:rsid w:val="005E2742"/>
    <w:rsid w:val="005E32CA"/>
    <w:rsid w:val="005E71E4"/>
    <w:rsid w:val="005F2920"/>
    <w:rsid w:val="005F2D0F"/>
    <w:rsid w:val="005F65C9"/>
    <w:rsid w:val="005F66B8"/>
    <w:rsid w:val="006024D1"/>
    <w:rsid w:val="00603BF3"/>
    <w:rsid w:val="00605B9A"/>
    <w:rsid w:val="00610AB1"/>
    <w:rsid w:val="00611644"/>
    <w:rsid w:val="00612BBC"/>
    <w:rsid w:val="0061369C"/>
    <w:rsid w:val="00613CE2"/>
    <w:rsid w:val="00613F09"/>
    <w:rsid w:val="00616A85"/>
    <w:rsid w:val="006170FE"/>
    <w:rsid w:val="006236A1"/>
    <w:rsid w:val="00624E46"/>
    <w:rsid w:val="0062582C"/>
    <w:rsid w:val="0063213D"/>
    <w:rsid w:val="0063390C"/>
    <w:rsid w:val="00637819"/>
    <w:rsid w:val="00637EA7"/>
    <w:rsid w:val="006411A6"/>
    <w:rsid w:val="00641F91"/>
    <w:rsid w:val="00642143"/>
    <w:rsid w:val="006424B9"/>
    <w:rsid w:val="00642F08"/>
    <w:rsid w:val="00643DC7"/>
    <w:rsid w:val="00644A57"/>
    <w:rsid w:val="00646765"/>
    <w:rsid w:val="00647CDE"/>
    <w:rsid w:val="006500A4"/>
    <w:rsid w:val="00651926"/>
    <w:rsid w:val="006531CD"/>
    <w:rsid w:val="00653A97"/>
    <w:rsid w:val="00655692"/>
    <w:rsid w:val="006609AB"/>
    <w:rsid w:val="006610B0"/>
    <w:rsid w:val="00662911"/>
    <w:rsid w:val="00663839"/>
    <w:rsid w:val="006665AC"/>
    <w:rsid w:val="00672FB9"/>
    <w:rsid w:val="00680127"/>
    <w:rsid w:val="00683180"/>
    <w:rsid w:val="00683216"/>
    <w:rsid w:val="00683ABC"/>
    <w:rsid w:val="00684DD6"/>
    <w:rsid w:val="00685C17"/>
    <w:rsid w:val="006864CF"/>
    <w:rsid w:val="00687C6F"/>
    <w:rsid w:val="006957F6"/>
    <w:rsid w:val="00696FA4"/>
    <w:rsid w:val="006970E5"/>
    <w:rsid w:val="006A32B3"/>
    <w:rsid w:val="006A4141"/>
    <w:rsid w:val="006A4862"/>
    <w:rsid w:val="006B0EBE"/>
    <w:rsid w:val="006B1567"/>
    <w:rsid w:val="006B1A64"/>
    <w:rsid w:val="006B3551"/>
    <w:rsid w:val="006B4B4B"/>
    <w:rsid w:val="006B5229"/>
    <w:rsid w:val="006B6389"/>
    <w:rsid w:val="006C0563"/>
    <w:rsid w:val="006C065B"/>
    <w:rsid w:val="006C413C"/>
    <w:rsid w:val="006C492C"/>
    <w:rsid w:val="006C7371"/>
    <w:rsid w:val="006D52A6"/>
    <w:rsid w:val="006E30D7"/>
    <w:rsid w:val="006E58F5"/>
    <w:rsid w:val="006E658B"/>
    <w:rsid w:val="006F23D7"/>
    <w:rsid w:val="006F252E"/>
    <w:rsid w:val="006F28C6"/>
    <w:rsid w:val="006F355D"/>
    <w:rsid w:val="006F6449"/>
    <w:rsid w:val="006F7773"/>
    <w:rsid w:val="007039EF"/>
    <w:rsid w:val="00704396"/>
    <w:rsid w:val="00713CD2"/>
    <w:rsid w:val="00714491"/>
    <w:rsid w:val="00715147"/>
    <w:rsid w:val="00715B5B"/>
    <w:rsid w:val="007203AE"/>
    <w:rsid w:val="0072060A"/>
    <w:rsid w:val="00723C96"/>
    <w:rsid w:val="00724C6A"/>
    <w:rsid w:val="00724EBA"/>
    <w:rsid w:val="00726F29"/>
    <w:rsid w:val="0072717C"/>
    <w:rsid w:val="00730405"/>
    <w:rsid w:val="0073291C"/>
    <w:rsid w:val="007330A3"/>
    <w:rsid w:val="0073437E"/>
    <w:rsid w:val="00737030"/>
    <w:rsid w:val="0073770C"/>
    <w:rsid w:val="00743D63"/>
    <w:rsid w:val="007443B7"/>
    <w:rsid w:val="007446F8"/>
    <w:rsid w:val="007462B3"/>
    <w:rsid w:val="0075141A"/>
    <w:rsid w:val="00754574"/>
    <w:rsid w:val="007571B1"/>
    <w:rsid w:val="0076293D"/>
    <w:rsid w:val="007647E0"/>
    <w:rsid w:val="00764E2A"/>
    <w:rsid w:val="00771B3D"/>
    <w:rsid w:val="00771D98"/>
    <w:rsid w:val="00771FEB"/>
    <w:rsid w:val="0077442A"/>
    <w:rsid w:val="00774F5E"/>
    <w:rsid w:val="007755DF"/>
    <w:rsid w:val="007767BC"/>
    <w:rsid w:val="00780F19"/>
    <w:rsid w:val="00781E8B"/>
    <w:rsid w:val="0078408A"/>
    <w:rsid w:val="00784FF3"/>
    <w:rsid w:val="00786041"/>
    <w:rsid w:val="007870B4"/>
    <w:rsid w:val="00787AC5"/>
    <w:rsid w:val="0079720E"/>
    <w:rsid w:val="007A1E4C"/>
    <w:rsid w:val="007A1EF5"/>
    <w:rsid w:val="007A5F6E"/>
    <w:rsid w:val="007A5FBC"/>
    <w:rsid w:val="007B06F2"/>
    <w:rsid w:val="007B3181"/>
    <w:rsid w:val="007B3B0D"/>
    <w:rsid w:val="007B51F2"/>
    <w:rsid w:val="007B6B3C"/>
    <w:rsid w:val="007C2F57"/>
    <w:rsid w:val="007C302B"/>
    <w:rsid w:val="007C4BE1"/>
    <w:rsid w:val="007C53A6"/>
    <w:rsid w:val="007C6390"/>
    <w:rsid w:val="007C769C"/>
    <w:rsid w:val="007D4B31"/>
    <w:rsid w:val="007D5034"/>
    <w:rsid w:val="007D5D64"/>
    <w:rsid w:val="007D642B"/>
    <w:rsid w:val="007E12DB"/>
    <w:rsid w:val="007E25EE"/>
    <w:rsid w:val="007E2A22"/>
    <w:rsid w:val="007E3498"/>
    <w:rsid w:val="007E3972"/>
    <w:rsid w:val="007E53C1"/>
    <w:rsid w:val="007E541C"/>
    <w:rsid w:val="007F166B"/>
    <w:rsid w:val="007F3D8E"/>
    <w:rsid w:val="007F51EA"/>
    <w:rsid w:val="007F5703"/>
    <w:rsid w:val="007F5EB7"/>
    <w:rsid w:val="007F68AB"/>
    <w:rsid w:val="00800445"/>
    <w:rsid w:val="0080096E"/>
    <w:rsid w:val="00801915"/>
    <w:rsid w:val="008033AA"/>
    <w:rsid w:val="00804C31"/>
    <w:rsid w:val="0080763F"/>
    <w:rsid w:val="00811AA9"/>
    <w:rsid w:val="0081775E"/>
    <w:rsid w:val="00817B63"/>
    <w:rsid w:val="00820622"/>
    <w:rsid w:val="00820E29"/>
    <w:rsid w:val="00821317"/>
    <w:rsid w:val="00822741"/>
    <w:rsid w:val="00824409"/>
    <w:rsid w:val="00824610"/>
    <w:rsid w:val="00824AED"/>
    <w:rsid w:val="008250C3"/>
    <w:rsid w:val="00826025"/>
    <w:rsid w:val="00834866"/>
    <w:rsid w:val="00834C6C"/>
    <w:rsid w:val="008362B9"/>
    <w:rsid w:val="00840B27"/>
    <w:rsid w:val="008466CA"/>
    <w:rsid w:val="008510C6"/>
    <w:rsid w:val="008519AD"/>
    <w:rsid w:val="00852271"/>
    <w:rsid w:val="008540A4"/>
    <w:rsid w:val="00857A03"/>
    <w:rsid w:val="008617D3"/>
    <w:rsid w:val="008633CF"/>
    <w:rsid w:val="00865294"/>
    <w:rsid w:val="00866459"/>
    <w:rsid w:val="008674BE"/>
    <w:rsid w:val="00870002"/>
    <w:rsid w:val="0087045E"/>
    <w:rsid w:val="00871245"/>
    <w:rsid w:val="00873602"/>
    <w:rsid w:val="00873AE6"/>
    <w:rsid w:val="00874122"/>
    <w:rsid w:val="00875D10"/>
    <w:rsid w:val="00877DF3"/>
    <w:rsid w:val="00885194"/>
    <w:rsid w:val="00885B11"/>
    <w:rsid w:val="008865AC"/>
    <w:rsid w:val="008931F3"/>
    <w:rsid w:val="00895407"/>
    <w:rsid w:val="00897350"/>
    <w:rsid w:val="00897B31"/>
    <w:rsid w:val="008A18ED"/>
    <w:rsid w:val="008A32CA"/>
    <w:rsid w:val="008A4D79"/>
    <w:rsid w:val="008B08BF"/>
    <w:rsid w:val="008B3852"/>
    <w:rsid w:val="008B4F17"/>
    <w:rsid w:val="008B582E"/>
    <w:rsid w:val="008B5EDB"/>
    <w:rsid w:val="008B6FE9"/>
    <w:rsid w:val="008B7F93"/>
    <w:rsid w:val="008C5EF8"/>
    <w:rsid w:val="008D0112"/>
    <w:rsid w:val="008D09D1"/>
    <w:rsid w:val="008D2268"/>
    <w:rsid w:val="008D2D66"/>
    <w:rsid w:val="008D4143"/>
    <w:rsid w:val="008D4631"/>
    <w:rsid w:val="008D5CA7"/>
    <w:rsid w:val="008E0E08"/>
    <w:rsid w:val="008E0E09"/>
    <w:rsid w:val="008E379D"/>
    <w:rsid w:val="008E4021"/>
    <w:rsid w:val="008E44DC"/>
    <w:rsid w:val="008E51CC"/>
    <w:rsid w:val="008E5437"/>
    <w:rsid w:val="008F04C5"/>
    <w:rsid w:val="008F160E"/>
    <w:rsid w:val="008F26CC"/>
    <w:rsid w:val="00900FC2"/>
    <w:rsid w:val="0090117F"/>
    <w:rsid w:val="00907260"/>
    <w:rsid w:val="00912C4C"/>
    <w:rsid w:val="00913D6B"/>
    <w:rsid w:val="0091693E"/>
    <w:rsid w:val="0092333D"/>
    <w:rsid w:val="00923887"/>
    <w:rsid w:val="00924CF6"/>
    <w:rsid w:val="00927894"/>
    <w:rsid w:val="0092794C"/>
    <w:rsid w:val="0093177C"/>
    <w:rsid w:val="00931A5D"/>
    <w:rsid w:val="009327B3"/>
    <w:rsid w:val="0093349D"/>
    <w:rsid w:val="00934892"/>
    <w:rsid w:val="00934EB4"/>
    <w:rsid w:val="00936E26"/>
    <w:rsid w:val="009370CC"/>
    <w:rsid w:val="00941D73"/>
    <w:rsid w:val="009445B9"/>
    <w:rsid w:val="00944C7F"/>
    <w:rsid w:val="0095136E"/>
    <w:rsid w:val="00953635"/>
    <w:rsid w:val="0095685E"/>
    <w:rsid w:val="009574B5"/>
    <w:rsid w:val="00963B43"/>
    <w:rsid w:val="0096448A"/>
    <w:rsid w:val="0096472A"/>
    <w:rsid w:val="00965427"/>
    <w:rsid w:val="00965F5A"/>
    <w:rsid w:val="00965FC3"/>
    <w:rsid w:val="0096685C"/>
    <w:rsid w:val="00971530"/>
    <w:rsid w:val="0097199D"/>
    <w:rsid w:val="009723E3"/>
    <w:rsid w:val="00973B9E"/>
    <w:rsid w:val="009755E8"/>
    <w:rsid w:val="00976EB1"/>
    <w:rsid w:val="00983D12"/>
    <w:rsid w:val="00984D4C"/>
    <w:rsid w:val="00985668"/>
    <w:rsid w:val="00992A25"/>
    <w:rsid w:val="009941F8"/>
    <w:rsid w:val="00995E1C"/>
    <w:rsid w:val="00995EA2"/>
    <w:rsid w:val="0099675D"/>
    <w:rsid w:val="00996B32"/>
    <w:rsid w:val="009A3D54"/>
    <w:rsid w:val="009A3FFB"/>
    <w:rsid w:val="009A6B3D"/>
    <w:rsid w:val="009A6C3E"/>
    <w:rsid w:val="009B1090"/>
    <w:rsid w:val="009B1B01"/>
    <w:rsid w:val="009B3C20"/>
    <w:rsid w:val="009B489B"/>
    <w:rsid w:val="009C09FF"/>
    <w:rsid w:val="009C1199"/>
    <w:rsid w:val="009C1209"/>
    <w:rsid w:val="009C21F1"/>
    <w:rsid w:val="009C560D"/>
    <w:rsid w:val="009C5A49"/>
    <w:rsid w:val="009D21C5"/>
    <w:rsid w:val="009D2802"/>
    <w:rsid w:val="009D3BAC"/>
    <w:rsid w:val="009D56F3"/>
    <w:rsid w:val="009E2E45"/>
    <w:rsid w:val="009E34F5"/>
    <w:rsid w:val="009E3EF8"/>
    <w:rsid w:val="009E521D"/>
    <w:rsid w:val="009E52F4"/>
    <w:rsid w:val="009E5F3D"/>
    <w:rsid w:val="009E6ABA"/>
    <w:rsid w:val="009E7431"/>
    <w:rsid w:val="009F0561"/>
    <w:rsid w:val="009F0827"/>
    <w:rsid w:val="009F0E07"/>
    <w:rsid w:val="009F18C4"/>
    <w:rsid w:val="009F3CD1"/>
    <w:rsid w:val="009F3EA9"/>
    <w:rsid w:val="009F446F"/>
    <w:rsid w:val="009F4DBE"/>
    <w:rsid w:val="009F5E79"/>
    <w:rsid w:val="009F72E7"/>
    <w:rsid w:val="00A16E98"/>
    <w:rsid w:val="00A17169"/>
    <w:rsid w:val="00A172F2"/>
    <w:rsid w:val="00A20029"/>
    <w:rsid w:val="00A23045"/>
    <w:rsid w:val="00A24B52"/>
    <w:rsid w:val="00A24D85"/>
    <w:rsid w:val="00A2599A"/>
    <w:rsid w:val="00A30073"/>
    <w:rsid w:val="00A36E41"/>
    <w:rsid w:val="00A4182E"/>
    <w:rsid w:val="00A42462"/>
    <w:rsid w:val="00A42F5C"/>
    <w:rsid w:val="00A46F7C"/>
    <w:rsid w:val="00A471C2"/>
    <w:rsid w:val="00A51794"/>
    <w:rsid w:val="00A5186E"/>
    <w:rsid w:val="00A51B64"/>
    <w:rsid w:val="00A54047"/>
    <w:rsid w:val="00A55D06"/>
    <w:rsid w:val="00A568A3"/>
    <w:rsid w:val="00A630A6"/>
    <w:rsid w:val="00A63D1F"/>
    <w:rsid w:val="00A72A81"/>
    <w:rsid w:val="00A810E0"/>
    <w:rsid w:val="00A941BE"/>
    <w:rsid w:val="00A96324"/>
    <w:rsid w:val="00A96C57"/>
    <w:rsid w:val="00A97609"/>
    <w:rsid w:val="00A978F9"/>
    <w:rsid w:val="00AA28EA"/>
    <w:rsid w:val="00AA33E9"/>
    <w:rsid w:val="00AB03ED"/>
    <w:rsid w:val="00AB1EDD"/>
    <w:rsid w:val="00AB2DE5"/>
    <w:rsid w:val="00AB3E0E"/>
    <w:rsid w:val="00AB3F76"/>
    <w:rsid w:val="00AB7521"/>
    <w:rsid w:val="00AC0451"/>
    <w:rsid w:val="00AC248D"/>
    <w:rsid w:val="00AC4459"/>
    <w:rsid w:val="00AC4B70"/>
    <w:rsid w:val="00AC4CF0"/>
    <w:rsid w:val="00AC6F92"/>
    <w:rsid w:val="00AC76C8"/>
    <w:rsid w:val="00AD07A1"/>
    <w:rsid w:val="00AD0F05"/>
    <w:rsid w:val="00AD15F0"/>
    <w:rsid w:val="00AD2081"/>
    <w:rsid w:val="00AD2C23"/>
    <w:rsid w:val="00AD2CB1"/>
    <w:rsid w:val="00AE044B"/>
    <w:rsid w:val="00AE29B9"/>
    <w:rsid w:val="00AE385C"/>
    <w:rsid w:val="00AE43FD"/>
    <w:rsid w:val="00AE5FA4"/>
    <w:rsid w:val="00AF448C"/>
    <w:rsid w:val="00AF4D4D"/>
    <w:rsid w:val="00AF5185"/>
    <w:rsid w:val="00AF53CC"/>
    <w:rsid w:val="00AF7BEC"/>
    <w:rsid w:val="00B01ACD"/>
    <w:rsid w:val="00B02014"/>
    <w:rsid w:val="00B05A2E"/>
    <w:rsid w:val="00B1014B"/>
    <w:rsid w:val="00B10647"/>
    <w:rsid w:val="00B10666"/>
    <w:rsid w:val="00B10E38"/>
    <w:rsid w:val="00B10FC1"/>
    <w:rsid w:val="00B134FD"/>
    <w:rsid w:val="00B13635"/>
    <w:rsid w:val="00B13699"/>
    <w:rsid w:val="00B15251"/>
    <w:rsid w:val="00B157DB"/>
    <w:rsid w:val="00B17C1C"/>
    <w:rsid w:val="00B17C58"/>
    <w:rsid w:val="00B23AA1"/>
    <w:rsid w:val="00B24CE1"/>
    <w:rsid w:val="00B26739"/>
    <w:rsid w:val="00B2781F"/>
    <w:rsid w:val="00B32C35"/>
    <w:rsid w:val="00B37081"/>
    <w:rsid w:val="00B402A7"/>
    <w:rsid w:val="00B403FD"/>
    <w:rsid w:val="00B41A7D"/>
    <w:rsid w:val="00B4292E"/>
    <w:rsid w:val="00B42E48"/>
    <w:rsid w:val="00B448F1"/>
    <w:rsid w:val="00B46A42"/>
    <w:rsid w:val="00B50A78"/>
    <w:rsid w:val="00B51863"/>
    <w:rsid w:val="00B51F1A"/>
    <w:rsid w:val="00B55F7C"/>
    <w:rsid w:val="00B57568"/>
    <w:rsid w:val="00B608B5"/>
    <w:rsid w:val="00B6173D"/>
    <w:rsid w:val="00B62FFE"/>
    <w:rsid w:val="00B648A2"/>
    <w:rsid w:val="00B707BD"/>
    <w:rsid w:val="00B73BCB"/>
    <w:rsid w:val="00B7595B"/>
    <w:rsid w:val="00B82172"/>
    <w:rsid w:val="00B82479"/>
    <w:rsid w:val="00B8637D"/>
    <w:rsid w:val="00B8749A"/>
    <w:rsid w:val="00B90299"/>
    <w:rsid w:val="00B9037F"/>
    <w:rsid w:val="00B91413"/>
    <w:rsid w:val="00B91ECE"/>
    <w:rsid w:val="00B92C98"/>
    <w:rsid w:val="00B948A0"/>
    <w:rsid w:val="00B9568B"/>
    <w:rsid w:val="00B956BA"/>
    <w:rsid w:val="00BA011F"/>
    <w:rsid w:val="00BA4DE8"/>
    <w:rsid w:val="00BA558E"/>
    <w:rsid w:val="00BA7982"/>
    <w:rsid w:val="00BA7FA0"/>
    <w:rsid w:val="00BB16AA"/>
    <w:rsid w:val="00BB20FE"/>
    <w:rsid w:val="00BB32AF"/>
    <w:rsid w:val="00BB4E58"/>
    <w:rsid w:val="00BB668C"/>
    <w:rsid w:val="00BB7935"/>
    <w:rsid w:val="00BC0398"/>
    <w:rsid w:val="00BC1AC9"/>
    <w:rsid w:val="00BC24B6"/>
    <w:rsid w:val="00BC2924"/>
    <w:rsid w:val="00BC3398"/>
    <w:rsid w:val="00BC3ADA"/>
    <w:rsid w:val="00BC64EA"/>
    <w:rsid w:val="00BD0061"/>
    <w:rsid w:val="00BD5C07"/>
    <w:rsid w:val="00BE4A95"/>
    <w:rsid w:val="00BE6F93"/>
    <w:rsid w:val="00BE744C"/>
    <w:rsid w:val="00BF25F8"/>
    <w:rsid w:val="00BF2F88"/>
    <w:rsid w:val="00BF4578"/>
    <w:rsid w:val="00BF702C"/>
    <w:rsid w:val="00BF7A24"/>
    <w:rsid w:val="00C03524"/>
    <w:rsid w:val="00C043C1"/>
    <w:rsid w:val="00C0583D"/>
    <w:rsid w:val="00C10405"/>
    <w:rsid w:val="00C10AC1"/>
    <w:rsid w:val="00C11934"/>
    <w:rsid w:val="00C11A42"/>
    <w:rsid w:val="00C12218"/>
    <w:rsid w:val="00C12C2E"/>
    <w:rsid w:val="00C14A90"/>
    <w:rsid w:val="00C14ECB"/>
    <w:rsid w:val="00C1637D"/>
    <w:rsid w:val="00C21C6A"/>
    <w:rsid w:val="00C22055"/>
    <w:rsid w:val="00C22CB1"/>
    <w:rsid w:val="00C234CF"/>
    <w:rsid w:val="00C23A88"/>
    <w:rsid w:val="00C27E90"/>
    <w:rsid w:val="00C3007D"/>
    <w:rsid w:val="00C336E5"/>
    <w:rsid w:val="00C352CA"/>
    <w:rsid w:val="00C35F55"/>
    <w:rsid w:val="00C430E9"/>
    <w:rsid w:val="00C458FB"/>
    <w:rsid w:val="00C45F23"/>
    <w:rsid w:val="00C47FFB"/>
    <w:rsid w:val="00C5013D"/>
    <w:rsid w:val="00C50A0E"/>
    <w:rsid w:val="00C5120F"/>
    <w:rsid w:val="00C51E79"/>
    <w:rsid w:val="00C5268D"/>
    <w:rsid w:val="00C528AE"/>
    <w:rsid w:val="00C528E4"/>
    <w:rsid w:val="00C54544"/>
    <w:rsid w:val="00C5494D"/>
    <w:rsid w:val="00C54A23"/>
    <w:rsid w:val="00C56BBE"/>
    <w:rsid w:val="00C57E75"/>
    <w:rsid w:val="00C616D5"/>
    <w:rsid w:val="00C64A22"/>
    <w:rsid w:val="00C6508F"/>
    <w:rsid w:val="00C65EFC"/>
    <w:rsid w:val="00C66122"/>
    <w:rsid w:val="00C66C90"/>
    <w:rsid w:val="00C70D28"/>
    <w:rsid w:val="00C71B4E"/>
    <w:rsid w:val="00C7693F"/>
    <w:rsid w:val="00C77AA1"/>
    <w:rsid w:val="00C80121"/>
    <w:rsid w:val="00C81158"/>
    <w:rsid w:val="00C814D5"/>
    <w:rsid w:val="00C836A2"/>
    <w:rsid w:val="00C8466F"/>
    <w:rsid w:val="00C90518"/>
    <w:rsid w:val="00C905D6"/>
    <w:rsid w:val="00C92369"/>
    <w:rsid w:val="00C9349D"/>
    <w:rsid w:val="00C93E35"/>
    <w:rsid w:val="00C9435A"/>
    <w:rsid w:val="00C95574"/>
    <w:rsid w:val="00C95854"/>
    <w:rsid w:val="00CA07AE"/>
    <w:rsid w:val="00CA096E"/>
    <w:rsid w:val="00CA2B6C"/>
    <w:rsid w:val="00CA2D42"/>
    <w:rsid w:val="00CA5B51"/>
    <w:rsid w:val="00CA6C76"/>
    <w:rsid w:val="00CA7F84"/>
    <w:rsid w:val="00CB3700"/>
    <w:rsid w:val="00CB5A18"/>
    <w:rsid w:val="00CB742D"/>
    <w:rsid w:val="00CB747A"/>
    <w:rsid w:val="00CB7FF7"/>
    <w:rsid w:val="00CC1ED0"/>
    <w:rsid w:val="00CC379E"/>
    <w:rsid w:val="00CC3F03"/>
    <w:rsid w:val="00CC50BE"/>
    <w:rsid w:val="00CC5B65"/>
    <w:rsid w:val="00CC724F"/>
    <w:rsid w:val="00CD36BC"/>
    <w:rsid w:val="00CD4F7A"/>
    <w:rsid w:val="00CE0946"/>
    <w:rsid w:val="00CE1B19"/>
    <w:rsid w:val="00CE7A16"/>
    <w:rsid w:val="00CF0498"/>
    <w:rsid w:val="00CF15F5"/>
    <w:rsid w:val="00CF210D"/>
    <w:rsid w:val="00CF2FB3"/>
    <w:rsid w:val="00CF6023"/>
    <w:rsid w:val="00CF6FDB"/>
    <w:rsid w:val="00D02124"/>
    <w:rsid w:val="00D02D40"/>
    <w:rsid w:val="00D03778"/>
    <w:rsid w:val="00D06111"/>
    <w:rsid w:val="00D10A91"/>
    <w:rsid w:val="00D14AF8"/>
    <w:rsid w:val="00D15EE7"/>
    <w:rsid w:val="00D1655C"/>
    <w:rsid w:val="00D215DF"/>
    <w:rsid w:val="00D22D32"/>
    <w:rsid w:val="00D23349"/>
    <w:rsid w:val="00D25216"/>
    <w:rsid w:val="00D26834"/>
    <w:rsid w:val="00D30E68"/>
    <w:rsid w:val="00D322C0"/>
    <w:rsid w:val="00D32470"/>
    <w:rsid w:val="00D35BA5"/>
    <w:rsid w:val="00D367E4"/>
    <w:rsid w:val="00D370F7"/>
    <w:rsid w:val="00D378F1"/>
    <w:rsid w:val="00D403F5"/>
    <w:rsid w:val="00D40BB2"/>
    <w:rsid w:val="00D417AF"/>
    <w:rsid w:val="00D42FB6"/>
    <w:rsid w:val="00D50010"/>
    <w:rsid w:val="00D52A2C"/>
    <w:rsid w:val="00D532E6"/>
    <w:rsid w:val="00D539A8"/>
    <w:rsid w:val="00D54DAC"/>
    <w:rsid w:val="00D55A8C"/>
    <w:rsid w:val="00D5628C"/>
    <w:rsid w:val="00D62168"/>
    <w:rsid w:val="00D629D5"/>
    <w:rsid w:val="00D642D3"/>
    <w:rsid w:val="00D64FD2"/>
    <w:rsid w:val="00D66E62"/>
    <w:rsid w:val="00D7467D"/>
    <w:rsid w:val="00D759D5"/>
    <w:rsid w:val="00D765F0"/>
    <w:rsid w:val="00D774FF"/>
    <w:rsid w:val="00D779CB"/>
    <w:rsid w:val="00D80B1D"/>
    <w:rsid w:val="00D80FA3"/>
    <w:rsid w:val="00D81B1A"/>
    <w:rsid w:val="00D82D0F"/>
    <w:rsid w:val="00D833BE"/>
    <w:rsid w:val="00D837D4"/>
    <w:rsid w:val="00D84DD5"/>
    <w:rsid w:val="00D86CF4"/>
    <w:rsid w:val="00D87337"/>
    <w:rsid w:val="00D90BCA"/>
    <w:rsid w:val="00D92361"/>
    <w:rsid w:val="00D928C6"/>
    <w:rsid w:val="00D94937"/>
    <w:rsid w:val="00DA266C"/>
    <w:rsid w:val="00DA317A"/>
    <w:rsid w:val="00DA4DFD"/>
    <w:rsid w:val="00DA5279"/>
    <w:rsid w:val="00DA527E"/>
    <w:rsid w:val="00DA5472"/>
    <w:rsid w:val="00DA54BE"/>
    <w:rsid w:val="00DB00C8"/>
    <w:rsid w:val="00DB2346"/>
    <w:rsid w:val="00DB34E4"/>
    <w:rsid w:val="00DB370A"/>
    <w:rsid w:val="00DB4571"/>
    <w:rsid w:val="00DB6271"/>
    <w:rsid w:val="00DC0A6A"/>
    <w:rsid w:val="00DC2B19"/>
    <w:rsid w:val="00DC3532"/>
    <w:rsid w:val="00DC416E"/>
    <w:rsid w:val="00DC508A"/>
    <w:rsid w:val="00DD2E85"/>
    <w:rsid w:val="00DD4E81"/>
    <w:rsid w:val="00DD72E0"/>
    <w:rsid w:val="00DE29E0"/>
    <w:rsid w:val="00DE4456"/>
    <w:rsid w:val="00DE52DA"/>
    <w:rsid w:val="00DE5481"/>
    <w:rsid w:val="00DE6042"/>
    <w:rsid w:val="00DF013A"/>
    <w:rsid w:val="00DF1AEC"/>
    <w:rsid w:val="00DF2372"/>
    <w:rsid w:val="00DF284B"/>
    <w:rsid w:val="00DF2E1E"/>
    <w:rsid w:val="00DF4295"/>
    <w:rsid w:val="00DF44E7"/>
    <w:rsid w:val="00DF665F"/>
    <w:rsid w:val="00E02088"/>
    <w:rsid w:val="00E02151"/>
    <w:rsid w:val="00E02D97"/>
    <w:rsid w:val="00E05992"/>
    <w:rsid w:val="00E07635"/>
    <w:rsid w:val="00E1103D"/>
    <w:rsid w:val="00E13E51"/>
    <w:rsid w:val="00E1538F"/>
    <w:rsid w:val="00E15A4A"/>
    <w:rsid w:val="00E165FB"/>
    <w:rsid w:val="00E2099D"/>
    <w:rsid w:val="00E20E6B"/>
    <w:rsid w:val="00E27CBD"/>
    <w:rsid w:val="00E312D8"/>
    <w:rsid w:val="00E3190E"/>
    <w:rsid w:val="00E31A70"/>
    <w:rsid w:val="00E323E9"/>
    <w:rsid w:val="00E34AD9"/>
    <w:rsid w:val="00E35558"/>
    <w:rsid w:val="00E37893"/>
    <w:rsid w:val="00E40A95"/>
    <w:rsid w:val="00E413EF"/>
    <w:rsid w:val="00E42425"/>
    <w:rsid w:val="00E42C58"/>
    <w:rsid w:val="00E430B3"/>
    <w:rsid w:val="00E452C8"/>
    <w:rsid w:val="00E4600E"/>
    <w:rsid w:val="00E4653C"/>
    <w:rsid w:val="00E508EE"/>
    <w:rsid w:val="00E50BB0"/>
    <w:rsid w:val="00E52527"/>
    <w:rsid w:val="00E53123"/>
    <w:rsid w:val="00E56378"/>
    <w:rsid w:val="00E56437"/>
    <w:rsid w:val="00E626EC"/>
    <w:rsid w:val="00E638EC"/>
    <w:rsid w:val="00E653DC"/>
    <w:rsid w:val="00E66489"/>
    <w:rsid w:val="00E66D3A"/>
    <w:rsid w:val="00E70D1A"/>
    <w:rsid w:val="00E71B4A"/>
    <w:rsid w:val="00E72906"/>
    <w:rsid w:val="00E73F6A"/>
    <w:rsid w:val="00E7518E"/>
    <w:rsid w:val="00E75A14"/>
    <w:rsid w:val="00E76BDF"/>
    <w:rsid w:val="00E80F89"/>
    <w:rsid w:val="00E81949"/>
    <w:rsid w:val="00E851A1"/>
    <w:rsid w:val="00E85EB6"/>
    <w:rsid w:val="00E8761B"/>
    <w:rsid w:val="00E91743"/>
    <w:rsid w:val="00E92AAE"/>
    <w:rsid w:val="00E92BD4"/>
    <w:rsid w:val="00EA4EFD"/>
    <w:rsid w:val="00EA64A5"/>
    <w:rsid w:val="00EA782E"/>
    <w:rsid w:val="00EA7FBE"/>
    <w:rsid w:val="00EB1C88"/>
    <w:rsid w:val="00EB4E36"/>
    <w:rsid w:val="00EB546F"/>
    <w:rsid w:val="00EB6986"/>
    <w:rsid w:val="00EB6995"/>
    <w:rsid w:val="00EC12D4"/>
    <w:rsid w:val="00EC73E4"/>
    <w:rsid w:val="00EC7F03"/>
    <w:rsid w:val="00ED0583"/>
    <w:rsid w:val="00ED059C"/>
    <w:rsid w:val="00ED368D"/>
    <w:rsid w:val="00ED384B"/>
    <w:rsid w:val="00ED4781"/>
    <w:rsid w:val="00ED51B0"/>
    <w:rsid w:val="00ED5A39"/>
    <w:rsid w:val="00ED6F51"/>
    <w:rsid w:val="00ED7924"/>
    <w:rsid w:val="00EE12B1"/>
    <w:rsid w:val="00EE1C97"/>
    <w:rsid w:val="00EE5227"/>
    <w:rsid w:val="00EE6663"/>
    <w:rsid w:val="00EE71F4"/>
    <w:rsid w:val="00EF083F"/>
    <w:rsid w:val="00EF0CA3"/>
    <w:rsid w:val="00EF0FD9"/>
    <w:rsid w:val="00EF68E2"/>
    <w:rsid w:val="00F00052"/>
    <w:rsid w:val="00F04C13"/>
    <w:rsid w:val="00F04EED"/>
    <w:rsid w:val="00F10635"/>
    <w:rsid w:val="00F1318A"/>
    <w:rsid w:val="00F14C49"/>
    <w:rsid w:val="00F15AF2"/>
    <w:rsid w:val="00F15BA0"/>
    <w:rsid w:val="00F25749"/>
    <w:rsid w:val="00F25EC5"/>
    <w:rsid w:val="00F275A8"/>
    <w:rsid w:val="00F30C01"/>
    <w:rsid w:val="00F3271C"/>
    <w:rsid w:val="00F32800"/>
    <w:rsid w:val="00F33BFF"/>
    <w:rsid w:val="00F34F23"/>
    <w:rsid w:val="00F34F95"/>
    <w:rsid w:val="00F35173"/>
    <w:rsid w:val="00F41F08"/>
    <w:rsid w:val="00F42B61"/>
    <w:rsid w:val="00F43F0E"/>
    <w:rsid w:val="00F4654D"/>
    <w:rsid w:val="00F468A3"/>
    <w:rsid w:val="00F50BD0"/>
    <w:rsid w:val="00F50DC2"/>
    <w:rsid w:val="00F520CB"/>
    <w:rsid w:val="00F52498"/>
    <w:rsid w:val="00F52F9E"/>
    <w:rsid w:val="00F53230"/>
    <w:rsid w:val="00F53E33"/>
    <w:rsid w:val="00F5500B"/>
    <w:rsid w:val="00F554AB"/>
    <w:rsid w:val="00F55BE5"/>
    <w:rsid w:val="00F602E9"/>
    <w:rsid w:val="00F609CD"/>
    <w:rsid w:val="00F60E63"/>
    <w:rsid w:val="00F618CC"/>
    <w:rsid w:val="00F6277A"/>
    <w:rsid w:val="00F62B65"/>
    <w:rsid w:val="00F65BC7"/>
    <w:rsid w:val="00F65E90"/>
    <w:rsid w:val="00F673D2"/>
    <w:rsid w:val="00F6799B"/>
    <w:rsid w:val="00F71457"/>
    <w:rsid w:val="00F7427F"/>
    <w:rsid w:val="00F75398"/>
    <w:rsid w:val="00F76CA0"/>
    <w:rsid w:val="00F77428"/>
    <w:rsid w:val="00F855ED"/>
    <w:rsid w:val="00F91A0E"/>
    <w:rsid w:val="00FA0E70"/>
    <w:rsid w:val="00FA0E71"/>
    <w:rsid w:val="00FA3590"/>
    <w:rsid w:val="00FA5DA7"/>
    <w:rsid w:val="00FB004E"/>
    <w:rsid w:val="00FB1CC4"/>
    <w:rsid w:val="00FB21FF"/>
    <w:rsid w:val="00FB56A1"/>
    <w:rsid w:val="00FC16E1"/>
    <w:rsid w:val="00FC27EE"/>
    <w:rsid w:val="00FC3B76"/>
    <w:rsid w:val="00FC578C"/>
    <w:rsid w:val="00FD1256"/>
    <w:rsid w:val="00FD29CB"/>
    <w:rsid w:val="00FD434D"/>
    <w:rsid w:val="00FD4E57"/>
    <w:rsid w:val="00FD5C57"/>
    <w:rsid w:val="00FE0EDC"/>
    <w:rsid w:val="00FE101A"/>
    <w:rsid w:val="00FE34FB"/>
    <w:rsid w:val="00FE4073"/>
    <w:rsid w:val="00FE6297"/>
    <w:rsid w:val="00FF0AF1"/>
    <w:rsid w:val="00FF3119"/>
    <w:rsid w:val="00FF49F5"/>
    <w:rsid w:val="00FF5627"/>
    <w:rsid w:val="00FF57B3"/>
    <w:rsid w:val="00FF6FE6"/>
    <w:rsid w:val="00FF7ADD"/>
    <w:rsid w:val="00FF7DCC"/>
    <w:rsid w:val="0128129A"/>
    <w:rsid w:val="014F4893"/>
    <w:rsid w:val="068238FE"/>
    <w:rsid w:val="07520C39"/>
    <w:rsid w:val="0AC97A10"/>
    <w:rsid w:val="0C734AA9"/>
    <w:rsid w:val="0CB51CE5"/>
    <w:rsid w:val="0E213113"/>
    <w:rsid w:val="0F7912AA"/>
    <w:rsid w:val="10EE19D3"/>
    <w:rsid w:val="12E33098"/>
    <w:rsid w:val="14F50E56"/>
    <w:rsid w:val="15107A3E"/>
    <w:rsid w:val="16C64858"/>
    <w:rsid w:val="174C1B02"/>
    <w:rsid w:val="1AC83294"/>
    <w:rsid w:val="1CEE0809"/>
    <w:rsid w:val="1D94745E"/>
    <w:rsid w:val="1E8C71C6"/>
    <w:rsid w:val="1F6C22E5"/>
    <w:rsid w:val="20053D71"/>
    <w:rsid w:val="2250482D"/>
    <w:rsid w:val="22EE13BE"/>
    <w:rsid w:val="23276B60"/>
    <w:rsid w:val="29491AEB"/>
    <w:rsid w:val="2ACA0963"/>
    <w:rsid w:val="2B4029D3"/>
    <w:rsid w:val="2BDE3F9A"/>
    <w:rsid w:val="2FC9018A"/>
    <w:rsid w:val="35A434F0"/>
    <w:rsid w:val="35E54477"/>
    <w:rsid w:val="37DC4A90"/>
    <w:rsid w:val="39EC75DB"/>
    <w:rsid w:val="3B581673"/>
    <w:rsid w:val="3EA456FB"/>
    <w:rsid w:val="3EBA08A8"/>
    <w:rsid w:val="406919B1"/>
    <w:rsid w:val="407557F0"/>
    <w:rsid w:val="44082603"/>
    <w:rsid w:val="454113CA"/>
    <w:rsid w:val="46B5206F"/>
    <w:rsid w:val="4C692B3F"/>
    <w:rsid w:val="4DC67CB4"/>
    <w:rsid w:val="4E116A3C"/>
    <w:rsid w:val="4E775D34"/>
    <w:rsid w:val="51BD037A"/>
    <w:rsid w:val="536A2433"/>
    <w:rsid w:val="552C79A0"/>
    <w:rsid w:val="564700A9"/>
    <w:rsid w:val="57F24C6F"/>
    <w:rsid w:val="581F559B"/>
    <w:rsid w:val="58E85D30"/>
    <w:rsid w:val="591C1711"/>
    <w:rsid w:val="5A6C6A91"/>
    <w:rsid w:val="5AF076C2"/>
    <w:rsid w:val="5C0C052C"/>
    <w:rsid w:val="5C1E200D"/>
    <w:rsid w:val="5F944AC0"/>
    <w:rsid w:val="60107EBF"/>
    <w:rsid w:val="640229B5"/>
    <w:rsid w:val="64CD2516"/>
    <w:rsid w:val="66AD6051"/>
    <w:rsid w:val="679A65B6"/>
    <w:rsid w:val="686B482C"/>
    <w:rsid w:val="6A1A3E14"/>
    <w:rsid w:val="6AE34B4E"/>
    <w:rsid w:val="6C262F44"/>
    <w:rsid w:val="71FC02EA"/>
    <w:rsid w:val="73832A2A"/>
    <w:rsid w:val="77A45665"/>
    <w:rsid w:val="77F71C38"/>
    <w:rsid w:val="780B1240"/>
    <w:rsid w:val="79B75DF1"/>
    <w:rsid w:val="7A804167"/>
    <w:rsid w:val="7AFD57B8"/>
    <w:rsid w:val="7CE06F5E"/>
    <w:rsid w:val="7E6F4F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7"/>
    <w:semiHidden/>
    <w:unhideWhenUsed/>
    <w:qFormat/>
    <w:uiPriority w:val="99"/>
    <w:pPr>
      <w:jc w:val="left"/>
    </w:pPr>
  </w:style>
  <w:style w:type="paragraph" w:styleId="3">
    <w:name w:val="Balloon Text"/>
    <w:basedOn w:val="1"/>
    <w:link w:val="15"/>
    <w:semiHidden/>
    <w:unhideWhenUsed/>
    <w:qFormat/>
    <w:uiPriority w:val="99"/>
    <w:rPr>
      <w:sz w:val="18"/>
      <w:szCs w:val="18"/>
    </w:rPr>
  </w:style>
  <w:style w:type="paragraph" w:styleId="4">
    <w:name w:val="footer"/>
    <w:basedOn w:val="1"/>
    <w:link w:val="14"/>
    <w:unhideWhenUsed/>
    <w:qFormat/>
    <w:uiPriority w:val="99"/>
    <w:pPr>
      <w:tabs>
        <w:tab w:val="center" w:pos="4153"/>
        <w:tab w:val="right" w:pos="8306"/>
      </w:tabs>
      <w:snapToGrid w:val="0"/>
      <w:jc w:val="left"/>
    </w:pPr>
    <w:rPr>
      <w:sz w:val="18"/>
      <w:szCs w:val="18"/>
    </w:rPr>
  </w:style>
  <w:style w:type="paragraph" w:styleId="5">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annotation subject"/>
    <w:basedOn w:val="2"/>
    <w:next w:val="2"/>
    <w:link w:val="18"/>
    <w:semiHidden/>
    <w:unhideWhenUsed/>
    <w:qFormat/>
    <w:uiPriority w:val="99"/>
    <w:rPr>
      <w:b/>
      <w:bCs/>
    </w:rPr>
  </w:style>
  <w:style w:type="table" w:styleId="8">
    <w:name w:val="Table Grid"/>
    <w:basedOn w:val="7"/>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
    <w:name w:val="Light Shading"/>
    <w:basedOn w:val="7"/>
    <w:qFormat/>
    <w:uiPriority w:val="60"/>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character" w:styleId="11">
    <w:name w:val="annotation reference"/>
    <w:basedOn w:val="10"/>
    <w:semiHidden/>
    <w:unhideWhenUsed/>
    <w:qFormat/>
    <w:uiPriority w:val="99"/>
    <w:rPr>
      <w:sz w:val="21"/>
      <w:szCs w:val="21"/>
    </w:rPr>
  </w:style>
  <w:style w:type="paragraph" w:styleId="12">
    <w:name w:val="List Paragraph"/>
    <w:basedOn w:val="1"/>
    <w:qFormat/>
    <w:uiPriority w:val="34"/>
    <w:pPr>
      <w:ind w:firstLine="420" w:firstLineChars="200"/>
    </w:pPr>
  </w:style>
  <w:style w:type="character" w:customStyle="1" w:styleId="13">
    <w:name w:val="页眉 Char"/>
    <w:basedOn w:val="10"/>
    <w:link w:val="5"/>
    <w:qFormat/>
    <w:uiPriority w:val="99"/>
    <w:rPr>
      <w:rFonts w:ascii="Times New Roman" w:hAnsi="Times New Roman" w:eastAsia="宋体" w:cs="Times New Roman"/>
      <w:sz w:val="18"/>
      <w:szCs w:val="18"/>
    </w:rPr>
  </w:style>
  <w:style w:type="character" w:customStyle="1" w:styleId="14">
    <w:name w:val="页脚 Char"/>
    <w:basedOn w:val="10"/>
    <w:link w:val="4"/>
    <w:qFormat/>
    <w:uiPriority w:val="99"/>
    <w:rPr>
      <w:rFonts w:ascii="Times New Roman" w:hAnsi="Times New Roman" w:eastAsia="宋体" w:cs="Times New Roman"/>
      <w:sz w:val="18"/>
      <w:szCs w:val="18"/>
    </w:rPr>
  </w:style>
  <w:style w:type="character" w:customStyle="1" w:styleId="15">
    <w:name w:val="批注框文本 Char"/>
    <w:basedOn w:val="10"/>
    <w:link w:val="3"/>
    <w:semiHidden/>
    <w:qFormat/>
    <w:uiPriority w:val="99"/>
    <w:rPr>
      <w:rFonts w:ascii="Times New Roman" w:hAnsi="Times New Roman" w:eastAsia="宋体" w:cs="Times New Roman"/>
      <w:sz w:val="18"/>
      <w:szCs w:val="18"/>
    </w:rPr>
  </w:style>
  <w:style w:type="paragraph" w:customStyle="1" w:styleId="16">
    <w:name w:val="Table Paragraph"/>
    <w:basedOn w:val="1"/>
    <w:qFormat/>
    <w:uiPriority w:val="1"/>
    <w:pPr>
      <w:jc w:val="left"/>
    </w:pPr>
    <w:rPr>
      <w:rFonts w:asciiTheme="minorHAnsi" w:hAnsiTheme="minorHAnsi" w:eastAsiaTheme="minorEastAsia" w:cstheme="minorBidi"/>
      <w:kern w:val="0"/>
      <w:sz w:val="22"/>
      <w:szCs w:val="22"/>
      <w:lang w:eastAsia="en-US"/>
    </w:rPr>
  </w:style>
  <w:style w:type="character" w:customStyle="1" w:styleId="17">
    <w:name w:val="批注文字 Char"/>
    <w:basedOn w:val="10"/>
    <w:link w:val="2"/>
    <w:semiHidden/>
    <w:qFormat/>
    <w:uiPriority w:val="99"/>
    <w:rPr>
      <w:rFonts w:ascii="Times New Roman" w:hAnsi="Times New Roman" w:eastAsia="宋体" w:cs="Times New Roman"/>
      <w:szCs w:val="20"/>
    </w:rPr>
  </w:style>
  <w:style w:type="character" w:customStyle="1" w:styleId="18">
    <w:name w:val="批注主题 Char"/>
    <w:basedOn w:val="17"/>
    <w:link w:val="6"/>
    <w:semiHidden/>
    <w:qFormat/>
    <w:uiPriority w:val="99"/>
    <w:rPr>
      <w:rFonts w:ascii="Times New Roman" w:hAnsi="Times New Roman" w:eastAsia="宋体" w:cs="Times New Roman"/>
      <w:b/>
      <w:bCs/>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3.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relations xmlns="http://www.yonyou.com/relation"/>
</file>

<file path=customXml/item2.xml><?xml version="1.0" encoding="utf-8"?>
<dataSourceCollection xmlns="http://www.yonyou.com/datasource"/>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FE3991-D225-4E9B-A5B0-58C12833890E}">
  <ds:schemaRefs/>
</ds:datastoreItem>
</file>

<file path=customXml/itemProps2.xml><?xml version="1.0" encoding="utf-8"?>
<ds:datastoreItem xmlns:ds="http://schemas.openxmlformats.org/officeDocument/2006/customXml" ds:itemID="{AA54AE19-62BE-4636-8DF0-19755A626948}">
  <ds:schemaRefs/>
</ds:datastoreItem>
</file>

<file path=customXml/itemProps3.xml><?xml version="1.0" encoding="utf-8"?>
<ds:datastoreItem xmlns:ds="http://schemas.openxmlformats.org/officeDocument/2006/customXml" ds:itemID="{7DF7BF32-A664-4871-9D7C-18ECF4CF1F14}">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1763</Words>
  <Characters>2100</Characters>
  <Lines>155</Lines>
  <Paragraphs>130</Paragraphs>
  <TotalTime>1</TotalTime>
  <ScaleCrop>false</ScaleCrop>
  <LinksUpToDate>false</LinksUpToDate>
  <CharactersWithSpaces>2125</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2025-08-07T09:04:00Z</dcterms:created>
  <dc:creator>hsq</dc:creator>
  <cp:lastModifiedBy>黄舒倩</cp:lastModifiedBy>
  <cp:lastPrinted>2026-01-09T03:50:00Z</cp:lastPrinted>
  <dcterms:modified xsi:type="dcterms:W3CDTF">2026-03-30T09:15:44Z</dcterms:modified>
  <cp:revision>524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eyJoZGlkIjoiYjc3NTVmODk5OWI4YTU0YmU5MTlhYzJjMjBkNzFlNmEiLCJ1c2VySWQiOiIyNDMwNTgyMjAifQ==</vt:lpwstr>
  </property>
  <property fmtid="{D5CDD505-2E9C-101B-9397-08002B2CF9AE}" pid="3" name="KSOProductBuildVer">
    <vt:lpwstr>2052-12.1.0.25225</vt:lpwstr>
  </property>
  <property fmtid="{D5CDD505-2E9C-101B-9397-08002B2CF9AE}" pid="4" name="ICV">
    <vt:lpwstr>0499C7DC4DDA4E768E963F1986A55D22_12</vt:lpwstr>
  </property>
</Properties>
</file>