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BCDACB" w14:textId="77777777" w:rsidR="004815E0" w:rsidRDefault="002D7458">
      <w:pPr>
        <w:spacing w:line="360" w:lineRule="auto"/>
        <w:jc w:val="both"/>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证券代码：301178    证券简称：天亿马    公告编号：2026-013</w:t>
      </w:r>
    </w:p>
    <w:p w14:paraId="25EE0326" w14:textId="77777777" w:rsidR="004815E0" w:rsidRDefault="002D7458">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48DD06F3" w14:textId="77777777" w:rsidR="004815E0" w:rsidRDefault="002D7458">
      <w:pPr>
        <w:widowControl w:val="0"/>
        <w:kinsoku/>
        <w:snapToGrid/>
        <w:spacing w:line="360" w:lineRule="auto"/>
        <w:jc w:val="center"/>
        <w:textAlignment w:val="auto"/>
        <w:rPr>
          <w:rFonts w:ascii="宋体" w:eastAsia="宋体" w:hAnsi="宋体" w:cs="宋体"/>
          <w:b/>
          <w:bCs/>
          <w:sz w:val="30"/>
          <w:szCs w:val="30"/>
          <w:lang w:eastAsia="zh-CN"/>
        </w:rPr>
      </w:pPr>
      <w:r>
        <w:rPr>
          <w:rFonts w:ascii="黑体" w:eastAsia="黑体" w:hAnsi="黑体" w:cs="Times New Roman" w:hint="eastAsia"/>
          <w:snapToGrid/>
          <w:kern w:val="2"/>
          <w:sz w:val="36"/>
          <w:szCs w:val="36"/>
          <w:lang w:eastAsia="zh-CN"/>
        </w:rPr>
        <w:t>第四届董事会第五次会议决议公告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4815E0" w14:paraId="3E8A0A93" w14:textId="77777777">
        <w:trPr>
          <w:trHeight w:val="776"/>
        </w:trPr>
        <w:tc>
          <w:tcPr>
            <w:tcW w:w="7962" w:type="dxa"/>
          </w:tcPr>
          <w:p w14:paraId="4AB097D8" w14:textId="77777777" w:rsidR="004815E0" w:rsidRDefault="002D7458">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CF305D0" w14:textId="77777777" w:rsidR="004815E0" w:rsidRDefault="004815E0">
      <w:pPr>
        <w:spacing w:line="360" w:lineRule="auto"/>
        <w:jc w:val="both"/>
        <w:rPr>
          <w:rFonts w:ascii="宋体" w:eastAsia="宋体" w:hAnsi="宋体" w:cs="宋体"/>
          <w:b/>
          <w:bCs/>
          <w:sz w:val="24"/>
          <w:szCs w:val="24"/>
          <w:lang w:eastAsia="zh-CN"/>
        </w:rPr>
      </w:pPr>
    </w:p>
    <w:p w14:paraId="37D87B4C" w14:textId="77777777" w:rsidR="004815E0" w:rsidRDefault="002D7458">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一、董事会会议召开情况</w:t>
      </w:r>
    </w:p>
    <w:p w14:paraId="77022798" w14:textId="608C7A65"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广东天亿马信息产业股份有限公司（以下简称“公司”“上市公司”）第四届董事会第五次会议于2026年3月30日10时在汕头市金平区海滨路55号海逸投资大厦4楼公司</w:t>
      </w:r>
      <w:r w:rsidR="00A11A40">
        <w:rPr>
          <w:rFonts w:ascii="仿宋" w:eastAsia="仿宋" w:hAnsi="仿宋" w:cs="仿宋" w:hint="eastAsia"/>
          <w:snapToGrid/>
          <w:kern w:val="2"/>
          <w:sz w:val="28"/>
          <w:szCs w:val="28"/>
          <w:lang w:eastAsia="zh-CN"/>
        </w:rPr>
        <w:t>会议</w:t>
      </w:r>
      <w:r>
        <w:rPr>
          <w:rFonts w:ascii="仿宋" w:eastAsia="仿宋" w:hAnsi="仿宋" w:cs="仿宋" w:hint="eastAsia"/>
          <w:snapToGrid/>
          <w:kern w:val="2"/>
          <w:sz w:val="28"/>
          <w:szCs w:val="28"/>
          <w:lang w:eastAsia="zh-CN"/>
        </w:rPr>
        <w:t>室召开，此前公司于2026年3月19日以电子邮件形式向全体董事发出会议通知。本次会议应到董事为8人，实到人数8人，本人现场出席本次会议的董事有</w:t>
      </w:r>
      <w:r w:rsidR="003728FB">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名，为董事长林明玲女士、副董事长马学沛先生</w:t>
      </w:r>
      <w:bookmarkStart w:id="0" w:name="OLE_LINK5"/>
      <w:bookmarkStart w:id="1" w:name="OLE_LINK1"/>
      <w:r>
        <w:rPr>
          <w:rFonts w:ascii="仿宋" w:eastAsia="仿宋" w:hAnsi="仿宋" w:cs="仿宋" w:hint="eastAsia"/>
          <w:snapToGrid/>
          <w:kern w:val="2"/>
          <w:sz w:val="28"/>
          <w:szCs w:val="28"/>
          <w:lang w:eastAsia="zh-CN"/>
        </w:rPr>
        <w:t>、</w:t>
      </w:r>
      <w:bookmarkEnd w:id="0"/>
      <w:bookmarkEnd w:id="1"/>
      <w:r w:rsidR="003728FB">
        <w:rPr>
          <w:rFonts w:ascii="仿宋" w:eastAsia="仿宋" w:hAnsi="仿宋" w:cs="仿宋" w:hint="eastAsia"/>
          <w:snapToGrid/>
          <w:kern w:val="2"/>
          <w:sz w:val="28"/>
          <w:szCs w:val="28"/>
          <w:lang w:eastAsia="zh-CN"/>
        </w:rPr>
        <w:t>董事刘楚境先生和</w:t>
      </w:r>
      <w:r>
        <w:rPr>
          <w:rFonts w:ascii="仿宋" w:eastAsia="仿宋" w:hAnsi="仿宋" w:cs="仿宋" w:hint="eastAsia"/>
          <w:snapToGrid/>
          <w:kern w:val="2"/>
          <w:sz w:val="28"/>
          <w:szCs w:val="28"/>
          <w:lang w:eastAsia="zh-CN"/>
        </w:rPr>
        <w:t>郭树荣先生</w:t>
      </w:r>
      <w:r w:rsidR="003728FB">
        <w:rPr>
          <w:rFonts w:ascii="仿宋" w:eastAsia="仿宋" w:hAnsi="仿宋" w:cs="仿宋" w:hint="eastAsia"/>
          <w:snapToGrid/>
          <w:kern w:val="2"/>
          <w:sz w:val="28"/>
          <w:szCs w:val="28"/>
          <w:lang w:eastAsia="zh-CN"/>
        </w:rPr>
        <w:t>，以及独立董事</w:t>
      </w:r>
      <w:r>
        <w:rPr>
          <w:rFonts w:ascii="仿宋" w:eastAsia="仿宋" w:hAnsi="仿宋" w:cs="仿宋" w:hint="eastAsia"/>
          <w:snapToGrid/>
          <w:kern w:val="2"/>
          <w:sz w:val="28"/>
          <w:szCs w:val="28"/>
          <w:lang w:eastAsia="zh-CN"/>
        </w:rPr>
        <w:t>滕丽秋女士</w:t>
      </w:r>
      <w:r w:rsidR="003728FB">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石洁芝女士，通过通讯方式参加会议的董事有董事马翊珽先生和独立董事曹丽梅女士。会议由董事长林明玲女士召集并主持，高级管理人员列席本次会议。会议的召集及召开程序符合《中华人民共和国公司法》《</w:t>
      </w:r>
      <w:bookmarkStart w:id="2" w:name="OLE_LINK2"/>
      <w:r>
        <w:rPr>
          <w:rFonts w:ascii="仿宋" w:eastAsia="仿宋" w:hAnsi="仿宋" w:cs="仿宋" w:hint="eastAsia"/>
          <w:snapToGrid/>
          <w:kern w:val="2"/>
          <w:sz w:val="28"/>
          <w:szCs w:val="28"/>
          <w:lang w:eastAsia="zh-CN"/>
        </w:rPr>
        <w:t>广东天亿马信息产业股份有限公司</w:t>
      </w:r>
      <w:bookmarkEnd w:id="2"/>
      <w:r>
        <w:rPr>
          <w:rFonts w:ascii="仿宋" w:eastAsia="仿宋" w:hAnsi="仿宋" w:cs="仿宋" w:hint="eastAsia"/>
          <w:snapToGrid/>
          <w:kern w:val="2"/>
          <w:sz w:val="28"/>
          <w:szCs w:val="28"/>
          <w:lang w:eastAsia="zh-CN"/>
        </w:rPr>
        <w:t>章程》（以下简称《公司章程》）及《广东天亿马信息产业股份有限公司董事会议事规则》的规定。</w:t>
      </w:r>
    </w:p>
    <w:p w14:paraId="30DB14A9" w14:textId="77777777" w:rsidR="004815E0" w:rsidRDefault="002D7458">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二、董事会会议审议情况</w:t>
      </w:r>
    </w:p>
    <w:p w14:paraId="35219AB3"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会议审议并表决通过了以下决议：</w:t>
      </w:r>
    </w:p>
    <w:p w14:paraId="616D1797" w14:textId="77777777" w:rsidR="004815E0" w:rsidRDefault="002D7458">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w:t>
      </w:r>
      <w:r>
        <w:rPr>
          <w:rFonts w:ascii="仿宋" w:eastAsia="仿宋" w:hAnsi="仿宋" w:cs="仿宋"/>
          <w:b/>
          <w:bCs/>
          <w:snapToGrid/>
          <w:kern w:val="2"/>
          <w:sz w:val="28"/>
          <w:szCs w:val="28"/>
          <w:lang w:eastAsia="zh-CN"/>
        </w:rPr>
        <w:t>审议通过《</w:t>
      </w:r>
      <w:bookmarkStart w:id="3" w:name="OLE_LINK7"/>
      <w:bookmarkStart w:id="4" w:name="OLE_LINK8"/>
      <w:r>
        <w:rPr>
          <w:rFonts w:ascii="仿宋" w:eastAsia="仿宋" w:hAnsi="仿宋" w:cs="仿宋" w:hint="eastAsia"/>
          <w:b/>
          <w:bCs/>
          <w:snapToGrid/>
          <w:kern w:val="2"/>
          <w:sz w:val="28"/>
          <w:szCs w:val="28"/>
          <w:lang w:eastAsia="zh-CN"/>
        </w:rPr>
        <w:t>关于&lt;公司2025年度总经理工作报告&gt;的议案</w:t>
      </w:r>
      <w:r>
        <w:rPr>
          <w:rFonts w:ascii="仿宋" w:eastAsia="仿宋" w:hAnsi="仿宋" w:cs="仿宋"/>
          <w:b/>
          <w:bCs/>
          <w:snapToGrid/>
          <w:kern w:val="2"/>
          <w:sz w:val="28"/>
          <w:szCs w:val="28"/>
          <w:lang w:eastAsia="zh-CN"/>
        </w:rPr>
        <w:t>》</w:t>
      </w:r>
      <w:bookmarkEnd w:id="3"/>
      <w:bookmarkEnd w:id="4"/>
      <w:r>
        <w:rPr>
          <w:rFonts w:ascii="仿宋" w:eastAsia="仿宋" w:hAnsi="仿宋" w:cs="仿宋"/>
          <w:b/>
          <w:bCs/>
          <w:snapToGrid/>
          <w:kern w:val="2"/>
          <w:sz w:val="28"/>
          <w:szCs w:val="28"/>
          <w:lang w:eastAsia="zh-CN"/>
        </w:rPr>
        <w:t>，具体情况如下：</w:t>
      </w:r>
    </w:p>
    <w:p w14:paraId="650E4BE6" w14:textId="77777777" w:rsidR="004815E0" w:rsidRDefault="002D7458">
      <w:pPr>
        <w:spacing w:beforeLines="50" w:before="120" w:line="360" w:lineRule="auto"/>
        <w:ind w:firstLineChars="200" w:firstLine="560"/>
        <w:jc w:val="both"/>
        <w:rPr>
          <w:rFonts w:ascii="仿宋" w:eastAsia="仿宋" w:hAnsi="仿宋"/>
          <w:sz w:val="28"/>
          <w:lang w:eastAsia="zh-CN"/>
        </w:rPr>
      </w:pPr>
      <w:bookmarkStart w:id="5" w:name="OLE_LINK21"/>
      <w:r>
        <w:rPr>
          <w:rFonts w:ascii="仿宋" w:eastAsia="仿宋" w:hAnsi="仿宋" w:hint="eastAsia"/>
          <w:sz w:val="28"/>
          <w:lang w:eastAsia="zh-CN"/>
        </w:rPr>
        <w:t>公司董事会审议了总经理提交的《2025年度总经理工作报告》，认为2025年度公司管理层有效执行了股东会与董事会审议通过的各项决议，报告真实、客观地反映了公司2025年度经营管理情况。</w:t>
      </w:r>
    </w:p>
    <w:p w14:paraId="01781847" w14:textId="77777777" w:rsidR="004815E0" w:rsidRDefault="002D7458">
      <w:pPr>
        <w:spacing w:beforeLines="50" w:before="120" w:line="360" w:lineRule="auto"/>
        <w:ind w:firstLineChars="200" w:firstLine="560"/>
        <w:jc w:val="both"/>
        <w:rPr>
          <w:rFonts w:ascii="仿宋" w:eastAsia="仿宋" w:hAnsi="仿宋"/>
          <w:sz w:val="28"/>
          <w:lang w:eastAsia="zh-CN"/>
        </w:rPr>
      </w:pPr>
      <w:r>
        <w:rPr>
          <w:rFonts w:ascii="仿宋" w:eastAsia="仿宋" w:hAnsi="仿宋" w:hint="eastAsia"/>
          <w:sz w:val="28"/>
          <w:lang w:eastAsia="zh-CN"/>
        </w:rPr>
        <w:lastRenderedPageBreak/>
        <w:t>本事项已经公司第四届董事会审计委员会第六次会议审议通过。</w:t>
      </w:r>
    </w:p>
    <w:bookmarkEnd w:id="5"/>
    <w:p w14:paraId="47A19340"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5B05335C"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本议案不涉及回避表决。</w:t>
      </w:r>
    </w:p>
    <w:p w14:paraId="78A57752" w14:textId="77777777" w:rsidR="004815E0" w:rsidRDefault="002D7458">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（二）</w:t>
      </w:r>
      <w:r>
        <w:rPr>
          <w:rFonts w:ascii="仿宋" w:eastAsia="仿宋" w:hAnsi="仿宋" w:cs="仿宋"/>
          <w:b/>
          <w:bCs/>
          <w:snapToGrid/>
          <w:kern w:val="2"/>
          <w:sz w:val="28"/>
          <w:szCs w:val="28"/>
          <w:lang w:eastAsia="zh-CN"/>
        </w:rPr>
        <w:t>审议通过《</w:t>
      </w:r>
      <w:r>
        <w:rPr>
          <w:rFonts w:ascii="仿宋" w:eastAsia="仿宋" w:hAnsi="仿宋" w:hint="eastAsia"/>
          <w:b/>
          <w:bCs/>
          <w:sz w:val="28"/>
          <w:szCs w:val="28"/>
          <w:lang w:eastAsia="zh-CN"/>
        </w:rPr>
        <w:t>关于&lt;公司2025年度董事会工作报告&gt;的议案</w:t>
      </w:r>
      <w:r>
        <w:rPr>
          <w:rFonts w:ascii="仿宋" w:eastAsia="仿宋" w:hAnsi="仿宋" w:cs="仿宋"/>
          <w:b/>
          <w:bCs/>
          <w:snapToGrid/>
          <w:kern w:val="2"/>
          <w:sz w:val="28"/>
          <w:szCs w:val="28"/>
          <w:lang w:eastAsia="zh-CN"/>
        </w:rPr>
        <w:t>》，具体情况如下：</w:t>
      </w:r>
    </w:p>
    <w:p w14:paraId="39A39621"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sz w:val="28"/>
          <w:lang w:eastAsia="zh-CN"/>
        </w:rPr>
      </w:pPr>
      <w:r>
        <w:rPr>
          <w:rFonts w:ascii="仿宋" w:eastAsia="仿宋" w:hAnsi="仿宋" w:hint="eastAsia"/>
          <w:sz w:val="28"/>
          <w:lang w:eastAsia="zh-CN"/>
        </w:rPr>
        <w:t>本事项已经公司第四届董事会审计委员会第六次会议审议通过。议案具体内容详见公司同日披露于巨潮资讯网（www.cninfo.com.cn）的《广东天亿马信息产业股份有限公司2025年年度报告》之“第三节 管理层讨论与分析”“第四节 公司治理”的相关内容及《广东天亿马信息产业股份有限公司2025年度独立董事述职报告》《董事会关于独立董事独立性的评估报告》。</w:t>
      </w:r>
    </w:p>
    <w:p w14:paraId="42BFEC95"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议案表决结果：同意票</w:t>
      </w:r>
      <w:r>
        <w:rPr>
          <w:rFonts w:ascii="仿宋" w:eastAsia="仿宋" w:hAnsi="仿宋" w:cs="仿宋" w:hint="eastAsia"/>
          <w:snapToGrid/>
          <w:kern w:val="2"/>
          <w:sz w:val="28"/>
          <w:szCs w:val="28"/>
          <w:lang w:eastAsia="zh-CN"/>
        </w:rPr>
        <w:t>8</w:t>
      </w:r>
      <w:r>
        <w:rPr>
          <w:rFonts w:ascii="仿宋" w:eastAsia="仿宋" w:hAnsi="仿宋" w:cs="仿宋"/>
          <w:snapToGrid/>
          <w:kern w:val="2"/>
          <w:sz w:val="28"/>
          <w:szCs w:val="28"/>
          <w:lang w:eastAsia="zh-CN"/>
        </w:rPr>
        <w:t>票，反对票0票，</w:t>
      </w:r>
      <w:r>
        <w:rPr>
          <w:rFonts w:ascii="仿宋" w:eastAsia="仿宋" w:hAnsi="仿宋" w:cs="仿宋" w:hint="eastAsia"/>
          <w:snapToGrid/>
          <w:kern w:val="2"/>
          <w:sz w:val="28"/>
          <w:szCs w:val="28"/>
          <w:lang w:eastAsia="zh-CN"/>
        </w:rPr>
        <w:t>弃权0票。</w:t>
      </w:r>
    </w:p>
    <w:p w14:paraId="254FE3D5" w14:textId="77777777" w:rsidR="004815E0" w:rsidRDefault="002D7458">
      <w:pPr>
        <w:widowControl w:val="0"/>
        <w:tabs>
          <w:tab w:val="left" w:pos="6825"/>
        </w:tabs>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本议案不涉及回避表决</w:t>
      </w:r>
      <w:r>
        <w:rPr>
          <w:rFonts w:ascii="仿宋" w:eastAsia="仿宋" w:hAnsi="仿宋" w:cs="仿宋"/>
          <w:snapToGrid/>
          <w:kern w:val="2"/>
          <w:sz w:val="28"/>
          <w:szCs w:val="28"/>
          <w:lang w:eastAsia="zh-CN"/>
        </w:rPr>
        <w:t>。</w:t>
      </w:r>
    </w:p>
    <w:p w14:paraId="6F60382A" w14:textId="77777777" w:rsidR="004815E0" w:rsidRDefault="002D7458">
      <w:pPr>
        <w:widowControl w:val="0"/>
        <w:tabs>
          <w:tab w:val="left" w:pos="6825"/>
        </w:tabs>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议案须提交股东会审议。</w:t>
      </w:r>
    </w:p>
    <w:p w14:paraId="051E0D42"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《关于&lt;2025年度财务决算报告&gt;的议案》，</w:t>
      </w:r>
      <w:r>
        <w:rPr>
          <w:rFonts w:ascii="仿宋" w:eastAsia="仿宋" w:hAnsi="仿宋" w:cs="仿宋"/>
          <w:b/>
          <w:bCs/>
          <w:snapToGrid/>
          <w:kern w:val="2"/>
          <w:sz w:val="28"/>
          <w:szCs w:val="28"/>
          <w:lang w:eastAsia="zh-CN"/>
        </w:rPr>
        <w:t>具体情况如下：</w:t>
      </w:r>
    </w:p>
    <w:p w14:paraId="2D6E7AD1" w14:textId="77777777" w:rsidR="004815E0" w:rsidRDefault="002D7458">
      <w:pPr>
        <w:spacing w:beforeLines="50" w:before="120" w:line="360" w:lineRule="auto"/>
        <w:ind w:firstLineChars="200" w:firstLine="560"/>
        <w:jc w:val="both"/>
        <w:rPr>
          <w:rFonts w:ascii="仿宋" w:eastAsia="仿宋" w:hAnsi="仿宋"/>
          <w:sz w:val="28"/>
          <w:lang w:eastAsia="zh-CN"/>
        </w:rPr>
      </w:pPr>
      <w:r>
        <w:rPr>
          <w:rFonts w:ascii="仿宋" w:eastAsia="仿宋" w:hAnsi="仿宋" w:cs="仿宋" w:hint="eastAsia"/>
          <w:kern w:val="2"/>
          <w:sz w:val="28"/>
          <w:szCs w:val="20"/>
          <w:lang w:eastAsia="zh-CN" w:bidi="ar"/>
        </w:rPr>
        <w:t>公司根据中审亚太会计师事务所（特殊普通合伙）（以下简称“中审亚太”）所出具的审计报告出具了《2025年度财务决算报告》。</w:t>
      </w:r>
      <w:r>
        <w:rPr>
          <w:rFonts w:ascii="仿宋" w:eastAsia="仿宋" w:hAnsi="仿宋" w:hint="eastAsia"/>
          <w:sz w:val="28"/>
          <w:lang w:eastAsia="zh-CN"/>
        </w:rPr>
        <w:t>本事项已经公司第四届董事会审计委员会第六次会议审议通过。</w:t>
      </w:r>
    </w:p>
    <w:p w14:paraId="211951C3" w14:textId="77777777" w:rsidR="004815E0" w:rsidRDefault="002D7458">
      <w:pPr>
        <w:widowControl w:val="0"/>
        <w:spacing w:line="360" w:lineRule="auto"/>
        <w:ind w:firstLineChars="200" w:firstLine="560"/>
        <w:jc w:val="both"/>
        <w:rPr>
          <w:rFonts w:ascii="仿宋" w:eastAsia="仿宋" w:hAnsi="仿宋" w:cs="仿宋"/>
          <w:kern w:val="2"/>
          <w:sz w:val="28"/>
          <w:szCs w:val="20"/>
          <w:lang w:eastAsia="zh-CN" w:bidi="ar"/>
        </w:rPr>
      </w:pPr>
      <w:r>
        <w:rPr>
          <w:rFonts w:ascii="仿宋" w:eastAsia="仿宋" w:hAnsi="仿宋" w:cs="仿宋" w:hint="eastAsia"/>
          <w:kern w:val="2"/>
          <w:sz w:val="28"/>
          <w:szCs w:val="20"/>
          <w:lang w:eastAsia="zh-CN" w:bidi="ar"/>
        </w:rPr>
        <w:t>具体内容详见公司同日披露于巨潮资讯网（www.cninfo.com.cn）的《广东天亿马信息产业股份有限公司2025年年度报告》之“第十节 财务报告”的相关内容。</w:t>
      </w:r>
    </w:p>
    <w:p w14:paraId="50A03C8A"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2219F4F8" w14:textId="77777777" w:rsidR="004815E0" w:rsidRDefault="002D7458">
      <w:pPr>
        <w:widowControl w:val="0"/>
        <w:spacing w:line="360" w:lineRule="auto"/>
        <w:ind w:firstLineChars="200" w:firstLine="560"/>
        <w:jc w:val="both"/>
        <w:rPr>
          <w:rFonts w:ascii="仿宋" w:eastAsia="仿宋" w:hAnsi="仿宋" w:cs="仿宋"/>
          <w:sz w:val="28"/>
          <w:szCs w:val="20"/>
        </w:rPr>
      </w:pPr>
      <w:r>
        <w:rPr>
          <w:rFonts w:ascii="仿宋" w:eastAsia="仿宋" w:hAnsi="仿宋" w:cs="仿宋" w:hint="eastAsia"/>
          <w:kern w:val="2"/>
          <w:sz w:val="28"/>
          <w:szCs w:val="20"/>
          <w:lang w:eastAsia="zh-CN" w:bidi="ar"/>
        </w:rPr>
        <w:t>回避表决情况：本议案不涉及回避表决情况。</w:t>
      </w:r>
    </w:p>
    <w:p w14:paraId="2483ACD0" w14:textId="77777777" w:rsidR="004815E0" w:rsidRDefault="002D7458">
      <w:pPr>
        <w:widowControl w:val="0"/>
        <w:spacing w:line="360" w:lineRule="auto"/>
        <w:ind w:firstLineChars="200" w:firstLine="560"/>
        <w:jc w:val="both"/>
        <w:rPr>
          <w:rFonts w:ascii="仿宋" w:eastAsia="仿宋" w:hAnsi="仿宋" w:cs="仿宋"/>
          <w:sz w:val="28"/>
          <w:szCs w:val="20"/>
        </w:rPr>
      </w:pPr>
      <w:r>
        <w:rPr>
          <w:rFonts w:ascii="仿宋" w:eastAsia="仿宋" w:hAnsi="仿宋" w:cs="仿宋" w:hint="eastAsia"/>
          <w:kern w:val="2"/>
          <w:sz w:val="28"/>
          <w:szCs w:val="20"/>
          <w:lang w:eastAsia="zh-CN" w:bidi="ar"/>
        </w:rPr>
        <w:t>议案须提交股东会审议。</w:t>
      </w:r>
    </w:p>
    <w:p w14:paraId="204B7441"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《关于2025年度利润分配预案的议案》，</w:t>
      </w:r>
      <w:r>
        <w:rPr>
          <w:rFonts w:ascii="仿宋" w:eastAsia="仿宋" w:hAnsi="仿宋" w:cs="仿宋"/>
          <w:b/>
          <w:bCs/>
          <w:snapToGrid/>
          <w:kern w:val="2"/>
          <w:sz w:val="28"/>
          <w:szCs w:val="28"/>
          <w:lang w:eastAsia="zh-CN"/>
        </w:rPr>
        <w:t>具体</w:t>
      </w:r>
      <w:r>
        <w:rPr>
          <w:rFonts w:ascii="仿宋" w:eastAsia="仿宋" w:hAnsi="仿宋" w:cs="仿宋"/>
          <w:b/>
          <w:bCs/>
          <w:snapToGrid/>
          <w:kern w:val="2"/>
          <w:sz w:val="28"/>
          <w:szCs w:val="28"/>
          <w:lang w:eastAsia="zh-CN"/>
        </w:rPr>
        <w:lastRenderedPageBreak/>
        <w:t>情况如下：</w:t>
      </w:r>
    </w:p>
    <w:p w14:paraId="31478A6F" w14:textId="77777777"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rPr>
        <w:t>根据中审亚太所出具的审计报告并结合公司经营状况，公司202</w:t>
      </w:r>
      <w:r>
        <w:rPr>
          <w:rFonts w:ascii="仿宋" w:eastAsia="仿宋" w:hAnsi="仿宋" w:hint="eastAsia"/>
          <w:sz w:val="28"/>
          <w:lang w:eastAsia="zh-CN"/>
        </w:rPr>
        <w:t>5</w:t>
      </w:r>
      <w:r>
        <w:rPr>
          <w:rFonts w:ascii="仿宋" w:eastAsia="仿宋" w:hAnsi="仿宋" w:hint="eastAsia"/>
          <w:sz w:val="28"/>
        </w:rPr>
        <w:t>年度</w:t>
      </w:r>
      <w:r>
        <w:rPr>
          <w:rFonts w:ascii="仿宋" w:eastAsia="仿宋" w:hAnsi="仿宋" w:hint="eastAsia"/>
          <w:sz w:val="28"/>
          <w:lang w:eastAsia="zh-CN"/>
        </w:rPr>
        <w:t>拟以2025年12月31日的总股本扣除回购账号所持有股份后的65,628,660股为基数，每10股派发现金0.5元，以资本公积金每10股转增4股，不送红股</w:t>
      </w:r>
      <w:r>
        <w:rPr>
          <w:rFonts w:ascii="仿宋" w:eastAsia="仿宋" w:hAnsi="仿宋" w:hint="eastAsia"/>
          <w:sz w:val="28"/>
        </w:rPr>
        <w:t>。若在利润分配方案公告后至实施前，公司出现股权激励行权、股份回购等股本总额发生变动情形时，将按照“现金分红总额、资本公积金转增股本总额固定不变”的原则对分配比例进行调整。</w:t>
      </w:r>
      <w:r>
        <w:rPr>
          <w:rFonts w:ascii="仿宋" w:eastAsia="仿宋" w:hAnsi="仿宋" w:hint="eastAsia"/>
          <w:sz w:val="28"/>
          <w:lang w:eastAsia="zh-CN"/>
        </w:rPr>
        <w:t>本事项已经公司第四届董事会审计委员会第六次会议、第二次独立董事专门会议审议通过，并同意提交至董事会审议。</w:t>
      </w:r>
    </w:p>
    <w:p w14:paraId="21D4FDBE" w14:textId="77777777"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rPr>
        <w:t>具体内容详见同日披露于巨潮资讯网（www.cninfo.com.cn）的《广东天亿马信息产业股份有限公司关于202</w:t>
      </w:r>
      <w:r>
        <w:rPr>
          <w:rFonts w:ascii="仿宋" w:eastAsia="仿宋" w:hAnsi="仿宋" w:hint="eastAsia"/>
          <w:sz w:val="28"/>
          <w:lang w:eastAsia="zh-CN"/>
        </w:rPr>
        <w:t>5</w:t>
      </w:r>
      <w:r>
        <w:rPr>
          <w:rFonts w:ascii="仿宋" w:eastAsia="仿宋" w:hAnsi="仿宋" w:hint="eastAsia"/>
          <w:sz w:val="28"/>
        </w:rPr>
        <w:t>年度利润分配</w:t>
      </w:r>
      <w:r>
        <w:rPr>
          <w:rFonts w:ascii="仿宋" w:eastAsia="仿宋" w:hAnsi="仿宋" w:hint="eastAsia"/>
          <w:sz w:val="28"/>
          <w:lang w:eastAsia="zh-CN"/>
        </w:rPr>
        <w:t>预案</w:t>
      </w:r>
      <w:r>
        <w:rPr>
          <w:rFonts w:ascii="仿宋" w:eastAsia="仿宋" w:hAnsi="仿宋" w:hint="eastAsia"/>
          <w:sz w:val="28"/>
        </w:rPr>
        <w:t>的公告》（公告编号：202</w:t>
      </w:r>
      <w:r>
        <w:rPr>
          <w:rFonts w:ascii="仿宋" w:eastAsia="仿宋" w:hAnsi="仿宋" w:hint="eastAsia"/>
          <w:sz w:val="28"/>
          <w:lang w:eastAsia="zh-CN"/>
        </w:rPr>
        <w:t>6</w:t>
      </w:r>
      <w:r>
        <w:rPr>
          <w:rFonts w:ascii="仿宋" w:eastAsia="仿宋" w:hAnsi="仿宋" w:hint="eastAsia"/>
          <w:sz w:val="28"/>
        </w:rPr>
        <w:t>-0</w:t>
      </w:r>
      <w:r>
        <w:rPr>
          <w:rFonts w:ascii="仿宋" w:eastAsia="仿宋" w:hAnsi="仿宋" w:hint="eastAsia"/>
          <w:sz w:val="28"/>
          <w:lang w:eastAsia="zh-CN"/>
        </w:rPr>
        <w:t>14</w:t>
      </w:r>
      <w:r>
        <w:rPr>
          <w:rFonts w:ascii="仿宋" w:eastAsia="仿宋" w:hAnsi="仿宋" w:hint="eastAsia"/>
          <w:sz w:val="28"/>
        </w:rPr>
        <w:t>）。</w:t>
      </w:r>
    </w:p>
    <w:p w14:paraId="01713F5F"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4F04E791" w14:textId="77777777" w:rsidR="004815E0" w:rsidRDefault="002D7458">
      <w:pPr>
        <w:widowControl w:val="0"/>
        <w:spacing w:line="360" w:lineRule="auto"/>
        <w:ind w:firstLineChars="200" w:firstLine="560"/>
        <w:jc w:val="both"/>
        <w:rPr>
          <w:rFonts w:ascii="仿宋" w:eastAsia="仿宋" w:hAnsi="仿宋" w:cs="仿宋"/>
          <w:sz w:val="28"/>
          <w:szCs w:val="20"/>
        </w:rPr>
      </w:pPr>
      <w:r>
        <w:rPr>
          <w:rFonts w:ascii="仿宋" w:eastAsia="仿宋" w:hAnsi="仿宋" w:cs="仿宋" w:hint="eastAsia"/>
          <w:kern w:val="2"/>
          <w:sz w:val="28"/>
          <w:szCs w:val="20"/>
          <w:lang w:eastAsia="zh-CN" w:bidi="ar"/>
        </w:rPr>
        <w:t>回避表决情况：本议案不涉及回避表决情况。</w:t>
      </w:r>
    </w:p>
    <w:p w14:paraId="6947BF4E" w14:textId="77777777" w:rsidR="004815E0" w:rsidRDefault="002D7458">
      <w:pPr>
        <w:widowControl w:val="0"/>
        <w:spacing w:line="360" w:lineRule="auto"/>
        <w:ind w:firstLineChars="200" w:firstLine="560"/>
        <w:jc w:val="both"/>
        <w:rPr>
          <w:rFonts w:ascii="仿宋" w:eastAsia="仿宋" w:hAnsi="仿宋" w:cs="仿宋"/>
          <w:sz w:val="28"/>
          <w:szCs w:val="20"/>
        </w:rPr>
      </w:pPr>
      <w:r>
        <w:rPr>
          <w:rFonts w:ascii="仿宋" w:eastAsia="仿宋" w:hAnsi="仿宋" w:cs="仿宋" w:hint="eastAsia"/>
          <w:kern w:val="2"/>
          <w:sz w:val="28"/>
          <w:szCs w:val="20"/>
          <w:lang w:eastAsia="zh-CN" w:bidi="ar"/>
        </w:rPr>
        <w:t>议案须提交股东会审议。</w:t>
      </w:r>
    </w:p>
    <w:p w14:paraId="4A37CC7B"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w:t>
      </w:r>
      <w:r>
        <w:rPr>
          <w:rFonts w:ascii="仿宋" w:eastAsia="仿宋" w:hAnsi="仿宋" w:cs="仿宋" w:hint="eastAsia"/>
          <w:b/>
          <w:bCs/>
          <w:snapToGrid/>
          <w:kern w:val="2"/>
          <w:sz w:val="28"/>
          <w:szCs w:val="28"/>
          <w:lang w:eastAsia="zh-CN"/>
        </w:rPr>
        <w:t>了《关于公司董事及高级管理人员2026年度薪酬待遇方案的议案》，</w:t>
      </w:r>
      <w:r>
        <w:rPr>
          <w:rFonts w:ascii="仿宋" w:eastAsia="仿宋" w:hAnsi="仿宋" w:cs="仿宋"/>
          <w:b/>
          <w:bCs/>
          <w:snapToGrid/>
          <w:kern w:val="2"/>
          <w:sz w:val="28"/>
          <w:szCs w:val="28"/>
          <w:lang w:eastAsia="zh-CN"/>
        </w:rPr>
        <w:t>具体情况如下：</w:t>
      </w:r>
    </w:p>
    <w:p w14:paraId="1A8BDFC0" w14:textId="77777777" w:rsidR="004815E0" w:rsidRDefault="002D7458">
      <w:pPr>
        <w:spacing w:beforeLines="50" w:before="120" w:line="360" w:lineRule="auto"/>
        <w:ind w:firstLineChars="200" w:firstLine="560"/>
        <w:jc w:val="both"/>
        <w:rPr>
          <w:rFonts w:ascii="仿宋" w:eastAsia="仿宋" w:hAnsi="仿宋"/>
          <w:sz w:val="28"/>
        </w:rPr>
      </w:pPr>
      <w:r>
        <w:rPr>
          <w:rFonts w:ascii="仿宋" w:eastAsia="仿宋" w:hAnsi="仿宋" w:hint="eastAsia"/>
          <w:sz w:val="28"/>
        </w:rPr>
        <w:t>根据《公司章程》等相关制度，结合公司经营规模，参照行业及所在地区的薪酬水平，公司拟定董事及高级管理人员202</w:t>
      </w:r>
      <w:r>
        <w:rPr>
          <w:rFonts w:ascii="仿宋" w:eastAsia="仿宋" w:hAnsi="仿宋" w:hint="eastAsia"/>
          <w:sz w:val="28"/>
          <w:lang w:eastAsia="zh-CN"/>
        </w:rPr>
        <w:t>6</w:t>
      </w:r>
      <w:r>
        <w:rPr>
          <w:rFonts w:ascii="仿宋" w:eastAsia="仿宋" w:hAnsi="仿宋" w:hint="eastAsia"/>
          <w:sz w:val="28"/>
        </w:rPr>
        <w:t>年度薪酬待遇方案。</w:t>
      </w:r>
      <w:r>
        <w:rPr>
          <w:rFonts w:ascii="仿宋" w:eastAsia="仿宋" w:hAnsi="仿宋" w:hint="eastAsia"/>
          <w:sz w:val="28"/>
          <w:lang w:eastAsia="zh-CN"/>
        </w:rPr>
        <w:t>本事项已经公司第四届董事会薪酬与考核委员会第一次会议审议通过。</w:t>
      </w:r>
    </w:p>
    <w:p w14:paraId="69B61E42" w14:textId="77777777" w:rsidR="004815E0" w:rsidRDefault="002D7458">
      <w:pPr>
        <w:widowControl w:val="0"/>
        <w:spacing w:line="360" w:lineRule="auto"/>
        <w:ind w:firstLineChars="200" w:firstLine="560"/>
        <w:jc w:val="both"/>
        <w:rPr>
          <w:rFonts w:ascii="仿宋" w:eastAsia="仿宋" w:hAnsi="仿宋"/>
          <w:sz w:val="28"/>
        </w:rPr>
      </w:pPr>
      <w:r>
        <w:rPr>
          <w:rFonts w:ascii="仿宋" w:eastAsia="仿宋" w:hAnsi="仿宋" w:hint="eastAsia"/>
          <w:sz w:val="28"/>
        </w:rPr>
        <w:t>议案具体内容详见公司同日披露于巨潮资讯网（www.cninfo.com.cn）等法定信息披露媒体的《广东天亿马信息产业股份有限公司关于董事</w:t>
      </w:r>
      <w:r>
        <w:rPr>
          <w:rFonts w:ascii="仿宋" w:eastAsia="仿宋" w:hAnsi="仿宋" w:hint="eastAsia"/>
          <w:sz w:val="28"/>
          <w:lang w:eastAsia="zh-CN"/>
        </w:rPr>
        <w:t>及</w:t>
      </w:r>
      <w:r>
        <w:rPr>
          <w:rFonts w:ascii="仿宋" w:eastAsia="仿宋" w:hAnsi="仿宋" w:hint="eastAsia"/>
          <w:sz w:val="28"/>
        </w:rPr>
        <w:t>高级管理人员202</w:t>
      </w:r>
      <w:r>
        <w:rPr>
          <w:rFonts w:ascii="仿宋" w:eastAsia="仿宋" w:hAnsi="仿宋" w:hint="eastAsia"/>
          <w:sz w:val="28"/>
          <w:lang w:eastAsia="zh-CN"/>
        </w:rPr>
        <w:t>6</w:t>
      </w:r>
      <w:r>
        <w:rPr>
          <w:rFonts w:ascii="仿宋" w:eastAsia="仿宋" w:hAnsi="仿宋" w:hint="eastAsia"/>
          <w:sz w:val="28"/>
        </w:rPr>
        <w:t>年度薪酬待遇方案的公告》（公告编号：202</w:t>
      </w:r>
      <w:r>
        <w:rPr>
          <w:rFonts w:ascii="仿宋" w:eastAsia="仿宋" w:hAnsi="仿宋" w:hint="eastAsia"/>
          <w:sz w:val="28"/>
          <w:lang w:eastAsia="zh-CN"/>
        </w:rPr>
        <w:t>6</w:t>
      </w:r>
      <w:r>
        <w:rPr>
          <w:rFonts w:ascii="仿宋" w:eastAsia="仿宋" w:hAnsi="仿宋" w:hint="eastAsia"/>
          <w:sz w:val="28"/>
        </w:rPr>
        <w:t>-0</w:t>
      </w:r>
      <w:r>
        <w:rPr>
          <w:rFonts w:ascii="仿宋" w:eastAsia="仿宋" w:hAnsi="仿宋" w:hint="eastAsia"/>
          <w:sz w:val="28"/>
          <w:lang w:eastAsia="zh-CN"/>
        </w:rPr>
        <w:t>15</w:t>
      </w:r>
      <w:r>
        <w:rPr>
          <w:rFonts w:ascii="仿宋" w:eastAsia="仿宋" w:hAnsi="仿宋" w:hint="eastAsia"/>
          <w:sz w:val="28"/>
        </w:rPr>
        <w:t>）。</w:t>
      </w:r>
    </w:p>
    <w:p w14:paraId="44DF20D3" w14:textId="77777777" w:rsidR="004815E0" w:rsidRDefault="002D7458">
      <w:pPr>
        <w:widowControl w:val="0"/>
        <w:spacing w:line="360" w:lineRule="auto"/>
        <w:ind w:firstLineChars="200" w:firstLine="560"/>
        <w:jc w:val="both"/>
        <w:rPr>
          <w:rFonts w:ascii="仿宋" w:eastAsia="仿宋" w:hAnsi="仿宋"/>
          <w:sz w:val="28"/>
        </w:rPr>
      </w:pPr>
      <w:r>
        <w:rPr>
          <w:rFonts w:ascii="仿宋" w:eastAsia="仿宋" w:hAnsi="仿宋" w:hint="eastAsia"/>
          <w:sz w:val="28"/>
        </w:rPr>
        <w:t>回避表决情况：本议案与所有参与表决董事相关，全体董事回</w:t>
      </w:r>
      <w:r>
        <w:rPr>
          <w:rFonts w:ascii="仿宋" w:eastAsia="仿宋" w:hAnsi="仿宋" w:hint="eastAsia"/>
          <w:sz w:val="28"/>
        </w:rPr>
        <w:lastRenderedPageBreak/>
        <w:t>避表决。</w:t>
      </w:r>
    </w:p>
    <w:p w14:paraId="212C5E28" w14:textId="77777777" w:rsidR="004815E0" w:rsidRDefault="002D7458">
      <w:pPr>
        <w:widowControl w:val="0"/>
        <w:spacing w:line="360" w:lineRule="auto"/>
        <w:ind w:firstLineChars="200" w:firstLine="560"/>
        <w:jc w:val="both"/>
        <w:rPr>
          <w:rFonts w:ascii="仿宋" w:eastAsia="仿宋" w:hAnsi="仿宋"/>
          <w:sz w:val="28"/>
        </w:rPr>
      </w:pPr>
      <w:r>
        <w:rPr>
          <w:rFonts w:ascii="仿宋" w:eastAsia="仿宋" w:hAnsi="仿宋" w:hint="eastAsia"/>
          <w:sz w:val="28"/>
        </w:rPr>
        <w:t>本议案直接提交股东会审议。</w:t>
      </w:r>
    </w:p>
    <w:p w14:paraId="1721C1D9"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《关于预计2026年度日常性关联交易的议案》，</w:t>
      </w:r>
      <w:r>
        <w:rPr>
          <w:rFonts w:ascii="仿宋" w:eastAsia="仿宋" w:hAnsi="仿宋" w:cs="仿宋"/>
          <w:b/>
          <w:bCs/>
          <w:snapToGrid/>
          <w:kern w:val="2"/>
          <w:sz w:val="28"/>
          <w:szCs w:val="28"/>
          <w:lang w:eastAsia="zh-CN"/>
        </w:rPr>
        <w:t>具体情况如下：</w:t>
      </w:r>
    </w:p>
    <w:p w14:paraId="733AB563"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公司根据经营计划，参照往年实际发生的交易情况，预计今年，预计</w:t>
      </w:r>
      <w:r>
        <w:rPr>
          <w:rFonts w:ascii="仿宋" w:eastAsia="仿宋" w:hAnsi="仿宋"/>
          <w:sz w:val="28"/>
        </w:rPr>
        <w:t>2026</w:t>
      </w:r>
      <w:r>
        <w:rPr>
          <w:rFonts w:ascii="仿宋" w:eastAsia="仿宋" w:hAnsi="仿宋" w:hint="eastAsia"/>
          <w:sz w:val="28"/>
        </w:rPr>
        <w:t>年度与</w:t>
      </w:r>
      <w:r>
        <w:rPr>
          <w:rFonts w:ascii="仿宋" w:eastAsia="仿宋" w:hAnsi="仿宋" w:hint="eastAsia"/>
          <w:sz w:val="28"/>
          <w:lang w:eastAsia="zh-CN"/>
        </w:rPr>
        <w:t>关联方</w:t>
      </w:r>
      <w:r>
        <w:rPr>
          <w:rFonts w:ascii="仿宋" w:eastAsia="仿宋" w:hAnsi="仿宋" w:hint="eastAsia"/>
          <w:sz w:val="28"/>
        </w:rPr>
        <w:t>发生日常性关联交易不超过</w:t>
      </w:r>
      <w:r>
        <w:rPr>
          <w:rFonts w:ascii="仿宋" w:eastAsia="仿宋" w:hAnsi="仿宋"/>
          <w:sz w:val="28"/>
        </w:rPr>
        <w:t>100</w:t>
      </w:r>
      <w:r>
        <w:rPr>
          <w:rFonts w:ascii="仿宋" w:eastAsia="仿宋" w:hAnsi="仿宋" w:hint="eastAsia"/>
          <w:sz w:val="28"/>
        </w:rPr>
        <w:t>万元（含本数）。具体内容详见同日披露于巨潮资讯网（www.cninfo.com.cn）的《广东天亿马信息产业股份有限公司关于预计202</w:t>
      </w:r>
      <w:r>
        <w:rPr>
          <w:rFonts w:ascii="仿宋" w:eastAsia="仿宋" w:hAnsi="仿宋" w:hint="eastAsia"/>
          <w:sz w:val="28"/>
          <w:lang w:eastAsia="zh-CN"/>
        </w:rPr>
        <w:t>6</w:t>
      </w:r>
      <w:r>
        <w:rPr>
          <w:rFonts w:ascii="仿宋" w:eastAsia="仿宋" w:hAnsi="仿宋" w:hint="eastAsia"/>
          <w:sz w:val="28"/>
        </w:rPr>
        <w:t>年度日常性关联交易的</w:t>
      </w:r>
      <w:r>
        <w:rPr>
          <w:rFonts w:ascii="仿宋" w:eastAsia="仿宋" w:hAnsi="仿宋" w:hint="eastAsia"/>
          <w:sz w:val="28"/>
          <w:lang w:eastAsia="zh-CN"/>
        </w:rPr>
        <w:t>公告</w:t>
      </w:r>
      <w:r>
        <w:rPr>
          <w:rFonts w:ascii="仿宋" w:eastAsia="仿宋" w:hAnsi="仿宋" w:hint="eastAsia"/>
          <w:sz w:val="28"/>
        </w:rPr>
        <w:t>》（公告编号：202</w:t>
      </w:r>
      <w:r>
        <w:rPr>
          <w:rFonts w:ascii="仿宋" w:eastAsia="仿宋" w:hAnsi="仿宋" w:hint="eastAsia"/>
          <w:sz w:val="28"/>
          <w:lang w:eastAsia="zh-CN"/>
        </w:rPr>
        <w:t>6</w:t>
      </w:r>
      <w:r>
        <w:rPr>
          <w:rFonts w:ascii="仿宋" w:eastAsia="仿宋" w:hAnsi="仿宋" w:hint="eastAsia"/>
          <w:sz w:val="28"/>
        </w:rPr>
        <w:t>-0</w:t>
      </w:r>
      <w:r>
        <w:rPr>
          <w:rFonts w:ascii="仿宋" w:eastAsia="仿宋" w:hAnsi="仿宋" w:hint="eastAsia"/>
          <w:sz w:val="28"/>
          <w:lang w:eastAsia="zh-CN"/>
        </w:rPr>
        <w:t>16</w:t>
      </w:r>
      <w:r>
        <w:rPr>
          <w:rFonts w:ascii="仿宋" w:eastAsia="仿宋" w:hAnsi="仿宋" w:hint="eastAsia"/>
          <w:sz w:val="28"/>
        </w:rPr>
        <w:t>）。该事项已经第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审计委员会第六次会议审议通过、</w:t>
      </w:r>
      <w:r>
        <w:rPr>
          <w:rFonts w:ascii="仿宋" w:eastAsia="仿宋" w:hAnsi="仿宋" w:hint="eastAsia"/>
          <w:sz w:val="28"/>
        </w:rPr>
        <w:t>第</w:t>
      </w:r>
      <w:r>
        <w:rPr>
          <w:rFonts w:ascii="仿宋" w:eastAsia="仿宋" w:hAnsi="仿宋" w:hint="eastAsia"/>
          <w:sz w:val="28"/>
          <w:lang w:eastAsia="zh-CN"/>
        </w:rPr>
        <w:t>二</w:t>
      </w:r>
      <w:r>
        <w:rPr>
          <w:rFonts w:ascii="仿宋" w:eastAsia="仿宋" w:hAnsi="仿宋" w:hint="eastAsia"/>
          <w:sz w:val="28"/>
        </w:rPr>
        <w:t>次</w:t>
      </w:r>
      <w:r>
        <w:rPr>
          <w:rFonts w:ascii="仿宋" w:eastAsia="仿宋" w:hAnsi="仿宋" w:hint="eastAsia"/>
          <w:sz w:val="28"/>
          <w:lang w:eastAsia="zh-CN"/>
        </w:rPr>
        <w:t>独立董事</w:t>
      </w:r>
      <w:r>
        <w:rPr>
          <w:rFonts w:ascii="仿宋" w:eastAsia="仿宋" w:hAnsi="仿宋" w:hint="eastAsia"/>
          <w:sz w:val="28"/>
        </w:rPr>
        <w:t>专门会议审议通过</w:t>
      </w:r>
      <w:r>
        <w:rPr>
          <w:rFonts w:ascii="仿宋" w:eastAsia="仿宋" w:hAnsi="仿宋" w:hint="eastAsia"/>
          <w:sz w:val="28"/>
          <w:lang w:eastAsia="zh-CN"/>
        </w:rPr>
        <w:t>。</w:t>
      </w:r>
    </w:p>
    <w:p w14:paraId="471C1D2E" w14:textId="77777777" w:rsidR="004815E0" w:rsidRDefault="002D7458">
      <w:pPr>
        <w:pStyle w:val="ab"/>
        <w:spacing w:line="360" w:lineRule="auto"/>
        <w:ind w:firstLine="560"/>
        <w:jc w:val="both"/>
        <w:rPr>
          <w:rFonts w:ascii="仿宋" w:eastAsia="仿宋" w:hAnsi="仿宋"/>
          <w:sz w:val="28"/>
        </w:rPr>
      </w:pPr>
      <w:r>
        <w:rPr>
          <w:rFonts w:ascii="仿宋" w:eastAsia="仿宋" w:hAnsi="仿宋" w:hint="eastAsia"/>
          <w:sz w:val="28"/>
        </w:rPr>
        <w:t>全体独立董事认为：202</w:t>
      </w:r>
      <w:r>
        <w:rPr>
          <w:rFonts w:ascii="仿宋" w:eastAsia="仿宋" w:hAnsi="仿宋" w:hint="eastAsia"/>
          <w:sz w:val="28"/>
          <w:lang w:eastAsia="zh-CN"/>
        </w:rPr>
        <w:t>5</w:t>
      </w:r>
      <w:r>
        <w:rPr>
          <w:rFonts w:ascii="仿宋" w:eastAsia="仿宋" w:hAnsi="仿宋" w:hint="eastAsia"/>
          <w:sz w:val="28"/>
        </w:rPr>
        <w:t>年度公司与关联方之间的日常关联交易活动按照一般市场经济原则进行，是合法、公允的，不存在损害公司及非关联股东利益的情形。202</w:t>
      </w:r>
      <w:r>
        <w:rPr>
          <w:rFonts w:ascii="仿宋" w:eastAsia="仿宋" w:hAnsi="仿宋" w:hint="eastAsia"/>
          <w:sz w:val="28"/>
          <w:lang w:eastAsia="zh-CN"/>
        </w:rPr>
        <w:t>6</w:t>
      </w:r>
      <w:r>
        <w:rPr>
          <w:rFonts w:ascii="仿宋" w:eastAsia="仿宋" w:hAnsi="仿宋" w:hint="eastAsia"/>
          <w:sz w:val="28"/>
        </w:rPr>
        <w:t>年日常关联交易预计额度是在202</w:t>
      </w:r>
      <w:r>
        <w:rPr>
          <w:rFonts w:ascii="仿宋" w:eastAsia="仿宋" w:hAnsi="仿宋" w:hint="eastAsia"/>
          <w:sz w:val="28"/>
          <w:lang w:eastAsia="zh-CN"/>
        </w:rPr>
        <w:t>5</w:t>
      </w:r>
      <w:r>
        <w:rPr>
          <w:rFonts w:ascii="仿宋" w:eastAsia="仿宋" w:hAnsi="仿宋" w:hint="eastAsia"/>
          <w:sz w:val="28"/>
        </w:rPr>
        <w:t>年度日常关联交易的基础上作出的，遵守了公平、公正、公开的原则，不存在损害上市公司及中小股东利益的情形，不影响公司独立性。</w:t>
      </w:r>
      <w:r>
        <w:rPr>
          <w:rFonts w:ascii="仿宋" w:eastAsia="仿宋" w:hAnsi="仿宋" w:hint="eastAsia"/>
          <w:sz w:val="28"/>
          <w:lang w:eastAsia="zh-CN"/>
        </w:rPr>
        <w:t>一致</w:t>
      </w:r>
      <w:r>
        <w:rPr>
          <w:rFonts w:ascii="仿宋" w:eastAsia="仿宋" w:hAnsi="仿宋" w:hint="eastAsia"/>
          <w:sz w:val="28"/>
        </w:rPr>
        <w:t>同意将该议案提交公司董事会审议。</w:t>
      </w:r>
    </w:p>
    <w:p w14:paraId="5610723D"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，反对0票，弃权0票。</w:t>
      </w:r>
    </w:p>
    <w:p w14:paraId="53F2ED16"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回避表决情况：关联董事林明玲、马学沛、</w:t>
      </w:r>
      <w:r>
        <w:rPr>
          <w:rFonts w:ascii="仿宋" w:eastAsia="仿宋" w:hAnsi="仿宋" w:hint="eastAsia"/>
          <w:sz w:val="28"/>
          <w:lang w:eastAsia="zh-CN"/>
        </w:rPr>
        <w:t>马翊珽</w:t>
      </w:r>
      <w:r>
        <w:rPr>
          <w:rFonts w:ascii="仿宋" w:eastAsia="仿宋" w:hAnsi="仿宋" w:hint="eastAsia"/>
          <w:sz w:val="28"/>
        </w:rPr>
        <w:t>回避表决。</w:t>
      </w:r>
    </w:p>
    <w:p w14:paraId="406DB5C2"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202</w:t>
      </w:r>
      <w:r>
        <w:rPr>
          <w:rFonts w:ascii="仿宋" w:eastAsia="仿宋" w:hAnsi="仿宋" w:hint="eastAsia"/>
          <w:sz w:val="28"/>
          <w:lang w:eastAsia="zh-CN"/>
        </w:rPr>
        <w:t>6</w:t>
      </w:r>
      <w:r>
        <w:rPr>
          <w:rFonts w:ascii="仿宋" w:eastAsia="仿宋" w:hAnsi="仿宋" w:hint="eastAsia"/>
          <w:sz w:val="28"/>
        </w:rPr>
        <w:t>年度预计日常性关联交易总金额属董事会审议范围，本议案无需提交股东会审议。</w:t>
      </w:r>
    </w:p>
    <w:p w14:paraId="750306C0"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《关于公司及子公司拟申请金融机构融资额度预计暨接受关联方担保预计的议案》，</w:t>
      </w:r>
      <w:r>
        <w:rPr>
          <w:rFonts w:ascii="仿宋" w:eastAsia="仿宋" w:hAnsi="仿宋" w:cs="仿宋"/>
          <w:b/>
          <w:bCs/>
          <w:snapToGrid/>
          <w:kern w:val="2"/>
          <w:sz w:val="28"/>
          <w:szCs w:val="28"/>
          <w:lang w:eastAsia="zh-CN"/>
        </w:rPr>
        <w:t>具体情况如下：</w:t>
      </w:r>
    </w:p>
    <w:p w14:paraId="20066AE6" w14:textId="0A3F2FEB"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根据公司202</w:t>
      </w:r>
      <w:r>
        <w:rPr>
          <w:rFonts w:ascii="仿宋" w:eastAsia="仿宋" w:hAnsi="仿宋" w:hint="eastAsia"/>
          <w:sz w:val="28"/>
          <w:lang w:eastAsia="zh-CN"/>
        </w:rPr>
        <w:t>6</w:t>
      </w:r>
      <w:r>
        <w:rPr>
          <w:rFonts w:ascii="仿宋" w:eastAsia="仿宋" w:hAnsi="仿宋" w:hint="eastAsia"/>
          <w:sz w:val="28"/>
        </w:rPr>
        <w:t>年度经营计划对资金的需求，公司及子公司拟向金融机构申请总</w:t>
      </w:r>
      <w:r>
        <w:rPr>
          <w:rFonts w:ascii="仿宋" w:eastAsia="仿宋" w:hAnsi="仿宋" w:hint="eastAsia"/>
          <w:sz w:val="28"/>
          <w:lang w:eastAsia="zh-CN"/>
        </w:rPr>
        <w:t>计</w:t>
      </w:r>
      <w:r>
        <w:rPr>
          <w:rFonts w:ascii="仿宋" w:eastAsia="仿宋" w:hAnsi="仿宋" w:hint="eastAsia"/>
          <w:sz w:val="28"/>
        </w:rPr>
        <w:t>不超过人民币</w:t>
      </w:r>
      <w:r>
        <w:rPr>
          <w:rFonts w:ascii="仿宋" w:eastAsia="仿宋" w:hAnsi="仿宋" w:hint="eastAsia"/>
          <w:sz w:val="28"/>
          <w:lang w:eastAsia="zh-CN"/>
        </w:rPr>
        <w:t>1</w:t>
      </w:r>
      <w:r w:rsidR="007A00A4">
        <w:rPr>
          <w:rFonts w:ascii="仿宋" w:eastAsia="仿宋" w:hAnsi="仿宋" w:hint="eastAsia"/>
          <w:sz w:val="28"/>
          <w:lang w:eastAsia="zh-CN"/>
        </w:rPr>
        <w:t>0</w:t>
      </w:r>
      <w:bookmarkStart w:id="6" w:name="_GoBack"/>
      <w:bookmarkEnd w:id="6"/>
      <w:r>
        <w:rPr>
          <w:rFonts w:ascii="仿宋" w:eastAsia="仿宋" w:hAnsi="仿宋" w:hint="eastAsia"/>
          <w:sz w:val="28"/>
          <w:lang w:eastAsia="zh-CN"/>
        </w:rPr>
        <w:t>0,000</w:t>
      </w:r>
      <w:r>
        <w:rPr>
          <w:rFonts w:ascii="仿宋" w:eastAsia="仿宋" w:hAnsi="仿宋" w:hint="eastAsia"/>
          <w:sz w:val="28"/>
        </w:rPr>
        <w:t>万元的</w:t>
      </w:r>
      <w:r>
        <w:rPr>
          <w:rFonts w:ascii="仿宋" w:eastAsia="仿宋" w:hAnsi="仿宋" w:hint="eastAsia"/>
          <w:sz w:val="28"/>
          <w:lang w:eastAsia="zh-CN"/>
        </w:rPr>
        <w:t>融资</w:t>
      </w:r>
      <w:r>
        <w:rPr>
          <w:rFonts w:ascii="仿宋" w:eastAsia="仿宋" w:hAnsi="仿宋" w:hint="eastAsia"/>
          <w:sz w:val="28"/>
        </w:rPr>
        <w:t>额度，并接受实际控制人马学沛、林明玲夫妇为实际贷款提供担保。马学沛、林明玲夫妇为相关授信提供担保不收取公司任何费用，无需公司提供反</w:t>
      </w:r>
      <w:r>
        <w:rPr>
          <w:rFonts w:ascii="仿宋" w:eastAsia="仿宋" w:hAnsi="仿宋" w:hint="eastAsia"/>
          <w:sz w:val="28"/>
        </w:rPr>
        <w:lastRenderedPageBreak/>
        <w:t>担保。本次申请</w:t>
      </w:r>
      <w:r>
        <w:rPr>
          <w:rFonts w:ascii="仿宋" w:eastAsia="仿宋" w:hAnsi="仿宋" w:hint="eastAsia"/>
          <w:sz w:val="28"/>
          <w:lang w:eastAsia="zh-CN"/>
        </w:rPr>
        <w:t>融资</w:t>
      </w:r>
      <w:r>
        <w:rPr>
          <w:rFonts w:ascii="仿宋" w:eastAsia="仿宋" w:hAnsi="仿宋" w:hint="eastAsia"/>
          <w:sz w:val="28"/>
        </w:rPr>
        <w:t>额度有效期为自董事会审议通过该议案之日起十二个月内有效，</w:t>
      </w:r>
      <w:r>
        <w:rPr>
          <w:rFonts w:ascii="仿宋" w:eastAsia="仿宋" w:hAnsi="仿宋" w:hint="eastAsia"/>
          <w:sz w:val="28"/>
          <w:lang w:eastAsia="zh-CN"/>
        </w:rPr>
        <w:t>决议有效</w:t>
      </w:r>
      <w:r>
        <w:rPr>
          <w:rFonts w:ascii="仿宋" w:eastAsia="仿宋" w:hAnsi="仿宋" w:hint="eastAsia"/>
          <w:sz w:val="28"/>
        </w:rPr>
        <w:t>期限内额度可循环使用。</w:t>
      </w:r>
    </w:p>
    <w:p w14:paraId="23AC64C0"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w:t>
      </w:r>
      <w:r>
        <w:rPr>
          <w:rFonts w:ascii="仿宋" w:eastAsia="仿宋" w:hAnsi="仿宋" w:hint="eastAsia"/>
          <w:sz w:val="28"/>
        </w:rPr>
        <w:t>第</w:t>
      </w:r>
      <w:r>
        <w:rPr>
          <w:rFonts w:ascii="仿宋" w:eastAsia="仿宋" w:hAnsi="仿宋" w:hint="eastAsia"/>
          <w:sz w:val="28"/>
          <w:lang w:eastAsia="zh-CN"/>
        </w:rPr>
        <w:t>二</w:t>
      </w:r>
      <w:r>
        <w:rPr>
          <w:rFonts w:ascii="仿宋" w:eastAsia="仿宋" w:hAnsi="仿宋" w:hint="eastAsia"/>
          <w:sz w:val="28"/>
        </w:rPr>
        <w:t>次独立董事专门会议审议通过</w:t>
      </w:r>
      <w:r>
        <w:rPr>
          <w:rFonts w:ascii="仿宋" w:eastAsia="仿宋" w:hAnsi="仿宋" w:hint="eastAsia"/>
          <w:sz w:val="28"/>
          <w:lang w:eastAsia="zh-CN"/>
        </w:rPr>
        <w:t>。</w:t>
      </w:r>
      <w:r>
        <w:rPr>
          <w:rFonts w:ascii="仿宋" w:eastAsia="仿宋" w:hAnsi="仿宋" w:hint="eastAsia"/>
          <w:sz w:val="28"/>
        </w:rPr>
        <w:t>全体独立董事认为：</w:t>
      </w:r>
      <w:r>
        <w:rPr>
          <w:rFonts w:ascii="仿宋" w:eastAsia="仿宋" w:hAnsi="仿宋" w:hint="eastAsia"/>
          <w:sz w:val="28"/>
          <w:lang w:eastAsia="zh-CN"/>
        </w:rPr>
        <w:t>实际控制人为公司及子公司贷款无偿提供担保且不需要公司提供反担保，满足了公司及子公司资金需求，有利于公司经营发展，未损害公司及中小股东利益，</w:t>
      </w:r>
      <w:r>
        <w:rPr>
          <w:rFonts w:ascii="仿宋" w:eastAsia="仿宋" w:hAnsi="仿宋" w:hint="eastAsia"/>
          <w:sz w:val="28"/>
        </w:rPr>
        <w:t>不影响公司独立性</w:t>
      </w:r>
      <w:r>
        <w:rPr>
          <w:rFonts w:ascii="仿宋" w:eastAsia="仿宋" w:hAnsi="仿宋" w:hint="eastAsia"/>
          <w:sz w:val="28"/>
          <w:lang w:eastAsia="zh-CN"/>
        </w:rPr>
        <w:t>。</w:t>
      </w:r>
      <w:r>
        <w:rPr>
          <w:rFonts w:ascii="仿宋" w:eastAsia="仿宋" w:hAnsi="仿宋" w:hint="eastAsia"/>
          <w:sz w:val="28"/>
          <w:szCs w:val="28"/>
        </w:rPr>
        <w:t>我们一致同意将该议案提交公司董事会审议。</w:t>
      </w:r>
    </w:p>
    <w:p w14:paraId="082493F1" w14:textId="77777777" w:rsidR="004815E0" w:rsidRDefault="002D7458">
      <w:pPr>
        <w:pStyle w:val="ab"/>
        <w:spacing w:line="360" w:lineRule="auto"/>
        <w:ind w:firstLine="560"/>
        <w:jc w:val="both"/>
        <w:rPr>
          <w:rFonts w:ascii="仿宋" w:eastAsia="仿宋" w:hAnsi="仿宋"/>
          <w:sz w:val="28"/>
        </w:rPr>
      </w:pPr>
      <w:r>
        <w:rPr>
          <w:rFonts w:ascii="仿宋" w:eastAsia="仿宋" w:hAnsi="仿宋" w:hint="eastAsia"/>
          <w:sz w:val="28"/>
        </w:rPr>
        <w:t>具体内容详见同日披露于巨潮资讯网（www.cninfo.com.cn）的《广东天亿马信息产业股份有限公司关于公司及子公司申请金融机构融资额度预计</w:t>
      </w:r>
      <w:r>
        <w:rPr>
          <w:rFonts w:ascii="仿宋" w:eastAsia="仿宋" w:hAnsi="仿宋" w:hint="eastAsia"/>
          <w:sz w:val="28"/>
          <w:lang w:eastAsia="zh-CN"/>
        </w:rPr>
        <w:t>暨</w:t>
      </w:r>
      <w:r>
        <w:rPr>
          <w:rFonts w:ascii="仿宋" w:eastAsia="仿宋" w:hAnsi="仿宋" w:hint="eastAsia"/>
          <w:sz w:val="28"/>
        </w:rPr>
        <w:t>接受关联方担保预计的公告》（公告编号：202</w:t>
      </w:r>
      <w:r>
        <w:rPr>
          <w:rFonts w:ascii="仿宋" w:eastAsia="仿宋" w:hAnsi="仿宋" w:hint="eastAsia"/>
          <w:sz w:val="28"/>
          <w:lang w:eastAsia="zh-CN"/>
        </w:rPr>
        <w:t>6</w:t>
      </w:r>
      <w:r>
        <w:rPr>
          <w:rFonts w:ascii="仿宋" w:eastAsia="仿宋" w:hAnsi="仿宋" w:hint="eastAsia"/>
          <w:sz w:val="28"/>
        </w:rPr>
        <w:t>-0</w:t>
      </w:r>
      <w:r>
        <w:rPr>
          <w:rFonts w:ascii="仿宋" w:eastAsia="仿宋" w:hAnsi="仿宋" w:hint="eastAsia"/>
          <w:sz w:val="28"/>
          <w:lang w:eastAsia="zh-CN"/>
        </w:rPr>
        <w:t>17</w:t>
      </w:r>
      <w:r>
        <w:rPr>
          <w:rFonts w:ascii="仿宋" w:eastAsia="仿宋" w:hAnsi="仿宋" w:hint="eastAsia"/>
          <w:sz w:val="28"/>
        </w:rPr>
        <w:t>）。</w:t>
      </w:r>
    </w:p>
    <w:p w14:paraId="665AFF84"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，反对0票，弃权0票。</w:t>
      </w:r>
    </w:p>
    <w:p w14:paraId="22712E12"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回避表决情况：关联董事林明玲、马学沛、</w:t>
      </w:r>
      <w:r>
        <w:rPr>
          <w:rFonts w:ascii="仿宋" w:eastAsia="仿宋" w:hAnsi="仿宋" w:hint="eastAsia"/>
          <w:sz w:val="28"/>
          <w:lang w:eastAsia="zh-CN"/>
        </w:rPr>
        <w:t>马翊珽</w:t>
      </w:r>
      <w:r>
        <w:rPr>
          <w:rFonts w:ascii="仿宋" w:eastAsia="仿宋" w:hAnsi="仿宋" w:hint="eastAsia"/>
          <w:sz w:val="28"/>
        </w:rPr>
        <w:t>回避表决。</w:t>
      </w:r>
    </w:p>
    <w:p w14:paraId="12B879BE"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根据规则，本事项豁免提交股东会审议。</w:t>
      </w:r>
    </w:p>
    <w:p w14:paraId="76318A1A"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《关于子公司拟申请融资额度并由公司为其提供担保的议案》，</w:t>
      </w:r>
      <w:r>
        <w:rPr>
          <w:rFonts w:ascii="仿宋" w:eastAsia="仿宋" w:hAnsi="仿宋" w:cs="仿宋"/>
          <w:b/>
          <w:bCs/>
          <w:snapToGrid/>
          <w:kern w:val="2"/>
          <w:sz w:val="28"/>
          <w:szCs w:val="28"/>
          <w:lang w:eastAsia="zh-CN"/>
        </w:rPr>
        <w:t>具体情况如下：</w:t>
      </w:r>
    </w:p>
    <w:p w14:paraId="6F7A7865" w14:textId="7D005D23"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lang w:eastAsia="zh-CN"/>
        </w:rPr>
        <w:t>为满足日常生产经营和项目建设的资金需求，公司和并表范围内子公司及未来授权期内新设立或纳入的子公司拟向银行等金融机构申请总额度不超过</w:t>
      </w:r>
      <w:r w:rsidR="00682B50">
        <w:rPr>
          <w:rFonts w:ascii="仿宋" w:eastAsia="仿宋" w:hAnsi="仿宋" w:hint="eastAsia"/>
          <w:color w:val="auto"/>
          <w:sz w:val="28"/>
          <w:lang w:eastAsia="zh-CN"/>
        </w:rPr>
        <w:t>4</w:t>
      </w:r>
      <w:r>
        <w:rPr>
          <w:rFonts w:ascii="仿宋" w:eastAsia="仿宋" w:hAnsi="仿宋" w:hint="eastAsia"/>
          <w:color w:val="auto"/>
          <w:sz w:val="28"/>
          <w:lang w:eastAsia="zh-CN"/>
        </w:rPr>
        <w:t>0</w:t>
      </w:r>
      <w:r>
        <w:rPr>
          <w:rFonts w:ascii="仿宋" w:eastAsia="仿宋" w:hAnsi="仿宋" w:hint="eastAsia"/>
          <w:color w:val="auto"/>
          <w:sz w:val="28"/>
        </w:rPr>
        <w:t>,000</w:t>
      </w:r>
      <w:r w:rsidR="00CF2F1A">
        <w:rPr>
          <w:rFonts w:ascii="仿宋" w:eastAsia="仿宋" w:hAnsi="仿宋" w:hint="eastAsia"/>
          <w:color w:val="auto"/>
          <w:sz w:val="28"/>
          <w:szCs w:val="28"/>
        </w:rPr>
        <w:t>万</w:t>
      </w:r>
      <w:r>
        <w:rPr>
          <w:rFonts w:ascii="仿宋" w:eastAsia="仿宋" w:hAnsi="仿宋" w:hint="eastAsia"/>
          <w:sz w:val="28"/>
          <w:lang w:eastAsia="zh-CN"/>
        </w:rPr>
        <w:t>元的融资额度，并由公司为实际贷款提供担保。在2025年年度股东会审议通过的额度范围及有效期内，在符合法律、行政法规及相关规定的前提下，子公司及未来授权期内新设立或纳入的子公司间担保额度可以进行调剂。</w:t>
      </w:r>
    </w:p>
    <w:p w14:paraId="35E226AB" w14:textId="70D46CB0"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lang w:eastAsia="zh-CN"/>
        </w:rPr>
        <w:t>经审议，董事会认为：“</w:t>
      </w:r>
      <w:r>
        <w:rPr>
          <w:rFonts w:ascii="仿宋" w:eastAsia="仿宋" w:hAnsi="仿宋" w:hint="eastAsia"/>
          <w:sz w:val="28"/>
          <w:szCs w:val="28"/>
        </w:rPr>
        <w:t>本次担保是为了满足公司控股子公司日常经营和业务发展的需要。上述子公司目前具有较好的盈利能力和良好的偿债能力，担保风险可控。因此，董事会同意子公司向</w:t>
      </w:r>
      <w:r>
        <w:rPr>
          <w:rFonts w:ascii="仿宋" w:eastAsia="仿宋" w:hAnsi="仿宋" w:hint="eastAsia"/>
          <w:sz w:val="28"/>
        </w:rPr>
        <w:t>银</w:t>
      </w:r>
      <w:r>
        <w:rPr>
          <w:rFonts w:ascii="仿宋" w:eastAsia="仿宋" w:hAnsi="仿宋" w:hint="eastAsia"/>
          <w:sz w:val="28"/>
        </w:rPr>
        <w:lastRenderedPageBreak/>
        <w:t>行等金融机构申</w:t>
      </w:r>
      <w:r>
        <w:rPr>
          <w:rFonts w:ascii="仿宋" w:eastAsia="仿宋" w:hAnsi="仿宋" w:hint="eastAsia"/>
          <w:sz w:val="28"/>
          <w:szCs w:val="28"/>
        </w:rPr>
        <w:t>请总额度不超过</w:t>
      </w:r>
      <w:r w:rsidR="00682B50">
        <w:rPr>
          <w:rFonts w:ascii="仿宋" w:eastAsia="仿宋" w:hAnsi="仿宋" w:hint="eastAsia"/>
          <w:color w:val="auto"/>
          <w:sz w:val="28"/>
          <w:lang w:eastAsia="zh-CN"/>
        </w:rPr>
        <w:t>4</w:t>
      </w:r>
      <w:r>
        <w:rPr>
          <w:rFonts w:ascii="仿宋" w:eastAsia="仿宋" w:hAnsi="仿宋" w:hint="eastAsia"/>
          <w:color w:val="auto"/>
          <w:sz w:val="28"/>
          <w:lang w:eastAsia="zh-CN"/>
        </w:rPr>
        <w:t>0</w:t>
      </w:r>
      <w:r>
        <w:rPr>
          <w:rFonts w:ascii="仿宋" w:eastAsia="仿宋" w:hAnsi="仿宋" w:hint="eastAsia"/>
          <w:color w:val="auto"/>
          <w:sz w:val="28"/>
        </w:rPr>
        <w:t>,000</w:t>
      </w:r>
      <w:r>
        <w:rPr>
          <w:rFonts w:ascii="仿宋" w:eastAsia="仿宋" w:hAnsi="仿宋" w:hint="eastAsia"/>
          <w:color w:val="auto"/>
          <w:sz w:val="28"/>
          <w:szCs w:val="28"/>
        </w:rPr>
        <w:t>万元的综合</w:t>
      </w:r>
      <w:r>
        <w:rPr>
          <w:rFonts w:ascii="仿宋" w:eastAsia="仿宋" w:hAnsi="仿宋" w:hint="eastAsia"/>
          <w:sz w:val="28"/>
          <w:szCs w:val="28"/>
        </w:rPr>
        <w:t>授信额度，并由</w:t>
      </w:r>
      <w:r>
        <w:rPr>
          <w:rFonts w:ascii="仿宋" w:eastAsia="仿宋" w:hAnsi="仿宋" w:hint="eastAsia"/>
          <w:sz w:val="28"/>
        </w:rPr>
        <w:t>公司为实际贷款提供担保</w:t>
      </w:r>
      <w:r>
        <w:rPr>
          <w:rFonts w:ascii="仿宋" w:eastAsia="仿宋" w:hAnsi="仿宋" w:hint="eastAsia"/>
          <w:sz w:val="28"/>
          <w:szCs w:val="28"/>
        </w:rPr>
        <w:t>。</w:t>
      </w:r>
      <w:r>
        <w:rPr>
          <w:rFonts w:ascii="仿宋" w:eastAsia="仿宋" w:hAnsi="仿宋" w:hint="eastAsia"/>
          <w:sz w:val="28"/>
          <w:lang w:eastAsia="zh-CN"/>
        </w:rPr>
        <w:t>”</w:t>
      </w:r>
    </w:p>
    <w:p w14:paraId="213A746C" w14:textId="77777777"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rPr>
        <w:t>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w:t>
      </w:r>
      <w:r>
        <w:rPr>
          <w:rFonts w:ascii="仿宋" w:eastAsia="仿宋" w:hAnsi="仿宋" w:hint="eastAsia"/>
          <w:sz w:val="28"/>
        </w:rPr>
        <w:t>第</w:t>
      </w:r>
      <w:r>
        <w:rPr>
          <w:rFonts w:ascii="仿宋" w:eastAsia="仿宋" w:hAnsi="仿宋" w:hint="eastAsia"/>
          <w:sz w:val="28"/>
          <w:lang w:eastAsia="zh-CN"/>
        </w:rPr>
        <w:t>二</w:t>
      </w:r>
      <w:r>
        <w:rPr>
          <w:rFonts w:ascii="仿宋" w:eastAsia="仿宋" w:hAnsi="仿宋" w:hint="eastAsia"/>
          <w:sz w:val="28"/>
        </w:rPr>
        <w:t>次独立董事专门会议审议通过</w:t>
      </w:r>
      <w:r>
        <w:rPr>
          <w:rFonts w:ascii="仿宋" w:eastAsia="仿宋" w:hAnsi="仿宋" w:hint="eastAsia"/>
          <w:sz w:val="28"/>
          <w:lang w:eastAsia="zh-CN"/>
        </w:rPr>
        <w:t>。具体内容详见同日披露于巨潮资讯网（www.cninfo.com.cn）的《广东天亿马信息产业股份有限公司关于子公司拟申请融资额度并由公司为其提供担保的公告》（公告编号：2026-018）。</w:t>
      </w:r>
    </w:p>
    <w:p w14:paraId="5BF796B6"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148039E4"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33B4C673"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本议案须提交股东会审议。</w:t>
      </w:r>
    </w:p>
    <w:p w14:paraId="066E6F83"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《关于2025年度计提资产减值准备的议案》，</w:t>
      </w:r>
      <w:r>
        <w:rPr>
          <w:rFonts w:ascii="仿宋" w:eastAsia="仿宋" w:hAnsi="仿宋" w:cs="仿宋"/>
          <w:b/>
          <w:bCs/>
          <w:snapToGrid/>
          <w:kern w:val="2"/>
          <w:sz w:val="28"/>
          <w:szCs w:val="28"/>
          <w:lang w:eastAsia="zh-CN"/>
        </w:rPr>
        <w:t>具体情况如下：</w:t>
      </w:r>
    </w:p>
    <w:p w14:paraId="10F69573"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依据《企业会计准则》及公司会计政策相关规定，本着谨慎性原则，公司对合并报表范围内的202</w:t>
      </w:r>
      <w:r>
        <w:rPr>
          <w:rFonts w:ascii="仿宋" w:eastAsia="仿宋" w:hAnsi="仿宋" w:hint="eastAsia"/>
          <w:sz w:val="28"/>
          <w:lang w:eastAsia="zh-CN"/>
        </w:rPr>
        <w:t>5</w:t>
      </w:r>
      <w:r>
        <w:rPr>
          <w:rFonts w:ascii="仿宋" w:eastAsia="仿宋" w:hAnsi="仿宋" w:hint="eastAsia"/>
          <w:sz w:val="28"/>
        </w:rPr>
        <w:t>年末应收账款、其他应收款、存货、固定资产、长期股权投资、无形资产等资产进行了减值测试，判断存在可能发生减值的迹象，确定了需计提资产减值准备的资产项目。该事项已经第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w:t>
      </w:r>
      <w:r>
        <w:rPr>
          <w:rFonts w:ascii="仿宋" w:eastAsia="仿宋" w:hAnsi="仿宋" w:hint="eastAsia"/>
          <w:sz w:val="28"/>
        </w:rPr>
        <w:t>审议通过</w:t>
      </w:r>
      <w:r>
        <w:rPr>
          <w:rFonts w:ascii="仿宋" w:eastAsia="仿宋" w:hAnsi="仿宋" w:hint="eastAsia"/>
          <w:sz w:val="28"/>
          <w:lang w:eastAsia="zh-CN"/>
        </w:rPr>
        <w:t>。</w:t>
      </w:r>
    </w:p>
    <w:p w14:paraId="4B6F9B21"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具体内容详见同日披露于巨潮资讯网（www.cninfo.com.cn）的《广东天亿马信息产业股份有限公司关于202</w:t>
      </w:r>
      <w:r>
        <w:rPr>
          <w:rFonts w:ascii="仿宋" w:eastAsia="仿宋" w:hAnsi="仿宋" w:hint="eastAsia"/>
          <w:sz w:val="28"/>
          <w:lang w:eastAsia="zh-CN"/>
        </w:rPr>
        <w:t>5</w:t>
      </w:r>
      <w:r>
        <w:rPr>
          <w:rFonts w:ascii="仿宋" w:eastAsia="仿宋" w:hAnsi="仿宋" w:hint="eastAsia"/>
          <w:sz w:val="28"/>
        </w:rPr>
        <w:t>年度计提资产减值准备的公告》（公告编号：202</w:t>
      </w:r>
      <w:r>
        <w:rPr>
          <w:rFonts w:ascii="仿宋" w:eastAsia="仿宋" w:hAnsi="仿宋" w:hint="eastAsia"/>
          <w:sz w:val="28"/>
          <w:lang w:eastAsia="zh-CN"/>
        </w:rPr>
        <w:t>6</w:t>
      </w:r>
      <w:r>
        <w:rPr>
          <w:rFonts w:ascii="仿宋" w:eastAsia="仿宋" w:hAnsi="仿宋" w:hint="eastAsia"/>
          <w:sz w:val="28"/>
        </w:rPr>
        <w:t>-0</w:t>
      </w:r>
      <w:r>
        <w:rPr>
          <w:rFonts w:ascii="仿宋" w:eastAsia="仿宋" w:hAnsi="仿宋" w:hint="eastAsia"/>
          <w:sz w:val="28"/>
          <w:lang w:eastAsia="zh-CN"/>
        </w:rPr>
        <w:t>19</w:t>
      </w:r>
      <w:r>
        <w:rPr>
          <w:rFonts w:ascii="仿宋" w:eastAsia="仿宋" w:hAnsi="仿宋" w:hint="eastAsia"/>
          <w:sz w:val="28"/>
        </w:rPr>
        <w:t>）。</w:t>
      </w:r>
    </w:p>
    <w:p w14:paraId="19CFE23B"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5ACD2E53"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24D1F6BC"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《关于&lt;公司2025年年度报告&gt;及&lt;2025年年度报告摘要&gt;的议案》，</w:t>
      </w:r>
      <w:r>
        <w:rPr>
          <w:rFonts w:ascii="仿宋" w:eastAsia="仿宋" w:hAnsi="仿宋" w:cs="仿宋"/>
          <w:b/>
          <w:bCs/>
          <w:snapToGrid/>
          <w:kern w:val="2"/>
          <w:sz w:val="28"/>
          <w:szCs w:val="28"/>
          <w:lang w:eastAsia="zh-CN"/>
        </w:rPr>
        <w:t>具体情况如下：</w:t>
      </w:r>
    </w:p>
    <w:p w14:paraId="1109D41B"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公司根据深圳证券交易所相关要求编制了《202</w:t>
      </w:r>
      <w:r>
        <w:rPr>
          <w:rFonts w:ascii="仿宋" w:eastAsia="仿宋" w:hAnsi="仿宋" w:hint="eastAsia"/>
          <w:sz w:val="28"/>
          <w:lang w:eastAsia="zh-CN"/>
        </w:rPr>
        <w:t>5</w:t>
      </w:r>
      <w:r>
        <w:rPr>
          <w:rFonts w:ascii="仿宋" w:eastAsia="仿宋" w:hAnsi="仿宋" w:hint="eastAsia"/>
          <w:sz w:val="28"/>
        </w:rPr>
        <w:t>年年度报告》及《202</w:t>
      </w:r>
      <w:r>
        <w:rPr>
          <w:rFonts w:ascii="仿宋" w:eastAsia="仿宋" w:hAnsi="仿宋" w:hint="eastAsia"/>
          <w:sz w:val="28"/>
          <w:lang w:eastAsia="zh-CN"/>
        </w:rPr>
        <w:t>5</w:t>
      </w:r>
      <w:r>
        <w:rPr>
          <w:rFonts w:ascii="仿宋" w:eastAsia="仿宋" w:hAnsi="仿宋" w:hint="eastAsia"/>
          <w:sz w:val="28"/>
        </w:rPr>
        <w:t>年年度报告摘要》。该事项已经第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w:t>
      </w:r>
      <w:r>
        <w:rPr>
          <w:rFonts w:ascii="仿宋" w:eastAsia="仿宋" w:hAnsi="仿宋" w:hint="eastAsia"/>
          <w:sz w:val="28"/>
          <w:lang w:eastAsia="zh-CN"/>
        </w:rPr>
        <w:lastRenderedPageBreak/>
        <w:t>第六次会议</w:t>
      </w:r>
      <w:r>
        <w:rPr>
          <w:rFonts w:ascii="仿宋" w:eastAsia="仿宋" w:hAnsi="仿宋" w:hint="eastAsia"/>
          <w:sz w:val="28"/>
        </w:rPr>
        <w:t>审议通过</w:t>
      </w:r>
      <w:r>
        <w:rPr>
          <w:rFonts w:ascii="仿宋" w:eastAsia="仿宋" w:hAnsi="仿宋" w:hint="eastAsia"/>
          <w:sz w:val="28"/>
          <w:lang w:eastAsia="zh-CN"/>
        </w:rPr>
        <w:t>。</w:t>
      </w:r>
      <w:r>
        <w:rPr>
          <w:rFonts w:ascii="仿宋" w:eastAsia="仿宋" w:hAnsi="仿宋" w:hint="eastAsia"/>
          <w:sz w:val="28"/>
        </w:rPr>
        <w:t>具体内容详见同日披露于巨潮资讯网（www.cninfo.com.cn）的《广东天亿马信息产业股份有限公司202</w:t>
      </w:r>
      <w:r>
        <w:rPr>
          <w:rFonts w:ascii="仿宋" w:eastAsia="仿宋" w:hAnsi="仿宋" w:hint="eastAsia"/>
          <w:sz w:val="28"/>
          <w:lang w:eastAsia="zh-CN"/>
        </w:rPr>
        <w:t>5</w:t>
      </w:r>
      <w:r>
        <w:rPr>
          <w:rFonts w:ascii="仿宋" w:eastAsia="仿宋" w:hAnsi="仿宋" w:hint="eastAsia"/>
          <w:sz w:val="28"/>
        </w:rPr>
        <w:t>年年度报告》（公告编号：20</w:t>
      </w:r>
      <w:r>
        <w:rPr>
          <w:rFonts w:ascii="仿宋" w:eastAsia="仿宋" w:hAnsi="仿宋" w:hint="eastAsia"/>
          <w:sz w:val="28"/>
          <w:lang w:eastAsia="zh-CN"/>
        </w:rPr>
        <w:t>26</w:t>
      </w:r>
      <w:r>
        <w:rPr>
          <w:rFonts w:ascii="仿宋" w:eastAsia="仿宋" w:hAnsi="仿宋" w:hint="eastAsia"/>
          <w:sz w:val="28"/>
        </w:rPr>
        <w:t>-</w:t>
      </w:r>
      <w:r>
        <w:rPr>
          <w:rFonts w:ascii="仿宋" w:eastAsia="仿宋" w:hAnsi="仿宋" w:hint="eastAsia"/>
          <w:sz w:val="28"/>
          <w:lang w:eastAsia="zh-CN"/>
        </w:rPr>
        <w:t>020</w:t>
      </w:r>
      <w:r>
        <w:rPr>
          <w:rFonts w:ascii="仿宋" w:eastAsia="仿宋" w:hAnsi="仿宋" w:hint="eastAsia"/>
          <w:sz w:val="28"/>
        </w:rPr>
        <w:t>）及《广东天亿马信息产业股份有限公司202</w:t>
      </w:r>
      <w:r>
        <w:rPr>
          <w:rFonts w:ascii="仿宋" w:eastAsia="仿宋" w:hAnsi="仿宋" w:hint="eastAsia"/>
          <w:sz w:val="28"/>
          <w:lang w:eastAsia="zh-CN"/>
        </w:rPr>
        <w:t>5</w:t>
      </w:r>
      <w:r>
        <w:rPr>
          <w:rFonts w:ascii="仿宋" w:eastAsia="仿宋" w:hAnsi="仿宋" w:hint="eastAsia"/>
          <w:sz w:val="28"/>
        </w:rPr>
        <w:t>年年度报告摘要》（公告编号：202</w:t>
      </w:r>
      <w:r>
        <w:rPr>
          <w:rFonts w:ascii="仿宋" w:eastAsia="仿宋" w:hAnsi="仿宋" w:hint="eastAsia"/>
          <w:sz w:val="28"/>
          <w:lang w:eastAsia="zh-CN"/>
        </w:rPr>
        <w:t>6</w:t>
      </w:r>
      <w:r>
        <w:rPr>
          <w:rFonts w:ascii="仿宋" w:eastAsia="仿宋" w:hAnsi="仿宋" w:hint="eastAsia"/>
          <w:sz w:val="28"/>
        </w:rPr>
        <w:t>-0</w:t>
      </w:r>
      <w:r>
        <w:rPr>
          <w:rFonts w:ascii="仿宋" w:eastAsia="仿宋" w:hAnsi="仿宋" w:hint="eastAsia"/>
          <w:sz w:val="28"/>
          <w:lang w:eastAsia="zh-CN"/>
        </w:rPr>
        <w:t>21</w:t>
      </w:r>
      <w:r>
        <w:rPr>
          <w:rFonts w:ascii="仿宋" w:eastAsia="仿宋" w:hAnsi="仿宋" w:hint="eastAsia"/>
          <w:sz w:val="28"/>
        </w:rPr>
        <w:t>）。</w:t>
      </w:r>
    </w:p>
    <w:p w14:paraId="4A45B2F8"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5D8A80F9"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17D4E2A1"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本议案须提交股东会审议。</w:t>
      </w:r>
    </w:p>
    <w:p w14:paraId="0F13EA60"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《关于&lt;募集资金2025年度存放、管理与使用情况的专项报告&gt;的议案》，</w:t>
      </w:r>
      <w:r>
        <w:rPr>
          <w:rFonts w:ascii="仿宋" w:eastAsia="仿宋" w:hAnsi="仿宋" w:cs="仿宋"/>
          <w:b/>
          <w:bCs/>
          <w:snapToGrid/>
          <w:kern w:val="2"/>
          <w:sz w:val="28"/>
          <w:szCs w:val="28"/>
          <w:lang w:eastAsia="zh-CN"/>
        </w:rPr>
        <w:t>具体情况如下：</w:t>
      </w:r>
    </w:p>
    <w:p w14:paraId="03B0FE7D"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根据中国证监会和深圳证券交易所的有关规定，公司董事会编制了截至202</w:t>
      </w:r>
      <w:r>
        <w:rPr>
          <w:rFonts w:ascii="仿宋" w:eastAsia="仿宋" w:hAnsi="仿宋" w:hint="eastAsia"/>
          <w:sz w:val="28"/>
          <w:lang w:eastAsia="zh-CN"/>
        </w:rPr>
        <w:t>5</w:t>
      </w:r>
      <w:r>
        <w:rPr>
          <w:rFonts w:ascii="仿宋" w:eastAsia="仿宋" w:hAnsi="仿宋" w:hint="eastAsia"/>
          <w:sz w:val="28"/>
        </w:rPr>
        <w:t>年12月31日止的</w:t>
      </w:r>
      <w:r>
        <w:rPr>
          <w:rFonts w:ascii="仿宋" w:eastAsia="仿宋" w:hAnsi="仿宋" w:hint="eastAsia"/>
          <w:sz w:val="28"/>
          <w:lang w:eastAsia="zh-CN"/>
        </w:rPr>
        <w:t>募集资金</w:t>
      </w:r>
      <w:r>
        <w:rPr>
          <w:rFonts w:ascii="仿宋" w:eastAsia="仿宋" w:hAnsi="仿宋" w:hint="eastAsia"/>
          <w:sz w:val="28"/>
        </w:rPr>
        <w:t>存放、管理与使用情况</w:t>
      </w:r>
      <w:r>
        <w:rPr>
          <w:rFonts w:ascii="仿宋" w:eastAsia="仿宋" w:hAnsi="仿宋" w:hint="eastAsia"/>
          <w:sz w:val="28"/>
          <w:lang w:eastAsia="zh-CN"/>
        </w:rPr>
        <w:t>的专项报告</w:t>
      </w:r>
      <w:r>
        <w:rPr>
          <w:rFonts w:ascii="仿宋" w:eastAsia="仿宋" w:hAnsi="仿宋" w:hint="eastAsia"/>
          <w:sz w:val="28"/>
        </w:rPr>
        <w:t>。公司聘请了中审亚太对专项报告内容予以鉴证，出具了《关于广东天亿马信息产业股份有限公司募集资金2025年度存放、管理与使用情况的鉴证报告》。保荐机构五矿证券有限公司（以下简称“五矿证券”）对该</w:t>
      </w:r>
      <w:r>
        <w:rPr>
          <w:rFonts w:ascii="仿宋" w:eastAsia="仿宋" w:hAnsi="仿宋" w:hint="eastAsia"/>
          <w:sz w:val="28"/>
          <w:lang w:eastAsia="zh-CN"/>
        </w:rPr>
        <w:t>专项报告</w:t>
      </w:r>
      <w:r>
        <w:rPr>
          <w:rFonts w:ascii="仿宋" w:eastAsia="仿宋" w:hAnsi="仿宋" w:hint="eastAsia"/>
          <w:sz w:val="28"/>
        </w:rPr>
        <w:t>发表了核查意见。该事项已经第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w:t>
      </w:r>
      <w:r>
        <w:rPr>
          <w:rFonts w:ascii="仿宋" w:eastAsia="仿宋" w:hAnsi="仿宋" w:hint="eastAsia"/>
          <w:sz w:val="28"/>
        </w:rPr>
        <w:t>审议通过</w:t>
      </w:r>
      <w:r>
        <w:rPr>
          <w:rFonts w:ascii="仿宋" w:eastAsia="仿宋" w:hAnsi="仿宋" w:hint="eastAsia"/>
          <w:sz w:val="28"/>
          <w:lang w:eastAsia="zh-CN"/>
        </w:rPr>
        <w:t>。</w:t>
      </w:r>
    </w:p>
    <w:p w14:paraId="27EBC033"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具体内容详见同日披露于巨潮资讯网（www.cninfo.com.cn）的《广东天亿马信息产业股份有限公司募集资金202</w:t>
      </w:r>
      <w:r>
        <w:rPr>
          <w:rFonts w:ascii="仿宋" w:eastAsia="仿宋" w:hAnsi="仿宋" w:hint="eastAsia"/>
          <w:sz w:val="28"/>
          <w:lang w:eastAsia="zh-CN"/>
        </w:rPr>
        <w:t>5</w:t>
      </w:r>
      <w:r>
        <w:rPr>
          <w:rFonts w:ascii="仿宋" w:eastAsia="仿宋" w:hAnsi="仿宋" w:hint="eastAsia"/>
          <w:sz w:val="28"/>
        </w:rPr>
        <w:t>年度存放</w:t>
      </w:r>
      <w:r>
        <w:rPr>
          <w:rFonts w:ascii="仿宋" w:eastAsia="仿宋" w:hAnsi="仿宋" w:hint="eastAsia"/>
          <w:sz w:val="28"/>
          <w:lang w:eastAsia="zh-CN"/>
        </w:rPr>
        <w:t>、</w:t>
      </w:r>
      <w:r>
        <w:rPr>
          <w:rFonts w:ascii="仿宋" w:eastAsia="仿宋" w:hAnsi="仿宋" w:hint="eastAsia"/>
          <w:sz w:val="28"/>
        </w:rPr>
        <w:t>使用情况的专项报告》（公告编号：202</w:t>
      </w:r>
      <w:r>
        <w:rPr>
          <w:rFonts w:ascii="仿宋" w:eastAsia="仿宋" w:hAnsi="仿宋" w:hint="eastAsia"/>
          <w:sz w:val="28"/>
          <w:lang w:eastAsia="zh-CN"/>
        </w:rPr>
        <w:t>6</w:t>
      </w:r>
      <w:r>
        <w:rPr>
          <w:rFonts w:ascii="仿宋" w:eastAsia="仿宋" w:hAnsi="仿宋" w:hint="eastAsia"/>
          <w:sz w:val="28"/>
        </w:rPr>
        <w:t>-</w:t>
      </w:r>
      <w:r>
        <w:rPr>
          <w:rFonts w:ascii="仿宋" w:eastAsia="仿宋" w:hAnsi="仿宋" w:hint="eastAsia"/>
          <w:sz w:val="28"/>
          <w:lang w:eastAsia="zh-CN"/>
        </w:rPr>
        <w:t>022</w:t>
      </w:r>
      <w:r>
        <w:rPr>
          <w:rFonts w:ascii="仿宋" w:eastAsia="仿宋" w:hAnsi="仿宋" w:hint="eastAsia"/>
          <w:sz w:val="28"/>
        </w:rPr>
        <w:t>）、《中审亚太会计师事务所（特殊普通合伙）关于广东天亿马信息产业股份有限公司募集资金2025年度存放、管理与使用情况的鉴证报告》及《五矿证券有限公司关于广东天亿马信息产业股份有限公司202</w:t>
      </w:r>
      <w:r>
        <w:rPr>
          <w:rFonts w:ascii="仿宋" w:eastAsia="仿宋" w:hAnsi="仿宋" w:hint="eastAsia"/>
          <w:sz w:val="28"/>
          <w:lang w:eastAsia="zh-CN"/>
        </w:rPr>
        <w:t>5</w:t>
      </w:r>
      <w:r>
        <w:rPr>
          <w:rFonts w:ascii="仿宋" w:eastAsia="仿宋" w:hAnsi="仿宋" w:hint="eastAsia"/>
          <w:sz w:val="28"/>
        </w:rPr>
        <w:t>年度募集资金2025年度存放、管理与使用情况的核查意见》。</w:t>
      </w:r>
    </w:p>
    <w:p w14:paraId="62898E42"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681A3D4C"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34AB09C7"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《关于&lt;2025年度财务审计报告&gt;的议案》，</w:t>
      </w:r>
      <w:r>
        <w:rPr>
          <w:rFonts w:ascii="仿宋" w:eastAsia="仿宋" w:hAnsi="仿宋" w:cs="仿宋"/>
          <w:b/>
          <w:bCs/>
          <w:snapToGrid/>
          <w:kern w:val="2"/>
          <w:sz w:val="28"/>
          <w:szCs w:val="28"/>
          <w:lang w:eastAsia="zh-CN"/>
        </w:rPr>
        <w:t>具</w:t>
      </w:r>
      <w:r>
        <w:rPr>
          <w:rFonts w:ascii="仿宋" w:eastAsia="仿宋" w:hAnsi="仿宋" w:cs="仿宋"/>
          <w:b/>
          <w:bCs/>
          <w:snapToGrid/>
          <w:kern w:val="2"/>
          <w:sz w:val="28"/>
          <w:szCs w:val="28"/>
          <w:lang w:eastAsia="zh-CN"/>
        </w:rPr>
        <w:lastRenderedPageBreak/>
        <w:t>体情况如下：</w:t>
      </w:r>
    </w:p>
    <w:p w14:paraId="0D45F229" w14:textId="77777777" w:rsidR="004815E0" w:rsidRDefault="002D7458">
      <w:pPr>
        <w:spacing w:beforeLines="50" w:before="120" w:line="360" w:lineRule="auto"/>
        <w:ind w:firstLineChars="200" w:firstLine="560"/>
        <w:jc w:val="both"/>
        <w:rPr>
          <w:rFonts w:ascii="仿宋" w:eastAsia="仿宋" w:hAnsi="仿宋"/>
          <w:sz w:val="28"/>
        </w:rPr>
      </w:pPr>
      <w:r>
        <w:rPr>
          <w:rFonts w:ascii="仿宋" w:eastAsia="仿宋" w:hAnsi="仿宋" w:hint="eastAsia"/>
          <w:sz w:val="28"/>
        </w:rPr>
        <w:t>公司聘请中审亚太对公司202</w:t>
      </w:r>
      <w:r>
        <w:rPr>
          <w:rFonts w:ascii="仿宋" w:eastAsia="仿宋" w:hAnsi="仿宋" w:hint="eastAsia"/>
          <w:sz w:val="28"/>
          <w:lang w:eastAsia="zh-CN"/>
        </w:rPr>
        <w:t>5</w:t>
      </w:r>
      <w:r>
        <w:rPr>
          <w:rFonts w:ascii="仿宋" w:eastAsia="仿宋" w:hAnsi="仿宋" w:hint="eastAsia"/>
          <w:sz w:val="28"/>
        </w:rPr>
        <w:t>年度财务状况进行审计，并出具了标准无保留意见的审计报告。该事项已经第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w:t>
      </w:r>
      <w:r>
        <w:rPr>
          <w:rFonts w:ascii="仿宋" w:eastAsia="仿宋" w:hAnsi="仿宋" w:hint="eastAsia"/>
          <w:sz w:val="28"/>
        </w:rPr>
        <w:t>审议通过</w:t>
      </w:r>
      <w:r>
        <w:rPr>
          <w:rFonts w:ascii="仿宋" w:eastAsia="仿宋" w:hAnsi="仿宋" w:hint="eastAsia"/>
          <w:sz w:val="28"/>
          <w:lang w:eastAsia="zh-CN"/>
        </w:rPr>
        <w:t>，并同意提交至董事会审议。</w:t>
      </w:r>
      <w:r>
        <w:rPr>
          <w:rFonts w:ascii="仿宋" w:eastAsia="仿宋" w:hAnsi="仿宋" w:hint="eastAsia"/>
          <w:sz w:val="28"/>
        </w:rPr>
        <w:t>具体内容详见同日披露于巨潮资讯网（www.cninfo.com.cn）的《中审亚太会计师事务所（特殊普通合伙）关于广东天亿马信息产业股份有限公司202</w:t>
      </w:r>
      <w:r>
        <w:rPr>
          <w:rFonts w:ascii="仿宋" w:eastAsia="仿宋" w:hAnsi="仿宋" w:hint="eastAsia"/>
          <w:sz w:val="28"/>
          <w:lang w:eastAsia="zh-CN"/>
        </w:rPr>
        <w:t>5</w:t>
      </w:r>
      <w:r>
        <w:rPr>
          <w:rFonts w:ascii="仿宋" w:eastAsia="仿宋" w:hAnsi="仿宋" w:hint="eastAsia"/>
          <w:sz w:val="28"/>
        </w:rPr>
        <w:t>年度财务审计报告》（中审亚太审字（</w:t>
      </w:r>
      <w:r>
        <w:rPr>
          <w:rFonts w:ascii="仿宋" w:eastAsia="仿宋" w:hAnsi="仿宋"/>
          <w:sz w:val="28"/>
        </w:rPr>
        <w:t>2026</w:t>
      </w:r>
      <w:r>
        <w:rPr>
          <w:rFonts w:ascii="仿宋" w:eastAsia="仿宋" w:hAnsi="仿宋" w:hint="eastAsia"/>
          <w:sz w:val="28"/>
        </w:rPr>
        <w:t>）</w:t>
      </w:r>
      <w:r>
        <w:rPr>
          <w:rFonts w:ascii="仿宋" w:eastAsia="仿宋" w:hAnsi="仿宋"/>
          <w:sz w:val="28"/>
        </w:rPr>
        <w:t>002364</w:t>
      </w:r>
      <w:r>
        <w:rPr>
          <w:rFonts w:ascii="仿宋" w:eastAsia="仿宋" w:hAnsi="仿宋" w:hint="eastAsia"/>
          <w:sz w:val="28"/>
        </w:rPr>
        <w:t>号）。</w:t>
      </w:r>
    </w:p>
    <w:p w14:paraId="7AFF26DE"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60A82B48"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1742C4C0"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《关于&lt;公司非经营性资金占用及其他关联资金往来情况汇总表的专项审核报告&gt;的议案》，</w:t>
      </w:r>
      <w:r>
        <w:rPr>
          <w:rFonts w:ascii="仿宋" w:eastAsia="仿宋" w:hAnsi="仿宋" w:cs="仿宋"/>
          <w:b/>
          <w:bCs/>
          <w:snapToGrid/>
          <w:kern w:val="2"/>
          <w:sz w:val="28"/>
          <w:szCs w:val="28"/>
          <w:lang w:eastAsia="zh-CN"/>
        </w:rPr>
        <w:t>具体情况如下：</w:t>
      </w:r>
    </w:p>
    <w:p w14:paraId="2987D9EC" w14:textId="77777777" w:rsidR="004815E0" w:rsidRDefault="002D7458">
      <w:pPr>
        <w:spacing w:beforeLines="50" w:before="120" w:line="360" w:lineRule="auto"/>
        <w:ind w:firstLineChars="200" w:firstLine="560"/>
        <w:jc w:val="both"/>
        <w:rPr>
          <w:rFonts w:ascii="仿宋" w:eastAsia="仿宋" w:hAnsi="仿宋"/>
          <w:sz w:val="28"/>
        </w:rPr>
      </w:pPr>
      <w:r>
        <w:rPr>
          <w:rFonts w:ascii="仿宋" w:eastAsia="仿宋" w:hAnsi="仿宋" w:hint="eastAsia"/>
          <w:sz w:val="28"/>
        </w:rPr>
        <w:t>公司按照相关规定编制了202</w:t>
      </w:r>
      <w:r>
        <w:rPr>
          <w:rFonts w:ascii="仿宋" w:eastAsia="仿宋" w:hAnsi="仿宋" w:hint="eastAsia"/>
          <w:sz w:val="28"/>
          <w:lang w:eastAsia="zh-CN"/>
        </w:rPr>
        <w:t>5</w:t>
      </w:r>
      <w:r>
        <w:rPr>
          <w:rFonts w:ascii="仿宋" w:eastAsia="仿宋" w:hAnsi="仿宋" w:hint="eastAsia"/>
          <w:sz w:val="28"/>
        </w:rPr>
        <w:t>年度非经营性资金占用及其他关联资金往来情况汇总表，并聘请中审亚太进行审核。该事项已经第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w:t>
      </w:r>
      <w:r>
        <w:rPr>
          <w:rFonts w:ascii="仿宋" w:eastAsia="仿宋" w:hAnsi="仿宋" w:hint="eastAsia"/>
          <w:sz w:val="28"/>
        </w:rPr>
        <w:t>审议通过</w:t>
      </w:r>
      <w:r>
        <w:rPr>
          <w:rFonts w:ascii="仿宋" w:eastAsia="仿宋" w:hAnsi="仿宋" w:hint="eastAsia"/>
          <w:sz w:val="28"/>
          <w:lang w:eastAsia="zh-CN"/>
        </w:rPr>
        <w:t>。</w:t>
      </w:r>
      <w:r>
        <w:rPr>
          <w:rFonts w:ascii="仿宋" w:eastAsia="仿宋" w:hAnsi="仿宋" w:hint="eastAsia"/>
          <w:sz w:val="28"/>
        </w:rPr>
        <w:t>具体内容详见同日披露于巨潮资讯网（www.cninfo.com.cn）的《中审亚太会计师事务所（特殊普通合伙）关于广东天亿马信息产业股份有限公司非经营性资金占用及其他关联资金往来情况汇总表的专项审核报告》（中审亚太审字【</w:t>
      </w:r>
      <w:r>
        <w:rPr>
          <w:rFonts w:ascii="仿宋" w:eastAsia="仿宋" w:hAnsi="仿宋"/>
          <w:sz w:val="28"/>
        </w:rPr>
        <w:t>2026</w:t>
      </w:r>
      <w:r>
        <w:rPr>
          <w:rFonts w:ascii="仿宋" w:eastAsia="仿宋" w:hAnsi="仿宋" w:hint="eastAsia"/>
          <w:sz w:val="28"/>
        </w:rPr>
        <w:t>】</w:t>
      </w:r>
      <w:r>
        <w:rPr>
          <w:rFonts w:ascii="仿宋" w:eastAsia="仿宋" w:hAnsi="仿宋"/>
          <w:sz w:val="28"/>
        </w:rPr>
        <w:t>002986</w:t>
      </w:r>
      <w:r>
        <w:rPr>
          <w:rFonts w:ascii="仿宋" w:eastAsia="仿宋" w:hAnsi="仿宋" w:hint="eastAsia"/>
          <w:sz w:val="28"/>
        </w:rPr>
        <w:t>号）。</w:t>
      </w:r>
    </w:p>
    <w:p w14:paraId="339A6D08"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767F00A7"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0A316751"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《关于&lt;公司内部控制有效性的自我评价报告&gt;及&lt;公司内部控制有效性审计报告&gt;的议案》，</w:t>
      </w:r>
      <w:r>
        <w:rPr>
          <w:rFonts w:ascii="仿宋" w:eastAsia="仿宋" w:hAnsi="仿宋" w:cs="仿宋"/>
          <w:b/>
          <w:bCs/>
          <w:snapToGrid/>
          <w:kern w:val="2"/>
          <w:sz w:val="28"/>
          <w:szCs w:val="28"/>
          <w:lang w:eastAsia="zh-CN"/>
        </w:rPr>
        <w:t>具体情况如下：</w:t>
      </w:r>
    </w:p>
    <w:p w14:paraId="45EC0CA8"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公司对截至202</w:t>
      </w:r>
      <w:r>
        <w:rPr>
          <w:rFonts w:ascii="仿宋" w:eastAsia="仿宋" w:hAnsi="仿宋" w:hint="eastAsia"/>
          <w:sz w:val="28"/>
          <w:lang w:eastAsia="zh-CN"/>
        </w:rPr>
        <w:t>5</w:t>
      </w:r>
      <w:r>
        <w:rPr>
          <w:rFonts w:ascii="仿宋" w:eastAsia="仿宋" w:hAnsi="仿宋" w:hint="eastAsia"/>
          <w:sz w:val="28"/>
        </w:rPr>
        <w:t>年12月31日（内部控制评价报告基准日）的内部控制有效性进行了评价，编制了《广东天亿马信息产业股份有限公司内部控制自我评价报告》，并聘请中审亚太予以审计。该事项</w:t>
      </w:r>
      <w:r>
        <w:rPr>
          <w:rFonts w:ascii="仿宋" w:eastAsia="仿宋" w:hAnsi="仿宋" w:hint="eastAsia"/>
          <w:sz w:val="28"/>
        </w:rPr>
        <w:lastRenderedPageBreak/>
        <w:t>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w:t>
      </w:r>
      <w:r>
        <w:rPr>
          <w:rFonts w:ascii="仿宋" w:eastAsia="仿宋" w:hAnsi="仿宋" w:hint="eastAsia"/>
          <w:sz w:val="28"/>
        </w:rPr>
        <w:t>审议通过</w:t>
      </w:r>
      <w:r>
        <w:rPr>
          <w:rFonts w:ascii="仿宋" w:eastAsia="仿宋" w:hAnsi="仿宋" w:hint="eastAsia"/>
          <w:sz w:val="28"/>
          <w:lang w:eastAsia="zh-CN"/>
        </w:rPr>
        <w:t>。</w:t>
      </w:r>
      <w:r>
        <w:rPr>
          <w:rFonts w:ascii="仿宋" w:eastAsia="仿宋" w:hAnsi="仿宋" w:hint="eastAsia"/>
          <w:sz w:val="28"/>
        </w:rPr>
        <w:t>具体内容详见同日披露于巨潮资讯网（www.cninfo.com.cn）的《广东天亿马信息产业股份有限公司内部控制自我评价报告》</w:t>
      </w:r>
      <w:r>
        <w:rPr>
          <w:rFonts w:ascii="仿宋" w:eastAsia="仿宋" w:hAnsi="仿宋" w:hint="eastAsia"/>
          <w:sz w:val="28"/>
          <w:lang w:eastAsia="zh-CN"/>
        </w:rPr>
        <w:t>及《中审亚太会计师事务所（特殊普通合伙）关于广东天亿马信息产业股份有限公司内部控制审计报告》（中审亚太审字【</w:t>
      </w:r>
      <w:r>
        <w:rPr>
          <w:rFonts w:ascii="仿宋" w:eastAsia="仿宋" w:hAnsi="仿宋"/>
          <w:sz w:val="28"/>
          <w:lang w:eastAsia="zh-CN"/>
        </w:rPr>
        <w:t>2026</w:t>
      </w:r>
      <w:r>
        <w:rPr>
          <w:rFonts w:ascii="仿宋" w:eastAsia="仿宋" w:hAnsi="仿宋" w:hint="eastAsia"/>
          <w:sz w:val="28"/>
          <w:lang w:eastAsia="zh-CN"/>
        </w:rPr>
        <w:t>】</w:t>
      </w:r>
      <w:r>
        <w:rPr>
          <w:rFonts w:ascii="仿宋" w:eastAsia="仿宋" w:hAnsi="仿宋"/>
          <w:sz w:val="28"/>
          <w:lang w:eastAsia="zh-CN"/>
        </w:rPr>
        <w:t>002985</w:t>
      </w:r>
      <w:r>
        <w:rPr>
          <w:rFonts w:ascii="仿宋" w:eastAsia="仿宋" w:hAnsi="仿宋" w:hint="eastAsia"/>
          <w:sz w:val="28"/>
          <w:lang w:eastAsia="zh-CN"/>
        </w:rPr>
        <w:t>号）</w:t>
      </w:r>
      <w:r>
        <w:rPr>
          <w:rFonts w:ascii="仿宋" w:eastAsia="仿宋" w:hAnsi="仿宋" w:hint="eastAsia"/>
          <w:sz w:val="28"/>
        </w:rPr>
        <w:t>。</w:t>
      </w:r>
    </w:p>
    <w:p w14:paraId="15372162"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0B3015BD"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4EF5372D"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审议通过《关于使用部分闲置自有资金进行现金管理的议案》，</w:t>
      </w:r>
      <w:r>
        <w:rPr>
          <w:rFonts w:ascii="仿宋" w:eastAsia="仿宋" w:hAnsi="仿宋" w:cs="仿宋"/>
          <w:b/>
          <w:bCs/>
          <w:snapToGrid/>
          <w:kern w:val="2"/>
          <w:sz w:val="28"/>
          <w:szCs w:val="28"/>
          <w:lang w:eastAsia="zh-CN"/>
        </w:rPr>
        <w:t>具体情况如下：</w:t>
      </w:r>
    </w:p>
    <w:p w14:paraId="68F3B1A1"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为加强闲置自有资金管理，提高资金使用效率及收益水平，在确保公司正常经营资金需求和风险有效控制的前提下，公司(含并表范围内子公司)拟使用不超过人民币</w:t>
      </w:r>
      <w:r>
        <w:rPr>
          <w:rFonts w:ascii="仿宋" w:eastAsia="仿宋" w:hAnsi="仿宋" w:hint="eastAsia"/>
          <w:color w:val="auto"/>
          <w:sz w:val="28"/>
          <w:szCs w:val="28"/>
          <w:lang w:eastAsia="zh-CN"/>
        </w:rPr>
        <w:t>1</w:t>
      </w:r>
      <w:r>
        <w:rPr>
          <w:rFonts w:ascii="仿宋" w:eastAsia="仿宋" w:hAnsi="仿宋" w:hint="eastAsia"/>
          <w:sz w:val="28"/>
        </w:rPr>
        <w:t>亿元(含本数)的闲置自有资金进行现金管理，并授权董事长或其指定授权对象，在上述额度内签署相关合同文件，具体事项由财务部门负责组织实施。上述资金额度自股东会审议通过之日起12个月内可循环滚动使用。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w:t>
      </w:r>
      <w:r>
        <w:rPr>
          <w:rFonts w:ascii="仿宋" w:eastAsia="仿宋" w:hAnsi="仿宋" w:hint="eastAsia"/>
          <w:sz w:val="28"/>
        </w:rPr>
        <w:t>审议通过</w:t>
      </w:r>
      <w:r>
        <w:rPr>
          <w:rFonts w:ascii="仿宋" w:eastAsia="仿宋" w:hAnsi="仿宋" w:hint="eastAsia"/>
          <w:sz w:val="28"/>
          <w:lang w:eastAsia="zh-CN"/>
        </w:rPr>
        <w:t>。</w:t>
      </w:r>
    </w:p>
    <w:p w14:paraId="2C33F9F8"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具体内容详见同日披露于巨潮资讯网（www.cninfo.com.cn）的《广东天亿马信息产业股份有限公司关于使用部分闲置自有资金进行现金管理的公告》（公告编号：202</w:t>
      </w:r>
      <w:r>
        <w:rPr>
          <w:rFonts w:ascii="仿宋" w:eastAsia="仿宋" w:hAnsi="仿宋" w:hint="eastAsia"/>
          <w:sz w:val="28"/>
          <w:lang w:eastAsia="zh-CN"/>
        </w:rPr>
        <w:t>6</w:t>
      </w:r>
      <w:r>
        <w:rPr>
          <w:rFonts w:ascii="仿宋" w:eastAsia="仿宋" w:hAnsi="仿宋" w:hint="eastAsia"/>
          <w:sz w:val="28"/>
        </w:rPr>
        <w:t>-0</w:t>
      </w:r>
      <w:r>
        <w:rPr>
          <w:rFonts w:ascii="仿宋" w:eastAsia="仿宋" w:hAnsi="仿宋" w:hint="eastAsia"/>
          <w:sz w:val="28"/>
          <w:lang w:eastAsia="zh-CN"/>
        </w:rPr>
        <w:t>23</w:t>
      </w:r>
      <w:r>
        <w:rPr>
          <w:rFonts w:ascii="仿宋" w:eastAsia="仿宋" w:hAnsi="仿宋" w:hint="eastAsia"/>
          <w:sz w:val="28"/>
        </w:rPr>
        <w:t>）。</w:t>
      </w:r>
    </w:p>
    <w:p w14:paraId="4C6ABE99"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lang w:eastAsia="zh-CN"/>
        </w:rPr>
        <w:t>本事项已经公司董事会审计委员会审议通过，并同意提交至董事会审议。</w:t>
      </w:r>
    </w:p>
    <w:p w14:paraId="3F3B87D3"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39885161"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73734A5E"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审议通过《关于批准本次发行股份及支付现金购买资金并募集配套资金交易相关的加期审计报告、备考审阅报告的议案》，</w:t>
      </w:r>
      <w:r>
        <w:rPr>
          <w:rFonts w:ascii="仿宋" w:eastAsia="仿宋" w:hAnsi="仿宋" w:cs="仿宋"/>
          <w:b/>
          <w:bCs/>
          <w:snapToGrid/>
          <w:kern w:val="2"/>
          <w:sz w:val="28"/>
          <w:szCs w:val="28"/>
          <w:lang w:eastAsia="zh-CN"/>
        </w:rPr>
        <w:t>具体情况如下：</w:t>
      </w:r>
    </w:p>
    <w:p w14:paraId="349F809C" w14:textId="77777777"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rPr>
        <w:lastRenderedPageBreak/>
        <w:t>公司拟通过发行股份及支付现金的方式购买广东星云</w:t>
      </w:r>
      <w:r>
        <w:rPr>
          <w:rFonts w:ascii="仿宋" w:eastAsia="仿宋" w:hAnsi="仿宋" w:hint="eastAsia"/>
          <w:sz w:val="28"/>
          <w:lang w:eastAsia="zh-CN"/>
        </w:rPr>
        <w:t>开物</w:t>
      </w:r>
      <w:r>
        <w:rPr>
          <w:rFonts w:ascii="仿宋" w:eastAsia="仿宋" w:hAnsi="仿宋" w:hint="eastAsia"/>
          <w:sz w:val="28"/>
        </w:rPr>
        <w:t>科技股份有限公司（以下简称“标的公司”）98.5632%股权（以下简称“标的资产”）并募集配套资金（以下简称“本次交易”）。鉴于本次交易的审计基准日更新为2025年12月31日，为满足本次交易后续推进的要求，中审亚太就本次交易涉及的标的资产出具了《中审亚太会计师事务所（特殊普通合伙）关于</w:t>
      </w:r>
      <w:r>
        <w:rPr>
          <w:rFonts w:ascii="仿宋" w:eastAsia="仿宋" w:hAnsi="仿宋" w:hint="eastAsia"/>
          <w:sz w:val="28"/>
          <w:lang w:eastAsia="zh-CN"/>
        </w:rPr>
        <w:t>广东天亿马信息产业股份有限公司</w:t>
      </w:r>
      <w:r>
        <w:rPr>
          <w:rFonts w:ascii="仿宋" w:eastAsia="仿宋" w:hAnsi="仿宋" w:hint="eastAsia"/>
          <w:sz w:val="28"/>
        </w:rPr>
        <w:t>审阅报告》</w:t>
      </w:r>
      <w:r>
        <w:rPr>
          <w:rFonts w:ascii="仿宋" w:eastAsia="仿宋" w:hAnsi="仿宋" w:hint="eastAsia"/>
          <w:color w:val="auto"/>
          <w:sz w:val="28"/>
          <w:lang w:eastAsia="zh-CN"/>
        </w:rPr>
        <w:t>（</w:t>
      </w:r>
      <w:r>
        <w:rPr>
          <w:rFonts w:ascii="仿宋" w:eastAsia="仿宋" w:hAnsi="仿宋" w:hint="eastAsia"/>
          <w:color w:val="auto"/>
          <w:sz w:val="28"/>
        </w:rPr>
        <w:t>中审亚太审字(2026)002790号</w:t>
      </w:r>
      <w:r>
        <w:rPr>
          <w:rFonts w:ascii="仿宋" w:eastAsia="仿宋" w:hAnsi="仿宋" w:hint="eastAsia"/>
          <w:color w:val="auto"/>
          <w:sz w:val="28"/>
          <w:lang w:eastAsia="zh-CN"/>
        </w:rPr>
        <w:t>）。</w:t>
      </w:r>
      <w:r>
        <w:rPr>
          <w:rFonts w:ascii="仿宋" w:eastAsia="仿宋" w:hAnsi="仿宋" w:hint="eastAsia"/>
          <w:color w:val="auto"/>
          <w:sz w:val="28"/>
        </w:rPr>
        <w:t>该事项已经第</w:t>
      </w:r>
      <w:r>
        <w:rPr>
          <w:rFonts w:ascii="仿宋" w:eastAsia="仿宋" w:hAnsi="仿宋" w:hint="eastAsia"/>
          <w:color w:val="auto"/>
          <w:sz w:val="28"/>
          <w:lang w:eastAsia="zh-CN"/>
        </w:rPr>
        <w:t>四</w:t>
      </w:r>
      <w:r>
        <w:rPr>
          <w:rFonts w:ascii="仿宋" w:eastAsia="仿宋" w:hAnsi="仿宋" w:hint="eastAsia"/>
          <w:color w:val="auto"/>
          <w:sz w:val="28"/>
        </w:rPr>
        <w:t>届董事会</w:t>
      </w:r>
      <w:r>
        <w:rPr>
          <w:rFonts w:ascii="仿宋" w:eastAsia="仿宋" w:hAnsi="仿宋" w:hint="eastAsia"/>
          <w:color w:val="auto"/>
          <w:sz w:val="28"/>
          <w:lang w:eastAsia="zh-CN"/>
        </w:rPr>
        <w:t>审计委员</w:t>
      </w:r>
      <w:r>
        <w:rPr>
          <w:rFonts w:ascii="仿宋" w:eastAsia="仿宋" w:hAnsi="仿宋" w:hint="eastAsia"/>
          <w:sz w:val="28"/>
          <w:lang w:eastAsia="zh-CN"/>
        </w:rPr>
        <w:t>会第六次会议</w:t>
      </w:r>
      <w:r>
        <w:rPr>
          <w:rFonts w:ascii="仿宋" w:eastAsia="仿宋" w:hAnsi="仿宋" w:hint="eastAsia"/>
          <w:sz w:val="28"/>
        </w:rPr>
        <w:t>审议通过</w:t>
      </w:r>
      <w:r>
        <w:rPr>
          <w:rFonts w:ascii="仿宋" w:eastAsia="仿宋" w:hAnsi="仿宋" w:hint="eastAsia"/>
          <w:sz w:val="28"/>
          <w:lang w:eastAsia="zh-CN"/>
        </w:rPr>
        <w:t>。具体内容详见公司</w:t>
      </w:r>
      <w:r>
        <w:rPr>
          <w:rFonts w:ascii="仿宋" w:eastAsia="仿宋" w:hAnsi="仿宋" w:hint="eastAsia"/>
          <w:sz w:val="28"/>
        </w:rPr>
        <w:t>同日披露于巨潮资讯网（www.cninfo.com.cn）的</w:t>
      </w:r>
      <w:r>
        <w:rPr>
          <w:rFonts w:ascii="仿宋" w:eastAsia="仿宋" w:hAnsi="仿宋" w:hint="eastAsia"/>
          <w:sz w:val="28"/>
          <w:lang w:eastAsia="zh-CN"/>
        </w:rPr>
        <w:t>相关报告。</w:t>
      </w:r>
    </w:p>
    <w:p w14:paraId="499A4DBD"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，反对0票，弃权0票。</w:t>
      </w:r>
    </w:p>
    <w:p w14:paraId="01742FC9"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回避表决情况：关联董事林明玲、马学沛、</w:t>
      </w:r>
      <w:r>
        <w:rPr>
          <w:rFonts w:ascii="仿宋" w:eastAsia="仿宋" w:hAnsi="仿宋" w:hint="eastAsia"/>
          <w:sz w:val="28"/>
          <w:lang w:eastAsia="zh-CN"/>
        </w:rPr>
        <w:t>马翊珽</w:t>
      </w:r>
      <w:r>
        <w:rPr>
          <w:rFonts w:ascii="仿宋" w:eastAsia="仿宋" w:hAnsi="仿宋" w:hint="eastAsia"/>
          <w:sz w:val="28"/>
        </w:rPr>
        <w:t>回避表决。</w:t>
      </w:r>
    </w:p>
    <w:p w14:paraId="04006CAA"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审议通过《关于&lt;广东天亿马信息产业股份有限公司发行股份及支付现金购买资产并募集配套资金报告书（草案）（二次修订稿）&gt;及其摘要的议案》，</w:t>
      </w:r>
      <w:r>
        <w:rPr>
          <w:rFonts w:ascii="仿宋" w:eastAsia="仿宋" w:hAnsi="仿宋" w:cs="仿宋"/>
          <w:b/>
          <w:bCs/>
          <w:snapToGrid/>
          <w:kern w:val="2"/>
          <w:sz w:val="28"/>
          <w:szCs w:val="28"/>
          <w:lang w:eastAsia="zh-CN"/>
        </w:rPr>
        <w:t>具体情况如下：</w:t>
      </w:r>
    </w:p>
    <w:p w14:paraId="52897393" w14:textId="77777777"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lang w:eastAsia="zh-CN"/>
        </w:rPr>
        <w:t>鉴于本次交易的审计基准日更新为2025年12月31日，根据《上市公司重大资产重组管理办法》《上市公司证券发行注册管理办法》《深圳证券交易所上市公司重大资产重组审核规则》《创业板上市公司持续监管办法(试行)》等的相关规定，以及本次交易进展的具体情况，公司对《广东天亿马信息产业股份有限公司发行股份及支付现金购买资产并募集配套资金报告书(草案)》及其摘要部分内容进行了补充修订及更新，并制定《广东天亿马信息产业股份有限公司发行股份及支付现金购买资产并募集配套资金报告书(草案)(二次修订稿)》及其摘要。</w:t>
      </w:r>
      <w:r>
        <w:rPr>
          <w:rFonts w:ascii="仿宋" w:eastAsia="仿宋" w:hAnsi="仿宋" w:hint="eastAsia"/>
          <w:sz w:val="28"/>
        </w:rPr>
        <w:t>该事项已经第</w:t>
      </w:r>
      <w:r>
        <w:rPr>
          <w:rFonts w:ascii="仿宋" w:eastAsia="仿宋" w:hAnsi="仿宋" w:hint="eastAsia"/>
          <w:sz w:val="28"/>
          <w:lang w:eastAsia="zh-CN"/>
        </w:rPr>
        <w:t>四</w:t>
      </w:r>
      <w:r>
        <w:rPr>
          <w:rFonts w:ascii="仿宋" w:eastAsia="仿宋" w:hAnsi="仿宋" w:hint="eastAsia"/>
          <w:sz w:val="28"/>
        </w:rPr>
        <w:t>届董事会</w:t>
      </w:r>
      <w:r>
        <w:rPr>
          <w:rFonts w:ascii="仿宋" w:eastAsia="仿宋" w:hAnsi="仿宋" w:hint="eastAsia"/>
          <w:sz w:val="28"/>
          <w:lang w:eastAsia="zh-CN"/>
        </w:rPr>
        <w:t>审计委员会第六次会议、第四届董事会第二次独立董事专门会议审议</w:t>
      </w:r>
      <w:r>
        <w:rPr>
          <w:rFonts w:ascii="仿宋" w:eastAsia="仿宋" w:hAnsi="仿宋" w:hint="eastAsia"/>
          <w:sz w:val="28"/>
        </w:rPr>
        <w:t>通过</w:t>
      </w:r>
      <w:r>
        <w:rPr>
          <w:rFonts w:ascii="仿宋" w:eastAsia="仿宋" w:hAnsi="仿宋" w:hint="eastAsia"/>
          <w:sz w:val="28"/>
          <w:lang w:eastAsia="zh-CN"/>
        </w:rPr>
        <w:t>。</w:t>
      </w:r>
    </w:p>
    <w:p w14:paraId="3FB8D011" w14:textId="77777777"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lang w:eastAsia="zh-CN"/>
        </w:rPr>
        <w:t>具体内容详见公司同日披露于巨潮资讯网（www.cninfo.com.cn）的《</w:t>
      </w:r>
      <w:r>
        <w:rPr>
          <w:rFonts w:ascii="仿宋" w:eastAsia="仿宋" w:hAnsi="仿宋" w:hint="eastAsia"/>
          <w:sz w:val="28"/>
        </w:rPr>
        <w:t>广东天亿马信息产业股份有限公司</w:t>
      </w:r>
      <w:r>
        <w:rPr>
          <w:rFonts w:ascii="仿宋" w:eastAsia="仿宋" w:hAnsi="仿宋" w:hint="eastAsia"/>
          <w:sz w:val="28"/>
          <w:lang w:eastAsia="zh-CN"/>
        </w:rPr>
        <w:t>关于发行股份及支付现金购</w:t>
      </w:r>
      <w:r>
        <w:rPr>
          <w:rFonts w:ascii="仿宋" w:eastAsia="仿宋" w:hAnsi="仿宋" w:hint="eastAsia"/>
          <w:sz w:val="28"/>
          <w:lang w:eastAsia="zh-CN"/>
        </w:rPr>
        <w:lastRenderedPageBreak/>
        <w:t>买资产并募集配套资金报告书（草案）二次修订说明的公告》（公告编号：2026-024）《广东天亿马信息产业股份有限公司发行股份及支付现金购买资产并募集配套资金报告书(草案)(二次修订稿)》及相关报告。</w:t>
      </w:r>
    </w:p>
    <w:p w14:paraId="1EEF38B6"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，反对0票，弃权0票。</w:t>
      </w:r>
    </w:p>
    <w:p w14:paraId="17F4D362"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回避表决情况：关联董事林明玲、马学沛、</w:t>
      </w:r>
      <w:r>
        <w:rPr>
          <w:rFonts w:ascii="仿宋" w:eastAsia="仿宋" w:hAnsi="仿宋" w:hint="eastAsia"/>
          <w:sz w:val="28"/>
          <w:lang w:eastAsia="zh-CN"/>
        </w:rPr>
        <w:t>马翊珽</w:t>
      </w:r>
      <w:r>
        <w:rPr>
          <w:rFonts w:ascii="仿宋" w:eastAsia="仿宋" w:hAnsi="仿宋" w:hint="eastAsia"/>
          <w:sz w:val="28"/>
        </w:rPr>
        <w:t>回避表决。</w:t>
      </w:r>
    </w:p>
    <w:p w14:paraId="25F33813" w14:textId="77777777" w:rsidR="004815E0" w:rsidRDefault="002D7458">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审议通过《关于提请召开公司2025年年度股东会的议案》，</w:t>
      </w:r>
      <w:r>
        <w:rPr>
          <w:rFonts w:ascii="仿宋" w:eastAsia="仿宋" w:hAnsi="仿宋" w:cs="仿宋"/>
          <w:b/>
          <w:bCs/>
          <w:snapToGrid/>
          <w:kern w:val="2"/>
          <w:sz w:val="28"/>
          <w:szCs w:val="28"/>
          <w:lang w:eastAsia="zh-CN"/>
        </w:rPr>
        <w:t>具体情况如下：</w:t>
      </w:r>
    </w:p>
    <w:p w14:paraId="0ABA369B" w14:textId="77777777" w:rsidR="004815E0" w:rsidRDefault="002D7458">
      <w:pPr>
        <w:spacing w:line="360" w:lineRule="auto"/>
        <w:ind w:firstLineChars="200" w:firstLine="560"/>
        <w:jc w:val="both"/>
        <w:rPr>
          <w:rFonts w:ascii="仿宋" w:eastAsia="仿宋" w:hAnsi="仿宋"/>
          <w:sz w:val="28"/>
          <w:lang w:eastAsia="zh-CN"/>
        </w:rPr>
      </w:pPr>
      <w:r>
        <w:rPr>
          <w:rFonts w:ascii="仿宋" w:eastAsia="仿宋" w:hAnsi="仿宋" w:hint="eastAsia"/>
          <w:sz w:val="28"/>
          <w:lang w:eastAsia="zh-CN"/>
        </w:rPr>
        <w:t>鉴于本次董事会会议审议通过的有关议案仍需提交公司股东会审议，董事会拟定于2026年4月21日在公司会议室召开2025年年度股东会。</w:t>
      </w:r>
    </w:p>
    <w:p w14:paraId="57992A07" w14:textId="3404CEE4"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具体内容详见同日披露于巨潮资讯网（www.cninfo.com.cn）的《广东天亿马信息产业股份有限公司关于召开202</w:t>
      </w:r>
      <w:r>
        <w:rPr>
          <w:rFonts w:ascii="仿宋" w:eastAsia="仿宋" w:hAnsi="仿宋" w:hint="eastAsia"/>
          <w:sz w:val="28"/>
          <w:lang w:eastAsia="zh-CN"/>
        </w:rPr>
        <w:t>5</w:t>
      </w:r>
      <w:r>
        <w:rPr>
          <w:rFonts w:ascii="仿宋" w:eastAsia="仿宋" w:hAnsi="仿宋" w:hint="eastAsia"/>
          <w:sz w:val="28"/>
        </w:rPr>
        <w:t>年年度股东会的通知公告》（公告编号：202</w:t>
      </w:r>
      <w:r>
        <w:rPr>
          <w:rFonts w:ascii="仿宋" w:eastAsia="仿宋" w:hAnsi="仿宋" w:hint="eastAsia"/>
          <w:sz w:val="28"/>
          <w:lang w:eastAsia="zh-CN"/>
        </w:rPr>
        <w:t>6</w:t>
      </w:r>
      <w:r>
        <w:rPr>
          <w:rFonts w:ascii="仿宋" w:eastAsia="仿宋" w:hAnsi="仿宋" w:hint="eastAsia"/>
          <w:sz w:val="28"/>
        </w:rPr>
        <w:t>-0</w:t>
      </w:r>
      <w:r>
        <w:rPr>
          <w:rFonts w:ascii="仿宋" w:eastAsia="仿宋" w:hAnsi="仿宋" w:hint="eastAsia"/>
          <w:sz w:val="28"/>
          <w:lang w:eastAsia="zh-CN"/>
        </w:rPr>
        <w:t>2</w:t>
      </w:r>
      <w:r w:rsidR="002C4191">
        <w:rPr>
          <w:rFonts w:ascii="仿宋" w:eastAsia="仿宋" w:hAnsi="仿宋" w:hint="eastAsia"/>
          <w:sz w:val="28"/>
          <w:lang w:eastAsia="zh-CN"/>
        </w:rPr>
        <w:t>6</w:t>
      </w:r>
      <w:r>
        <w:rPr>
          <w:rFonts w:ascii="仿宋" w:eastAsia="仿宋" w:hAnsi="仿宋" w:hint="eastAsia"/>
          <w:sz w:val="28"/>
        </w:rPr>
        <w:t>）。</w:t>
      </w:r>
    </w:p>
    <w:p w14:paraId="3E1A6F19"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同意8票</w:t>
      </w:r>
      <w:r>
        <w:rPr>
          <w:rFonts w:ascii="仿宋" w:eastAsia="仿宋" w:hAnsi="仿宋" w:cs="仿宋"/>
          <w:snapToGrid/>
          <w:kern w:val="2"/>
          <w:sz w:val="28"/>
          <w:szCs w:val="28"/>
          <w:lang w:eastAsia="zh-CN"/>
        </w:rPr>
        <w:t>，反对0票，弃权0票。</w:t>
      </w:r>
    </w:p>
    <w:p w14:paraId="46CE0D7C" w14:textId="77777777" w:rsidR="004815E0" w:rsidRDefault="002D7458">
      <w:pPr>
        <w:spacing w:line="360" w:lineRule="auto"/>
        <w:ind w:firstLineChars="200" w:firstLine="560"/>
        <w:jc w:val="both"/>
        <w:rPr>
          <w:rFonts w:ascii="仿宋" w:eastAsia="仿宋" w:hAnsi="仿宋"/>
          <w:sz w:val="28"/>
        </w:rPr>
      </w:pPr>
      <w:r>
        <w:rPr>
          <w:rFonts w:ascii="仿宋" w:eastAsia="仿宋" w:hAnsi="仿宋" w:hint="eastAsia"/>
          <w:sz w:val="28"/>
        </w:rPr>
        <w:t>回避表决情况：本议案不涉及回避表决情形。</w:t>
      </w:r>
    </w:p>
    <w:p w14:paraId="06C06DEB" w14:textId="77777777" w:rsidR="004815E0" w:rsidRDefault="002D7458">
      <w:pPr>
        <w:widowControl w:val="0"/>
        <w:tabs>
          <w:tab w:val="left" w:pos="365"/>
        </w:tabs>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三、备查文件</w:t>
      </w:r>
    </w:p>
    <w:p w14:paraId="2601CB8F" w14:textId="77777777" w:rsidR="004815E0" w:rsidRDefault="002D7458">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（一）《广东天亿马信息产业股份有限公司</w:t>
      </w:r>
      <w:r>
        <w:rPr>
          <w:rFonts w:ascii="仿宋" w:eastAsia="仿宋" w:hAnsi="仿宋" w:cs="仿宋"/>
          <w:snapToGrid/>
          <w:kern w:val="2"/>
          <w:sz w:val="28"/>
          <w:szCs w:val="28"/>
          <w:lang w:eastAsia="zh-CN"/>
        </w:rPr>
        <w:t>第</w:t>
      </w:r>
      <w:r>
        <w:rPr>
          <w:rFonts w:ascii="仿宋" w:eastAsia="仿宋" w:hAnsi="仿宋" w:cs="仿宋" w:hint="eastAsia"/>
          <w:snapToGrid/>
          <w:kern w:val="2"/>
          <w:sz w:val="28"/>
          <w:szCs w:val="28"/>
          <w:lang w:eastAsia="zh-CN"/>
        </w:rPr>
        <w:t>四</w:t>
      </w:r>
      <w:r>
        <w:rPr>
          <w:rFonts w:ascii="仿宋" w:eastAsia="仿宋" w:hAnsi="仿宋" w:cs="仿宋"/>
          <w:snapToGrid/>
          <w:kern w:val="2"/>
          <w:sz w:val="28"/>
          <w:szCs w:val="28"/>
          <w:lang w:eastAsia="zh-CN"/>
        </w:rPr>
        <w:t>届董事会第</w:t>
      </w:r>
      <w:r>
        <w:rPr>
          <w:rFonts w:ascii="仿宋" w:eastAsia="仿宋" w:hAnsi="仿宋" w:cs="仿宋" w:hint="eastAsia"/>
          <w:snapToGrid/>
          <w:kern w:val="2"/>
          <w:sz w:val="28"/>
          <w:szCs w:val="28"/>
          <w:lang w:eastAsia="zh-CN"/>
        </w:rPr>
        <w:t>五</w:t>
      </w:r>
      <w:r>
        <w:rPr>
          <w:rFonts w:ascii="仿宋" w:eastAsia="仿宋" w:hAnsi="仿宋" w:cs="仿宋"/>
          <w:snapToGrid/>
          <w:kern w:val="2"/>
          <w:sz w:val="28"/>
          <w:szCs w:val="28"/>
          <w:lang w:eastAsia="zh-CN"/>
        </w:rPr>
        <w:t>次会议决议</w:t>
      </w:r>
      <w:r>
        <w:rPr>
          <w:rFonts w:ascii="仿宋" w:eastAsia="仿宋" w:hAnsi="仿宋" w:cs="仿宋" w:hint="eastAsia"/>
          <w:snapToGrid/>
          <w:kern w:val="2"/>
          <w:sz w:val="28"/>
          <w:szCs w:val="28"/>
          <w:lang w:eastAsia="zh-CN"/>
        </w:rPr>
        <w:t>》；</w:t>
      </w:r>
    </w:p>
    <w:p w14:paraId="2D53D278" w14:textId="77777777" w:rsidR="004815E0" w:rsidRDefault="002D7458">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（二）《广东天亿马信息产业股份有限公司第四届董事会审计委员会第六次会议决议》；</w:t>
      </w:r>
    </w:p>
    <w:p w14:paraId="3DA6D520" w14:textId="77777777" w:rsidR="004815E0" w:rsidRDefault="002D7458">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（三）</w:t>
      </w:r>
      <w:r>
        <w:rPr>
          <w:rFonts w:ascii="仿宋" w:eastAsia="仿宋" w:hAnsi="仿宋" w:hint="eastAsia"/>
          <w:sz w:val="28"/>
        </w:rPr>
        <w:t>《广东天亿马信息产业股份有限公司第</w:t>
      </w:r>
      <w:r>
        <w:rPr>
          <w:rFonts w:ascii="仿宋" w:eastAsia="仿宋" w:hAnsi="仿宋" w:hint="eastAsia"/>
          <w:sz w:val="28"/>
          <w:lang w:eastAsia="zh-CN"/>
        </w:rPr>
        <w:t>四</w:t>
      </w:r>
      <w:r>
        <w:rPr>
          <w:rFonts w:ascii="仿宋" w:eastAsia="仿宋" w:hAnsi="仿宋" w:hint="eastAsia"/>
          <w:sz w:val="28"/>
        </w:rPr>
        <w:t>届董事会第</w:t>
      </w:r>
      <w:r>
        <w:rPr>
          <w:rFonts w:ascii="仿宋" w:eastAsia="仿宋" w:hAnsi="仿宋" w:hint="eastAsia"/>
          <w:sz w:val="28"/>
          <w:lang w:eastAsia="zh-CN"/>
        </w:rPr>
        <w:t>二</w:t>
      </w:r>
      <w:r>
        <w:rPr>
          <w:rFonts w:ascii="仿宋" w:eastAsia="仿宋" w:hAnsi="仿宋" w:hint="eastAsia"/>
          <w:sz w:val="28"/>
        </w:rPr>
        <w:t>次独立董事专门会议决议》</w:t>
      </w:r>
      <w:r>
        <w:rPr>
          <w:rFonts w:ascii="仿宋" w:eastAsia="仿宋" w:hAnsi="仿宋" w:cs="仿宋" w:hint="eastAsia"/>
          <w:snapToGrid/>
          <w:kern w:val="2"/>
          <w:sz w:val="28"/>
          <w:szCs w:val="28"/>
          <w:lang w:eastAsia="zh-CN"/>
        </w:rPr>
        <w:t>；</w:t>
      </w:r>
    </w:p>
    <w:p w14:paraId="4BCBF60F" w14:textId="77777777" w:rsidR="004815E0" w:rsidRDefault="002D7458">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（四）《五矿证券有限公司关于广东天亿马信息产业股份有限公司募集资金2025年度存放、管理与使用情况的专项报告的核查意见》；</w:t>
      </w:r>
    </w:p>
    <w:p w14:paraId="1F57F96C" w14:textId="77777777" w:rsidR="004815E0" w:rsidRDefault="002D7458">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lastRenderedPageBreak/>
        <w:t>（五）</w:t>
      </w:r>
      <w:r>
        <w:rPr>
          <w:rFonts w:ascii="仿宋" w:eastAsia="仿宋" w:hAnsi="仿宋" w:cs="仿宋" w:hint="eastAsia"/>
          <w:kern w:val="2"/>
          <w:sz w:val="28"/>
          <w:szCs w:val="20"/>
          <w:lang w:eastAsia="zh-CN" w:bidi="ar"/>
        </w:rPr>
        <w:t>中审亚太会计师事务所（特殊普通合伙）出具的相关报告。</w:t>
      </w:r>
    </w:p>
    <w:p w14:paraId="09C9CE1F" w14:textId="77777777" w:rsidR="004815E0" w:rsidRDefault="002D7458">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0F70E098" w14:textId="77777777" w:rsidR="004815E0" w:rsidRDefault="002D7458">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11F2304C" w14:textId="77777777" w:rsidR="004815E0" w:rsidRDefault="002D7458">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p>
    <w:p w14:paraId="0D4143D8" w14:textId="77777777" w:rsidR="004815E0" w:rsidRDefault="002D7458">
      <w:pPr>
        <w:widowControl w:val="0"/>
        <w:kinsoku/>
        <w:wordWrap w:val="0"/>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2026年3月31日</w:t>
      </w:r>
    </w:p>
    <w:sectPr w:rsidR="004815E0">
      <w:footerReference w:type="default" r:id="rId9"/>
      <w:pgSz w:w="11907" w:h="16839"/>
      <w:pgMar w:top="1431" w:right="1730" w:bottom="1202" w:left="1785"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3A855B" w14:textId="77777777" w:rsidR="00066935" w:rsidRDefault="00066935">
      <w:r>
        <w:separator/>
      </w:r>
    </w:p>
  </w:endnote>
  <w:endnote w:type="continuationSeparator" w:id="0">
    <w:p w14:paraId="0A2E4D26" w14:textId="77777777" w:rsidR="00066935" w:rsidRDefault="00066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
    </w:sdtPr>
    <w:sdtEndPr/>
    <w:sdtContent>
      <w:p w14:paraId="2BF7B204" w14:textId="77777777" w:rsidR="004815E0" w:rsidRDefault="002D7458">
        <w:pPr>
          <w:pStyle w:val="a6"/>
          <w:jc w:val="center"/>
        </w:pPr>
        <w:r>
          <w:fldChar w:fldCharType="begin"/>
        </w:r>
        <w:r>
          <w:instrText>PAGE   \* MERGEFORMAT</w:instrText>
        </w:r>
        <w:r>
          <w:fldChar w:fldCharType="separate"/>
        </w:r>
        <w:r w:rsidR="007A00A4" w:rsidRPr="007A00A4">
          <w:rPr>
            <w:noProof/>
            <w:lang w:val="zh-CN" w:eastAsia="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03DF56" w14:textId="77777777" w:rsidR="00066935" w:rsidRDefault="00066935">
      <w:r>
        <w:separator/>
      </w:r>
    </w:p>
  </w:footnote>
  <w:footnote w:type="continuationSeparator" w:id="0">
    <w:p w14:paraId="696B8F01" w14:textId="77777777" w:rsidR="00066935" w:rsidRDefault="000669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65FA3E"/>
    <w:multiLevelType w:val="singleLevel"/>
    <w:tmpl w:val="BF65FA3E"/>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displayBackgroundShape/>
  <w:bordersDoNotSurroundHeader/>
  <w:bordersDoNotSurroundFooter/>
  <w:defaultTabStop w:val="420"/>
  <w:displayHorizontalDrawingGridEvery w:val="0"/>
  <w:displayVerticalDrawingGridEvery w:val="2"/>
  <w:characterSpacingControl w:val="doNotCompres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4"/>
  </w:compat>
  <w:rsids>
    <w:rsidRoot w:val="00767FF4"/>
    <w:rsid w:val="95FFBBE4"/>
    <w:rsid w:val="9D6FE35F"/>
    <w:rsid w:val="9FFB8BAF"/>
    <w:rsid w:val="B5948E79"/>
    <w:rsid w:val="BF6B7F68"/>
    <w:rsid w:val="CAFF03F1"/>
    <w:rsid w:val="CCE1CAEA"/>
    <w:rsid w:val="D164509A"/>
    <w:rsid w:val="DFB3D406"/>
    <w:rsid w:val="EC27F9F7"/>
    <w:rsid w:val="EF7DB022"/>
    <w:rsid w:val="F7FE8FD4"/>
    <w:rsid w:val="F8FDD8C1"/>
    <w:rsid w:val="FAF98663"/>
    <w:rsid w:val="FDD9C77C"/>
    <w:rsid w:val="FE7F44C1"/>
    <w:rsid w:val="FEDF2F2E"/>
    <w:rsid w:val="FEFF6356"/>
    <w:rsid w:val="FF3BC0E8"/>
    <w:rsid w:val="FF9B3395"/>
    <w:rsid w:val="FFDF06E6"/>
    <w:rsid w:val="FFFFBA2C"/>
    <w:rsid w:val="000008B7"/>
    <w:rsid w:val="00001D4D"/>
    <w:rsid w:val="00005427"/>
    <w:rsid w:val="0001193C"/>
    <w:rsid w:val="00011E0C"/>
    <w:rsid w:val="00013495"/>
    <w:rsid w:val="00016ED3"/>
    <w:rsid w:val="000219EB"/>
    <w:rsid w:val="00034FAB"/>
    <w:rsid w:val="000354F3"/>
    <w:rsid w:val="000405EF"/>
    <w:rsid w:val="000444C6"/>
    <w:rsid w:val="000616F5"/>
    <w:rsid w:val="0006265F"/>
    <w:rsid w:val="00066935"/>
    <w:rsid w:val="00082188"/>
    <w:rsid w:val="000865A0"/>
    <w:rsid w:val="00090B40"/>
    <w:rsid w:val="000973DE"/>
    <w:rsid w:val="000A331B"/>
    <w:rsid w:val="000A367C"/>
    <w:rsid w:val="000A39DF"/>
    <w:rsid w:val="000A570D"/>
    <w:rsid w:val="000A7A81"/>
    <w:rsid w:val="000B40EB"/>
    <w:rsid w:val="000C0B8E"/>
    <w:rsid w:val="000C1441"/>
    <w:rsid w:val="000D45C6"/>
    <w:rsid w:val="000D5659"/>
    <w:rsid w:val="000D56ED"/>
    <w:rsid w:val="000F4747"/>
    <w:rsid w:val="000F7227"/>
    <w:rsid w:val="001003E1"/>
    <w:rsid w:val="001008BB"/>
    <w:rsid w:val="00101F8B"/>
    <w:rsid w:val="00102495"/>
    <w:rsid w:val="00112D64"/>
    <w:rsid w:val="00113C00"/>
    <w:rsid w:val="001159D8"/>
    <w:rsid w:val="001259EA"/>
    <w:rsid w:val="001302CB"/>
    <w:rsid w:val="00136140"/>
    <w:rsid w:val="0014028D"/>
    <w:rsid w:val="00142493"/>
    <w:rsid w:val="0014321E"/>
    <w:rsid w:val="00146580"/>
    <w:rsid w:val="001562D1"/>
    <w:rsid w:val="001647EF"/>
    <w:rsid w:val="001655D3"/>
    <w:rsid w:val="00171994"/>
    <w:rsid w:val="001C1C80"/>
    <w:rsid w:val="001C2019"/>
    <w:rsid w:val="001D521E"/>
    <w:rsid w:val="001D7835"/>
    <w:rsid w:val="001E0A32"/>
    <w:rsid w:val="001E5580"/>
    <w:rsid w:val="001E6D20"/>
    <w:rsid w:val="001E6DD4"/>
    <w:rsid w:val="001E72F3"/>
    <w:rsid w:val="002307E3"/>
    <w:rsid w:val="002308C2"/>
    <w:rsid w:val="00244A3A"/>
    <w:rsid w:val="00245752"/>
    <w:rsid w:val="00250763"/>
    <w:rsid w:val="00260F4F"/>
    <w:rsid w:val="00291EE6"/>
    <w:rsid w:val="00296228"/>
    <w:rsid w:val="0029661C"/>
    <w:rsid w:val="002979E0"/>
    <w:rsid w:val="002A5311"/>
    <w:rsid w:val="002A5650"/>
    <w:rsid w:val="002A70E0"/>
    <w:rsid w:val="002B2705"/>
    <w:rsid w:val="002B40CC"/>
    <w:rsid w:val="002B5F35"/>
    <w:rsid w:val="002C4191"/>
    <w:rsid w:val="002C6D0C"/>
    <w:rsid w:val="002D3E81"/>
    <w:rsid w:val="002D7458"/>
    <w:rsid w:val="002E6789"/>
    <w:rsid w:val="00305286"/>
    <w:rsid w:val="003068C8"/>
    <w:rsid w:val="0031547E"/>
    <w:rsid w:val="0031697E"/>
    <w:rsid w:val="00316EC1"/>
    <w:rsid w:val="0032104A"/>
    <w:rsid w:val="00322FF1"/>
    <w:rsid w:val="00332914"/>
    <w:rsid w:val="00347CD4"/>
    <w:rsid w:val="00353AC1"/>
    <w:rsid w:val="003728FB"/>
    <w:rsid w:val="00381FE5"/>
    <w:rsid w:val="00385FA7"/>
    <w:rsid w:val="003912C4"/>
    <w:rsid w:val="00392B49"/>
    <w:rsid w:val="003A7FDA"/>
    <w:rsid w:val="003B4227"/>
    <w:rsid w:val="003B43EC"/>
    <w:rsid w:val="003C2CE9"/>
    <w:rsid w:val="003D5684"/>
    <w:rsid w:val="003F3FF4"/>
    <w:rsid w:val="003F51C8"/>
    <w:rsid w:val="003F78CD"/>
    <w:rsid w:val="00403D22"/>
    <w:rsid w:val="00406E6D"/>
    <w:rsid w:val="00414429"/>
    <w:rsid w:val="00421C9D"/>
    <w:rsid w:val="00422506"/>
    <w:rsid w:val="00430129"/>
    <w:rsid w:val="0043504B"/>
    <w:rsid w:val="00435242"/>
    <w:rsid w:val="00437F49"/>
    <w:rsid w:val="004471D1"/>
    <w:rsid w:val="004569C1"/>
    <w:rsid w:val="004815E0"/>
    <w:rsid w:val="00486CA3"/>
    <w:rsid w:val="00493379"/>
    <w:rsid w:val="00496F31"/>
    <w:rsid w:val="004A3C1A"/>
    <w:rsid w:val="004B0A04"/>
    <w:rsid w:val="004C3F48"/>
    <w:rsid w:val="004C5531"/>
    <w:rsid w:val="004C7473"/>
    <w:rsid w:val="004D1BE7"/>
    <w:rsid w:val="004D376F"/>
    <w:rsid w:val="005048A1"/>
    <w:rsid w:val="00511156"/>
    <w:rsid w:val="0051232A"/>
    <w:rsid w:val="00516653"/>
    <w:rsid w:val="00524BCA"/>
    <w:rsid w:val="00537883"/>
    <w:rsid w:val="00537C28"/>
    <w:rsid w:val="00566CCF"/>
    <w:rsid w:val="00572916"/>
    <w:rsid w:val="00575474"/>
    <w:rsid w:val="005805BC"/>
    <w:rsid w:val="00591390"/>
    <w:rsid w:val="00593E63"/>
    <w:rsid w:val="00597ECE"/>
    <w:rsid w:val="00597F0A"/>
    <w:rsid w:val="005A3E0F"/>
    <w:rsid w:val="005A5462"/>
    <w:rsid w:val="005A7463"/>
    <w:rsid w:val="005B0540"/>
    <w:rsid w:val="005D1A29"/>
    <w:rsid w:val="005D6832"/>
    <w:rsid w:val="005E2C89"/>
    <w:rsid w:val="005E34B2"/>
    <w:rsid w:val="005F021D"/>
    <w:rsid w:val="005F2F3A"/>
    <w:rsid w:val="00600F2F"/>
    <w:rsid w:val="00612B06"/>
    <w:rsid w:val="006139DD"/>
    <w:rsid w:val="0061415D"/>
    <w:rsid w:val="00642089"/>
    <w:rsid w:val="0064267C"/>
    <w:rsid w:val="006441A8"/>
    <w:rsid w:val="00645740"/>
    <w:rsid w:val="00645F99"/>
    <w:rsid w:val="00657E7A"/>
    <w:rsid w:val="00663DBC"/>
    <w:rsid w:val="00665C1E"/>
    <w:rsid w:val="00666C09"/>
    <w:rsid w:val="00670B57"/>
    <w:rsid w:val="0067468D"/>
    <w:rsid w:val="00675EA5"/>
    <w:rsid w:val="00680313"/>
    <w:rsid w:val="00682B50"/>
    <w:rsid w:val="006838DF"/>
    <w:rsid w:val="0069052E"/>
    <w:rsid w:val="00693D13"/>
    <w:rsid w:val="006A4B66"/>
    <w:rsid w:val="006A65B7"/>
    <w:rsid w:val="006C39D0"/>
    <w:rsid w:val="006D02B0"/>
    <w:rsid w:val="006D4FED"/>
    <w:rsid w:val="006D6695"/>
    <w:rsid w:val="006F2013"/>
    <w:rsid w:val="00703304"/>
    <w:rsid w:val="00704B14"/>
    <w:rsid w:val="00705704"/>
    <w:rsid w:val="00711135"/>
    <w:rsid w:val="007124F9"/>
    <w:rsid w:val="00715B93"/>
    <w:rsid w:val="0072074F"/>
    <w:rsid w:val="007347FD"/>
    <w:rsid w:val="007353C1"/>
    <w:rsid w:val="00742BD6"/>
    <w:rsid w:val="007562EB"/>
    <w:rsid w:val="00767FF4"/>
    <w:rsid w:val="00770B04"/>
    <w:rsid w:val="00771A7E"/>
    <w:rsid w:val="007742FC"/>
    <w:rsid w:val="00775F4C"/>
    <w:rsid w:val="0077621A"/>
    <w:rsid w:val="00785B8A"/>
    <w:rsid w:val="00790BAD"/>
    <w:rsid w:val="00796C27"/>
    <w:rsid w:val="00797013"/>
    <w:rsid w:val="00797347"/>
    <w:rsid w:val="0079774F"/>
    <w:rsid w:val="007A00A4"/>
    <w:rsid w:val="007A2C80"/>
    <w:rsid w:val="007A3EB3"/>
    <w:rsid w:val="007B096F"/>
    <w:rsid w:val="007B66D5"/>
    <w:rsid w:val="007C2685"/>
    <w:rsid w:val="007C3194"/>
    <w:rsid w:val="007D045B"/>
    <w:rsid w:val="007D19BD"/>
    <w:rsid w:val="007D1B30"/>
    <w:rsid w:val="007D2D3B"/>
    <w:rsid w:val="007D3DAF"/>
    <w:rsid w:val="007E1FA8"/>
    <w:rsid w:val="007E59E5"/>
    <w:rsid w:val="007E789F"/>
    <w:rsid w:val="007E7D59"/>
    <w:rsid w:val="007F46ED"/>
    <w:rsid w:val="007F51BD"/>
    <w:rsid w:val="007F55E2"/>
    <w:rsid w:val="007F71B2"/>
    <w:rsid w:val="00800750"/>
    <w:rsid w:val="008010B0"/>
    <w:rsid w:val="0080424F"/>
    <w:rsid w:val="008153E9"/>
    <w:rsid w:val="00820E16"/>
    <w:rsid w:val="00827813"/>
    <w:rsid w:val="008347AC"/>
    <w:rsid w:val="0083538D"/>
    <w:rsid w:val="0083635D"/>
    <w:rsid w:val="00851B53"/>
    <w:rsid w:val="008574B1"/>
    <w:rsid w:val="00857941"/>
    <w:rsid w:val="00862C04"/>
    <w:rsid w:val="008715BD"/>
    <w:rsid w:val="00885AA8"/>
    <w:rsid w:val="00886148"/>
    <w:rsid w:val="00892DD7"/>
    <w:rsid w:val="008A527E"/>
    <w:rsid w:val="008B1AE3"/>
    <w:rsid w:val="008B23E6"/>
    <w:rsid w:val="008B33CD"/>
    <w:rsid w:val="008B3E9D"/>
    <w:rsid w:val="008B5038"/>
    <w:rsid w:val="008B51A1"/>
    <w:rsid w:val="008C32D3"/>
    <w:rsid w:val="008C4410"/>
    <w:rsid w:val="008D098E"/>
    <w:rsid w:val="008D334C"/>
    <w:rsid w:val="008D4E0A"/>
    <w:rsid w:val="008D5185"/>
    <w:rsid w:val="008D62CF"/>
    <w:rsid w:val="008E13C6"/>
    <w:rsid w:val="008F1FFD"/>
    <w:rsid w:val="009014E1"/>
    <w:rsid w:val="00901AB0"/>
    <w:rsid w:val="009020A3"/>
    <w:rsid w:val="009065C1"/>
    <w:rsid w:val="00913A68"/>
    <w:rsid w:val="00932DBE"/>
    <w:rsid w:val="00935451"/>
    <w:rsid w:val="009360DB"/>
    <w:rsid w:val="009369E5"/>
    <w:rsid w:val="00953056"/>
    <w:rsid w:val="009557CF"/>
    <w:rsid w:val="009626B8"/>
    <w:rsid w:val="009632C1"/>
    <w:rsid w:val="00964723"/>
    <w:rsid w:val="00973B53"/>
    <w:rsid w:val="00977BBD"/>
    <w:rsid w:val="00990AAF"/>
    <w:rsid w:val="00993161"/>
    <w:rsid w:val="00997939"/>
    <w:rsid w:val="009A3CCE"/>
    <w:rsid w:val="009A3E41"/>
    <w:rsid w:val="009B2C59"/>
    <w:rsid w:val="009B300D"/>
    <w:rsid w:val="009B68AE"/>
    <w:rsid w:val="009C223A"/>
    <w:rsid w:val="009C73F7"/>
    <w:rsid w:val="009D34A9"/>
    <w:rsid w:val="009E0868"/>
    <w:rsid w:val="009E1B44"/>
    <w:rsid w:val="009F3459"/>
    <w:rsid w:val="009F37A6"/>
    <w:rsid w:val="009F7FC9"/>
    <w:rsid w:val="00A01189"/>
    <w:rsid w:val="00A07333"/>
    <w:rsid w:val="00A10820"/>
    <w:rsid w:val="00A11A40"/>
    <w:rsid w:val="00A11CC9"/>
    <w:rsid w:val="00A35691"/>
    <w:rsid w:val="00A37162"/>
    <w:rsid w:val="00A37D71"/>
    <w:rsid w:val="00A46B7B"/>
    <w:rsid w:val="00A51CE4"/>
    <w:rsid w:val="00A523AC"/>
    <w:rsid w:val="00A57577"/>
    <w:rsid w:val="00A579FF"/>
    <w:rsid w:val="00A61750"/>
    <w:rsid w:val="00A6319C"/>
    <w:rsid w:val="00A73025"/>
    <w:rsid w:val="00A900DC"/>
    <w:rsid w:val="00A97238"/>
    <w:rsid w:val="00AA7334"/>
    <w:rsid w:val="00AB030F"/>
    <w:rsid w:val="00AC147D"/>
    <w:rsid w:val="00AC2CF0"/>
    <w:rsid w:val="00AC3800"/>
    <w:rsid w:val="00AC4F7F"/>
    <w:rsid w:val="00AC6142"/>
    <w:rsid w:val="00AD2472"/>
    <w:rsid w:val="00AD284D"/>
    <w:rsid w:val="00AE0517"/>
    <w:rsid w:val="00AE2928"/>
    <w:rsid w:val="00AE2C1C"/>
    <w:rsid w:val="00AE4AE0"/>
    <w:rsid w:val="00AE7D34"/>
    <w:rsid w:val="00AF5143"/>
    <w:rsid w:val="00AF7079"/>
    <w:rsid w:val="00B0444A"/>
    <w:rsid w:val="00B04C18"/>
    <w:rsid w:val="00B04FA8"/>
    <w:rsid w:val="00B05839"/>
    <w:rsid w:val="00B07B01"/>
    <w:rsid w:val="00B21728"/>
    <w:rsid w:val="00B33A54"/>
    <w:rsid w:val="00B51439"/>
    <w:rsid w:val="00B52DDB"/>
    <w:rsid w:val="00B619F3"/>
    <w:rsid w:val="00B9175A"/>
    <w:rsid w:val="00B94D5B"/>
    <w:rsid w:val="00B9662E"/>
    <w:rsid w:val="00BA068B"/>
    <w:rsid w:val="00BA1317"/>
    <w:rsid w:val="00BA20A5"/>
    <w:rsid w:val="00BA2299"/>
    <w:rsid w:val="00BB2FD1"/>
    <w:rsid w:val="00BC1F62"/>
    <w:rsid w:val="00BC7903"/>
    <w:rsid w:val="00BE1554"/>
    <w:rsid w:val="00BE54B5"/>
    <w:rsid w:val="00C00EAD"/>
    <w:rsid w:val="00C3473E"/>
    <w:rsid w:val="00C43E16"/>
    <w:rsid w:val="00C45891"/>
    <w:rsid w:val="00C5204A"/>
    <w:rsid w:val="00C619FE"/>
    <w:rsid w:val="00C66CEB"/>
    <w:rsid w:val="00C74276"/>
    <w:rsid w:val="00C751F0"/>
    <w:rsid w:val="00C868E0"/>
    <w:rsid w:val="00C87AF1"/>
    <w:rsid w:val="00CC0B05"/>
    <w:rsid w:val="00CC5D21"/>
    <w:rsid w:val="00CC7CFA"/>
    <w:rsid w:val="00CE7E88"/>
    <w:rsid w:val="00CF2F1A"/>
    <w:rsid w:val="00D00C58"/>
    <w:rsid w:val="00D04C94"/>
    <w:rsid w:val="00D13429"/>
    <w:rsid w:val="00D22077"/>
    <w:rsid w:val="00D23D5C"/>
    <w:rsid w:val="00D24251"/>
    <w:rsid w:val="00D2660C"/>
    <w:rsid w:val="00D42081"/>
    <w:rsid w:val="00D42DB5"/>
    <w:rsid w:val="00D43852"/>
    <w:rsid w:val="00D51E8F"/>
    <w:rsid w:val="00D532C1"/>
    <w:rsid w:val="00D62A78"/>
    <w:rsid w:val="00D67CE6"/>
    <w:rsid w:val="00D67EB3"/>
    <w:rsid w:val="00D7749F"/>
    <w:rsid w:val="00D80C53"/>
    <w:rsid w:val="00D847DB"/>
    <w:rsid w:val="00D937DB"/>
    <w:rsid w:val="00D95587"/>
    <w:rsid w:val="00DA0CF2"/>
    <w:rsid w:val="00DA3CBC"/>
    <w:rsid w:val="00DB07ED"/>
    <w:rsid w:val="00DB0CEE"/>
    <w:rsid w:val="00DB58B7"/>
    <w:rsid w:val="00DC4E38"/>
    <w:rsid w:val="00DC7C1D"/>
    <w:rsid w:val="00DD0654"/>
    <w:rsid w:val="00DE04F5"/>
    <w:rsid w:val="00DE1E05"/>
    <w:rsid w:val="00DE354D"/>
    <w:rsid w:val="00DE41F9"/>
    <w:rsid w:val="00DE70F1"/>
    <w:rsid w:val="00DF40CD"/>
    <w:rsid w:val="00E06AA6"/>
    <w:rsid w:val="00E117CB"/>
    <w:rsid w:val="00E132E9"/>
    <w:rsid w:val="00E133CB"/>
    <w:rsid w:val="00E148EF"/>
    <w:rsid w:val="00E15C05"/>
    <w:rsid w:val="00E32D43"/>
    <w:rsid w:val="00E34E18"/>
    <w:rsid w:val="00E36B6C"/>
    <w:rsid w:val="00E45BA2"/>
    <w:rsid w:val="00E52B4F"/>
    <w:rsid w:val="00E52DE1"/>
    <w:rsid w:val="00E67163"/>
    <w:rsid w:val="00E7086F"/>
    <w:rsid w:val="00E737FE"/>
    <w:rsid w:val="00E753EE"/>
    <w:rsid w:val="00E868C5"/>
    <w:rsid w:val="00E94071"/>
    <w:rsid w:val="00E94C6D"/>
    <w:rsid w:val="00E96F00"/>
    <w:rsid w:val="00EA2E26"/>
    <w:rsid w:val="00EA5E09"/>
    <w:rsid w:val="00EB5F1C"/>
    <w:rsid w:val="00ED667A"/>
    <w:rsid w:val="00EE1811"/>
    <w:rsid w:val="00EF3327"/>
    <w:rsid w:val="00EF3A38"/>
    <w:rsid w:val="00EF5947"/>
    <w:rsid w:val="00EF734F"/>
    <w:rsid w:val="00F0141E"/>
    <w:rsid w:val="00F11E2A"/>
    <w:rsid w:val="00F16451"/>
    <w:rsid w:val="00F24175"/>
    <w:rsid w:val="00F33158"/>
    <w:rsid w:val="00F36641"/>
    <w:rsid w:val="00F36C18"/>
    <w:rsid w:val="00F44D43"/>
    <w:rsid w:val="00F47258"/>
    <w:rsid w:val="00F51C7C"/>
    <w:rsid w:val="00F57835"/>
    <w:rsid w:val="00F629B4"/>
    <w:rsid w:val="00F72173"/>
    <w:rsid w:val="00F72A03"/>
    <w:rsid w:val="00F760C3"/>
    <w:rsid w:val="00F8320F"/>
    <w:rsid w:val="00F92DEC"/>
    <w:rsid w:val="00F9718F"/>
    <w:rsid w:val="00FA3671"/>
    <w:rsid w:val="00FB3816"/>
    <w:rsid w:val="00FB7767"/>
    <w:rsid w:val="00FC0EC2"/>
    <w:rsid w:val="00FC5508"/>
    <w:rsid w:val="00FC6790"/>
    <w:rsid w:val="00FC6963"/>
    <w:rsid w:val="00FD5C46"/>
    <w:rsid w:val="00FD6060"/>
    <w:rsid w:val="00FE1EC9"/>
    <w:rsid w:val="00FE3666"/>
    <w:rsid w:val="01213882"/>
    <w:rsid w:val="013A3F8C"/>
    <w:rsid w:val="020C789B"/>
    <w:rsid w:val="022515B3"/>
    <w:rsid w:val="02311B9B"/>
    <w:rsid w:val="027C3466"/>
    <w:rsid w:val="02AA509F"/>
    <w:rsid w:val="02CB55B9"/>
    <w:rsid w:val="02D73F78"/>
    <w:rsid w:val="02F27D5E"/>
    <w:rsid w:val="030D2310"/>
    <w:rsid w:val="031D0495"/>
    <w:rsid w:val="032C298F"/>
    <w:rsid w:val="032D4760"/>
    <w:rsid w:val="0334789D"/>
    <w:rsid w:val="034026E5"/>
    <w:rsid w:val="035F5478"/>
    <w:rsid w:val="0366495B"/>
    <w:rsid w:val="03800D34"/>
    <w:rsid w:val="03A20E5E"/>
    <w:rsid w:val="03F67248"/>
    <w:rsid w:val="03FB485E"/>
    <w:rsid w:val="040D7FBC"/>
    <w:rsid w:val="0440490F"/>
    <w:rsid w:val="048B7990"/>
    <w:rsid w:val="049C7A2E"/>
    <w:rsid w:val="04C76878"/>
    <w:rsid w:val="04DB26FC"/>
    <w:rsid w:val="05230EF2"/>
    <w:rsid w:val="058B39C0"/>
    <w:rsid w:val="05AD4055"/>
    <w:rsid w:val="060406CC"/>
    <w:rsid w:val="060A7F0C"/>
    <w:rsid w:val="060C0290"/>
    <w:rsid w:val="0640607D"/>
    <w:rsid w:val="070F49AE"/>
    <w:rsid w:val="074A238C"/>
    <w:rsid w:val="074E085E"/>
    <w:rsid w:val="075B5D40"/>
    <w:rsid w:val="08277BA9"/>
    <w:rsid w:val="086A1FB2"/>
    <w:rsid w:val="08BB636A"/>
    <w:rsid w:val="08F66CCB"/>
    <w:rsid w:val="090135A2"/>
    <w:rsid w:val="09187C60"/>
    <w:rsid w:val="091D0DD3"/>
    <w:rsid w:val="099512B1"/>
    <w:rsid w:val="09D5345C"/>
    <w:rsid w:val="09D80BD8"/>
    <w:rsid w:val="0A4C631C"/>
    <w:rsid w:val="0A67007D"/>
    <w:rsid w:val="0AAE35C0"/>
    <w:rsid w:val="0B1964C2"/>
    <w:rsid w:val="0B3B3FC4"/>
    <w:rsid w:val="0B4275FD"/>
    <w:rsid w:val="0B440899"/>
    <w:rsid w:val="0B511CD1"/>
    <w:rsid w:val="0B7823F0"/>
    <w:rsid w:val="0BB342DB"/>
    <w:rsid w:val="0BC63052"/>
    <w:rsid w:val="0C2B3807"/>
    <w:rsid w:val="0C712C13"/>
    <w:rsid w:val="0C7F6978"/>
    <w:rsid w:val="0C88659A"/>
    <w:rsid w:val="0DEF37FE"/>
    <w:rsid w:val="0E39083B"/>
    <w:rsid w:val="0E4952AB"/>
    <w:rsid w:val="0E574D87"/>
    <w:rsid w:val="0E5967E9"/>
    <w:rsid w:val="0EAB15A1"/>
    <w:rsid w:val="0EB421D9"/>
    <w:rsid w:val="0EE4486D"/>
    <w:rsid w:val="0F0D5446"/>
    <w:rsid w:val="0F340C24"/>
    <w:rsid w:val="0F44355D"/>
    <w:rsid w:val="0F6E56A1"/>
    <w:rsid w:val="0F784FB5"/>
    <w:rsid w:val="0F8C78F0"/>
    <w:rsid w:val="0FB97E0D"/>
    <w:rsid w:val="0FFF56D6"/>
    <w:rsid w:val="10141182"/>
    <w:rsid w:val="104135F9"/>
    <w:rsid w:val="107728F9"/>
    <w:rsid w:val="10B4201D"/>
    <w:rsid w:val="10E5416D"/>
    <w:rsid w:val="112C6057"/>
    <w:rsid w:val="114C1CE8"/>
    <w:rsid w:val="11511F61"/>
    <w:rsid w:val="11534DF8"/>
    <w:rsid w:val="121A0E27"/>
    <w:rsid w:val="12280C26"/>
    <w:rsid w:val="12315932"/>
    <w:rsid w:val="12B24C82"/>
    <w:rsid w:val="12BB58E4"/>
    <w:rsid w:val="12BE7183"/>
    <w:rsid w:val="13165211"/>
    <w:rsid w:val="132A4818"/>
    <w:rsid w:val="13767A5D"/>
    <w:rsid w:val="1399374C"/>
    <w:rsid w:val="13E265C9"/>
    <w:rsid w:val="13FA068E"/>
    <w:rsid w:val="14787805"/>
    <w:rsid w:val="14BC76F2"/>
    <w:rsid w:val="14D26F15"/>
    <w:rsid w:val="155E2A8F"/>
    <w:rsid w:val="15853F88"/>
    <w:rsid w:val="159B06BD"/>
    <w:rsid w:val="15CC605B"/>
    <w:rsid w:val="15DB004C"/>
    <w:rsid w:val="15EE5FD1"/>
    <w:rsid w:val="16131F73"/>
    <w:rsid w:val="1629525B"/>
    <w:rsid w:val="16322361"/>
    <w:rsid w:val="169C5A2D"/>
    <w:rsid w:val="16F75359"/>
    <w:rsid w:val="16FC296F"/>
    <w:rsid w:val="1739327C"/>
    <w:rsid w:val="1745392F"/>
    <w:rsid w:val="17B9616B"/>
    <w:rsid w:val="18055854"/>
    <w:rsid w:val="181124EE"/>
    <w:rsid w:val="18202CA2"/>
    <w:rsid w:val="18354C7F"/>
    <w:rsid w:val="18B7470E"/>
    <w:rsid w:val="18BC3C87"/>
    <w:rsid w:val="18C33745"/>
    <w:rsid w:val="18FA7C9B"/>
    <w:rsid w:val="191C2E55"/>
    <w:rsid w:val="19616ABA"/>
    <w:rsid w:val="19653EFB"/>
    <w:rsid w:val="19B906A4"/>
    <w:rsid w:val="19F837E1"/>
    <w:rsid w:val="1A01744E"/>
    <w:rsid w:val="1A0E7954"/>
    <w:rsid w:val="1A815666"/>
    <w:rsid w:val="1A822AA5"/>
    <w:rsid w:val="1AD75407"/>
    <w:rsid w:val="1B115594"/>
    <w:rsid w:val="1B5763C6"/>
    <w:rsid w:val="1B88172B"/>
    <w:rsid w:val="1B8A22F8"/>
    <w:rsid w:val="1BC9177C"/>
    <w:rsid w:val="1BD450EA"/>
    <w:rsid w:val="1C2D3E3A"/>
    <w:rsid w:val="1C4526C3"/>
    <w:rsid w:val="1C87106A"/>
    <w:rsid w:val="1CAD4631"/>
    <w:rsid w:val="1CC932F4"/>
    <w:rsid w:val="1D124075"/>
    <w:rsid w:val="1D1520CE"/>
    <w:rsid w:val="1D1F2F14"/>
    <w:rsid w:val="1D6857B5"/>
    <w:rsid w:val="1DB8103A"/>
    <w:rsid w:val="1DD106B2"/>
    <w:rsid w:val="1E0472BF"/>
    <w:rsid w:val="1E206F43"/>
    <w:rsid w:val="1E326C77"/>
    <w:rsid w:val="1E682698"/>
    <w:rsid w:val="1EAB54F5"/>
    <w:rsid w:val="1EF02DBA"/>
    <w:rsid w:val="1EF1268E"/>
    <w:rsid w:val="1EFF2FFD"/>
    <w:rsid w:val="1F1D326A"/>
    <w:rsid w:val="1F204D21"/>
    <w:rsid w:val="1F726E92"/>
    <w:rsid w:val="1F8B4261"/>
    <w:rsid w:val="1FDB75C6"/>
    <w:rsid w:val="20417F77"/>
    <w:rsid w:val="20635CA6"/>
    <w:rsid w:val="20B87A38"/>
    <w:rsid w:val="20C242E2"/>
    <w:rsid w:val="20E04ED4"/>
    <w:rsid w:val="20EB66F9"/>
    <w:rsid w:val="21423675"/>
    <w:rsid w:val="21AF47B7"/>
    <w:rsid w:val="21D70261"/>
    <w:rsid w:val="21EB7868"/>
    <w:rsid w:val="221E3ECB"/>
    <w:rsid w:val="2273035C"/>
    <w:rsid w:val="22873A35"/>
    <w:rsid w:val="22F10EAE"/>
    <w:rsid w:val="230279FC"/>
    <w:rsid w:val="231D28A7"/>
    <w:rsid w:val="23362D65"/>
    <w:rsid w:val="23E10F23"/>
    <w:rsid w:val="240A5D8B"/>
    <w:rsid w:val="240D3E18"/>
    <w:rsid w:val="243279D1"/>
    <w:rsid w:val="244020ED"/>
    <w:rsid w:val="245C5B5E"/>
    <w:rsid w:val="2496149D"/>
    <w:rsid w:val="251349E2"/>
    <w:rsid w:val="253B28B5"/>
    <w:rsid w:val="25B75F7D"/>
    <w:rsid w:val="25BA1A2C"/>
    <w:rsid w:val="26056E9E"/>
    <w:rsid w:val="263317DE"/>
    <w:rsid w:val="264D0715"/>
    <w:rsid w:val="264D0AF2"/>
    <w:rsid w:val="26A506E8"/>
    <w:rsid w:val="26B06968"/>
    <w:rsid w:val="26E21AF1"/>
    <w:rsid w:val="26F45411"/>
    <w:rsid w:val="27006409"/>
    <w:rsid w:val="27167136"/>
    <w:rsid w:val="271B0BF0"/>
    <w:rsid w:val="273D198B"/>
    <w:rsid w:val="27533EE6"/>
    <w:rsid w:val="276D0E94"/>
    <w:rsid w:val="27743E5C"/>
    <w:rsid w:val="279F537D"/>
    <w:rsid w:val="282835C4"/>
    <w:rsid w:val="285B3373"/>
    <w:rsid w:val="28B409B4"/>
    <w:rsid w:val="28D55077"/>
    <w:rsid w:val="28EA6ACC"/>
    <w:rsid w:val="290742B7"/>
    <w:rsid w:val="292E4B4B"/>
    <w:rsid w:val="29413A4D"/>
    <w:rsid w:val="2A300308"/>
    <w:rsid w:val="2A357B24"/>
    <w:rsid w:val="2A461F39"/>
    <w:rsid w:val="2A473337"/>
    <w:rsid w:val="2A637BB6"/>
    <w:rsid w:val="2A8D770F"/>
    <w:rsid w:val="2B0E388C"/>
    <w:rsid w:val="2B8355E9"/>
    <w:rsid w:val="2BA271EA"/>
    <w:rsid w:val="2BFA7026"/>
    <w:rsid w:val="2BFF19C0"/>
    <w:rsid w:val="2C136663"/>
    <w:rsid w:val="2C9662B4"/>
    <w:rsid w:val="2CAC289F"/>
    <w:rsid w:val="2CC837EE"/>
    <w:rsid w:val="2CFE66A2"/>
    <w:rsid w:val="2D080026"/>
    <w:rsid w:val="2D197980"/>
    <w:rsid w:val="2DD67B47"/>
    <w:rsid w:val="2DD85145"/>
    <w:rsid w:val="2E291E44"/>
    <w:rsid w:val="2E3F6F72"/>
    <w:rsid w:val="2E4B3B69"/>
    <w:rsid w:val="2E5429BC"/>
    <w:rsid w:val="2E553E02"/>
    <w:rsid w:val="2E652751"/>
    <w:rsid w:val="2E780E5E"/>
    <w:rsid w:val="2E9541CC"/>
    <w:rsid w:val="2EA6073F"/>
    <w:rsid w:val="2EEC3F03"/>
    <w:rsid w:val="2F8F4557"/>
    <w:rsid w:val="300F506A"/>
    <w:rsid w:val="309E2DC2"/>
    <w:rsid w:val="30A82197"/>
    <w:rsid w:val="30C16364"/>
    <w:rsid w:val="30C71C5F"/>
    <w:rsid w:val="30DF03BE"/>
    <w:rsid w:val="312C3EAE"/>
    <w:rsid w:val="313832AD"/>
    <w:rsid w:val="31C679AA"/>
    <w:rsid w:val="31D245A1"/>
    <w:rsid w:val="335F6616"/>
    <w:rsid w:val="33D95773"/>
    <w:rsid w:val="33DC625B"/>
    <w:rsid w:val="33F151B2"/>
    <w:rsid w:val="3408637D"/>
    <w:rsid w:val="340E22A5"/>
    <w:rsid w:val="34192013"/>
    <w:rsid w:val="3428494C"/>
    <w:rsid w:val="34666738"/>
    <w:rsid w:val="349D6BFC"/>
    <w:rsid w:val="35473A7B"/>
    <w:rsid w:val="357EE61F"/>
    <w:rsid w:val="35894D48"/>
    <w:rsid w:val="35B30245"/>
    <w:rsid w:val="35B95B12"/>
    <w:rsid w:val="35BF0085"/>
    <w:rsid w:val="35E30B2B"/>
    <w:rsid w:val="35E548A3"/>
    <w:rsid w:val="3609784F"/>
    <w:rsid w:val="369C25A1"/>
    <w:rsid w:val="36A02288"/>
    <w:rsid w:val="36CC15BF"/>
    <w:rsid w:val="370A0033"/>
    <w:rsid w:val="37BC00E4"/>
    <w:rsid w:val="37C449B8"/>
    <w:rsid w:val="37C9553C"/>
    <w:rsid w:val="37D4129F"/>
    <w:rsid w:val="37D82760"/>
    <w:rsid w:val="37DC7FC7"/>
    <w:rsid w:val="37FC516A"/>
    <w:rsid w:val="386C3059"/>
    <w:rsid w:val="38836992"/>
    <w:rsid w:val="39245CCA"/>
    <w:rsid w:val="39382F3B"/>
    <w:rsid w:val="39867CBD"/>
    <w:rsid w:val="39AD7EAE"/>
    <w:rsid w:val="39C90037"/>
    <w:rsid w:val="39E41315"/>
    <w:rsid w:val="3A59585F"/>
    <w:rsid w:val="3AE17026"/>
    <w:rsid w:val="3B47390A"/>
    <w:rsid w:val="3B727B78"/>
    <w:rsid w:val="3B871E24"/>
    <w:rsid w:val="3BA90120"/>
    <w:rsid w:val="3BBA23D3"/>
    <w:rsid w:val="3BF61FFF"/>
    <w:rsid w:val="3C265C15"/>
    <w:rsid w:val="3C3E2F5F"/>
    <w:rsid w:val="3CCC056A"/>
    <w:rsid w:val="3CDB3CBF"/>
    <w:rsid w:val="3D0108B6"/>
    <w:rsid w:val="3D1B16F6"/>
    <w:rsid w:val="3D20796B"/>
    <w:rsid w:val="3D257C7B"/>
    <w:rsid w:val="3D672041"/>
    <w:rsid w:val="3D6E0D11"/>
    <w:rsid w:val="3D7A6218"/>
    <w:rsid w:val="3DA27E04"/>
    <w:rsid w:val="3DE93535"/>
    <w:rsid w:val="3E331626"/>
    <w:rsid w:val="3E52684D"/>
    <w:rsid w:val="3EB76FF8"/>
    <w:rsid w:val="3ED534DB"/>
    <w:rsid w:val="3EDE27D7"/>
    <w:rsid w:val="3F30107F"/>
    <w:rsid w:val="3F43263A"/>
    <w:rsid w:val="3F4F2BC5"/>
    <w:rsid w:val="3FB71DD8"/>
    <w:rsid w:val="4023497F"/>
    <w:rsid w:val="40D168D6"/>
    <w:rsid w:val="40D753B1"/>
    <w:rsid w:val="40FF07E3"/>
    <w:rsid w:val="41061E61"/>
    <w:rsid w:val="410B53D9"/>
    <w:rsid w:val="41507D73"/>
    <w:rsid w:val="415343F0"/>
    <w:rsid w:val="41611C9C"/>
    <w:rsid w:val="41A26BC9"/>
    <w:rsid w:val="41B47713"/>
    <w:rsid w:val="424E37D0"/>
    <w:rsid w:val="424F183F"/>
    <w:rsid w:val="42A11B51"/>
    <w:rsid w:val="42CD5937"/>
    <w:rsid w:val="42FE51F6"/>
    <w:rsid w:val="43505326"/>
    <w:rsid w:val="438D657A"/>
    <w:rsid w:val="43A504BA"/>
    <w:rsid w:val="43DC60B2"/>
    <w:rsid w:val="43F565F9"/>
    <w:rsid w:val="44586B88"/>
    <w:rsid w:val="44780FD8"/>
    <w:rsid w:val="44A43B7B"/>
    <w:rsid w:val="44D47285"/>
    <w:rsid w:val="44E4666D"/>
    <w:rsid w:val="44EA2FCA"/>
    <w:rsid w:val="45260A34"/>
    <w:rsid w:val="457E261E"/>
    <w:rsid w:val="45837C34"/>
    <w:rsid w:val="45D073D5"/>
    <w:rsid w:val="45DA351F"/>
    <w:rsid w:val="45ED3958"/>
    <w:rsid w:val="461B249C"/>
    <w:rsid w:val="462276E1"/>
    <w:rsid w:val="466A0721"/>
    <w:rsid w:val="46C87FF5"/>
    <w:rsid w:val="46EB5A91"/>
    <w:rsid w:val="478A34FC"/>
    <w:rsid w:val="47AB19BB"/>
    <w:rsid w:val="47B43396"/>
    <w:rsid w:val="47E56984"/>
    <w:rsid w:val="47ED3A8B"/>
    <w:rsid w:val="47FC5A7C"/>
    <w:rsid w:val="480536E5"/>
    <w:rsid w:val="48264838"/>
    <w:rsid w:val="483B7566"/>
    <w:rsid w:val="48751DE7"/>
    <w:rsid w:val="48A05908"/>
    <w:rsid w:val="48F826E7"/>
    <w:rsid w:val="48FB5D34"/>
    <w:rsid w:val="48FC3F85"/>
    <w:rsid w:val="49364913"/>
    <w:rsid w:val="49404145"/>
    <w:rsid w:val="494178AD"/>
    <w:rsid w:val="49AD1724"/>
    <w:rsid w:val="49DA0AA2"/>
    <w:rsid w:val="49DC5B65"/>
    <w:rsid w:val="4A322A7B"/>
    <w:rsid w:val="4A64447A"/>
    <w:rsid w:val="4AC42881"/>
    <w:rsid w:val="4AFD3FE5"/>
    <w:rsid w:val="4B3C2D5F"/>
    <w:rsid w:val="4B4C0AC8"/>
    <w:rsid w:val="4B5926D3"/>
    <w:rsid w:val="4B692966"/>
    <w:rsid w:val="4B8314C0"/>
    <w:rsid w:val="4BE45480"/>
    <w:rsid w:val="4C2F2872"/>
    <w:rsid w:val="4C9C38C8"/>
    <w:rsid w:val="4CAA1F4A"/>
    <w:rsid w:val="4CBB7CB4"/>
    <w:rsid w:val="4D0553D3"/>
    <w:rsid w:val="4D8757B4"/>
    <w:rsid w:val="4DA032EE"/>
    <w:rsid w:val="4DAB5F7A"/>
    <w:rsid w:val="4DB52955"/>
    <w:rsid w:val="4E0465D6"/>
    <w:rsid w:val="4E105835"/>
    <w:rsid w:val="4E500832"/>
    <w:rsid w:val="4E6B74B7"/>
    <w:rsid w:val="4E7150E0"/>
    <w:rsid w:val="4EFE20DA"/>
    <w:rsid w:val="4F91298C"/>
    <w:rsid w:val="4FE931A9"/>
    <w:rsid w:val="50146059"/>
    <w:rsid w:val="50454464"/>
    <w:rsid w:val="50630D8E"/>
    <w:rsid w:val="5080549C"/>
    <w:rsid w:val="5092449B"/>
    <w:rsid w:val="50D457E8"/>
    <w:rsid w:val="51382D26"/>
    <w:rsid w:val="51844B18"/>
    <w:rsid w:val="518B6393"/>
    <w:rsid w:val="51D51818"/>
    <w:rsid w:val="52311923"/>
    <w:rsid w:val="525F10E1"/>
    <w:rsid w:val="52A631B4"/>
    <w:rsid w:val="53283BC9"/>
    <w:rsid w:val="53446786"/>
    <w:rsid w:val="536A5F90"/>
    <w:rsid w:val="536C61AC"/>
    <w:rsid w:val="53754F62"/>
    <w:rsid w:val="53A50C2A"/>
    <w:rsid w:val="540C5299"/>
    <w:rsid w:val="541505F1"/>
    <w:rsid w:val="54495E44"/>
    <w:rsid w:val="547370C6"/>
    <w:rsid w:val="5496599E"/>
    <w:rsid w:val="54D65595"/>
    <w:rsid w:val="54F509F0"/>
    <w:rsid w:val="550C5245"/>
    <w:rsid w:val="55394034"/>
    <w:rsid w:val="557F21C6"/>
    <w:rsid w:val="559B13F1"/>
    <w:rsid w:val="55A34E57"/>
    <w:rsid w:val="55BD4A9D"/>
    <w:rsid w:val="55F04FF8"/>
    <w:rsid w:val="560E354A"/>
    <w:rsid w:val="56156687"/>
    <w:rsid w:val="562C1C22"/>
    <w:rsid w:val="56301712"/>
    <w:rsid w:val="563A5D5C"/>
    <w:rsid w:val="563F54B2"/>
    <w:rsid w:val="569F23F4"/>
    <w:rsid w:val="56D54068"/>
    <w:rsid w:val="56FE1CF2"/>
    <w:rsid w:val="57574A7D"/>
    <w:rsid w:val="577E64AD"/>
    <w:rsid w:val="57995095"/>
    <w:rsid w:val="57AD41B4"/>
    <w:rsid w:val="57BD6FD6"/>
    <w:rsid w:val="57EE6383"/>
    <w:rsid w:val="581744FB"/>
    <w:rsid w:val="58216B58"/>
    <w:rsid w:val="58445001"/>
    <w:rsid w:val="58613E05"/>
    <w:rsid w:val="5870229A"/>
    <w:rsid w:val="58A56532"/>
    <w:rsid w:val="58C77E81"/>
    <w:rsid w:val="590429E2"/>
    <w:rsid w:val="590C2A62"/>
    <w:rsid w:val="595B4CF8"/>
    <w:rsid w:val="59710078"/>
    <w:rsid w:val="59785BB1"/>
    <w:rsid w:val="5991500E"/>
    <w:rsid w:val="59BB2BBD"/>
    <w:rsid w:val="59D5132D"/>
    <w:rsid w:val="59DE1485"/>
    <w:rsid w:val="5A490FF5"/>
    <w:rsid w:val="5AE965BB"/>
    <w:rsid w:val="5AF50835"/>
    <w:rsid w:val="5B22711E"/>
    <w:rsid w:val="5B515455"/>
    <w:rsid w:val="5B8027F4"/>
    <w:rsid w:val="5B8B2F47"/>
    <w:rsid w:val="5C3564CD"/>
    <w:rsid w:val="5C423F4D"/>
    <w:rsid w:val="5C9D1184"/>
    <w:rsid w:val="5CA70254"/>
    <w:rsid w:val="5CBC3D00"/>
    <w:rsid w:val="5D0B2591"/>
    <w:rsid w:val="5DC23366"/>
    <w:rsid w:val="5DFF3B32"/>
    <w:rsid w:val="5E304667"/>
    <w:rsid w:val="5E6F08FE"/>
    <w:rsid w:val="5E7A5C21"/>
    <w:rsid w:val="5E9345EC"/>
    <w:rsid w:val="5E9B53AC"/>
    <w:rsid w:val="5EB6652D"/>
    <w:rsid w:val="5EB83AA1"/>
    <w:rsid w:val="5EBA22BC"/>
    <w:rsid w:val="5F0C4F47"/>
    <w:rsid w:val="5F2B41BE"/>
    <w:rsid w:val="5F3876B8"/>
    <w:rsid w:val="5F395C46"/>
    <w:rsid w:val="5F775CBC"/>
    <w:rsid w:val="5F964CC5"/>
    <w:rsid w:val="5FAB621B"/>
    <w:rsid w:val="5FD9E764"/>
    <w:rsid w:val="5FE552B9"/>
    <w:rsid w:val="5FED5F7E"/>
    <w:rsid w:val="601D3B44"/>
    <w:rsid w:val="601E25DC"/>
    <w:rsid w:val="602D6CC3"/>
    <w:rsid w:val="602F4A1C"/>
    <w:rsid w:val="60675D31"/>
    <w:rsid w:val="606C1599"/>
    <w:rsid w:val="607E12CC"/>
    <w:rsid w:val="60D66BD7"/>
    <w:rsid w:val="61332BD1"/>
    <w:rsid w:val="614A6819"/>
    <w:rsid w:val="61671D60"/>
    <w:rsid w:val="622D4D58"/>
    <w:rsid w:val="62404F46"/>
    <w:rsid w:val="6246723B"/>
    <w:rsid w:val="62C202DE"/>
    <w:rsid w:val="62C27B96"/>
    <w:rsid w:val="62FEC35D"/>
    <w:rsid w:val="63265B58"/>
    <w:rsid w:val="637974B6"/>
    <w:rsid w:val="639B16A7"/>
    <w:rsid w:val="63D41FBE"/>
    <w:rsid w:val="63E7AC12"/>
    <w:rsid w:val="63E87188"/>
    <w:rsid w:val="640F598F"/>
    <w:rsid w:val="644C7B14"/>
    <w:rsid w:val="64925346"/>
    <w:rsid w:val="64F969D6"/>
    <w:rsid w:val="652941B2"/>
    <w:rsid w:val="65533E5D"/>
    <w:rsid w:val="655B2F90"/>
    <w:rsid w:val="657809E0"/>
    <w:rsid w:val="657C3F13"/>
    <w:rsid w:val="65962C14"/>
    <w:rsid w:val="65B35574"/>
    <w:rsid w:val="65E240AB"/>
    <w:rsid w:val="66867433"/>
    <w:rsid w:val="674C0D7F"/>
    <w:rsid w:val="678216A2"/>
    <w:rsid w:val="67B657F0"/>
    <w:rsid w:val="67D30150"/>
    <w:rsid w:val="67EB5567"/>
    <w:rsid w:val="6844104D"/>
    <w:rsid w:val="687A05CB"/>
    <w:rsid w:val="689E250C"/>
    <w:rsid w:val="68FB170C"/>
    <w:rsid w:val="690534E5"/>
    <w:rsid w:val="699D27C3"/>
    <w:rsid w:val="69A55B1C"/>
    <w:rsid w:val="69E94088"/>
    <w:rsid w:val="6A2D7FEB"/>
    <w:rsid w:val="6B655563"/>
    <w:rsid w:val="6BD44496"/>
    <w:rsid w:val="6BF115F2"/>
    <w:rsid w:val="6BF80185"/>
    <w:rsid w:val="6C24541E"/>
    <w:rsid w:val="6C3B62C3"/>
    <w:rsid w:val="6CF7668E"/>
    <w:rsid w:val="6D7A61C9"/>
    <w:rsid w:val="6DAC56CB"/>
    <w:rsid w:val="6DFB0400"/>
    <w:rsid w:val="6E63173E"/>
    <w:rsid w:val="6EE80984"/>
    <w:rsid w:val="6F173B21"/>
    <w:rsid w:val="6F35349E"/>
    <w:rsid w:val="6F7B79E8"/>
    <w:rsid w:val="6FBF4044"/>
    <w:rsid w:val="6FE72CBB"/>
    <w:rsid w:val="70247E20"/>
    <w:rsid w:val="704768DE"/>
    <w:rsid w:val="704E3A0C"/>
    <w:rsid w:val="70730F3D"/>
    <w:rsid w:val="7084521C"/>
    <w:rsid w:val="709A7A5C"/>
    <w:rsid w:val="70BA00FF"/>
    <w:rsid w:val="714E0847"/>
    <w:rsid w:val="71A339C3"/>
    <w:rsid w:val="71B66B18"/>
    <w:rsid w:val="71E10E40"/>
    <w:rsid w:val="71EC42E8"/>
    <w:rsid w:val="72004CD0"/>
    <w:rsid w:val="72751C33"/>
    <w:rsid w:val="72B333C6"/>
    <w:rsid w:val="73053636"/>
    <w:rsid w:val="73131D48"/>
    <w:rsid w:val="7319019D"/>
    <w:rsid w:val="733F0D8F"/>
    <w:rsid w:val="734D525A"/>
    <w:rsid w:val="736D3F6D"/>
    <w:rsid w:val="737C77CB"/>
    <w:rsid w:val="745F3497"/>
    <w:rsid w:val="75212601"/>
    <w:rsid w:val="75C316F1"/>
    <w:rsid w:val="75CA02E5"/>
    <w:rsid w:val="7603614B"/>
    <w:rsid w:val="760D6F22"/>
    <w:rsid w:val="76465F91"/>
    <w:rsid w:val="767033A4"/>
    <w:rsid w:val="76820AEE"/>
    <w:rsid w:val="76CF41D8"/>
    <w:rsid w:val="77022531"/>
    <w:rsid w:val="771F17F0"/>
    <w:rsid w:val="77400C32"/>
    <w:rsid w:val="77424C59"/>
    <w:rsid w:val="775841CD"/>
    <w:rsid w:val="77737259"/>
    <w:rsid w:val="778842E7"/>
    <w:rsid w:val="77C07585"/>
    <w:rsid w:val="77DA2E34"/>
    <w:rsid w:val="77F71C38"/>
    <w:rsid w:val="77FF75DE"/>
    <w:rsid w:val="78110631"/>
    <w:rsid w:val="783B3DB6"/>
    <w:rsid w:val="7840538D"/>
    <w:rsid w:val="784C3D32"/>
    <w:rsid w:val="786A065C"/>
    <w:rsid w:val="794A4D1D"/>
    <w:rsid w:val="79975AC4"/>
    <w:rsid w:val="7A2801E7"/>
    <w:rsid w:val="7A312500"/>
    <w:rsid w:val="7A454EDD"/>
    <w:rsid w:val="7A7632E8"/>
    <w:rsid w:val="7A9E5C4B"/>
    <w:rsid w:val="7AAF2356"/>
    <w:rsid w:val="7ABFA91F"/>
    <w:rsid w:val="7B053AC8"/>
    <w:rsid w:val="7B1E128A"/>
    <w:rsid w:val="7B2F71A2"/>
    <w:rsid w:val="7B424F78"/>
    <w:rsid w:val="7B51165F"/>
    <w:rsid w:val="7B7FE0EE"/>
    <w:rsid w:val="7BB06386"/>
    <w:rsid w:val="7BD83B2F"/>
    <w:rsid w:val="7BED8E92"/>
    <w:rsid w:val="7BF01431"/>
    <w:rsid w:val="7C4966BF"/>
    <w:rsid w:val="7C7970C0"/>
    <w:rsid w:val="7C8F68E3"/>
    <w:rsid w:val="7CC75D21"/>
    <w:rsid w:val="7D1711B4"/>
    <w:rsid w:val="7D172435"/>
    <w:rsid w:val="7D2721ED"/>
    <w:rsid w:val="7D4A6A89"/>
    <w:rsid w:val="7D7D04EA"/>
    <w:rsid w:val="7D912B46"/>
    <w:rsid w:val="7DF64E2A"/>
    <w:rsid w:val="7E01736D"/>
    <w:rsid w:val="7E867872"/>
    <w:rsid w:val="7EFD3B36"/>
    <w:rsid w:val="7F3FA419"/>
    <w:rsid w:val="7F671451"/>
    <w:rsid w:val="7F73CE87"/>
    <w:rsid w:val="7FB126CD"/>
    <w:rsid w:val="7FBD2682"/>
    <w:rsid w:val="7FCB7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style>
  <w:style w:type="paragraph" w:styleId="a4">
    <w:name w:val="Body Text"/>
    <w:basedOn w:val="a"/>
    <w:semiHidden/>
    <w:qFormat/>
    <w:rPr>
      <w:rFonts w:ascii="PingFang SC" w:eastAsia="PingFang SC" w:hAnsi="PingFang SC" w:cs="PingFang SC"/>
      <w:sz w:val="24"/>
      <w:szCs w:val="24"/>
    </w:rPr>
  </w:style>
  <w:style w:type="paragraph" w:styleId="a5">
    <w:name w:val="Balloon Text"/>
    <w:basedOn w:val="a"/>
    <w:link w:val="Char0"/>
    <w:qFormat/>
    <w:rPr>
      <w:sz w:val="18"/>
      <w:szCs w:val="18"/>
    </w:rPr>
  </w:style>
  <w:style w:type="paragraph" w:styleId="a6">
    <w:name w:val="footer"/>
    <w:basedOn w:val="a"/>
    <w:link w:val="Char1"/>
    <w:uiPriority w:val="99"/>
    <w:qFormat/>
    <w:pPr>
      <w:tabs>
        <w:tab w:val="center" w:pos="4153"/>
        <w:tab w:val="right" w:pos="8306"/>
      </w:tabs>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8">
    <w:name w:val="annotation subject"/>
    <w:basedOn w:val="a3"/>
    <w:next w:val="a3"/>
    <w:link w:val="Char2"/>
    <w:qFormat/>
    <w:rPr>
      <w:b/>
      <w:bCs/>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character" w:customStyle="1" w:styleId="Char1">
    <w:name w:val="页脚 Char"/>
    <w:basedOn w:val="a0"/>
    <w:link w:val="a6"/>
    <w:uiPriority w:val="99"/>
    <w:qFormat/>
    <w:rPr>
      <w:rFonts w:ascii="Arial" w:eastAsia="Arial" w:hAnsi="Arial" w:cs="Arial"/>
      <w:snapToGrid w:val="0"/>
      <w:color w:val="000000"/>
      <w:sz w:val="18"/>
      <w:szCs w:val="21"/>
      <w:lang w:eastAsia="en-US"/>
    </w:rPr>
  </w:style>
  <w:style w:type="paragraph" w:customStyle="1" w:styleId="2">
    <w:name w:val="修订2"/>
    <w:hidden/>
    <w:uiPriority w:val="99"/>
    <w:unhideWhenUsed/>
    <w:qFormat/>
    <w:rPr>
      <w:rFonts w:ascii="Arial" w:eastAsia="Arial" w:hAnsi="Arial" w:cs="Arial"/>
      <w:snapToGrid w:val="0"/>
      <w:color w:val="000000"/>
      <w:sz w:val="21"/>
      <w:szCs w:val="21"/>
      <w:lang w:eastAsia="en-US"/>
    </w:rPr>
  </w:style>
  <w:style w:type="character" w:customStyle="1" w:styleId="Char0">
    <w:name w:val="批注框文本 Char"/>
    <w:basedOn w:val="a0"/>
    <w:link w:val="a5"/>
    <w:qFormat/>
    <w:rPr>
      <w:rFonts w:ascii="Arial" w:eastAsia="Arial" w:hAnsi="Arial" w:cs="Arial"/>
      <w:snapToGrid w:val="0"/>
      <w:color w:val="000000"/>
      <w:sz w:val="18"/>
      <w:szCs w:val="18"/>
      <w:lang w:eastAsia="en-US"/>
    </w:rPr>
  </w:style>
  <w:style w:type="character" w:customStyle="1" w:styleId="Char">
    <w:name w:val="批注文字 Char"/>
    <w:basedOn w:val="a0"/>
    <w:link w:val="a3"/>
    <w:qFormat/>
    <w:rPr>
      <w:rFonts w:ascii="Arial" w:eastAsia="Arial" w:hAnsi="Arial" w:cs="Arial"/>
      <w:snapToGrid w:val="0"/>
      <w:color w:val="000000"/>
      <w:sz w:val="21"/>
      <w:szCs w:val="21"/>
      <w:lang w:eastAsia="en-US"/>
    </w:rPr>
  </w:style>
  <w:style w:type="character" w:customStyle="1" w:styleId="Char2">
    <w:name w:val="批注主题 Char"/>
    <w:basedOn w:val="Char"/>
    <w:link w:val="a8"/>
    <w:qFormat/>
    <w:rPr>
      <w:rFonts w:ascii="Arial" w:eastAsia="Arial" w:hAnsi="Arial" w:cs="Arial"/>
      <w:b/>
      <w:bCs/>
      <w:snapToGrid w:val="0"/>
      <w:color w:val="000000"/>
      <w:sz w:val="21"/>
      <w:szCs w:val="21"/>
      <w:lang w:eastAsia="en-US"/>
    </w:rPr>
  </w:style>
  <w:style w:type="paragraph" w:customStyle="1" w:styleId="3">
    <w:name w:val="修订3"/>
    <w:hidden/>
    <w:uiPriority w:val="99"/>
    <w:unhideWhenUsed/>
    <w:qFormat/>
    <w:rPr>
      <w:rFonts w:ascii="Arial" w:eastAsia="Arial" w:hAnsi="Arial" w:cs="Arial"/>
      <w:snapToGrid w:val="0"/>
      <w:color w:val="000000"/>
      <w:sz w:val="21"/>
      <w:szCs w:val="21"/>
      <w:lang w:eastAsia="en-US"/>
    </w:rPr>
  </w:style>
  <w:style w:type="paragraph" w:styleId="ab">
    <w:name w:val="List Paragraph"/>
    <w:basedOn w:val="a"/>
    <w:uiPriority w:val="34"/>
    <w:qFormat/>
    <w:pPr>
      <w:ind w:firstLineChars="200" w:firstLine="420"/>
    </w:pPr>
  </w:style>
  <w:style w:type="paragraph" w:customStyle="1" w:styleId="4">
    <w:name w:val="修订4"/>
    <w:hidden/>
    <w:uiPriority w:val="99"/>
    <w:unhideWhenUsed/>
    <w:qFormat/>
    <w:rPr>
      <w:rFonts w:ascii="Arial" w:eastAsia="Arial" w:hAnsi="Arial" w:cs="Arial"/>
      <w:snapToGrid w:val="0"/>
      <w:color w:val="000000"/>
      <w:sz w:val="21"/>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style>
  <w:style w:type="paragraph" w:styleId="a4">
    <w:name w:val="Body Text"/>
    <w:basedOn w:val="a"/>
    <w:semiHidden/>
    <w:qFormat/>
    <w:rPr>
      <w:rFonts w:ascii="PingFang SC" w:eastAsia="PingFang SC" w:hAnsi="PingFang SC" w:cs="PingFang SC"/>
      <w:sz w:val="24"/>
      <w:szCs w:val="24"/>
    </w:rPr>
  </w:style>
  <w:style w:type="paragraph" w:styleId="a5">
    <w:name w:val="Balloon Text"/>
    <w:basedOn w:val="a"/>
    <w:link w:val="Char0"/>
    <w:qFormat/>
    <w:rPr>
      <w:sz w:val="18"/>
      <w:szCs w:val="18"/>
    </w:rPr>
  </w:style>
  <w:style w:type="paragraph" w:styleId="a6">
    <w:name w:val="footer"/>
    <w:basedOn w:val="a"/>
    <w:link w:val="Char1"/>
    <w:uiPriority w:val="99"/>
    <w:qFormat/>
    <w:pPr>
      <w:tabs>
        <w:tab w:val="center" w:pos="4153"/>
        <w:tab w:val="right" w:pos="8306"/>
      </w:tabs>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8">
    <w:name w:val="annotation subject"/>
    <w:basedOn w:val="a3"/>
    <w:next w:val="a3"/>
    <w:link w:val="Char2"/>
    <w:qFormat/>
    <w:rPr>
      <w:b/>
      <w:bCs/>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character" w:customStyle="1" w:styleId="Char1">
    <w:name w:val="页脚 Char"/>
    <w:basedOn w:val="a0"/>
    <w:link w:val="a6"/>
    <w:uiPriority w:val="99"/>
    <w:qFormat/>
    <w:rPr>
      <w:rFonts w:ascii="Arial" w:eastAsia="Arial" w:hAnsi="Arial" w:cs="Arial"/>
      <w:snapToGrid w:val="0"/>
      <w:color w:val="000000"/>
      <w:sz w:val="18"/>
      <w:szCs w:val="21"/>
      <w:lang w:eastAsia="en-US"/>
    </w:rPr>
  </w:style>
  <w:style w:type="paragraph" w:customStyle="1" w:styleId="2">
    <w:name w:val="修订2"/>
    <w:hidden/>
    <w:uiPriority w:val="99"/>
    <w:unhideWhenUsed/>
    <w:qFormat/>
    <w:rPr>
      <w:rFonts w:ascii="Arial" w:eastAsia="Arial" w:hAnsi="Arial" w:cs="Arial"/>
      <w:snapToGrid w:val="0"/>
      <w:color w:val="000000"/>
      <w:sz w:val="21"/>
      <w:szCs w:val="21"/>
      <w:lang w:eastAsia="en-US"/>
    </w:rPr>
  </w:style>
  <w:style w:type="character" w:customStyle="1" w:styleId="Char0">
    <w:name w:val="批注框文本 Char"/>
    <w:basedOn w:val="a0"/>
    <w:link w:val="a5"/>
    <w:qFormat/>
    <w:rPr>
      <w:rFonts w:ascii="Arial" w:eastAsia="Arial" w:hAnsi="Arial" w:cs="Arial"/>
      <w:snapToGrid w:val="0"/>
      <w:color w:val="000000"/>
      <w:sz w:val="18"/>
      <w:szCs w:val="18"/>
      <w:lang w:eastAsia="en-US"/>
    </w:rPr>
  </w:style>
  <w:style w:type="character" w:customStyle="1" w:styleId="Char">
    <w:name w:val="批注文字 Char"/>
    <w:basedOn w:val="a0"/>
    <w:link w:val="a3"/>
    <w:qFormat/>
    <w:rPr>
      <w:rFonts w:ascii="Arial" w:eastAsia="Arial" w:hAnsi="Arial" w:cs="Arial"/>
      <w:snapToGrid w:val="0"/>
      <w:color w:val="000000"/>
      <w:sz w:val="21"/>
      <w:szCs w:val="21"/>
      <w:lang w:eastAsia="en-US"/>
    </w:rPr>
  </w:style>
  <w:style w:type="character" w:customStyle="1" w:styleId="Char2">
    <w:name w:val="批注主题 Char"/>
    <w:basedOn w:val="Char"/>
    <w:link w:val="a8"/>
    <w:qFormat/>
    <w:rPr>
      <w:rFonts w:ascii="Arial" w:eastAsia="Arial" w:hAnsi="Arial" w:cs="Arial"/>
      <w:b/>
      <w:bCs/>
      <w:snapToGrid w:val="0"/>
      <w:color w:val="000000"/>
      <w:sz w:val="21"/>
      <w:szCs w:val="21"/>
      <w:lang w:eastAsia="en-US"/>
    </w:rPr>
  </w:style>
  <w:style w:type="paragraph" w:customStyle="1" w:styleId="3">
    <w:name w:val="修订3"/>
    <w:hidden/>
    <w:uiPriority w:val="99"/>
    <w:unhideWhenUsed/>
    <w:qFormat/>
    <w:rPr>
      <w:rFonts w:ascii="Arial" w:eastAsia="Arial" w:hAnsi="Arial" w:cs="Arial"/>
      <w:snapToGrid w:val="0"/>
      <w:color w:val="000000"/>
      <w:sz w:val="21"/>
      <w:szCs w:val="21"/>
      <w:lang w:eastAsia="en-US"/>
    </w:rPr>
  </w:style>
  <w:style w:type="paragraph" w:styleId="ab">
    <w:name w:val="List Paragraph"/>
    <w:basedOn w:val="a"/>
    <w:uiPriority w:val="34"/>
    <w:qFormat/>
    <w:pPr>
      <w:ind w:firstLineChars="200" w:firstLine="420"/>
    </w:pPr>
  </w:style>
  <w:style w:type="paragraph" w:customStyle="1" w:styleId="4">
    <w:name w:val="修订4"/>
    <w:hidden/>
    <w:uiPriority w:val="99"/>
    <w:unhideWhenUsed/>
    <w:qFormat/>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C5B4C6AF-3A66-4BD6-92A2-7284F3FA1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3273</Words>
  <Characters>4157</Characters>
  <Application>Microsoft Office Word</Application>
  <DocSecurity>0</DocSecurity>
  <Lines>519</Lines>
  <Paragraphs>437</Paragraphs>
  <ScaleCrop>false</ScaleCrop>
  <Company>Microsoft</Company>
  <LinksUpToDate>false</LinksUpToDate>
  <CharactersWithSpaces>6993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hsq</cp:lastModifiedBy>
  <cp:revision>176</cp:revision>
  <dcterms:created xsi:type="dcterms:W3CDTF">2025-10-22T12:48:00Z</dcterms:created>
  <dcterms:modified xsi:type="dcterms:W3CDTF">2026-03-30T08:16:00Z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2052-12.1.0.25225</vt:lpwstr>
  </property>
  <property fmtid="{D5CDD505-2E9C-101B-9397-08002B2CF9AE}" pid="5" name="ICV">
    <vt:lpwstr>AE8C4D2F402245A190050B59A35EF1A7_13</vt:lpwstr>
  </property>
  <property fmtid="{D5CDD505-2E9C-101B-9397-08002B2CF9AE}" pid="6" name="KSOTemplateDocerSaveRecord">
    <vt:lpwstr>eyJoZGlkIjoiYjc3NTVmODk5OWI4YTU0YmU5MTlhYzJjMjBkNzFlNmEiLCJ1c2VySWQiOiIyNDMwNTgyMjAifQ==</vt:lpwstr>
  </property>
</Properties>
</file>