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0951" w:rsidRDefault="00BC0951" w:rsidP="006F167A">
      <w:pPr>
        <w:adjustRightInd w:val="0"/>
        <w:snapToGrid w:val="0"/>
        <w:spacing w:beforeLines="50" w:before="156" w:afterLines="50" w:after="156" w:line="500" w:lineRule="exact"/>
        <w:jc w:val="center"/>
        <w:rPr>
          <w:rFonts w:ascii="黑体" w:eastAsia="黑体" w:hAnsi="黑体" w:cs="黑体" w:hint="eastAsia"/>
          <w:b/>
          <w:bCs/>
          <w:color w:val="000000"/>
          <w:sz w:val="32"/>
          <w:szCs w:val="24"/>
        </w:rPr>
      </w:pPr>
      <w:bookmarkStart w:id="0" w:name="_GoBack"/>
      <w:bookmarkEnd w:id="0"/>
      <w:r>
        <w:rPr>
          <w:rFonts w:ascii="黑体" w:eastAsia="黑体" w:hAnsi="黑体" w:cs="黑体" w:hint="eastAsia"/>
          <w:b/>
          <w:bCs/>
          <w:color w:val="000000"/>
          <w:sz w:val="32"/>
          <w:szCs w:val="24"/>
        </w:rPr>
        <w:t>广东天亿马信息产业股份有限公司</w:t>
      </w:r>
    </w:p>
    <w:p w:rsidR="00BC0951" w:rsidRDefault="00BC0951" w:rsidP="006F167A">
      <w:pPr>
        <w:adjustRightInd w:val="0"/>
        <w:snapToGrid w:val="0"/>
        <w:spacing w:beforeLines="50" w:before="156" w:afterLines="50" w:after="156" w:line="500" w:lineRule="exact"/>
        <w:jc w:val="center"/>
        <w:rPr>
          <w:rFonts w:ascii="黑体" w:eastAsia="黑体" w:hAnsi="黑体" w:cs="黑体" w:hint="eastAsia"/>
          <w:b/>
          <w:bCs/>
          <w:color w:val="000000"/>
          <w:sz w:val="32"/>
          <w:szCs w:val="24"/>
        </w:rPr>
      </w:pPr>
      <w:r>
        <w:rPr>
          <w:rFonts w:ascii="黑体" w:eastAsia="黑体" w:hAnsi="黑体" w:cs="黑体" w:hint="eastAsia"/>
          <w:b/>
          <w:bCs/>
          <w:color w:val="000000"/>
          <w:sz w:val="32"/>
          <w:szCs w:val="24"/>
        </w:rPr>
        <w:t>内部控制有效性的自我评价报告</w:t>
      </w:r>
    </w:p>
    <w:p w:rsidR="00BC0951" w:rsidRDefault="00BC0951" w:rsidP="006F167A">
      <w:pPr>
        <w:spacing w:beforeLines="50" w:before="156" w:afterLines="50" w:after="156" w:line="500" w:lineRule="exact"/>
        <w:rPr>
          <w:rFonts w:ascii="黑体" w:eastAsia="黑体" w:hAnsi="黑体" w:cs="黑体" w:hint="eastAsia"/>
          <w:b/>
          <w:bCs/>
          <w:color w:val="000000"/>
          <w:sz w:val="24"/>
          <w:szCs w:val="24"/>
        </w:rPr>
      </w:pPr>
      <w:r>
        <w:rPr>
          <w:rFonts w:ascii="黑体" w:eastAsia="黑体" w:hAnsi="黑体" w:cs="黑体" w:hint="eastAsia"/>
          <w:b/>
          <w:bCs/>
          <w:color w:val="000000"/>
          <w:sz w:val="24"/>
          <w:szCs w:val="24"/>
        </w:rPr>
        <w:t>广东天亿马信息产业股份有限公司全体股东：</w:t>
      </w:r>
    </w:p>
    <w:p w:rsidR="00BC0951" w:rsidRDefault="00BC0951">
      <w:pPr>
        <w:spacing w:line="500" w:lineRule="exact"/>
        <w:ind w:firstLineChars="200" w:firstLine="480"/>
        <w:rPr>
          <w:rFonts w:ascii="宋体" w:hAnsi="宋体"/>
          <w:color w:val="000000"/>
          <w:sz w:val="24"/>
          <w:szCs w:val="24"/>
        </w:rPr>
      </w:pPr>
      <w:r>
        <w:rPr>
          <w:rFonts w:ascii="宋体" w:hAnsi="宋体"/>
          <w:color w:val="000000"/>
          <w:sz w:val="24"/>
          <w:szCs w:val="24"/>
        </w:rPr>
        <w:t>根据</w:t>
      </w:r>
      <w:r>
        <w:rPr>
          <w:rFonts w:ascii="宋体" w:hAnsi="宋体" w:hint="eastAsia"/>
          <w:color w:val="000000"/>
          <w:sz w:val="24"/>
          <w:szCs w:val="24"/>
        </w:rPr>
        <w:t>《</w:t>
      </w:r>
      <w:r>
        <w:rPr>
          <w:rFonts w:ascii="宋体" w:hAnsi="宋体"/>
          <w:color w:val="000000"/>
          <w:sz w:val="24"/>
          <w:szCs w:val="24"/>
        </w:rPr>
        <w:t>企业内部控制基本规范</w:t>
      </w:r>
      <w:r>
        <w:rPr>
          <w:rFonts w:ascii="宋体" w:hAnsi="宋体" w:hint="eastAsia"/>
          <w:color w:val="000000"/>
          <w:sz w:val="24"/>
          <w:szCs w:val="24"/>
        </w:rPr>
        <w:t>》</w:t>
      </w:r>
      <w:r>
        <w:rPr>
          <w:rFonts w:ascii="宋体" w:hAnsi="宋体"/>
          <w:color w:val="000000"/>
          <w:sz w:val="24"/>
          <w:szCs w:val="24"/>
        </w:rPr>
        <w:t>及其配套指引的规定和其他内部控制监管要求</w:t>
      </w:r>
      <w:r>
        <w:rPr>
          <w:rFonts w:ascii="宋体" w:hAnsi="宋体" w:hint="eastAsia"/>
          <w:color w:val="000000"/>
          <w:sz w:val="24"/>
          <w:szCs w:val="24"/>
        </w:rPr>
        <w:t>（</w:t>
      </w:r>
      <w:r>
        <w:rPr>
          <w:rFonts w:ascii="宋体" w:hAnsi="宋体"/>
          <w:color w:val="000000"/>
          <w:sz w:val="24"/>
          <w:szCs w:val="24"/>
        </w:rPr>
        <w:t>以下简称</w:t>
      </w:r>
      <w:r>
        <w:rPr>
          <w:rFonts w:ascii="宋体" w:hAnsi="宋体" w:hint="eastAsia"/>
          <w:color w:val="000000"/>
          <w:sz w:val="24"/>
          <w:szCs w:val="24"/>
        </w:rPr>
        <w:t>“</w:t>
      </w:r>
      <w:r>
        <w:rPr>
          <w:rFonts w:ascii="宋体" w:hAnsi="宋体"/>
          <w:color w:val="000000"/>
          <w:sz w:val="24"/>
          <w:szCs w:val="24"/>
        </w:rPr>
        <w:t>企业内部控制规范体系</w:t>
      </w:r>
      <w:r>
        <w:rPr>
          <w:rFonts w:ascii="宋体" w:hAnsi="宋体" w:hint="eastAsia"/>
          <w:color w:val="000000"/>
          <w:sz w:val="24"/>
          <w:szCs w:val="24"/>
        </w:rPr>
        <w:t>”）</w:t>
      </w:r>
      <w:r>
        <w:rPr>
          <w:rFonts w:ascii="宋体" w:hAnsi="宋体"/>
          <w:color w:val="000000"/>
          <w:sz w:val="24"/>
          <w:szCs w:val="24"/>
        </w:rPr>
        <w:t>，结合广东天亿马信息产业股份有限公司(以下简称</w:t>
      </w:r>
      <w:r>
        <w:rPr>
          <w:rFonts w:ascii="宋体" w:hAnsi="宋体" w:hint="eastAsia"/>
          <w:color w:val="000000"/>
          <w:sz w:val="24"/>
          <w:szCs w:val="24"/>
        </w:rPr>
        <w:t>“</w:t>
      </w:r>
      <w:r>
        <w:rPr>
          <w:rFonts w:ascii="宋体" w:hAnsi="宋体"/>
          <w:color w:val="000000"/>
          <w:sz w:val="24"/>
          <w:szCs w:val="24"/>
        </w:rPr>
        <w:t>公司</w:t>
      </w:r>
      <w:r>
        <w:rPr>
          <w:rFonts w:ascii="宋体" w:hAnsi="宋体" w:hint="eastAsia"/>
          <w:color w:val="000000"/>
          <w:sz w:val="24"/>
          <w:szCs w:val="24"/>
        </w:rPr>
        <w:t>”</w:t>
      </w:r>
      <w:r>
        <w:rPr>
          <w:rFonts w:ascii="宋体" w:hAnsi="宋体"/>
          <w:color w:val="000000"/>
          <w:sz w:val="24"/>
          <w:szCs w:val="24"/>
        </w:rPr>
        <w:t>)内部控制制度和评价办法，在内部控制日常监督和专项监督的基础上，我们对公司202</w:t>
      </w:r>
      <w:r>
        <w:rPr>
          <w:rFonts w:ascii="宋体" w:hAnsi="宋体" w:hint="eastAsia"/>
          <w:color w:val="000000"/>
          <w:sz w:val="24"/>
          <w:szCs w:val="24"/>
        </w:rPr>
        <w:t>5</w:t>
      </w:r>
      <w:r>
        <w:rPr>
          <w:rFonts w:ascii="宋体" w:hAnsi="宋体"/>
          <w:color w:val="000000"/>
          <w:sz w:val="24"/>
          <w:szCs w:val="24"/>
        </w:rPr>
        <w:t>年12月31日</w:t>
      </w:r>
      <w:r>
        <w:rPr>
          <w:rFonts w:ascii="宋体" w:hAnsi="宋体" w:hint="eastAsia"/>
          <w:color w:val="000000"/>
          <w:sz w:val="24"/>
          <w:szCs w:val="24"/>
        </w:rPr>
        <w:t>（</w:t>
      </w:r>
      <w:r>
        <w:rPr>
          <w:rFonts w:ascii="宋体" w:hAnsi="宋体"/>
          <w:color w:val="000000"/>
          <w:sz w:val="24"/>
          <w:szCs w:val="24"/>
        </w:rPr>
        <w:t>内部控制评价报告基准日</w:t>
      </w:r>
      <w:r>
        <w:rPr>
          <w:rFonts w:ascii="宋体" w:hAnsi="宋体" w:hint="eastAsia"/>
          <w:color w:val="000000"/>
          <w:sz w:val="24"/>
          <w:szCs w:val="24"/>
        </w:rPr>
        <w:t>）</w:t>
      </w:r>
      <w:r>
        <w:rPr>
          <w:rFonts w:ascii="宋体" w:hAnsi="宋体"/>
          <w:color w:val="000000"/>
          <w:sz w:val="24"/>
          <w:szCs w:val="24"/>
        </w:rPr>
        <w:t>的内部控制有效性进行了评价。</w:t>
      </w:r>
    </w:p>
    <w:p w:rsidR="00BC0951" w:rsidRDefault="00BC0951">
      <w:pPr>
        <w:numPr>
          <w:ilvl w:val="0"/>
          <w:numId w:val="1"/>
        </w:numPr>
        <w:spacing w:line="500" w:lineRule="exact"/>
        <w:ind w:firstLineChars="200" w:firstLine="482"/>
        <w:outlineLvl w:val="0"/>
        <w:rPr>
          <w:rFonts w:ascii="黑体" w:eastAsia="黑体" w:hAnsi="黑体" w:cs="黑体" w:hint="eastAsia"/>
          <w:b/>
          <w:bCs/>
          <w:color w:val="000000"/>
          <w:sz w:val="24"/>
          <w:szCs w:val="24"/>
        </w:rPr>
      </w:pPr>
      <w:r>
        <w:rPr>
          <w:rFonts w:ascii="黑体" w:eastAsia="黑体" w:hAnsi="黑体" w:cs="黑体" w:hint="eastAsia"/>
          <w:b/>
          <w:bCs/>
          <w:color w:val="000000"/>
          <w:sz w:val="24"/>
          <w:szCs w:val="24"/>
        </w:rPr>
        <w:t>重要声明</w:t>
      </w:r>
    </w:p>
    <w:p w:rsidR="00BC0951" w:rsidRDefault="00BC0951">
      <w:pPr>
        <w:spacing w:line="500" w:lineRule="exact"/>
        <w:ind w:firstLineChars="200" w:firstLine="480"/>
        <w:rPr>
          <w:rFonts w:ascii="宋体" w:hAnsi="宋体"/>
          <w:color w:val="000000"/>
          <w:sz w:val="24"/>
          <w:szCs w:val="24"/>
        </w:rPr>
      </w:pPr>
      <w:r>
        <w:rPr>
          <w:rFonts w:ascii="宋体" w:hAnsi="宋体"/>
          <w:color w:val="000000"/>
          <w:sz w:val="24"/>
          <w:szCs w:val="24"/>
        </w:rPr>
        <w:t>按照企业内部控制规范体系的规定，建立健全和有效实施内部控制，评价其有效性，并如实披露内部控制评价报告是公司董事会的责任。</w:t>
      </w:r>
      <w:r>
        <w:rPr>
          <w:rFonts w:ascii="宋体" w:hAnsi="宋体" w:hint="eastAsia"/>
          <w:color w:val="000000"/>
          <w:sz w:val="24"/>
          <w:szCs w:val="24"/>
        </w:rPr>
        <w:t>审计委员会</w:t>
      </w:r>
      <w:r>
        <w:rPr>
          <w:rFonts w:ascii="宋体" w:hAnsi="宋体"/>
          <w:color w:val="000000"/>
          <w:sz w:val="24"/>
          <w:szCs w:val="24"/>
        </w:rPr>
        <w:t>对董事会建立和实施内部控制进行监督。经理层负责组织领导企业内部控制的日常运行。公司董事会及董事、高级管理人员保证本报告内容不存在任何虚假记载、误导性陈述或重大遗漏，并对报告内容的真实性、准确性和完整性承担个别及连带法律责任。</w:t>
      </w:r>
    </w:p>
    <w:p w:rsidR="00BC0951" w:rsidRDefault="00BC0951">
      <w:pPr>
        <w:spacing w:line="500" w:lineRule="exact"/>
        <w:ind w:firstLineChars="200" w:firstLine="480"/>
        <w:rPr>
          <w:rFonts w:ascii="宋体" w:hAnsi="宋体"/>
          <w:color w:val="000000"/>
          <w:sz w:val="24"/>
          <w:szCs w:val="24"/>
        </w:rPr>
      </w:pPr>
      <w:r>
        <w:rPr>
          <w:rFonts w:ascii="宋体" w:hAnsi="宋体"/>
          <w:color w:val="000000"/>
          <w:sz w:val="24"/>
          <w:szCs w:val="24"/>
        </w:rPr>
        <w:t>公司内部控制的目标是合理保证经营管理合法合规、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rsidR="00BC0951" w:rsidRDefault="00BC0951">
      <w:pPr>
        <w:numPr>
          <w:ilvl w:val="0"/>
          <w:numId w:val="1"/>
        </w:numPr>
        <w:spacing w:line="500" w:lineRule="exact"/>
        <w:ind w:firstLineChars="200" w:firstLine="482"/>
        <w:outlineLvl w:val="0"/>
        <w:rPr>
          <w:rFonts w:ascii="黑体" w:eastAsia="黑体" w:hAnsi="黑体" w:cs="黑体" w:hint="eastAsia"/>
          <w:b/>
          <w:bCs/>
          <w:color w:val="000000"/>
          <w:sz w:val="24"/>
          <w:szCs w:val="24"/>
        </w:rPr>
      </w:pPr>
      <w:r>
        <w:rPr>
          <w:rFonts w:ascii="黑体" w:eastAsia="黑体" w:hAnsi="黑体" w:cs="黑体" w:hint="eastAsia"/>
          <w:b/>
          <w:bCs/>
          <w:color w:val="000000"/>
          <w:sz w:val="24"/>
          <w:szCs w:val="24"/>
        </w:rPr>
        <w:t>内部控制评价结论</w:t>
      </w:r>
    </w:p>
    <w:p w:rsidR="00BC0951" w:rsidRDefault="00BC0951">
      <w:pPr>
        <w:spacing w:line="500" w:lineRule="exact"/>
        <w:ind w:firstLineChars="200" w:firstLine="480"/>
        <w:rPr>
          <w:rFonts w:ascii="宋体" w:hAnsi="宋体"/>
          <w:color w:val="000000"/>
          <w:sz w:val="24"/>
          <w:szCs w:val="24"/>
        </w:rPr>
      </w:pPr>
      <w:r>
        <w:rPr>
          <w:rFonts w:ascii="宋体" w:hAnsi="宋体"/>
          <w:color w:val="000000"/>
          <w:sz w:val="24"/>
          <w:szCs w:val="24"/>
        </w:rPr>
        <w:t>根据公司财务报告内部控制重大缺陷的认定情况</w:t>
      </w:r>
      <w:r>
        <w:rPr>
          <w:rFonts w:ascii="宋体" w:hAnsi="宋体" w:hint="eastAsia"/>
          <w:color w:val="000000"/>
          <w:sz w:val="24"/>
          <w:szCs w:val="24"/>
        </w:rPr>
        <w:t>，</w:t>
      </w:r>
      <w:r>
        <w:rPr>
          <w:rFonts w:ascii="宋体" w:hAnsi="宋体"/>
          <w:color w:val="000000"/>
          <w:sz w:val="24"/>
          <w:szCs w:val="24"/>
        </w:rPr>
        <w:t>于内部控制评价报告基准日</w:t>
      </w:r>
      <w:r>
        <w:rPr>
          <w:rFonts w:ascii="宋体" w:hAnsi="宋体" w:hint="eastAsia"/>
          <w:color w:val="000000"/>
          <w:sz w:val="24"/>
          <w:szCs w:val="24"/>
        </w:rPr>
        <w:t>，</w:t>
      </w:r>
      <w:r>
        <w:rPr>
          <w:rFonts w:ascii="宋体" w:hAnsi="宋体"/>
          <w:color w:val="000000"/>
          <w:sz w:val="24"/>
          <w:szCs w:val="24"/>
        </w:rPr>
        <w:t>不存在财务报告内部控制重大缺陷，董事会认为，公司已按照企业内部控制规范体系和相关规定的要求在所有重大方面保持了有效的财务报告内部控制。</w:t>
      </w:r>
    </w:p>
    <w:p w:rsidR="00BC0951" w:rsidRDefault="00BC0951">
      <w:pPr>
        <w:spacing w:line="500" w:lineRule="exact"/>
        <w:ind w:firstLineChars="200" w:firstLine="480"/>
        <w:rPr>
          <w:rFonts w:ascii="宋体" w:hAnsi="宋体"/>
          <w:color w:val="000000"/>
          <w:sz w:val="24"/>
          <w:szCs w:val="24"/>
        </w:rPr>
      </w:pPr>
      <w:r>
        <w:rPr>
          <w:rFonts w:ascii="宋体" w:hAnsi="宋体"/>
          <w:color w:val="000000"/>
          <w:sz w:val="24"/>
          <w:szCs w:val="24"/>
        </w:rPr>
        <w:t>根据公司非财务报告内部控制重大缺陷认定情况，于内部控制评价报告基准日，公司未发现非财务报告内部控制重大缺陷。</w:t>
      </w:r>
    </w:p>
    <w:p w:rsidR="00BC0951" w:rsidRDefault="00BC0951">
      <w:pPr>
        <w:spacing w:line="500" w:lineRule="exact"/>
        <w:ind w:firstLineChars="200" w:firstLine="480"/>
        <w:rPr>
          <w:rFonts w:ascii="宋体" w:hAnsi="宋体"/>
          <w:color w:val="000000"/>
          <w:sz w:val="24"/>
          <w:szCs w:val="24"/>
        </w:rPr>
      </w:pPr>
      <w:r>
        <w:rPr>
          <w:rFonts w:ascii="宋体" w:hAnsi="宋体"/>
          <w:color w:val="000000"/>
          <w:sz w:val="24"/>
          <w:szCs w:val="24"/>
        </w:rPr>
        <w:t>自内部控制评价报告基准日至内部控制评价报告发出日之间未发生影响内部控制有效性评价结论的因素。</w:t>
      </w:r>
    </w:p>
    <w:p w:rsidR="00BC0951" w:rsidRDefault="00BC0951">
      <w:pPr>
        <w:numPr>
          <w:ilvl w:val="0"/>
          <w:numId w:val="1"/>
        </w:numPr>
        <w:spacing w:line="500" w:lineRule="exact"/>
        <w:ind w:firstLineChars="200" w:firstLine="482"/>
        <w:outlineLvl w:val="0"/>
        <w:rPr>
          <w:rFonts w:ascii="黑体" w:eastAsia="黑体" w:hAnsi="黑体" w:cs="黑体" w:hint="eastAsia"/>
          <w:b/>
          <w:bCs/>
          <w:color w:val="000000"/>
          <w:sz w:val="24"/>
          <w:szCs w:val="24"/>
        </w:rPr>
      </w:pPr>
      <w:r>
        <w:rPr>
          <w:rFonts w:ascii="黑体" w:eastAsia="黑体" w:hAnsi="黑体" w:cs="黑体" w:hint="eastAsia"/>
          <w:b/>
          <w:bCs/>
          <w:color w:val="000000"/>
          <w:sz w:val="24"/>
          <w:szCs w:val="24"/>
        </w:rPr>
        <w:lastRenderedPageBreak/>
        <w:t>内部控制评价工作情况</w:t>
      </w:r>
    </w:p>
    <w:p w:rsidR="00BC0951" w:rsidRDefault="00BC0951">
      <w:pPr>
        <w:spacing w:line="500" w:lineRule="exact"/>
        <w:ind w:firstLineChars="200" w:firstLine="480"/>
        <w:outlineLvl w:val="1"/>
        <w:rPr>
          <w:rFonts w:ascii="宋体" w:hAnsi="宋体"/>
          <w:color w:val="000000"/>
          <w:sz w:val="24"/>
          <w:szCs w:val="24"/>
        </w:rPr>
      </w:pPr>
      <w:r>
        <w:rPr>
          <w:rFonts w:ascii="宋体" w:hAnsi="宋体" w:hint="eastAsia"/>
          <w:color w:val="000000"/>
          <w:sz w:val="24"/>
          <w:szCs w:val="24"/>
        </w:rPr>
        <w:t>（一）</w:t>
      </w:r>
      <w:r>
        <w:rPr>
          <w:rFonts w:ascii="宋体" w:hAnsi="宋体"/>
          <w:color w:val="000000"/>
          <w:sz w:val="24"/>
          <w:szCs w:val="24"/>
        </w:rPr>
        <w:t>内部控制评价范围</w:t>
      </w:r>
    </w:p>
    <w:p w:rsidR="00BC0951" w:rsidRDefault="00BC0951">
      <w:pPr>
        <w:spacing w:line="500" w:lineRule="exact"/>
        <w:ind w:firstLineChars="200" w:firstLine="480"/>
        <w:rPr>
          <w:rFonts w:ascii="宋体" w:hAnsi="宋体"/>
          <w:color w:val="000000"/>
          <w:sz w:val="24"/>
          <w:szCs w:val="24"/>
        </w:rPr>
      </w:pPr>
      <w:r>
        <w:rPr>
          <w:rFonts w:ascii="宋体" w:hAnsi="宋体"/>
          <w:color w:val="000000"/>
          <w:sz w:val="24"/>
          <w:szCs w:val="24"/>
        </w:rPr>
        <w:t>公司按照风险导向原则确定纳入评价范围的主要单位、业务和事项以及高风险领域。纳入评价范围的主要单位包括公司</w:t>
      </w:r>
      <w:r>
        <w:rPr>
          <w:rFonts w:ascii="宋体" w:hAnsi="宋体" w:hint="eastAsia"/>
          <w:color w:val="000000"/>
          <w:sz w:val="24"/>
          <w:szCs w:val="24"/>
        </w:rPr>
        <w:t>、</w:t>
      </w:r>
      <w:r>
        <w:rPr>
          <w:rFonts w:ascii="宋体" w:hAnsi="宋体"/>
          <w:color w:val="000000"/>
          <w:sz w:val="24"/>
          <w:szCs w:val="24"/>
        </w:rPr>
        <w:t>全资子公司、</w:t>
      </w:r>
      <w:r>
        <w:rPr>
          <w:rFonts w:ascii="宋体" w:hAnsi="宋体" w:hint="eastAsia"/>
          <w:color w:val="000000"/>
          <w:sz w:val="24"/>
          <w:szCs w:val="24"/>
        </w:rPr>
        <w:t>以及</w:t>
      </w:r>
      <w:r>
        <w:rPr>
          <w:rFonts w:ascii="宋体" w:hAnsi="宋体"/>
          <w:color w:val="000000"/>
          <w:sz w:val="24"/>
          <w:szCs w:val="24"/>
        </w:rPr>
        <w:t>控股公司。纳入评价范围单位资产总额占公司合并财务报表资产总额的100%，营业收入合计占公司合并财务报表营业收入总额的100%。</w:t>
      </w:r>
    </w:p>
    <w:p w:rsidR="00BC0951" w:rsidRDefault="00BC0951">
      <w:pPr>
        <w:spacing w:line="500" w:lineRule="exact"/>
        <w:ind w:firstLineChars="200" w:firstLine="480"/>
        <w:rPr>
          <w:rFonts w:ascii="宋体" w:hAnsi="宋体"/>
          <w:color w:val="000000"/>
          <w:sz w:val="24"/>
          <w:szCs w:val="24"/>
        </w:rPr>
      </w:pPr>
      <w:r>
        <w:rPr>
          <w:rFonts w:ascii="宋体" w:hAnsi="宋体"/>
          <w:color w:val="000000"/>
          <w:sz w:val="24"/>
          <w:szCs w:val="24"/>
        </w:rPr>
        <w:t>纳入评价范围的主要业务和事项包括</w:t>
      </w:r>
      <w:r>
        <w:rPr>
          <w:rFonts w:ascii="宋体" w:hAnsi="宋体" w:hint="eastAsia"/>
          <w:color w:val="000000"/>
          <w:sz w:val="24"/>
          <w:szCs w:val="24"/>
        </w:rPr>
        <w:t>：治理结构、组织架构、发展战略、人力资源、企业文化、社会责任、销售业务、采购业务、资产管理、资金活动、对外投资、研究与开发、财务报告、信息系统、内部监督等。</w:t>
      </w:r>
    </w:p>
    <w:p w:rsidR="00BC0951" w:rsidRDefault="00BC0951">
      <w:pPr>
        <w:adjustRightInd w:val="0"/>
        <w:snapToGrid w:val="0"/>
        <w:spacing w:line="500" w:lineRule="exact"/>
        <w:ind w:firstLineChars="200" w:firstLine="482"/>
        <w:outlineLvl w:val="2"/>
        <w:rPr>
          <w:rFonts w:ascii="宋体" w:hAnsi="宋体" w:hint="eastAsia"/>
          <w:b/>
          <w:bCs/>
          <w:color w:val="000000"/>
          <w:sz w:val="24"/>
          <w:szCs w:val="24"/>
        </w:rPr>
      </w:pPr>
      <w:r>
        <w:rPr>
          <w:rFonts w:ascii="宋体" w:hAnsi="宋体" w:hint="eastAsia"/>
          <w:b/>
          <w:bCs/>
          <w:color w:val="000000"/>
          <w:sz w:val="24"/>
          <w:szCs w:val="24"/>
        </w:rPr>
        <w:t>1、治理结构及</w:t>
      </w:r>
      <w:r>
        <w:rPr>
          <w:rFonts w:ascii="宋体" w:hAnsi="宋体"/>
          <w:b/>
          <w:bCs/>
          <w:color w:val="000000"/>
          <w:sz w:val="24"/>
          <w:szCs w:val="24"/>
        </w:rPr>
        <w:t>组织架构</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公司严格按照《中华人民共和国公司法》等法律法规、规范性文件和《公司章程》的规定，持续完善公司法人治理结构，形成以股东会、董事会及管理层为主体结构的决策与经营管理体系。</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股东会享有法律法规和《公司章程》规定的合法权利，依法行使公司经营方针、筹资、投资、利润分配等重大事项的决定权。董事会对股东会负责，依法行使企业的经营决策权，董事会下设审计委员会、提名委员会、薪酬与考核委员会、战略委员会共四个</w:t>
      </w:r>
      <w:r>
        <w:rPr>
          <w:rFonts w:ascii="宋体" w:hAnsi="宋体" w:hint="eastAsia"/>
          <w:color w:val="000000"/>
          <w:sz w:val="24"/>
          <w:szCs w:val="24"/>
        </w:rPr>
        <w:t>专门</w:t>
      </w:r>
      <w:r>
        <w:rPr>
          <w:rFonts w:ascii="宋体" w:hAnsi="宋体"/>
          <w:color w:val="000000"/>
          <w:sz w:val="24"/>
          <w:szCs w:val="24"/>
        </w:rPr>
        <w:t>委员会，提高董事会运作效率，各委员会的职责权限、任职资格、议事规则和工作程序明确。董事会八名董事中，包含三名独立董事，在关联交易、对外担保、重大投资及其他重大方面对公司内部控制进行独立监督，确保内部控制的有效实施。管理层在公司董事会的领导下，全面负责公司日常经营管理工作。</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为有效支撑公司战略实施，公司在现有分布型组织结构基础上，持续推动组织架构优化，强化各中心部门提质增效，优化业务价值链，促进资源整合，提升公司运营高效管理。</w:t>
      </w:r>
    </w:p>
    <w:p w:rsidR="00BC0951" w:rsidRDefault="00BC0951">
      <w:pPr>
        <w:numPr>
          <w:ilvl w:val="0"/>
          <w:numId w:val="2"/>
        </w:numPr>
        <w:adjustRightInd w:val="0"/>
        <w:snapToGrid w:val="0"/>
        <w:spacing w:line="500" w:lineRule="exact"/>
        <w:ind w:firstLineChars="200" w:firstLine="482"/>
        <w:outlineLvl w:val="2"/>
        <w:rPr>
          <w:rFonts w:ascii="宋体" w:hAnsi="宋体"/>
          <w:b/>
          <w:bCs/>
          <w:color w:val="000000"/>
          <w:sz w:val="24"/>
          <w:szCs w:val="24"/>
        </w:rPr>
      </w:pPr>
      <w:r>
        <w:rPr>
          <w:rFonts w:ascii="宋体" w:hAnsi="宋体"/>
          <w:b/>
          <w:bCs/>
          <w:color w:val="000000"/>
          <w:sz w:val="24"/>
          <w:szCs w:val="24"/>
        </w:rPr>
        <w:t>发展战略</w:t>
      </w:r>
    </w:p>
    <w:p w:rsidR="00BC0951" w:rsidRDefault="00BC0951">
      <w:pPr>
        <w:adjustRightInd w:val="0"/>
        <w:snapToGrid w:val="0"/>
        <w:spacing w:line="500" w:lineRule="exact"/>
        <w:ind w:firstLine="420"/>
        <w:rPr>
          <w:rFonts w:ascii="宋体" w:hAnsi="宋体"/>
          <w:color w:val="000000"/>
          <w:sz w:val="24"/>
          <w:szCs w:val="24"/>
        </w:rPr>
      </w:pPr>
      <w:r>
        <w:rPr>
          <w:rFonts w:ascii="宋体" w:hAnsi="宋体"/>
          <w:color w:val="000000"/>
          <w:sz w:val="24"/>
          <w:szCs w:val="24"/>
        </w:rPr>
        <w:t>公司基于当前宏观经济形势与行业发展趋势，对未来业务发展做出的合理预测与部署。</w:t>
      </w:r>
      <w:r>
        <w:rPr>
          <w:rFonts w:ascii="宋体" w:hAnsi="宋体" w:hint="eastAsia"/>
          <w:color w:val="000000"/>
          <w:sz w:val="24"/>
          <w:szCs w:val="24"/>
        </w:rPr>
        <w:t>2025年，</w:t>
      </w:r>
      <w:r>
        <w:rPr>
          <w:rFonts w:ascii="宋体" w:hAnsi="宋体"/>
          <w:color w:val="000000"/>
          <w:sz w:val="24"/>
          <w:szCs w:val="24"/>
        </w:rPr>
        <w:t>公司</w:t>
      </w:r>
      <w:r>
        <w:rPr>
          <w:rFonts w:ascii="宋体" w:hAnsi="宋体" w:hint="eastAsia"/>
          <w:color w:val="000000"/>
          <w:sz w:val="24"/>
          <w:szCs w:val="24"/>
        </w:rPr>
        <w:t>围绕“转型、提质”的战略规划，积极拓展人工智能、算力服务、数据要素等新业务，打造新业态。同时，在智慧轨道、智慧电力、企业数字化等新市场拓展方面，也取得良好成效，培育新的发展动能。</w:t>
      </w:r>
    </w:p>
    <w:p w:rsidR="00BC0951" w:rsidRDefault="00BC0951">
      <w:pPr>
        <w:adjustRightInd w:val="0"/>
        <w:snapToGrid w:val="0"/>
        <w:spacing w:line="500" w:lineRule="exact"/>
        <w:ind w:firstLine="420"/>
        <w:rPr>
          <w:rFonts w:ascii="宋体" w:hAnsi="宋体"/>
          <w:color w:val="000000"/>
          <w:sz w:val="24"/>
          <w:szCs w:val="24"/>
        </w:rPr>
      </w:pPr>
      <w:r>
        <w:rPr>
          <w:rFonts w:ascii="宋体" w:hAnsi="宋体"/>
          <w:color w:val="000000"/>
          <w:sz w:val="24"/>
          <w:szCs w:val="24"/>
        </w:rPr>
        <w:lastRenderedPageBreak/>
        <w:t>公司每年制定发展规划与关键任务目标，并由各部门逐层分解，形成具体落地措施及关键考核指标。人力资源中心负责监督跟进各部门关键考核指标推进情况，确保年度经营目标与计划的有效达成。</w:t>
      </w:r>
    </w:p>
    <w:p w:rsidR="00BC0951" w:rsidRDefault="00BC0951">
      <w:pPr>
        <w:numPr>
          <w:ilvl w:val="0"/>
          <w:numId w:val="2"/>
        </w:numPr>
        <w:adjustRightInd w:val="0"/>
        <w:snapToGrid w:val="0"/>
        <w:spacing w:line="500" w:lineRule="exact"/>
        <w:ind w:firstLineChars="200" w:firstLine="482"/>
        <w:outlineLvl w:val="2"/>
        <w:rPr>
          <w:rFonts w:ascii="宋体" w:hAnsi="宋体" w:hint="eastAsia"/>
          <w:color w:val="000000"/>
          <w:sz w:val="24"/>
          <w:szCs w:val="24"/>
        </w:rPr>
      </w:pPr>
      <w:r>
        <w:rPr>
          <w:rFonts w:ascii="宋体" w:hAnsi="宋体"/>
          <w:b/>
          <w:bCs/>
          <w:color w:val="000000"/>
          <w:sz w:val="24"/>
          <w:szCs w:val="24"/>
        </w:rPr>
        <w:t>人力资源</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公司高度重视人力资源发展建设，根据公司发展战略制定一系列可持续发展的人力资源政策，建立并实施科学的人力资源聘任、培训、考核、晋升等各项管理机制。</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公司积极推动绩效考核体系，通过对发展战略进行战略解码，自上而下将其分解为具体的绩效目标，有力保障公司战略目标的实现。</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在培训方面，公司制定年度培训计划，依托专业数字化学习平台，针对各层次人才设计差异化培训项目并有序推动计划落实</w:t>
      </w:r>
      <w:r>
        <w:rPr>
          <w:rFonts w:ascii="宋体" w:hAnsi="宋体" w:hint="eastAsia"/>
          <w:color w:val="000000"/>
          <w:sz w:val="24"/>
          <w:szCs w:val="24"/>
        </w:rPr>
        <w:t>，</w:t>
      </w:r>
      <w:r>
        <w:rPr>
          <w:rFonts w:ascii="宋体" w:hAnsi="宋体"/>
          <w:color w:val="000000"/>
          <w:sz w:val="24"/>
          <w:szCs w:val="24"/>
        </w:rPr>
        <w:t>同时结合岗位需求制定专项能力提升方案，切实提升员工专业能力。</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此外，公司着力构建人才梯</w:t>
      </w:r>
      <w:r>
        <w:rPr>
          <w:rFonts w:ascii="宋体" w:hAnsi="宋体" w:hint="eastAsia"/>
          <w:color w:val="000000"/>
          <w:sz w:val="24"/>
          <w:szCs w:val="24"/>
        </w:rPr>
        <w:t>队</w:t>
      </w:r>
      <w:r>
        <w:rPr>
          <w:rFonts w:ascii="宋体" w:hAnsi="宋体"/>
          <w:color w:val="000000"/>
          <w:sz w:val="24"/>
          <w:szCs w:val="24"/>
        </w:rPr>
        <w:t>体系，强化对基层、中层及高层管理者的培养，持续提升管理团队整体素质，为公司战略实施与长远发展提供坚实的人才支撑。</w:t>
      </w:r>
    </w:p>
    <w:p w:rsidR="00BC0951" w:rsidRDefault="00BC0951">
      <w:pPr>
        <w:adjustRightInd w:val="0"/>
        <w:snapToGrid w:val="0"/>
        <w:spacing w:line="500" w:lineRule="exact"/>
        <w:ind w:firstLineChars="200" w:firstLine="482"/>
        <w:outlineLvl w:val="2"/>
        <w:rPr>
          <w:rFonts w:ascii="宋体" w:hAnsi="宋体" w:hint="eastAsia"/>
          <w:b/>
          <w:bCs/>
          <w:color w:val="000000"/>
          <w:sz w:val="24"/>
          <w:szCs w:val="24"/>
        </w:rPr>
      </w:pPr>
      <w:r>
        <w:rPr>
          <w:rFonts w:ascii="宋体" w:hAnsi="宋体" w:hint="eastAsia"/>
          <w:b/>
          <w:bCs/>
          <w:color w:val="000000"/>
          <w:sz w:val="24"/>
          <w:szCs w:val="24"/>
        </w:rPr>
        <w:t>4、</w:t>
      </w:r>
      <w:r>
        <w:rPr>
          <w:rFonts w:ascii="宋体" w:hAnsi="宋体"/>
          <w:b/>
          <w:bCs/>
          <w:color w:val="000000"/>
          <w:sz w:val="24"/>
          <w:szCs w:val="24"/>
        </w:rPr>
        <w:t>企业文化</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公司以“成为一个员工自豪、股东满意、客户推崇、社会尊重的企业”为愿景，肩负“用数字化推动社会发展”的使命。公司恪守“技术缔造价值，服务成就未来”的经营理念，践行“让每个客户都推荐我们”的服务理念，并秉承“以人为本，务实严谨，团队协作，创新发展，成就价值”的核心价值观，全面推动天亿马智慧战略的落地与实施。</w:t>
      </w:r>
    </w:p>
    <w:p w:rsidR="00BC0951" w:rsidRDefault="00BC0951">
      <w:pPr>
        <w:adjustRightInd w:val="0"/>
        <w:snapToGrid w:val="0"/>
        <w:spacing w:line="500" w:lineRule="exact"/>
        <w:ind w:firstLineChars="200" w:firstLine="482"/>
        <w:outlineLvl w:val="2"/>
        <w:rPr>
          <w:rFonts w:ascii="宋体" w:hAnsi="宋体" w:hint="eastAsia"/>
          <w:color w:val="000000"/>
          <w:sz w:val="24"/>
          <w:szCs w:val="24"/>
        </w:rPr>
      </w:pPr>
      <w:r>
        <w:rPr>
          <w:rFonts w:ascii="宋体" w:hAnsi="宋体" w:hint="eastAsia"/>
          <w:b/>
          <w:bCs/>
          <w:color w:val="000000"/>
          <w:sz w:val="24"/>
          <w:szCs w:val="24"/>
        </w:rPr>
        <w:t>5、</w:t>
      </w:r>
      <w:r>
        <w:rPr>
          <w:rFonts w:ascii="宋体" w:hAnsi="宋体"/>
          <w:b/>
          <w:bCs/>
          <w:color w:val="000000"/>
          <w:sz w:val="24"/>
          <w:szCs w:val="24"/>
        </w:rPr>
        <w:t>社会责任</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公司始终秉持企业与社会、环境协调发展的理念，在致力于提升经营业绩、保障股东权益的同时，积极承担社会责任，投身公益事业，实现可持续价值创造。本年度，公司积极响应并支持汕头市“百千万工程”公益活动，以实际行动回馈社会。</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公司通过IS09001、IS014001、IS045001等八大体系认证审核，持续完善体系流程标准化建设，推行多种持续改进活动以提升全员质量意识，提高产品质量水平，构筑企业品牌形象。这些举措有力支撑企业在质量管理、环境保护、职业健康安全、信息安全等方面持续有序稳定发展。</w:t>
      </w:r>
    </w:p>
    <w:p w:rsidR="00BC0951" w:rsidRDefault="00BC0951">
      <w:pPr>
        <w:adjustRightInd w:val="0"/>
        <w:snapToGrid w:val="0"/>
        <w:spacing w:line="500" w:lineRule="exact"/>
        <w:ind w:firstLineChars="200" w:firstLine="482"/>
        <w:outlineLvl w:val="2"/>
        <w:rPr>
          <w:rFonts w:ascii="宋体" w:hAnsi="宋体"/>
          <w:b/>
          <w:bCs/>
          <w:color w:val="000000"/>
          <w:sz w:val="24"/>
          <w:szCs w:val="24"/>
        </w:rPr>
      </w:pPr>
      <w:r>
        <w:rPr>
          <w:rFonts w:ascii="宋体" w:hAnsi="宋体" w:hint="eastAsia"/>
          <w:b/>
          <w:bCs/>
          <w:color w:val="000000"/>
          <w:sz w:val="24"/>
          <w:szCs w:val="24"/>
        </w:rPr>
        <w:lastRenderedPageBreak/>
        <w:t>6、</w:t>
      </w:r>
      <w:r>
        <w:rPr>
          <w:rFonts w:ascii="宋体" w:hAnsi="宋体"/>
          <w:b/>
          <w:bCs/>
          <w:color w:val="000000"/>
          <w:sz w:val="24"/>
          <w:szCs w:val="24"/>
        </w:rPr>
        <w:t>销售</w:t>
      </w:r>
      <w:r>
        <w:rPr>
          <w:rFonts w:ascii="宋体" w:hAnsi="宋体" w:hint="eastAsia"/>
          <w:b/>
          <w:bCs/>
          <w:color w:val="000000"/>
          <w:sz w:val="24"/>
          <w:szCs w:val="24"/>
        </w:rPr>
        <w:t>业务</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公司已制定一系列销售相关</w:t>
      </w:r>
      <w:r>
        <w:rPr>
          <w:rFonts w:ascii="宋体" w:hAnsi="宋体" w:hint="eastAsia"/>
          <w:color w:val="000000"/>
          <w:sz w:val="24"/>
          <w:szCs w:val="24"/>
        </w:rPr>
        <w:t>内控</w:t>
      </w:r>
      <w:r>
        <w:rPr>
          <w:rFonts w:ascii="宋体" w:hAnsi="宋体"/>
          <w:color w:val="000000"/>
          <w:sz w:val="24"/>
          <w:szCs w:val="24"/>
        </w:rPr>
        <w:t>制度，对销售相关的商机管理、投标管理、合同管理、收款管理以及售后管理等环节进行规范管理。</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在应收账款管理方面，公司持续强化管控机制。将销售回款纳入日常绩效考核体系，定期开展账龄分析并组织应收款项收款专项会议，及时落实催款措施，尤其重视大额应收账款的跟踪与收回，确保应收款坏账风险处于可控范围。</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公司建立健全售后反馈机制，积极回应客户意见与建议，持续提升客户满意度。</w:t>
      </w:r>
    </w:p>
    <w:p w:rsidR="00BC0951" w:rsidRDefault="00BC0951">
      <w:pPr>
        <w:adjustRightInd w:val="0"/>
        <w:snapToGrid w:val="0"/>
        <w:spacing w:line="500" w:lineRule="exact"/>
        <w:ind w:firstLineChars="200" w:firstLine="482"/>
        <w:outlineLvl w:val="2"/>
        <w:rPr>
          <w:rFonts w:ascii="宋体" w:hAnsi="宋体"/>
          <w:b/>
          <w:bCs/>
          <w:color w:val="000000"/>
          <w:sz w:val="24"/>
          <w:szCs w:val="24"/>
        </w:rPr>
      </w:pPr>
      <w:r>
        <w:rPr>
          <w:rFonts w:ascii="宋体" w:hAnsi="宋体" w:hint="eastAsia"/>
          <w:b/>
          <w:bCs/>
          <w:color w:val="000000"/>
          <w:sz w:val="24"/>
          <w:szCs w:val="24"/>
        </w:rPr>
        <w:t>7、</w:t>
      </w:r>
      <w:r>
        <w:rPr>
          <w:rFonts w:ascii="宋体" w:hAnsi="宋体"/>
          <w:b/>
          <w:bCs/>
          <w:color w:val="000000"/>
          <w:sz w:val="24"/>
          <w:szCs w:val="24"/>
        </w:rPr>
        <w:t>采购</w:t>
      </w:r>
      <w:r>
        <w:rPr>
          <w:rFonts w:ascii="宋体" w:hAnsi="宋体" w:hint="eastAsia"/>
          <w:b/>
          <w:bCs/>
          <w:color w:val="000000"/>
          <w:sz w:val="24"/>
          <w:szCs w:val="24"/>
        </w:rPr>
        <w:t>业务</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公司制定《采购管理制度》《供应商管理办法》等一系列规范性文件，明确采购请购、供应商管理、选择和定价、采购合同、验收与付款等各环节的操作规范。</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公司采用项目驱动的采购模式，以项目需求为核心，持续优化采购布局，提高采购针对性和效率。</w:t>
      </w:r>
    </w:p>
    <w:p w:rsidR="00BC0951" w:rsidRDefault="00BC0951">
      <w:pPr>
        <w:adjustRightInd w:val="0"/>
        <w:snapToGrid w:val="0"/>
        <w:spacing w:line="500" w:lineRule="exact"/>
        <w:ind w:firstLineChars="200" w:firstLine="480"/>
        <w:rPr>
          <w:rFonts w:ascii="宋体" w:hAnsi="宋体"/>
          <w:color w:val="000000"/>
          <w:sz w:val="24"/>
          <w:szCs w:val="24"/>
        </w:rPr>
      </w:pPr>
      <w:r>
        <w:rPr>
          <w:rFonts w:ascii="宋体" w:hAnsi="宋体"/>
          <w:color w:val="000000"/>
          <w:sz w:val="24"/>
          <w:szCs w:val="24"/>
        </w:rPr>
        <w:t>在供应商管理方面，公司持续强化供应商管理，执行供应商准入评审机制，扎实开展供应商年度评审，提高供应商整体质量，为构建高质量、稳定可靠的战略供应链提供坚实保障。</w:t>
      </w:r>
    </w:p>
    <w:p w:rsidR="00BC0951" w:rsidRDefault="00BC0951">
      <w:pPr>
        <w:adjustRightInd w:val="0"/>
        <w:snapToGrid w:val="0"/>
        <w:spacing w:line="500" w:lineRule="exact"/>
        <w:ind w:firstLineChars="200" w:firstLine="482"/>
        <w:outlineLvl w:val="2"/>
        <w:rPr>
          <w:rFonts w:ascii="宋体" w:hAnsi="宋体"/>
          <w:b/>
          <w:bCs/>
          <w:color w:val="000000"/>
          <w:sz w:val="24"/>
          <w:szCs w:val="24"/>
        </w:rPr>
      </w:pPr>
      <w:r>
        <w:rPr>
          <w:rFonts w:ascii="宋体" w:hAnsi="宋体" w:hint="eastAsia"/>
          <w:b/>
          <w:bCs/>
          <w:color w:val="000000"/>
          <w:sz w:val="24"/>
          <w:szCs w:val="24"/>
        </w:rPr>
        <w:t>8、资产管理</w:t>
      </w:r>
    </w:p>
    <w:p w:rsidR="00BC0951" w:rsidRDefault="00BC0951">
      <w:pPr>
        <w:adjustRightInd w:val="0"/>
        <w:snapToGrid w:val="0"/>
        <w:spacing w:line="500" w:lineRule="exact"/>
        <w:ind w:firstLineChars="200" w:firstLine="480"/>
        <w:jc w:val="left"/>
        <w:rPr>
          <w:rFonts w:ascii="宋体" w:hAnsi="宋体" w:hint="eastAsia"/>
          <w:color w:val="000000"/>
          <w:sz w:val="24"/>
          <w:szCs w:val="24"/>
        </w:rPr>
      </w:pPr>
      <w:r>
        <w:rPr>
          <w:rFonts w:ascii="宋体" w:hAnsi="宋体" w:hint="eastAsia"/>
          <w:color w:val="000000"/>
          <w:sz w:val="24"/>
          <w:szCs w:val="24"/>
        </w:rPr>
        <w:t>为规范资产管理，防范资产流失及减值风险，公司制定并实施《固定资产管理制度》《存货管理制度》等一系列内部控制制度，建立健全资产管理体系。</w:t>
      </w:r>
    </w:p>
    <w:p w:rsidR="00BC0951" w:rsidRDefault="00BC0951">
      <w:pPr>
        <w:adjustRightInd w:val="0"/>
        <w:snapToGrid w:val="0"/>
        <w:spacing w:line="500" w:lineRule="exact"/>
        <w:ind w:firstLineChars="200" w:firstLine="480"/>
        <w:jc w:val="left"/>
        <w:rPr>
          <w:rFonts w:ascii="宋体" w:hAnsi="宋体" w:hint="eastAsia"/>
          <w:color w:val="000000"/>
          <w:sz w:val="24"/>
          <w:szCs w:val="24"/>
        </w:rPr>
      </w:pPr>
      <w:r>
        <w:rPr>
          <w:rFonts w:ascii="宋体" w:hAnsi="宋体" w:hint="eastAsia"/>
          <w:color w:val="000000"/>
          <w:sz w:val="24"/>
          <w:szCs w:val="24"/>
        </w:rPr>
        <w:t>在固定资产管理方面，公司严格执行涵盖申请审批、采购验收、登记领用、维修保养及报废处置的全流程管控，确保各环节责任清晰、管理到位。在存货管理方面，公司重点对验收、入库、保管及领用等关键环节实施有效控制，确保相关制度得以有效落实。</w:t>
      </w:r>
    </w:p>
    <w:p w:rsidR="00BC0951" w:rsidRDefault="00BC0951">
      <w:pPr>
        <w:adjustRightInd w:val="0"/>
        <w:snapToGrid w:val="0"/>
        <w:spacing w:line="500" w:lineRule="exact"/>
        <w:ind w:firstLineChars="200" w:firstLine="480"/>
        <w:jc w:val="left"/>
        <w:rPr>
          <w:rFonts w:ascii="宋体" w:hAnsi="宋体"/>
          <w:color w:val="000000"/>
          <w:sz w:val="24"/>
          <w:szCs w:val="24"/>
        </w:rPr>
      </w:pPr>
      <w:r>
        <w:rPr>
          <w:rFonts w:ascii="宋体" w:hAnsi="宋体" w:hint="eastAsia"/>
          <w:color w:val="000000"/>
          <w:sz w:val="24"/>
          <w:szCs w:val="24"/>
        </w:rPr>
        <w:t>公司通过定期与不定期相结合的方式，组织各类资产盘点，确保账实相符，持续提升资产运营效率与管理水平。</w:t>
      </w:r>
    </w:p>
    <w:p w:rsidR="00BC0951" w:rsidRDefault="00BC0951">
      <w:pPr>
        <w:adjustRightInd w:val="0"/>
        <w:snapToGrid w:val="0"/>
        <w:spacing w:line="500" w:lineRule="exact"/>
        <w:ind w:firstLineChars="200" w:firstLine="482"/>
        <w:jc w:val="left"/>
        <w:outlineLvl w:val="2"/>
        <w:rPr>
          <w:rFonts w:ascii="宋体" w:hAnsi="宋体" w:hint="eastAsia"/>
          <w:b/>
          <w:bCs/>
          <w:color w:val="000000"/>
          <w:sz w:val="24"/>
          <w:szCs w:val="24"/>
        </w:rPr>
      </w:pPr>
      <w:r>
        <w:rPr>
          <w:rFonts w:ascii="宋体" w:hAnsi="宋体" w:hint="eastAsia"/>
          <w:b/>
          <w:bCs/>
          <w:color w:val="000000"/>
          <w:sz w:val="24"/>
          <w:szCs w:val="24"/>
        </w:rPr>
        <w:t>9、资金活动</w:t>
      </w:r>
    </w:p>
    <w:p w:rsidR="00BC0951" w:rsidRDefault="00BC0951">
      <w:pPr>
        <w:adjustRightInd w:val="0"/>
        <w:snapToGrid w:val="0"/>
        <w:spacing w:line="500" w:lineRule="exact"/>
        <w:ind w:firstLineChars="200" w:firstLine="480"/>
        <w:jc w:val="left"/>
        <w:rPr>
          <w:rFonts w:ascii="宋体" w:hAnsi="宋体" w:hint="eastAsia"/>
          <w:color w:val="000000"/>
          <w:sz w:val="24"/>
          <w:szCs w:val="24"/>
        </w:rPr>
      </w:pPr>
      <w:r>
        <w:rPr>
          <w:rFonts w:ascii="宋体" w:hAnsi="宋体" w:hint="eastAsia"/>
          <w:color w:val="000000"/>
          <w:sz w:val="24"/>
          <w:szCs w:val="24"/>
        </w:rPr>
        <w:t>公司对货币资金的收支与保管实行严格的授权批准程序，通过推行费用预算管理与资金月度计划管理双线协同，有效优化资源配置，为公司实现高质量发展奠定坚实的财务基础。以全面预算为指导，依据《费用报销管理制度》，持续规范费用</w:t>
      </w:r>
      <w:r>
        <w:rPr>
          <w:rFonts w:ascii="宋体" w:hAnsi="宋体" w:hint="eastAsia"/>
          <w:color w:val="000000"/>
          <w:sz w:val="24"/>
          <w:szCs w:val="24"/>
        </w:rPr>
        <w:lastRenderedPageBreak/>
        <w:t>报销标准与流程，确保各项资金支付均履行恰当的审批程序，夯实成本控制，保障财务支出的合规性与合理性。</w:t>
      </w:r>
    </w:p>
    <w:p w:rsidR="00BC0951" w:rsidRDefault="00BC0951">
      <w:pPr>
        <w:adjustRightInd w:val="0"/>
        <w:snapToGrid w:val="0"/>
        <w:spacing w:line="500" w:lineRule="exact"/>
        <w:ind w:firstLineChars="200" w:firstLine="480"/>
        <w:jc w:val="left"/>
        <w:rPr>
          <w:rFonts w:ascii="宋体" w:hAnsi="宋体" w:hint="eastAsia"/>
          <w:color w:val="000000"/>
          <w:sz w:val="24"/>
          <w:szCs w:val="24"/>
        </w:rPr>
      </w:pPr>
      <w:r>
        <w:rPr>
          <w:rFonts w:ascii="宋体" w:hAnsi="宋体" w:hint="eastAsia"/>
          <w:color w:val="000000"/>
          <w:sz w:val="24"/>
          <w:szCs w:val="24"/>
        </w:rPr>
        <w:t>在募集资金管理方面，公司严格遵守相关监管规定及《募集资金使用管理办法》，对募集资金的存放、使用与监督等各环节均作出明确规定并有效执行，确保募集资金管理的合法合规。</w:t>
      </w:r>
    </w:p>
    <w:p w:rsidR="00BC0951" w:rsidRDefault="00BC0951">
      <w:pPr>
        <w:adjustRightInd w:val="0"/>
        <w:snapToGrid w:val="0"/>
        <w:spacing w:line="500" w:lineRule="exact"/>
        <w:ind w:firstLineChars="200" w:firstLine="482"/>
        <w:jc w:val="left"/>
        <w:outlineLvl w:val="2"/>
        <w:rPr>
          <w:rFonts w:ascii="宋体" w:hAnsi="宋体" w:hint="eastAsia"/>
          <w:b/>
          <w:bCs/>
          <w:color w:val="000000"/>
          <w:sz w:val="24"/>
          <w:szCs w:val="24"/>
        </w:rPr>
      </w:pPr>
      <w:r>
        <w:rPr>
          <w:rFonts w:ascii="宋体" w:hAnsi="宋体" w:hint="eastAsia"/>
          <w:b/>
          <w:bCs/>
          <w:color w:val="000000"/>
          <w:sz w:val="24"/>
          <w:szCs w:val="24"/>
        </w:rPr>
        <w:t>10、对外投资</w:t>
      </w:r>
    </w:p>
    <w:p w:rsidR="00BC0951" w:rsidRDefault="00BC0951">
      <w:pPr>
        <w:adjustRightInd w:val="0"/>
        <w:snapToGrid w:val="0"/>
        <w:spacing w:line="500" w:lineRule="exact"/>
        <w:ind w:firstLineChars="200" w:firstLine="480"/>
        <w:jc w:val="left"/>
        <w:rPr>
          <w:rFonts w:ascii="宋体" w:hAnsi="宋体"/>
          <w:color w:val="000000"/>
          <w:sz w:val="24"/>
          <w:szCs w:val="24"/>
        </w:rPr>
      </w:pPr>
      <w:r>
        <w:rPr>
          <w:rFonts w:ascii="宋体" w:hAnsi="宋体" w:hint="eastAsia"/>
          <w:color w:val="000000"/>
          <w:sz w:val="24"/>
          <w:szCs w:val="24"/>
        </w:rPr>
        <w:t>公司对外投资严格遵循“符合国家产业政策、符合公司发展战略”的“双符合”原则。为规范对外投资事项，公司制定《对外投资管理制度》，明确对外投资的原则、程序与权限。公司设立战略委员会为公司董事会专门议事机构，负责统筹、协调和组织对外投资项目的分析和研究，为决策提供建议。所有重大对外投资事项均严格履行董事会或股东会的审议决策程序，确保授权清晰、决策科学。</w:t>
      </w:r>
    </w:p>
    <w:p w:rsidR="00BC0951" w:rsidRDefault="00BC0951">
      <w:pPr>
        <w:adjustRightInd w:val="0"/>
        <w:snapToGrid w:val="0"/>
        <w:spacing w:line="500" w:lineRule="exact"/>
        <w:ind w:firstLineChars="200" w:firstLine="482"/>
        <w:jc w:val="left"/>
        <w:outlineLvl w:val="2"/>
        <w:rPr>
          <w:rFonts w:ascii="宋体" w:hAnsi="宋体"/>
          <w:color w:val="000000"/>
          <w:sz w:val="24"/>
          <w:szCs w:val="24"/>
        </w:rPr>
      </w:pPr>
      <w:r>
        <w:rPr>
          <w:rFonts w:ascii="宋体" w:hAnsi="宋体" w:hint="eastAsia"/>
          <w:b/>
          <w:bCs/>
          <w:color w:val="000000"/>
          <w:sz w:val="24"/>
          <w:szCs w:val="24"/>
        </w:rPr>
        <w:t>11、</w:t>
      </w:r>
      <w:r>
        <w:rPr>
          <w:rFonts w:ascii="宋体" w:hAnsi="宋体"/>
          <w:b/>
          <w:bCs/>
          <w:color w:val="000000"/>
          <w:sz w:val="24"/>
          <w:szCs w:val="24"/>
        </w:rPr>
        <w:t>研究与开发</w:t>
      </w:r>
    </w:p>
    <w:p w:rsidR="00BC0951" w:rsidRDefault="00BC0951">
      <w:pPr>
        <w:adjustRightInd w:val="0"/>
        <w:snapToGrid w:val="0"/>
        <w:spacing w:line="500" w:lineRule="exact"/>
        <w:ind w:firstLineChars="200" w:firstLine="480"/>
        <w:jc w:val="left"/>
        <w:rPr>
          <w:rFonts w:ascii="宋体" w:hAnsi="宋体" w:hint="eastAsia"/>
          <w:color w:val="000000"/>
          <w:sz w:val="24"/>
          <w:szCs w:val="24"/>
        </w:rPr>
      </w:pPr>
      <w:r>
        <w:rPr>
          <w:rFonts w:ascii="宋体" w:hAnsi="宋体" w:hint="eastAsia"/>
          <w:color w:val="000000"/>
          <w:sz w:val="24"/>
          <w:szCs w:val="24"/>
        </w:rPr>
        <w:t>公司高度重视创新研发，积极整合资源，持续引入并应用新技术，优化研发管理体系，涵盖计划、立项、实施、结项、验收、成果开发与保护、评估与改进等关键环节，实现全过程闭环管理。</w:t>
      </w:r>
    </w:p>
    <w:p w:rsidR="00BC0951" w:rsidRDefault="00BC0951">
      <w:pPr>
        <w:adjustRightInd w:val="0"/>
        <w:snapToGrid w:val="0"/>
        <w:spacing w:line="500" w:lineRule="exact"/>
        <w:ind w:firstLineChars="200" w:firstLine="480"/>
        <w:jc w:val="left"/>
        <w:rPr>
          <w:rFonts w:ascii="宋体" w:hAnsi="宋体"/>
          <w:color w:val="000000"/>
          <w:sz w:val="24"/>
          <w:szCs w:val="24"/>
        </w:rPr>
      </w:pPr>
      <w:r>
        <w:rPr>
          <w:rFonts w:ascii="宋体" w:hAnsi="宋体" w:hint="eastAsia"/>
          <w:color w:val="000000"/>
          <w:sz w:val="24"/>
          <w:szCs w:val="24"/>
        </w:rPr>
        <w:t>为规范研发活动、强化过程管控，公司制定《研发管理制度》等一系列制度，强化研发全过程闭环管理与规范研发行为，形成持续创新机制，提升公司的核心竞争力。</w:t>
      </w:r>
    </w:p>
    <w:p w:rsidR="00BC0951" w:rsidRDefault="00BC0951">
      <w:pPr>
        <w:adjustRightInd w:val="0"/>
        <w:snapToGrid w:val="0"/>
        <w:spacing w:line="500" w:lineRule="exact"/>
        <w:ind w:firstLineChars="200" w:firstLine="482"/>
        <w:jc w:val="left"/>
        <w:outlineLvl w:val="2"/>
        <w:rPr>
          <w:rFonts w:ascii="宋体" w:hAnsi="宋体" w:hint="eastAsia"/>
          <w:b/>
          <w:bCs/>
          <w:color w:val="000000"/>
          <w:sz w:val="24"/>
          <w:szCs w:val="24"/>
        </w:rPr>
      </w:pPr>
      <w:r>
        <w:rPr>
          <w:rFonts w:ascii="宋体" w:hAnsi="宋体" w:hint="eastAsia"/>
          <w:b/>
          <w:bCs/>
          <w:color w:val="000000"/>
          <w:sz w:val="24"/>
          <w:szCs w:val="24"/>
        </w:rPr>
        <w:t>12、</w:t>
      </w:r>
      <w:r>
        <w:rPr>
          <w:rFonts w:ascii="宋体" w:hAnsi="宋体"/>
          <w:b/>
          <w:bCs/>
          <w:color w:val="000000"/>
          <w:sz w:val="24"/>
          <w:szCs w:val="24"/>
        </w:rPr>
        <w:t>财务报告</w:t>
      </w:r>
    </w:p>
    <w:p w:rsidR="00BC0951" w:rsidRDefault="00BC0951">
      <w:pPr>
        <w:adjustRightInd w:val="0"/>
        <w:snapToGrid w:val="0"/>
        <w:spacing w:line="500" w:lineRule="exact"/>
        <w:ind w:firstLineChars="200" w:firstLine="480"/>
        <w:jc w:val="left"/>
        <w:rPr>
          <w:rFonts w:ascii="宋体" w:hAnsi="宋体"/>
          <w:color w:val="000000"/>
          <w:sz w:val="24"/>
          <w:szCs w:val="24"/>
        </w:rPr>
      </w:pPr>
      <w:r>
        <w:rPr>
          <w:rFonts w:ascii="宋体" w:hAnsi="宋体" w:hint="eastAsia"/>
          <w:color w:val="000000"/>
          <w:sz w:val="24"/>
          <w:szCs w:val="24"/>
        </w:rPr>
        <w:t>公司严格遵循《中华人民共和国会计法》《企业会计准则》等法律法规的要求，制定《会计核算制度》《财务会计报告管理办法》等内部管理制度，明确财务报告的编制与报送、重大财务事项的判断与处理等流程，并对会计凭证处理、财务核算系统操作以及财务报告编制进行系统性规范，确保会计核算与财务报告数据的真实性、完整性及准确性。</w:t>
      </w:r>
    </w:p>
    <w:p w:rsidR="00BC0951" w:rsidRDefault="00BC0951">
      <w:pPr>
        <w:pStyle w:val="HTML"/>
        <w:adjustRightInd w:val="0"/>
        <w:snapToGrid w:val="0"/>
        <w:spacing w:line="500" w:lineRule="exact"/>
        <w:ind w:firstLineChars="200" w:firstLine="482"/>
        <w:outlineLvl w:val="2"/>
        <w:rPr>
          <w:rFonts w:cs="Courier New"/>
          <w:b/>
          <w:bCs/>
          <w:color w:val="000000"/>
          <w:szCs w:val="24"/>
        </w:rPr>
      </w:pPr>
      <w:r>
        <w:rPr>
          <w:rFonts w:hint="eastAsia"/>
          <w:b/>
          <w:bCs/>
          <w:color w:val="000000"/>
          <w:szCs w:val="24"/>
        </w:rPr>
        <w:t>13</w:t>
      </w:r>
      <w:r>
        <w:rPr>
          <w:rFonts w:cs="Courier New" w:hint="eastAsia"/>
          <w:b/>
          <w:bCs/>
          <w:color w:val="000000"/>
          <w:szCs w:val="24"/>
        </w:rPr>
        <w:t>、信息系统</w:t>
      </w:r>
    </w:p>
    <w:p w:rsidR="00BC0951" w:rsidRDefault="00BC0951">
      <w:pPr>
        <w:adjustRightInd w:val="0"/>
        <w:snapToGrid w:val="0"/>
        <w:spacing w:line="500" w:lineRule="exact"/>
        <w:ind w:firstLineChars="200" w:firstLine="480"/>
        <w:jc w:val="left"/>
        <w:rPr>
          <w:rFonts w:ascii="宋体" w:hAnsi="宋体"/>
          <w:color w:val="000000"/>
          <w:sz w:val="24"/>
          <w:szCs w:val="24"/>
        </w:rPr>
      </w:pPr>
      <w:r>
        <w:rPr>
          <w:rFonts w:ascii="宋体" w:hAnsi="宋体" w:hint="eastAsia"/>
          <w:color w:val="000000"/>
          <w:sz w:val="24"/>
          <w:szCs w:val="24"/>
        </w:rPr>
        <w:t>在信息安全方面，公司通过ISO27001信息安全体系认证，全面强化信息安全防护，为持续稳健运营构筑坚实防线。公司积极推进信息系统集团化架构设计，保障</w:t>
      </w:r>
      <w:r>
        <w:rPr>
          <w:rFonts w:ascii="宋体" w:hAnsi="宋体" w:hint="eastAsia"/>
          <w:color w:val="000000"/>
          <w:sz w:val="24"/>
          <w:szCs w:val="24"/>
        </w:rPr>
        <w:lastRenderedPageBreak/>
        <w:t>业务高效运行；同时通过持续优化OA系统与ERP系统操作流程及表单功能，有效提升协同办公效率，进一步赋能智慧办公体系建设。</w:t>
      </w:r>
    </w:p>
    <w:p w:rsidR="00BC0951" w:rsidRDefault="00BC0951">
      <w:pPr>
        <w:pStyle w:val="HTML"/>
        <w:adjustRightInd w:val="0"/>
        <w:snapToGrid w:val="0"/>
        <w:spacing w:line="500" w:lineRule="exact"/>
        <w:ind w:firstLineChars="200" w:firstLine="482"/>
        <w:outlineLvl w:val="2"/>
        <w:rPr>
          <w:rFonts w:cs="Courier New"/>
          <w:b/>
          <w:color w:val="000000"/>
          <w:szCs w:val="24"/>
        </w:rPr>
      </w:pPr>
      <w:r>
        <w:rPr>
          <w:rFonts w:cs="Courier New" w:hint="eastAsia"/>
          <w:b/>
          <w:color w:val="000000"/>
          <w:szCs w:val="24"/>
        </w:rPr>
        <w:t>14、内部监督</w:t>
      </w:r>
    </w:p>
    <w:p w:rsidR="00BC0951" w:rsidRDefault="00BC0951">
      <w:pPr>
        <w:adjustRightInd w:val="0"/>
        <w:snapToGrid w:val="0"/>
        <w:spacing w:line="500" w:lineRule="exact"/>
        <w:ind w:firstLineChars="200" w:firstLine="480"/>
        <w:jc w:val="left"/>
        <w:rPr>
          <w:rFonts w:ascii="宋体" w:hAnsi="宋体"/>
          <w:color w:val="000000"/>
          <w:sz w:val="24"/>
          <w:szCs w:val="24"/>
        </w:rPr>
      </w:pPr>
      <w:r>
        <w:rPr>
          <w:rFonts w:ascii="宋体" w:hAnsi="宋体" w:hint="eastAsia"/>
          <w:color w:val="000000"/>
          <w:sz w:val="24"/>
          <w:szCs w:val="24"/>
        </w:rPr>
        <w:t>公司管理层接受董事会审计委员会的监督，设立审计部并配置专职审计人员，并向审计委员会汇报，严格遵守《内部审计工作制度》，对各项经营活动实施审计监督。审计部通过独立、客观的监督与评价活动，持续对内部控制设计及运行的有效性进行独立监督与优化,从而有效降低内控风险,切实提升管理效能及营运效率,为防范资产流失和资源浪费提供坚实保障。</w:t>
      </w:r>
    </w:p>
    <w:p w:rsidR="00BC0951" w:rsidRDefault="00BC0951">
      <w:pPr>
        <w:pStyle w:val="HTML"/>
        <w:spacing w:line="500" w:lineRule="exact"/>
        <w:ind w:firstLineChars="200" w:firstLine="482"/>
        <w:outlineLvl w:val="1"/>
        <w:rPr>
          <w:rFonts w:cs="Courier New"/>
          <w:b/>
          <w:color w:val="000000"/>
          <w:szCs w:val="24"/>
        </w:rPr>
      </w:pPr>
      <w:r>
        <w:rPr>
          <w:rFonts w:cs="Courier New" w:hint="eastAsia"/>
          <w:b/>
          <w:color w:val="000000"/>
          <w:szCs w:val="24"/>
        </w:rPr>
        <w:t>（二）</w:t>
      </w:r>
      <w:r>
        <w:rPr>
          <w:rFonts w:cs="Courier New"/>
          <w:b/>
          <w:color w:val="000000"/>
          <w:szCs w:val="24"/>
        </w:rPr>
        <w:t>内部控制评价工作依据及内部控制缺陷认定标准</w:t>
      </w:r>
    </w:p>
    <w:p w:rsidR="00BC0951" w:rsidRDefault="00BC0951">
      <w:pPr>
        <w:adjustRightInd w:val="0"/>
        <w:snapToGrid w:val="0"/>
        <w:spacing w:line="500" w:lineRule="exact"/>
        <w:ind w:firstLineChars="200" w:firstLine="480"/>
        <w:jc w:val="left"/>
        <w:rPr>
          <w:rFonts w:ascii="宋体" w:hAnsi="宋体"/>
          <w:color w:val="000000"/>
          <w:sz w:val="24"/>
          <w:szCs w:val="24"/>
        </w:rPr>
      </w:pPr>
      <w:r>
        <w:rPr>
          <w:rFonts w:ascii="宋体" w:hAnsi="宋体"/>
          <w:color w:val="000000"/>
          <w:sz w:val="24"/>
          <w:szCs w:val="24"/>
        </w:rPr>
        <w:t>公司</w:t>
      </w:r>
      <w:r>
        <w:rPr>
          <w:rFonts w:ascii="宋体" w:hAnsi="宋体" w:hint="eastAsia"/>
          <w:color w:val="000000"/>
          <w:sz w:val="24"/>
          <w:szCs w:val="24"/>
        </w:rPr>
        <w:t>依据</w:t>
      </w:r>
      <w:r>
        <w:rPr>
          <w:rFonts w:ascii="宋体" w:hAnsi="宋体"/>
          <w:color w:val="000000"/>
          <w:sz w:val="24"/>
          <w:szCs w:val="24"/>
        </w:rPr>
        <w:t>企业内部控制规范体系、相关法律法规及公司制度等组织开展内部控制评价工作。公司董事会根据企业内部控制规范体系对重大缺陷、重要缺陷和一般缺陷的认定要求，结合公司规模、行业特征、风险偏好和风险承受度等因素，</w:t>
      </w:r>
      <w:r>
        <w:rPr>
          <w:rFonts w:ascii="宋体" w:hAnsi="宋体" w:hint="eastAsia"/>
          <w:color w:val="000000"/>
          <w:sz w:val="24"/>
          <w:szCs w:val="24"/>
        </w:rPr>
        <w:t>区分财务报告内部控制和非财务报告内部控制，</w:t>
      </w:r>
      <w:r>
        <w:rPr>
          <w:rFonts w:ascii="宋体" w:hAnsi="宋体"/>
          <w:color w:val="000000"/>
          <w:sz w:val="24"/>
          <w:szCs w:val="24"/>
        </w:rPr>
        <w:t>研究确定了适用于本公司的内部控制缺陷具体认定标准，并与以前年度保持一致。公司确定的内部控制缺陷认定标准如下：</w:t>
      </w:r>
    </w:p>
    <w:p w:rsidR="00BC0951" w:rsidRDefault="00BC0951">
      <w:pPr>
        <w:adjustRightInd w:val="0"/>
        <w:snapToGrid w:val="0"/>
        <w:spacing w:line="500" w:lineRule="exact"/>
        <w:ind w:firstLineChars="200" w:firstLine="482"/>
        <w:jc w:val="left"/>
        <w:outlineLvl w:val="2"/>
        <w:rPr>
          <w:rFonts w:ascii="宋体" w:hAnsi="宋体"/>
          <w:b/>
          <w:bCs/>
          <w:color w:val="000000"/>
          <w:sz w:val="24"/>
          <w:szCs w:val="24"/>
        </w:rPr>
      </w:pPr>
      <w:r>
        <w:rPr>
          <w:rFonts w:ascii="宋体" w:hAnsi="宋体"/>
          <w:b/>
          <w:bCs/>
          <w:color w:val="000000"/>
          <w:sz w:val="24"/>
          <w:szCs w:val="24"/>
        </w:rPr>
        <w:t>1、财务报告内部控制缺陷认定标准</w:t>
      </w:r>
    </w:p>
    <w:p w:rsidR="00BC0951" w:rsidRDefault="00BC0951">
      <w:pPr>
        <w:adjustRightInd w:val="0"/>
        <w:snapToGrid w:val="0"/>
        <w:spacing w:line="500" w:lineRule="exact"/>
        <w:ind w:firstLineChars="200" w:firstLine="480"/>
        <w:jc w:val="left"/>
        <w:rPr>
          <w:rFonts w:ascii="宋体" w:hAnsi="宋体" w:cs="Courier New"/>
          <w:color w:val="000000"/>
          <w:kern w:val="0"/>
          <w:sz w:val="24"/>
          <w:szCs w:val="24"/>
        </w:rPr>
      </w:pPr>
      <w:r>
        <w:rPr>
          <w:rFonts w:ascii="宋体" w:hAnsi="宋体" w:hint="eastAsia"/>
          <w:color w:val="000000"/>
          <w:sz w:val="24"/>
          <w:szCs w:val="24"/>
        </w:rPr>
        <w:t>（</w:t>
      </w:r>
      <w:r>
        <w:rPr>
          <w:rFonts w:ascii="宋体" w:hAnsi="宋体"/>
          <w:color w:val="000000"/>
          <w:sz w:val="24"/>
          <w:szCs w:val="24"/>
        </w:rPr>
        <w:t>1）公司确定的财务报告内部控制缺陷评价的定量标准如下：</w:t>
      </w:r>
    </w:p>
    <w:tbl>
      <w:tblPr>
        <w:tblW w:w="5000" w:type="pct"/>
        <w:tblInd w:w="0" w:type="dxa"/>
        <w:tblLook w:val="0000" w:firstRow="0" w:lastRow="0" w:firstColumn="0" w:lastColumn="0" w:noHBand="0" w:noVBand="0"/>
      </w:tblPr>
      <w:tblGrid>
        <w:gridCol w:w="1665"/>
        <w:gridCol w:w="3621"/>
        <w:gridCol w:w="3619"/>
      </w:tblGrid>
      <w:tr w:rsidR="00BC0951">
        <w:trPr>
          <w:trHeight w:val="567"/>
          <w:tblHeader/>
        </w:trPr>
        <w:tc>
          <w:tcPr>
            <w:tcW w:w="935" w:type="pct"/>
            <w:tcBorders>
              <w:top w:val="single" w:sz="12" w:space="0" w:color="auto"/>
              <w:left w:val="single" w:sz="12" w:space="0" w:color="auto"/>
              <w:bottom w:val="single" w:sz="2" w:space="0" w:color="auto"/>
              <w:right w:val="single" w:sz="2" w:space="0" w:color="auto"/>
              <w:tl2br w:val="single" w:sz="4" w:space="0" w:color="auto"/>
            </w:tcBorders>
            <w:vAlign w:val="center"/>
          </w:tcPr>
          <w:p w:rsidR="00BC0951" w:rsidRDefault="00BC0951">
            <w:pPr>
              <w:adjustRightInd w:val="0"/>
              <w:snapToGrid w:val="0"/>
              <w:ind w:left="1054" w:hangingChars="500" w:hanging="1054"/>
              <w:jc w:val="left"/>
              <w:rPr>
                <w:rFonts w:ascii="宋体" w:hAnsi="宋体" w:cs="宋体"/>
                <w:b/>
                <w:bCs/>
                <w:color w:val="000000"/>
                <w:kern w:val="0"/>
                <w:szCs w:val="21"/>
              </w:rPr>
            </w:pPr>
            <w:r>
              <w:rPr>
                <w:rFonts w:ascii="宋体" w:hAnsi="宋体" w:cs="宋体" w:hint="eastAsia"/>
                <w:b/>
                <w:bCs/>
                <w:color w:val="000000"/>
                <w:kern w:val="0"/>
                <w:szCs w:val="21"/>
              </w:rPr>
              <w:t xml:space="preserve">         缺陷</w:t>
            </w:r>
          </w:p>
          <w:p w:rsidR="00BC0951" w:rsidRDefault="00BC0951">
            <w:pPr>
              <w:adjustRightInd w:val="0"/>
              <w:snapToGrid w:val="0"/>
              <w:jc w:val="left"/>
              <w:rPr>
                <w:rFonts w:ascii="宋体" w:hAnsi="宋体" w:cs="宋体"/>
                <w:b/>
                <w:bCs/>
                <w:color w:val="000000"/>
                <w:kern w:val="0"/>
                <w:szCs w:val="21"/>
              </w:rPr>
            </w:pPr>
            <w:r>
              <w:rPr>
                <w:rFonts w:ascii="宋体" w:hAnsi="宋体" w:cs="宋体" w:hint="eastAsia"/>
                <w:b/>
                <w:bCs/>
                <w:color w:val="000000"/>
                <w:kern w:val="0"/>
                <w:szCs w:val="21"/>
              </w:rPr>
              <w:t>项目</w:t>
            </w:r>
          </w:p>
        </w:tc>
        <w:tc>
          <w:tcPr>
            <w:tcW w:w="2032" w:type="pct"/>
            <w:tcBorders>
              <w:top w:val="single" w:sz="12" w:space="0" w:color="auto"/>
              <w:left w:val="single" w:sz="2" w:space="0" w:color="auto"/>
              <w:bottom w:val="single" w:sz="2" w:space="0" w:color="auto"/>
              <w:right w:val="single" w:sz="2" w:space="0" w:color="auto"/>
            </w:tcBorders>
            <w:noWrap/>
            <w:vAlign w:val="center"/>
          </w:tcPr>
          <w:p w:rsidR="00BC0951" w:rsidRDefault="00BC0951">
            <w:pPr>
              <w:adjustRightInd w:val="0"/>
              <w:snapToGrid w:val="0"/>
              <w:spacing w:line="500" w:lineRule="exact"/>
              <w:jc w:val="center"/>
              <w:rPr>
                <w:rFonts w:ascii="宋体" w:hAnsi="宋体" w:cs="宋体"/>
                <w:b/>
                <w:bCs/>
                <w:color w:val="000000"/>
                <w:kern w:val="0"/>
                <w:szCs w:val="21"/>
              </w:rPr>
            </w:pPr>
            <w:r>
              <w:rPr>
                <w:rFonts w:ascii="宋体" w:hAnsi="宋体" w:cs="宋体" w:hint="eastAsia"/>
                <w:b/>
                <w:bCs/>
                <w:color w:val="000000"/>
                <w:kern w:val="0"/>
                <w:szCs w:val="21"/>
              </w:rPr>
              <w:t>涉及经营成果潜在错报</w:t>
            </w:r>
          </w:p>
        </w:tc>
        <w:tc>
          <w:tcPr>
            <w:tcW w:w="2031" w:type="pct"/>
            <w:tcBorders>
              <w:top w:val="single" w:sz="12" w:space="0" w:color="auto"/>
              <w:left w:val="single" w:sz="2" w:space="0" w:color="auto"/>
              <w:bottom w:val="single" w:sz="2" w:space="0" w:color="auto"/>
              <w:right w:val="single" w:sz="12" w:space="0" w:color="auto"/>
            </w:tcBorders>
            <w:noWrap/>
            <w:vAlign w:val="center"/>
          </w:tcPr>
          <w:p w:rsidR="00BC0951" w:rsidRDefault="00BC0951">
            <w:pPr>
              <w:adjustRightInd w:val="0"/>
              <w:snapToGrid w:val="0"/>
              <w:spacing w:line="500" w:lineRule="exact"/>
              <w:jc w:val="center"/>
              <w:rPr>
                <w:rFonts w:ascii="宋体" w:hAnsi="宋体" w:cs="宋体"/>
                <w:b/>
                <w:bCs/>
                <w:color w:val="000000"/>
                <w:kern w:val="0"/>
                <w:szCs w:val="21"/>
              </w:rPr>
            </w:pPr>
            <w:r>
              <w:rPr>
                <w:rFonts w:ascii="宋体" w:hAnsi="宋体" w:cs="宋体" w:hint="eastAsia"/>
                <w:b/>
                <w:bCs/>
                <w:color w:val="000000"/>
                <w:kern w:val="0"/>
                <w:szCs w:val="21"/>
              </w:rPr>
              <w:t>涉及财务状况潜在错报</w:t>
            </w:r>
          </w:p>
        </w:tc>
      </w:tr>
      <w:tr w:rsidR="00BC0951">
        <w:trPr>
          <w:trHeight w:val="567"/>
        </w:trPr>
        <w:tc>
          <w:tcPr>
            <w:tcW w:w="935" w:type="pct"/>
            <w:tcBorders>
              <w:top w:val="single" w:sz="2" w:space="0" w:color="auto"/>
              <w:left w:val="single" w:sz="12" w:space="0" w:color="auto"/>
              <w:bottom w:val="single" w:sz="2" w:space="0" w:color="auto"/>
              <w:right w:val="single" w:sz="2" w:space="0" w:color="auto"/>
            </w:tcBorders>
            <w:vAlign w:val="center"/>
          </w:tcPr>
          <w:p w:rsidR="00BC0951" w:rsidRDefault="00BC0951">
            <w:pPr>
              <w:adjustRightInd w:val="0"/>
              <w:snapToGrid w:val="0"/>
              <w:jc w:val="center"/>
              <w:rPr>
                <w:rFonts w:ascii="宋体" w:hAnsi="宋体" w:cs="宋体"/>
                <w:color w:val="000000"/>
                <w:kern w:val="0"/>
                <w:szCs w:val="21"/>
              </w:rPr>
            </w:pPr>
            <w:r>
              <w:rPr>
                <w:rFonts w:ascii="宋体" w:hAnsi="宋体" w:cs="宋体" w:hint="eastAsia"/>
                <w:b/>
                <w:bCs/>
                <w:color w:val="000000"/>
                <w:kern w:val="0"/>
                <w:szCs w:val="21"/>
              </w:rPr>
              <w:t>重大缺陷</w:t>
            </w:r>
          </w:p>
        </w:tc>
        <w:tc>
          <w:tcPr>
            <w:tcW w:w="2032" w:type="pct"/>
            <w:tcBorders>
              <w:top w:val="single" w:sz="2" w:space="0" w:color="auto"/>
              <w:left w:val="single" w:sz="2" w:space="0" w:color="auto"/>
              <w:bottom w:val="single" w:sz="2" w:space="0" w:color="auto"/>
              <w:right w:val="single" w:sz="2" w:space="0" w:color="auto"/>
            </w:tcBorders>
            <w:vAlign w:val="center"/>
          </w:tcPr>
          <w:p w:rsidR="00BC0951" w:rsidRDefault="00BC0951">
            <w:pPr>
              <w:adjustRightInd w:val="0"/>
              <w:snapToGrid w:val="0"/>
              <w:rPr>
                <w:rFonts w:ascii="宋体" w:hAnsi="宋体" w:cs="宋体" w:hint="eastAsia"/>
                <w:color w:val="000000"/>
                <w:kern w:val="0"/>
                <w:szCs w:val="21"/>
              </w:rPr>
            </w:pPr>
            <w:r>
              <w:rPr>
                <w:rFonts w:ascii="宋体" w:hAnsi="宋体" w:cs="宋体" w:hint="eastAsia"/>
                <w:color w:val="000000"/>
                <w:kern w:val="0"/>
                <w:szCs w:val="21"/>
              </w:rPr>
              <w:t>错报≥营业收入的10%</w:t>
            </w:r>
          </w:p>
        </w:tc>
        <w:tc>
          <w:tcPr>
            <w:tcW w:w="2031" w:type="pct"/>
            <w:tcBorders>
              <w:top w:val="single" w:sz="2" w:space="0" w:color="auto"/>
              <w:left w:val="single" w:sz="2" w:space="0" w:color="auto"/>
              <w:bottom w:val="single" w:sz="2" w:space="0" w:color="auto"/>
              <w:right w:val="single" w:sz="12" w:space="0" w:color="auto"/>
            </w:tcBorders>
            <w:vAlign w:val="center"/>
          </w:tcPr>
          <w:p w:rsidR="00BC0951" w:rsidRDefault="00BC0951">
            <w:pPr>
              <w:adjustRightInd w:val="0"/>
              <w:snapToGrid w:val="0"/>
              <w:rPr>
                <w:rFonts w:ascii="宋体" w:hAnsi="宋体" w:cs="宋体"/>
                <w:color w:val="000000"/>
                <w:kern w:val="0"/>
                <w:szCs w:val="21"/>
              </w:rPr>
            </w:pPr>
            <w:r>
              <w:rPr>
                <w:rFonts w:ascii="宋体" w:hAnsi="宋体" w:cs="宋体" w:hint="eastAsia"/>
                <w:color w:val="000000"/>
                <w:kern w:val="0"/>
                <w:szCs w:val="21"/>
              </w:rPr>
              <w:t>错报≥资产总额10</w:t>
            </w:r>
            <w:r>
              <w:rPr>
                <w:rFonts w:ascii="宋体" w:hAnsi="宋体" w:cs="宋体"/>
                <w:color w:val="000000"/>
                <w:kern w:val="0"/>
                <w:szCs w:val="21"/>
              </w:rPr>
              <w:t>%</w:t>
            </w:r>
          </w:p>
        </w:tc>
      </w:tr>
      <w:tr w:rsidR="00BC0951">
        <w:trPr>
          <w:trHeight w:val="567"/>
        </w:trPr>
        <w:tc>
          <w:tcPr>
            <w:tcW w:w="935" w:type="pct"/>
            <w:tcBorders>
              <w:top w:val="single" w:sz="2" w:space="0" w:color="auto"/>
              <w:left w:val="single" w:sz="12" w:space="0" w:color="auto"/>
              <w:bottom w:val="single" w:sz="2" w:space="0" w:color="auto"/>
              <w:right w:val="single" w:sz="2" w:space="0" w:color="auto"/>
            </w:tcBorders>
            <w:vAlign w:val="center"/>
          </w:tcPr>
          <w:p w:rsidR="00BC0951" w:rsidRDefault="00BC0951">
            <w:pPr>
              <w:adjustRightInd w:val="0"/>
              <w:snapToGrid w:val="0"/>
              <w:jc w:val="center"/>
              <w:rPr>
                <w:rFonts w:ascii="宋体" w:hAnsi="宋体" w:cs="宋体"/>
                <w:color w:val="000000"/>
                <w:kern w:val="0"/>
                <w:szCs w:val="21"/>
              </w:rPr>
            </w:pPr>
            <w:r>
              <w:rPr>
                <w:rFonts w:ascii="宋体" w:hAnsi="宋体" w:cs="宋体" w:hint="eastAsia"/>
                <w:b/>
                <w:bCs/>
                <w:color w:val="000000"/>
                <w:kern w:val="0"/>
                <w:szCs w:val="21"/>
              </w:rPr>
              <w:t>重要缺陷</w:t>
            </w:r>
          </w:p>
        </w:tc>
        <w:tc>
          <w:tcPr>
            <w:tcW w:w="2032" w:type="pct"/>
            <w:tcBorders>
              <w:top w:val="single" w:sz="2" w:space="0" w:color="auto"/>
              <w:left w:val="single" w:sz="2" w:space="0" w:color="auto"/>
              <w:bottom w:val="single" w:sz="2" w:space="0" w:color="auto"/>
              <w:right w:val="single" w:sz="2" w:space="0" w:color="auto"/>
            </w:tcBorders>
            <w:vAlign w:val="center"/>
          </w:tcPr>
          <w:p w:rsidR="00BC0951" w:rsidRDefault="00BC0951">
            <w:pPr>
              <w:adjustRightInd w:val="0"/>
              <w:snapToGrid w:val="0"/>
              <w:rPr>
                <w:rFonts w:ascii="宋体" w:hAnsi="宋体" w:cs="宋体"/>
                <w:color w:val="000000"/>
                <w:kern w:val="0"/>
                <w:szCs w:val="21"/>
              </w:rPr>
            </w:pPr>
            <w:r>
              <w:rPr>
                <w:rFonts w:ascii="宋体" w:hAnsi="宋体" w:cs="宋体" w:hint="eastAsia"/>
                <w:color w:val="000000"/>
                <w:kern w:val="0"/>
                <w:szCs w:val="21"/>
              </w:rPr>
              <w:t>营业收入的5</w:t>
            </w:r>
            <w:r>
              <w:rPr>
                <w:rFonts w:ascii="宋体" w:hAnsi="宋体" w:cs="宋体"/>
                <w:color w:val="000000"/>
                <w:kern w:val="0"/>
                <w:szCs w:val="21"/>
              </w:rPr>
              <w:t>%≤错报＜营业收入的</w:t>
            </w:r>
            <w:r>
              <w:rPr>
                <w:rFonts w:ascii="宋体" w:hAnsi="宋体" w:cs="宋体" w:hint="eastAsia"/>
                <w:color w:val="000000"/>
                <w:kern w:val="0"/>
                <w:szCs w:val="21"/>
              </w:rPr>
              <w:t>10</w:t>
            </w:r>
            <w:r>
              <w:rPr>
                <w:rFonts w:ascii="宋体" w:hAnsi="宋体" w:cs="宋体"/>
                <w:color w:val="000000"/>
                <w:kern w:val="0"/>
                <w:szCs w:val="21"/>
              </w:rPr>
              <w:t>%</w:t>
            </w:r>
          </w:p>
        </w:tc>
        <w:tc>
          <w:tcPr>
            <w:tcW w:w="2031" w:type="pct"/>
            <w:tcBorders>
              <w:top w:val="single" w:sz="2" w:space="0" w:color="auto"/>
              <w:left w:val="single" w:sz="2" w:space="0" w:color="auto"/>
              <w:bottom w:val="single" w:sz="2" w:space="0" w:color="auto"/>
              <w:right w:val="single" w:sz="12" w:space="0" w:color="auto"/>
            </w:tcBorders>
            <w:vAlign w:val="center"/>
          </w:tcPr>
          <w:p w:rsidR="00BC0951" w:rsidRDefault="00BC0951">
            <w:pPr>
              <w:adjustRightInd w:val="0"/>
              <w:snapToGrid w:val="0"/>
              <w:rPr>
                <w:rFonts w:ascii="宋体" w:hAnsi="宋体" w:cs="宋体"/>
                <w:color w:val="000000"/>
                <w:kern w:val="0"/>
                <w:szCs w:val="21"/>
              </w:rPr>
            </w:pPr>
            <w:r>
              <w:rPr>
                <w:rFonts w:ascii="宋体" w:hAnsi="宋体" w:cs="宋体" w:hint="eastAsia"/>
                <w:color w:val="000000"/>
                <w:kern w:val="0"/>
                <w:szCs w:val="21"/>
              </w:rPr>
              <w:t>资产总额的5</w:t>
            </w:r>
            <w:r>
              <w:rPr>
                <w:rFonts w:ascii="宋体" w:hAnsi="宋体" w:cs="宋体"/>
                <w:color w:val="000000"/>
                <w:kern w:val="0"/>
                <w:szCs w:val="21"/>
              </w:rPr>
              <w:t>%≤错报＜资产总额的</w:t>
            </w:r>
            <w:r>
              <w:rPr>
                <w:rFonts w:ascii="宋体" w:hAnsi="宋体" w:cs="宋体" w:hint="eastAsia"/>
                <w:color w:val="000000"/>
                <w:kern w:val="0"/>
                <w:szCs w:val="21"/>
              </w:rPr>
              <w:t>10</w:t>
            </w:r>
            <w:r>
              <w:rPr>
                <w:rFonts w:ascii="宋体" w:hAnsi="宋体" w:cs="宋体"/>
                <w:color w:val="000000"/>
                <w:kern w:val="0"/>
                <w:szCs w:val="21"/>
              </w:rPr>
              <w:t>%</w:t>
            </w:r>
          </w:p>
        </w:tc>
      </w:tr>
      <w:tr w:rsidR="00BC0951">
        <w:trPr>
          <w:trHeight w:val="567"/>
        </w:trPr>
        <w:tc>
          <w:tcPr>
            <w:tcW w:w="935" w:type="pct"/>
            <w:tcBorders>
              <w:top w:val="single" w:sz="2" w:space="0" w:color="auto"/>
              <w:left w:val="single" w:sz="12" w:space="0" w:color="auto"/>
              <w:bottom w:val="single" w:sz="12" w:space="0" w:color="auto"/>
              <w:right w:val="single" w:sz="2" w:space="0" w:color="auto"/>
            </w:tcBorders>
            <w:vAlign w:val="center"/>
          </w:tcPr>
          <w:p w:rsidR="00BC0951" w:rsidRDefault="00BC0951">
            <w:pPr>
              <w:adjustRightInd w:val="0"/>
              <w:snapToGrid w:val="0"/>
              <w:jc w:val="center"/>
              <w:rPr>
                <w:rFonts w:ascii="宋体" w:hAnsi="宋体" w:cs="宋体" w:hint="eastAsia"/>
                <w:color w:val="000000"/>
                <w:kern w:val="0"/>
                <w:szCs w:val="21"/>
              </w:rPr>
            </w:pPr>
            <w:r>
              <w:rPr>
                <w:rFonts w:ascii="宋体" w:hAnsi="宋体" w:cs="宋体" w:hint="eastAsia"/>
                <w:b/>
                <w:bCs/>
                <w:color w:val="000000"/>
                <w:kern w:val="0"/>
                <w:szCs w:val="21"/>
              </w:rPr>
              <w:t>一般缺陷</w:t>
            </w:r>
          </w:p>
        </w:tc>
        <w:tc>
          <w:tcPr>
            <w:tcW w:w="2032" w:type="pct"/>
            <w:tcBorders>
              <w:top w:val="single" w:sz="2" w:space="0" w:color="auto"/>
              <w:left w:val="single" w:sz="2" w:space="0" w:color="auto"/>
              <w:bottom w:val="single" w:sz="12" w:space="0" w:color="auto"/>
              <w:right w:val="single" w:sz="2" w:space="0" w:color="auto"/>
            </w:tcBorders>
            <w:vAlign w:val="center"/>
          </w:tcPr>
          <w:p w:rsidR="00BC0951" w:rsidRDefault="00BC0951">
            <w:pPr>
              <w:adjustRightInd w:val="0"/>
              <w:snapToGrid w:val="0"/>
              <w:rPr>
                <w:rFonts w:ascii="宋体" w:hAnsi="宋体" w:cs="宋体" w:hint="eastAsia"/>
                <w:color w:val="000000"/>
                <w:kern w:val="0"/>
                <w:szCs w:val="21"/>
              </w:rPr>
            </w:pPr>
            <w:r>
              <w:rPr>
                <w:rFonts w:ascii="宋体" w:hAnsi="宋体" w:cs="宋体" w:hint="eastAsia"/>
                <w:color w:val="000000"/>
                <w:kern w:val="0"/>
                <w:szCs w:val="21"/>
              </w:rPr>
              <w:t>错报＜营业收入的5%</w:t>
            </w:r>
          </w:p>
        </w:tc>
        <w:tc>
          <w:tcPr>
            <w:tcW w:w="2031" w:type="pct"/>
            <w:tcBorders>
              <w:top w:val="single" w:sz="2" w:space="0" w:color="auto"/>
              <w:left w:val="single" w:sz="2" w:space="0" w:color="auto"/>
              <w:bottom w:val="single" w:sz="12" w:space="0" w:color="auto"/>
              <w:right w:val="single" w:sz="12" w:space="0" w:color="auto"/>
            </w:tcBorders>
            <w:vAlign w:val="center"/>
          </w:tcPr>
          <w:p w:rsidR="00BC0951" w:rsidRDefault="00BC0951">
            <w:pPr>
              <w:adjustRightInd w:val="0"/>
              <w:snapToGrid w:val="0"/>
              <w:rPr>
                <w:rFonts w:ascii="宋体" w:hAnsi="宋体" w:cs="宋体" w:hint="eastAsia"/>
                <w:color w:val="000000"/>
                <w:kern w:val="0"/>
                <w:szCs w:val="21"/>
              </w:rPr>
            </w:pPr>
            <w:r>
              <w:rPr>
                <w:rFonts w:ascii="宋体" w:hAnsi="宋体" w:cs="宋体" w:hint="eastAsia"/>
                <w:color w:val="000000"/>
                <w:kern w:val="0"/>
                <w:szCs w:val="21"/>
              </w:rPr>
              <w:t>错报＜资产总额的5%</w:t>
            </w:r>
          </w:p>
        </w:tc>
      </w:tr>
    </w:tbl>
    <w:p w:rsidR="00BC0951" w:rsidRDefault="00BC0951" w:rsidP="006F167A">
      <w:pPr>
        <w:adjustRightInd w:val="0"/>
        <w:snapToGrid w:val="0"/>
        <w:spacing w:beforeLines="50" w:before="156" w:line="500" w:lineRule="exact"/>
        <w:ind w:firstLineChars="200" w:firstLine="480"/>
        <w:jc w:val="left"/>
        <w:rPr>
          <w:rFonts w:ascii="宋体" w:hAnsi="宋体"/>
          <w:color w:val="000000"/>
          <w:sz w:val="24"/>
          <w:szCs w:val="24"/>
        </w:rPr>
      </w:pPr>
      <w:r>
        <w:rPr>
          <w:rFonts w:ascii="宋体" w:hAnsi="宋体"/>
          <w:color w:val="000000"/>
          <w:sz w:val="24"/>
          <w:szCs w:val="24"/>
        </w:rPr>
        <w:t>（2）公司确定的财务报告内部控制缺陷评价的定性标准如下：</w:t>
      </w:r>
    </w:p>
    <w:p w:rsidR="00BC0951" w:rsidRDefault="00BC0951">
      <w:pPr>
        <w:adjustRightInd w:val="0"/>
        <w:snapToGrid w:val="0"/>
        <w:spacing w:line="500" w:lineRule="exact"/>
        <w:ind w:firstLineChars="200" w:firstLine="480"/>
        <w:jc w:val="left"/>
        <w:rPr>
          <w:rFonts w:ascii="宋体" w:hAnsi="宋体"/>
          <w:color w:val="000000"/>
          <w:sz w:val="24"/>
          <w:szCs w:val="24"/>
        </w:rPr>
      </w:pPr>
      <w:r>
        <w:rPr>
          <w:rFonts w:ascii="宋体" w:hAnsi="宋体"/>
          <w:color w:val="000000"/>
          <w:sz w:val="24"/>
          <w:szCs w:val="24"/>
        </w:rPr>
        <w:t>财务报告重大缺陷的</w:t>
      </w:r>
      <w:r>
        <w:rPr>
          <w:rFonts w:ascii="宋体" w:hAnsi="宋体" w:hint="eastAsia"/>
          <w:color w:val="000000"/>
          <w:sz w:val="24"/>
          <w:szCs w:val="24"/>
        </w:rPr>
        <w:t>迹象</w:t>
      </w:r>
      <w:r>
        <w:rPr>
          <w:rFonts w:ascii="宋体" w:hAnsi="宋体"/>
          <w:color w:val="000000"/>
          <w:sz w:val="24"/>
          <w:szCs w:val="24"/>
        </w:rPr>
        <w:t>包括：董事和高级管理人员的舞弊行为；当期财务报告存在重大错报，而内部控制在运行过程中未能发现该错报；审计委员会和内部审计部门对财务报告内部控制监督无效</w:t>
      </w:r>
      <w:r>
        <w:rPr>
          <w:rFonts w:ascii="宋体" w:hAnsi="宋体" w:hint="eastAsia"/>
          <w:color w:val="000000"/>
          <w:sz w:val="24"/>
          <w:szCs w:val="24"/>
        </w:rPr>
        <w:t>；</w:t>
      </w:r>
      <w:r>
        <w:rPr>
          <w:rFonts w:ascii="宋体" w:hAnsi="宋体"/>
          <w:color w:val="000000"/>
          <w:sz w:val="24"/>
          <w:szCs w:val="24"/>
        </w:rPr>
        <w:t xml:space="preserve"> </w:t>
      </w:r>
    </w:p>
    <w:p w:rsidR="00BC0951" w:rsidRDefault="00BC0951">
      <w:pPr>
        <w:adjustRightInd w:val="0"/>
        <w:snapToGrid w:val="0"/>
        <w:spacing w:line="500" w:lineRule="exact"/>
        <w:ind w:firstLineChars="200" w:firstLine="480"/>
        <w:jc w:val="left"/>
        <w:rPr>
          <w:rFonts w:ascii="宋体" w:hAnsi="宋体"/>
          <w:color w:val="000000"/>
          <w:sz w:val="24"/>
          <w:szCs w:val="24"/>
        </w:rPr>
      </w:pPr>
      <w:r>
        <w:rPr>
          <w:rFonts w:ascii="宋体" w:hAnsi="宋体"/>
          <w:color w:val="000000"/>
          <w:sz w:val="24"/>
          <w:szCs w:val="24"/>
        </w:rPr>
        <w:t>财务报告重要缺陷</w:t>
      </w:r>
      <w:r>
        <w:rPr>
          <w:rFonts w:ascii="宋体" w:hAnsi="宋体" w:hint="eastAsia"/>
          <w:color w:val="000000"/>
          <w:sz w:val="24"/>
          <w:szCs w:val="24"/>
        </w:rPr>
        <w:t>迹象</w:t>
      </w:r>
      <w:r>
        <w:rPr>
          <w:rFonts w:ascii="宋体" w:hAnsi="宋体"/>
          <w:color w:val="000000"/>
          <w:sz w:val="24"/>
          <w:szCs w:val="24"/>
        </w:rPr>
        <w:t>包括：未依照公认会计准则选择和应用会计政策</w:t>
      </w:r>
      <w:r>
        <w:rPr>
          <w:rFonts w:ascii="宋体" w:hAnsi="宋体" w:hint="eastAsia"/>
          <w:color w:val="000000"/>
          <w:sz w:val="24"/>
          <w:szCs w:val="24"/>
        </w:rPr>
        <w:t>；</w:t>
      </w:r>
      <w:r>
        <w:rPr>
          <w:rFonts w:ascii="宋体" w:hAnsi="宋体"/>
          <w:color w:val="000000"/>
          <w:sz w:val="24"/>
          <w:szCs w:val="24"/>
        </w:rPr>
        <w:t>未建立反舞弊程序和控制措施；对于非常规或特殊交易的账务处理没有建立相应的控制机制或没有实施且没有相应的补偿性控制</w:t>
      </w:r>
      <w:r>
        <w:rPr>
          <w:rFonts w:ascii="宋体" w:hAnsi="宋体" w:hint="eastAsia"/>
          <w:color w:val="000000"/>
          <w:sz w:val="24"/>
          <w:szCs w:val="24"/>
        </w:rPr>
        <w:t>。</w:t>
      </w:r>
    </w:p>
    <w:p w:rsidR="00BC0951" w:rsidRDefault="00BC0951">
      <w:pPr>
        <w:adjustRightInd w:val="0"/>
        <w:snapToGrid w:val="0"/>
        <w:spacing w:line="500" w:lineRule="exact"/>
        <w:ind w:firstLineChars="200" w:firstLine="480"/>
        <w:jc w:val="left"/>
        <w:rPr>
          <w:rFonts w:ascii="宋体" w:hAnsi="宋体"/>
          <w:color w:val="000000"/>
          <w:sz w:val="24"/>
          <w:szCs w:val="24"/>
        </w:rPr>
      </w:pPr>
      <w:r>
        <w:rPr>
          <w:rFonts w:ascii="宋体" w:hAnsi="宋体"/>
          <w:color w:val="000000"/>
          <w:sz w:val="24"/>
          <w:szCs w:val="24"/>
        </w:rPr>
        <w:lastRenderedPageBreak/>
        <w:t>一般缺陷是指除上述重大缺陷、重要缺陷之外的其他控制缺陷。</w:t>
      </w:r>
    </w:p>
    <w:p w:rsidR="00BC0951" w:rsidRDefault="00BC0951">
      <w:pPr>
        <w:pStyle w:val="HTML"/>
        <w:adjustRightInd w:val="0"/>
        <w:snapToGrid w:val="0"/>
        <w:spacing w:line="500" w:lineRule="exact"/>
        <w:ind w:firstLineChars="200" w:firstLine="482"/>
        <w:outlineLvl w:val="2"/>
        <w:rPr>
          <w:rFonts w:cs="Times New Roman"/>
          <w:b/>
          <w:bCs/>
          <w:color w:val="000000"/>
          <w:kern w:val="2"/>
          <w:szCs w:val="24"/>
        </w:rPr>
      </w:pPr>
      <w:r>
        <w:rPr>
          <w:rFonts w:cs="Times New Roman" w:hint="eastAsia"/>
          <w:b/>
          <w:bCs/>
          <w:color w:val="000000"/>
          <w:kern w:val="2"/>
          <w:szCs w:val="24"/>
        </w:rPr>
        <w:t>2、</w:t>
      </w:r>
      <w:r>
        <w:rPr>
          <w:rFonts w:cs="Times New Roman"/>
          <w:b/>
          <w:bCs/>
          <w:color w:val="000000"/>
          <w:kern w:val="2"/>
          <w:szCs w:val="24"/>
        </w:rPr>
        <w:t>非财务报告内部控制缺陷认定标准</w:t>
      </w:r>
    </w:p>
    <w:p w:rsidR="00BC0951" w:rsidRDefault="00BC0951">
      <w:pPr>
        <w:pStyle w:val="HTML"/>
        <w:adjustRightInd w:val="0"/>
        <w:snapToGrid w:val="0"/>
        <w:spacing w:line="500" w:lineRule="exact"/>
        <w:ind w:firstLineChars="200" w:firstLine="480"/>
        <w:rPr>
          <w:rFonts w:cs="Times New Roman"/>
          <w:color w:val="000000"/>
          <w:kern w:val="2"/>
          <w:szCs w:val="24"/>
        </w:rPr>
      </w:pPr>
      <w:r>
        <w:rPr>
          <w:rFonts w:cs="Times New Roman" w:hint="eastAsia"/>
          <w:color w:val="000000"/>
          <w:kern w:val="2"/>
          <w:szCs w:val="24"/>
        </w:rPr>
        <w:t>出现以下情形的，可认定为重大缺陷，其他情形按影响程度分别确定为重要缺陷或一般缺陷：</w:t>
      </w:r>
    </w:p>
    <w:p w:rsidR="00BC0951" w:rsidRDefault="00BC0951">
      <w:pPr>
        <w:pStyle w:val="HTML"/>
        <w:adjustRightInd w:val="0"/>
        <w:snapToGrid w:val="0"/>
        <w:spacing w:line="500" w:lineRule="exact"/>
        <w:ind w:firstLineChars="200" w:firstLine="480"/>
        <w:rPr>
          <w:rFonts w:cs="Times New Roman"/>
          <w:color w:val="000000"/>
          <w:kern w:val="2"/>
          <w:szCs w:val="24"/>
        </w:rPr>
      </w:pPr>
      <w:r>
        <w:rPr>
          <w:rFonts w:cs="Times New Roman" w:hint="eastAsia"/>
          <w:color w:val="000000"/>
          <w:kern w:val="2"/>
          <w:szCs w:val="24"/>
        </w:rPr>
        <w:t>（1）违反国家现行法律、法规，如出现重大安全生产或环境污染事故；</w:t>
      </w:r>
    </w:p>
    <w:p w:rsidR="00BC0951" w:rsidRDefault="00BC0951">
      <w:pPr>
        <w:pStyle w:val="HTML"/>
        <w:adjustRightInd w:val="0"/>
        <w:snapToGrid w:val="0"/>
        <w:spacing w:line="500" w:lineRule="exact"/>
        <w:ind w:firstLineChars="200" w:firstLine="480"/>
        <w:rPr>
          <w:rFonts w:cs="Times New Roman"/>
          <w:color w:val="000000"/>
          <w:kern w:val="2"/>
          <w:szCs w:val="24"/>
        </w:rPr>
      </w:pPr>
      <w:r>
        <w:rPr>
          <w:rFonts w:cs="Times New Roman" w:hint="eastAsia"/>
          <w:color w:val="000000"/>
          <w:kern w:val="2"/>
          <w:szCs w:val="24"/>
        </w:rPr>
        <w:t>（2）公司决策程序不科学，造成决策失误等；</w:t>
      </w:r>
    </w:p>
    <w:p w:rsidR="00BC0951" w:rsidRDefault="00BC0951">
      <w:pPr>
        <w:pStyle w:val="HTML"/>
        <w:adjustRightInd w:val="0"/>
        <w:snapToGrid w:val="0"/>
        <w:spacing w:line="500" w:lineRule="exact"/>
        <w:ind w:firstLineChars="200" w:firstLine="480"/>
        <w:rPr>
          <w:rFonts w:cs="Times New Roman"/>
          <w:color w:val="000000"/>
          <w:kern w:val="2"/>
          <w:szCs w:val="24"/>
        </w:rPr>
      </w:pPr>
      <w:r>
        <w:rPr>
          <w:rFonts w:cs="Times New Roman" w:hint="eastAsia"/>
          <w:color w:val="000000"/>
          <w:kern w:val="2"/>
          <w:szCs w:val="24"/>
        </w:rPr>
        <w:t>（3）主要管理人员或关键岗位技术人员大量离职；</w:t>
      </w:r>
    </w:p>
    <w:p w:rsidR="00BC0951" w:rsidRDefault="00BC0951">
      <w:pPr>
        <w:pStyle w:val="HTML"/>
        <w:adjustRightInd w:val="0"/>
        <w:snapToGrid w:val="0"/>
        <w:spacing w:line="500" w:lineRule="exact"/>
        <w:ind w:firstLineChars="200" w:firstLine="480"/>
        <w:rPr>
          <w:rFonts w:cs="Times New Roman"/>
          <w:color w:val="000000"/>
          <w:kern w:val="2"/>
          <w:szCs w:val="24"/>
        </w:rPr>
      </w:pPr>
      <w:r>
        <w:rPr>
          <w:rFonts w:cs="Times New Roman" w:hint="eastAsia"/>
          <w:color w:val="000000"/>
          <w:kern w:val="2"/>
          <w:szCs w:val="24"/>
        </w:rPr>
        <w:t>（4）内部控制评价结论中涉及的重大或重要缺陷未得到整改；</w:t>
      </w:r>
    </w:p>
    <w:p w:rsidR="00BC0951" w:rsidRDefault="00BC0951">
      <w:pPr>
        <w:pStyle w:val="HTML"/>
        <w:adjustRightInd w:val="0"/>
        <w:snapToGrid w:val="0"/>
        <w:spacing w:line="500" w:lineRule="exact"/>
        <w:ind w:firstLineChars="200" w:firstLine="480"/>
        <w:rPr>
          <w:rFonts w:cs="Times New Roman"/>
          <w:color w:val="000000"/>
          <w:kern w:val="2"/>
          <w:szCs w:val="24"/>
        </w:rPr>
      </w:pPr>
      <w:r>
        <w:rPr>
          <w:rFonts w:cs="Times New Roman" w:hint="eastAsia"/>
          <w:color w:val="000000"/>
          <w:kern w:val="2"/>
          <w:szCs w:val="24"/>
        </w:rPr>
        <w:t>（5）重要业务缺乏制度控制或制度失效；</w:t>
      </w:r>
    </w:p>
    <w:p w:rsidR="00BC0951" w:rsidRDefault="00BC0951">
      <w:pPr>
        <w:pStyle w:val="HTML"/>
        <w:adjustRightInd w:val="0"/>
        <w:snapToGrid w:val="0"/>
        <w:spacing w:line="500" w:lineRule="exact"/>
        <w:ind w:firstLineChars="200" w:firstLine="480"/>
        <w:rPr>
          <w:rFonts w:cs="Courier New"/>
          <w:color w:val="000000"/>
          <w:szCs w:val="24"/>
        </w:rPr>
      </w:pPr>
      <w:r>
        <w:rPr>
          <w:rFonts w:cs="Times New Roman" w:hint="eastAsia"/>
          <w:color w:val="000000"/>
          <w:kern w:val="2"/>
          <w:szCs w:val="24"/>
        </w:rPr>
        <w:t>（6）媒体负面新闻频频曝光</w:t>
      </w:r>
      <w:r>
        <w:rPr>
          <w:rFonts w:cs="Times New Roman"/>
          <w:color w:val="000000"/>
          <w:kern w:val="2"/>
          <w:szCs w:val="24"/>
        </w:rPr>
        <w:t>,对公司声誉造成重大损害</w:t>
      </w:r>
      <w:r>
        <w:rPr>
          <w:rFonts w:cs="Times New Roman" w:hint="eastAsia"/>
          <w:color w:val="000000"/>
          <w:kern w:val="2"/>
          <w:szCs w:val="24"/>
        </w:rPr>
        <w:t>。</w:t>
      </w:r>
    </w:p>
    <w:p w:rsidR="00BC0951" w:rsidRDefault="00BC0951">
      <w:pPr>
        <w:pStyle w:val="HTML"/>
        <w:adjustRightInd w:val="0"/>
        <w:snapToGrid w:val="0"/>
        <w:spacing w:line="500" w:lineRule="exact"/>
        <w:ind w:firstLineChars="200" w:firstLine="482"/>
        <w:outlineLvl w:val="1"/>
        <w:rPr>
          <w:rFonts w:cs="Courier New"/>
          <w:b/>
          <w:color w:val="000000"/>
          <w:szCs w:val="24"/>
        </w:rPr>
      </w:pPr>
      <w:r>
        <w:rPr>
          <w:rFonts w:cs="Courier New" w:hint="eastAsia"/>
          <w:b/>
          <w:color w:val="000000"/>
          <w:szCs w:val="24"/>
        </w:rPr>
        <w:t>（三）内部控制缺陷认定及整改情况</w:t>
      </w:r>
    </w:p>
    <w:p w:rsidR="00BC0951" w:rsidRDefault="00BC0951">
      <w:pPr>
        <w:pStyle w:val="HTML"/>
        <w:adjustRightInd w:val="0"/>
        <w:snapToGrid w:val="0"/>
        <w:spacing w:line="500" w:lineRule="exact"/>
        <w:ind w:firstLineChars="200" w:firstLine="480"/>
        <w:outlineLvl w:val="2"/>
        <w:rPr>
          <w:rFonts w:cs="Times New Roman" w:hint="eastAsia"/>
          <w:color w:val="000000"/>
          <w:kern w:val="2"/>
          <w:szCs w:val="24"/>
        </w:rPr>
      </w:pPr>
      <w:r>
        <w:rPr>
          <w:rFonts w:cs="Times New Roman"/>
          <w:color w:val="000000"/>
          <w:kern w:val="2"/>
          <w:szCs w:val="24"/>
        </w:rPr>
        <w:t>1、财务报告内部控制缺陷认定及整改情况</w:t>
      </w:r>
    </w:p>
    <w:p w:rsidR="00BC0951" w:rsidRDefault="00BC0951">
      <w:pPr>
        <w:pStyle w:val="HTML"/>
        <w:adjustRightInd w:val="0"/>
        <w:snapToGrid w:val="0"/>
        <w:spacing w:line="500" w:lineRule="exact"/>
        <w:ind w:firstLineChars="200" w:firstLine="480"/>
        <w:rPr>
          <w:rFonts w:cs="Times New Roman"/>
          <w:color w:val="000000"/>
          <w:kern w:val="2"/>
          <w:szCs w:val="24"/>
        </w:rPr>
      </w:pPr>
      <w:r>
        <w:rPr>
          <w:rFonts w:cs="Times New Roman" w:hint="eastAsia"/>
          <w:color w:val="000000"/>
          <w:kern w:val="2"/>
          <w:szCs w:val="24"/>
        </w:rPr>
        <w:t>根据上述财务报告内部控制缺陷的认定标准，报告期内未发现公司存在财务报告内部控制重大缺陷及重要缺陷。</w:t>
      </w:r>
    </w:p>
    <w:p w:rsidR="00BC0951" w:rsidRDefault="00BC0951">
      <w:pPr>
        <w:pStyle w:val="HTML"/>
        <w:adjustRightInd w:val="0"/>
        <w:snapToGrid w:val="0"/>
        <w:spacing w:line="500" w:lineRule="exact"/>
        <w:ind w:firstLineChars="200" w:firstLine="480"/>
        <w:outlineLvl w:val="2"/>
        <w:rPr>
          <w:rFonts w:cs="Times New Roman"/>
          <w:color w:val="000000"/>
          <w:kern w:val="2"/>
          <w:szCs w:val="24"/>
        </w:rPr>
      </w:pPr>
      <w:r>
        <w:rPr>
          <w:rFonts w:cs="Times New Roman"/>
          <w:color w:val="000000"/>
          <w:kern w:val="2"/>
          <w:szCs w:val="24"/>
        </w:rPr>
        <w:t>2、非财务报告内部控制缺陷认定及整改情况</w:t>
      </w:r>
    </w:p>
    <w:p w:rsidR="00BC0951" w:rsidRDefault="00BC0951">
      <w:pPr>
        <w:pStyle w:val="HTML"/>
        <w:adjustRightInd w:val="0"/>
        <w:snapToGrid w:val="0"/>
        <w:spacing w:line="500" w:lineRule="exact"/>
        <w:ind w:firstLineChars="200" w:firstLine="480"/>
        <w:rPr>
          <w:rFonts w:cs="Times New Roman"/>
          <w:color w:val="000000"/>
          <w:kern w:val="2"/>
          <w:szCs w:val="24"/>
        </w:rPr>
      </w:pPr>
      <w:r>
        <w:rPr>
          <w:rFonts w:cs="Times New Roman" w:hint="eastAsia"/>
          <w:color w:val="000000"/>
          <w:kern w:val="2"/>
          <w:szCs w:val="24"/>
        </w:rPr>
        <w:t>根据上述非财务报告内部控制缺陷的认定标准，报告期内未发现公司非财务报告内部控制重大缺陷及重要缺陷。</w:t>
      </w:r>
    </w:p>
    <w:p w:rsidR="00BC0951" w:rsidRDefault="00BC0951">
      <w:pPr>
        <w:pStyle w:val="HTML"/>
        <w:adjustRightInd w:val="0"/>
        <w:snapToGrid w:val="0"/>
        <w:spacing w:line="500" w:lineRule="exact"/>
        <w:ind w:firstLineChars="200" w:firstLine="482"/>
        <w:outlineLvl w:val="0"/>
        <w:rPr>
          <w:rFonts w:cs="Courier New"/>
          <w:b/>
          <w:color w:val="000000"/>
          <w:szCs w:val="24"/>
        </w:rPr>
      </w:pPr>
      <w:r>
        <w:rPr>
          <w:rFonts w:cs="Courier New" w:hint="eastAsia"/>
          <w:b/>
          <w:color w:val="000000"/>
          <w:szCs w:val="24"/>
        </w:rPr>
        <w:t>四、其他内部控制相关重大事项说明</w:t>
      </w:r>
    </w:p>
    <w:p w:rsidR="00BC0951" w:rsidRDefault="00BC0951">
      <w:pPr>
        <w:pStyle w:val="HTML"/>
        <w:adjustRightInd w:val="0"/>
        <w:snapToGrid w:val="0"/>
        <w:spacing w:line="500" w:lineRule="exact"/>
        <w:ind w:firstLineChars="200" w:firstLine="480"/>
        <w:rPr>
          <w:rFonts w:cs="Courier New"/>
          <w:color w:val="000000"/>
          <w:szCs w:val="24"/>
        </w:rPr>
      </w:pPr>
      <w:r>
        <w:rPr>
          <w:rFonts w:cs="Times New Roman" w:hint="eastAsia"/>
          <w:color w:val="000000"/>
          <w:kern w:val="2"/>
          <w:szCs w:val="24"/>
        </w:rPr>
        <w:t>公司无其他内部控制相关重大事项说明。</w:t>
      </w:r>
    </w:p>
    <w:p w:rsidR="00BC0951" w:rsidRDefault="00BC0951">
      <w:pPr>
        <w:pStyle w:val="HTML"/>
        <w:spacing w:line="500" w:lineRule="exact"/>
        <w:rPr>
          <w:rFonts w:cs="Courier New"/>
          <w:color w:val="000000"/>
        </w:rPr>
      </w:pPr>
    </w:p>
    <w:p w:rsidR="00BC0951" w:rsidRDefault="00BC0951">
      <w:pPr>
        <w:pStyle w:val="HTML"/>
        <w:spacing w:line="500" w:lineRule="exact"/>
        <w:jc w:val="right"/>
        <w:rPr>
          <w:rFonts w:cs="Courier New"/>
          <w:color w:val="000000"/>
        </w:rPr>
      </w:pPr>
    </w:p>
    <w:p w:rsidR="00BC0951" w:rsidRDefault="00BC0951">
      <w:pPr>
        <w:pStyle w:val="HTML"/>
        <w:spacing w:line="500" w:lineRule="exact"/>
        <w:ind w:right="480"/>
        <w:jc w:val="right"/>
        <w:rPr>
          <w:rFonts w:cs="Courier New"/>
          <w:color w:val="000000"/>
          <w:szCs w:val="24"/>
        </w:rPr>
      </w:pPr>
      <w:r>
        <w:rPr>
          <w:rFonts w:cs="Courier New" w:hint="eastAsia"/>
          <w:color w:val="000000"/>
          <w:szCs w:val="24"/>
        </w:rPr>
        <w:t>广东天亿马信息产业股份有限公司</w:t>
      </w:r>
    </w:p>
    <w:p w:rsidR="00BC0951" w:rsidRDefault="00BC0951">
      <w:pPr>
        <w:pStyle w:val="HTML"/>
        <w:wordWrap w:val="0"/>
        <w:spacing w:line="500" w:lineRule="exact"/>
        <w:ind w:right="480"/>
        <w:jc w:val="right"/>
        <w:rPr>
          <w:rFonts w:cs="Courier New" w:hint="eastAsia"/>
          <w:color w:val="000000"/>
          <w:szCs w:val="24"/>
          <w:u w:val="single"/>
        </w:rPr>
      </w:pPr>
      <w:r>
        <w:rPr>
          <w:rFonts w:cs="Courier New" w:hint="eastAsia"/>
          <w:color w:val="000000"/>
          <w:szCs w:val="24"/>
        </w:rPr>
        <w:t>董事长（已经董事会授权）</w:t>
      </w:r>
      <w:r>
        <w:rPr>
          <w:rFonts w:cs="Courier New"/>
          <w:color w:val="000000"/>
          <w:szCs w:val="24"/>
        </w:rPr>
        <w:t>：</w:t>
      </w:r>
      <w:r>
        <w:rPr>
          <w:rFonts w:cs="Courier New" w:hint="eastAsia"/>
          <w:color w:val="000000"/>
          <w:szCs w:val="24"/>
          <w:u w:val="single"/>
        </w:rPr>
        <w:t xml:space="preserve">               </w:t>
      </w:r>
    </w:p>
    <w:p w:rsidR="00BC0951" w:rsidRDefault="00BC0951">
      <w:pPr>
        <w:pStyle w:val="HTML"/>
        <w:wordWrap w:val="0"/>
        <w:spacing w:line="500" w:lineRule="exact"/>
        <w:ind w:right="480"/>
        <w:jc w:val="right"/>
        <w:rPr>
          <w:rFonts w:cs="Courier New"/>
          <w:color w:val="000000"/>
          <w:szCs w:val="24"/>
        </w:rPr>
      </w:pPr>
      <w:r>
        <w:rPr>
          <w:rFonts w:cs="Courier New" w:hint="eastAsia"/>
          <w:color w:val="000000"/>
          <w:szCs w:val="24"/>
        </w:rPr>
        <w:t xml:space="preserve">  林明玲    </w:t>
      </w:r>
    </w:p>
    <w:p w:rsidR="00BC0951" w:rsidRDefault="00BC0951">
      <w:pPr>
        <w:pStyle w:val="HTML"/>
        <w:spacing w:line="500" w:lineRule="exact"/>
        <w:ind w:right="600"/>
        <w:jc w:val="right"/>
        <w:rPr>
          <w:rFonts w:ascii="Times New Roman" w:hAnsi="Times New Roman" w:cs="Times New Roman"/>
          <w:color w:val="000000"/>
          <w:szCs w:val="24"/>
        </w:rPr>
      </w:pPr>
      <w:r>
        <w:rPr>
          <w:rFonts w:ascii="Times New Roman" w:hAnsi="Times New Roman" w:cs="Times New Roman"/>
          <w:color w:val="000000"/>
          <w:szCs w:val="24"/>
        </w:rPr>
        <w:t>202</w:t>
      </w:r>
      <w:r>
        <w:rPr>
          <w:rFonts w:ascii="Times New Roman" w:hAnsi="Times New Roman" w:cs="Times New Roman" w:hint="eastAsia"/>
          <w:color w:val="000000"/>
          <w:szCs w:val="24"/>
        </w:rPr>
        <w:t>6</w:t>
      </w:r>
      <w:r>
        <w:rPr>
          <w:rFonts w:ascii="Times New Roman" w:hAnsi="Times New Roman" w:cs="Times New Roman"/>
          <w:color w:val="000000"/>
          <w:szCs w:val="24"/>
        </w:rPr>
        <w:t>年</w:t>
      </w:r>
      <w:r>
        <w:rPr>
          <w:rFonts w:ascii="Times New Roman" w:hAnsi="Times New Roman" w:cs="Times New Roman" w:hint="eastAsia"/>
          <w:color w:val="000000"/>
          <w:szCs w:val="24"/>
        </w:rPr>
        <w:t>3</w:t>
      </w:r>
      <w:r>
        <w:rPr>
          <w:rFonts w:ascii="Times New Roman" w:hAnsi="Times New Roman" w:cs="Times New Roman"/>
          <w:color w:val="000000"/>
          <w:szCs w:val="24"/>
        </w:rPr>
        <w:t>月</w:t>
      </w:r>
      <w:r>
        <w:rPr>
          <w:rFonts w:ascii="Times New Roman" w:hAnsi="Times New Roman" w:cs="Times New Roman" w:hint="eastAsia"/>
          <w:color w:val="000000"/>
          <w:szCs w:val="24"/>
        </w:rPr>
        <w:t>31</w:t>
      </w:r>
      <w:r>
        <w:rPr>
          <w:rFonts w:ascii="Times New Roman" w:hAnsi="Times New Roman" w:cs="Times New Roman"/>
          <w:color w:val="000000"/>
          <w:szCs w:val="24"/>
        </w:rPr>
        <w:t>日</w:t>
      </w:r>
    </w:p>
    <w:p w:rsidR="00BC0951" w:rsidRDefault="00BC0951">
      <w:pPr>
        <w:pStyle w:val="HTML"/>
        <w:spacing w:line="500" w:lineRule="exact"/>
        <w:ind w:right="600"/>
        <w:jc w:val="right"/>
        <w:rPr>
          <w:rFonts w:ascii="Times New Roman" w:hAnsi="Times New Roman" w:cs="Times New Roman"/>
          <w:color w:val="000000"/>
          <w:sz w:val="21"/>
          <w:szCs w:val="21"/>
        </w:rPr>
      </w:pPr>
    </w:p>
    <w:p w:rsidR="00BC0951" w:rsidRDefault="00BC0951">
      <w:pPr>
        <w:spacing w:line="500" w:lineRule="exact"/>
        <w:rPr>
          <w:rFonts w:ascii="宋体" w:hAnsi="宋体"/>
          <w:color w:val="000000"/>
          <w:szCs w:val="21"/>
        </w:rPr>
      </w:pPr>
    </w:p>
    <w:sectPr w:rsidR="00BC0951">
      <w:footerReference w:type="default" r:id="rId8"/>
      <w:pgSz w:w="11906" w:h="17338"/>
      <w:pgMar w:top="1440" w:right="1417" w:bottom="1440" w:left="1800" w:header="850"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368E" w:rsidRDefault="0097368E">
      <w:r>
        <w:separator/>
      </w:r>
    </w:p>
  </w:endnote>
  <w:endnote w:type="continuationSeparator" w:id="0">
    <w:p w:rsidR="0097368E" w:rsidRDefault="009736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0951" w:rsidRDefault="00731A90">
    <w:pPr>
      <w:pStyle w:val="a4"/>
    </w:pPr>
    <w:r>
      <w:rPr>
        <w:noProof/>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857885" cy="147955"/>
              <wp:effectExtent l="0" t="0" r="0" b="0"/>
              <wp:wrapNone/>
              <wp:docPr id="1" name="文本框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885"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C0951" w:rsidRDefault="00BC0951">
                          <w:pPr>
                            <w:pStyle w:val="a4"/>
                          </w:pPr>
                          <w:r>
                            <w:t>第</w:t>
                          </w:r>
                          <w:r>
                            <w:t xml:space="preserve"> </w:t>
                          </w:r>
                          <w:r>
                            <w:fldChar w:fldCharType="begin"/>
                          </w:r>
                          <w:r>
                            <w:instrText xml:space="preserve"> PAGE  \* MERGEFORMAT </w:instrText>
                          </w:r>
                          <w:r>
                            <w:fldChar w:fldCharType="separate"/>
                          </w:r>
                          <w:r w:rsidR="00731A90">
                            <w:rPr>
                              <w:noProof/>
                            </w:rPr>
                            <w:t>1</w:t>
                          </w:r>
                          <w:r>
                            <w:fldChar w:fldCharType="end"/>
                          </w:r>
                          <w:r>
                            <w:t xml:space="preserve"> </w:t>
                          </w:r>
                          <w:r>
                            <w:t>页</w:t>
                          </w:r>
                          <w:r>
                            <w:t xml:space="preserve"> </w:t>
                          </w:r>
                          <w:r>
                            <w:t>共</w:t>
                          </w:r>
                          <w:r>
                            <w:t xml:space="preserve"> </w:t>
                          </w:r>
                          <w:fldSimple w:instr=" NUMPAGES  \* MERGEFORMAT ">
                            <w:r w:rsidR="00731A90">
                              <w:rPr>
                                <w:noProof/>
                              </w:rPr>
                              <w:t>7</w:t>
                            </w:r>
                          </w:fldSimple>
                          <w:r>
                            <w:t xml:space="preserve"> </w:t>
                          </w:r>
                          <w: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025" o:spid="_x0000_s1026" type="#_x0000_t202" style="position:absolute;margin-left:0;margin-top:0;width:67.55pt;height:11.6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" filled="f" stroked="f">
              <v:textbox style="mso-fit-shape-to-text:t" inset="0,0,0,0">
                <w:txbxContent>
                  <w:p w:rsidR="00BC0951" w:rsidRDefault="00BC0951">
                    <w:pPr>
                      <w:pStyle w:val="a4"/>
                    </w:pPr>
                    <w:r>
                      <w:t>第</w:t>
                    </w:r>
                    <w:r>
                      <w:t xml:space="preserve"> </w:t>
                    </w:r>
                    <w:r>
                      <w:fldChar w:fldCharType="begin"/>
                    </w:r>
                    <w:r>
                      <w:instrText xml:space="preserve"> PAGE  \* MERGEFORMAT </w:instrText>
                    </w:r>
                    <w:r>
                      <w:fldChar w:fldCharType="separate"/>
                    </w:r>
                    <w:r w:rsidR="00731A90">
                      <w:rPr>
                        <w:noProof/>
                      </w:rPr>
                      <w:t>1</w:t>
                    </w:r>
                    <w:r>
                      <w:fldChar w:fldCharType="end"/>
                    </w:r>
                    <w:r>
                      <w:t xml:space="preserve"> </w:t>
                    </w:r>
                    <w:r>
                      <w:t>页</w:t>
                    </w:r>
                    <w:r>
                      <w:t xml:space="preserve"> </w:t>
                    </w:r>
                    <w:r>
                      <w:t>共</w:t>
                    </w:r>
                    <w:r>
                      <w:t xml:space="preserve"> </w:t>
                    </w:r>
                    <w:fldSimple w:instr=" NUMPAGES  \* MERGEFORMAT ">
                      <w:r w:rsidR="00731A90">
                        <w:rPr>
                          <w:noProof/>
                        </w:rPr>
                        <w:t>7</w:t>
                      </w:r>
                    </w:fldSimple>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368E" w:rsidRDefault="0097368E">
      <w:r>
        <w:separator/>
      </w:r>
    </w:p>
  </w:footnote>
  <w:footnote w:type="continuationSeparator" w:id="0">
    <w:p w:rsidR="0097368E" w:rsidRDefault="009736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D9C0F7D"/>
    <w:multiLevelType w:val="singleLevel"/>
    <w:tmpl w:val="FD9C0F7D"/>
    <w:lvl w:ilvl="0">
      <w:start w:val="2"/>
      <w:numFmt w:val="decimal"/>
      <w:suff w:val="nothing"/>
      <w:lvlText w:val="%1、"/>
      <w:lvlJc w:val="left"/>
      <w:rPr>
        <w:rFonts w:hint="default"/>
        <w:b/>
        <w:bCs/>
      </w:rPr>
    </w:lvl>
  </w:abstractNum>
  <w:abstractNum w:abstractNumId="1">
    <w:nsid w:val="23BAB1CA"/>
    <w:multiLevelType w:val="singleLevel"/>
    <w:tmpl w:val="23BAB1CA"/>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F60B0"/>
    <w:rsid w:val="006F167A"/>
    <w:rsid w:val="00731A90"/>
    <w:rsid w:val="008E13B0"/>
    <w:rsid w:val="008F43FD"/>
    <w:rsid w:val="0097368E"/>
    <w:rsid w:val="00BC0951"/>
    <w:rsid w:val="00C823C4"/>
    <w:rsid w:val="00EB54EF"/>
    <w:rsid w:val="017568DE"/>
    <w:rsid w:val="01C8414D"/>
    <w:rsid w:val="020967F0"/>
    <w:rsid w:val="023976A3"/>
    <w:rsid w:val="0481447C"/>
    <w:rsid w:val="048C49F2"/>
    <w:rsid w:val="04A171B1"/>
    <w:rsid w:val="04B70EE9"/>
    <w:rsid w:val="04F512AE"/>
    <w:rsid w:val="05B57C30"/>
    <w:rsid w:val="05F72E03"/>
    <w:rsid w:val="066E1317"/>
    <w:rsid w:val="066F6DA1"/>
    <w:rsid w:val="06C947A0"/>
    <w:rsid w:val="071C6FC5"/>
    <w:rsid w:val="076170CE"/>
    <w:rsid w:val="077B0190"/>
    <w:rsid w:val="087D1CE6"/>
    <w:rsid w:val="088E7A4F"/>
    <w:rsid w:val="08BD6586"/>
    <w:rsid w:val="09A11A04"/>
    <w:rsid w:val="0A36039E"/>
    <w:rsid w:val="0BC9496D"/>
    <w:rsid w:val="0BCB74B6"/>
    <w:rsid w:val="0BDC4BC4"/>
    <w:rsid w:val="0D2F5BBD"/>
    <w:rsid w:val="0D325ABA"/>
    <w:rsid w:val="0D7F4FF7"/>
    <w:rsid w:val="0DAB7287"/>
    <w:rsid w:val="0DE45B33"/>
    <w:rsid w:val="0E833DCE"/>
    <w:rsid w:val="0F197496"/>
    <w:rsid w:val="0F8021FE"/>
    <w:rsid w:val="105E0AED"/>
    <w:rsid w:val="11366205"/>
    <w:rsid w:val="117656A0"/>
    <w:rsid w:val="119B42E1"/>
    <w:rsid w:val="11E42DD6"/>
    <w:rsid w:val="125961DD"/>
    <w:rsid w:val="12900868"/>
    <w:rsid w:val="13407A72"/>
    <w:rsid w:val="13441D7E"/>
    <w:rsid w:val="13536536"/>
    <w:rsid w:val="1354060D"/>
    <w:rsid w:val="14747C74"/>
    <w:rsid w:val="14C52A4A"/>
    <w:rsid w:val="158E656D"/>
    <w:rsid w:val="15A4649B"/>
    <w:rsid w:val="15A66E67"/>
    <w:rsid w:val="16117F11"/>
    <w:rsid w:val="164E081E"/>
    <w:rsid w:val="16652B4C"/>
    <w:rsid w:val="16857E36"/>
    <w:rsid w:val="1743415C"/>
    <w:rsid w:val="17FA0E31"/>
    <w:rsid w:val="182061EA"/>
    <w:rsid w:val="18D3325C"/>
    <w:rsid w:val="18F03E0E"/>
    <w:rsid w:val="190A57D2"/>
    <w:rsid w:val="191E4F62"/>
    <w:rsid w:val="194303E2"/>
    <w:rsid w:val="19C31A1A"/>
    <w:rsid w:val="19FE255B"/>
    <w:rsid w:val="1BBE4697"/>
    <w:rsid w:val="1DA52092"/>
    <w:rsid w:val="1DC37C66"/>
    <w:rsid w:val="1DC415BC"/>
    <w:rsid w:val="1DEE71BF"/>
    <w:rsid w:val="1E803E86"/>
    <w:rsid w:val="1EB678A8"/>
    <w:rsid w:val="1FED351D"/>
    <w:rsid w:val="20014B53"/>
    <w:rsid w:val="206D4D2F"/>
    <w:rsid w:val="207D242B"/>
    <w:rsid w:val="20CA3B6D"/>
    <w:rsid w:val="21654D33"/>
    <w:rsid w:val="21E36C06"/>
    <w:rsid w:val="2217240B"/>
    <w:rsid w:val="22A46395"/>
    <w:rsid w:val="23497CD6"/>
    <w:rsid w:val="238E0DF3"/>
    <w:rsid w:val="2428669F"/>
    <w:rsid w:val="2446648F"/>
    <w:rsid w:val="24BD373E"/>
    <w:rsid w:val="25034EC9"/>
    <w:rsid w:val="25333A00"/>
    <w:rsid w:val="255A71DF"/>
    <w:rsid w:val="25D725DE"/>
    <w:rsid w:val="268B11AE"/>
    <w:rsid w:val="26B92B48"/>
    <w:rsid w:val="26D42DA7"/>
    <w:rsid w:val="27180CF3"/>
    <w:rsid w:val="271E5FEA"/>
    <w:rsid w:val="27467EF5"/>
    <w:rsid w:val="27F836D0"/>
    <w:rsid w:val="28616AD6"/>
    <w:rsid w:val="2A50295A"/>
    <w:rsid w:val="2A5A1218"/>
    <w:rsid w:val="2A8C0D5B"/>
    <w:rsid w:val="2AF43C32"/>
    <w:rsid w:val="2BA61A79"/>
    <w:rsid w:val="2BD1187D"/>
    <w:rsid w:val="2BE025DA"/>
    <w:rsid w:val="2C3712E3"/>
    <w:rsid w:val="2DB72CF5"/>
    <w:rsid w:val="2E4C5B33"/>
    <w:rsid w:val="2E5566BD"/>
    <w:rsid w:val="2F572B0A"/>
    <w:rsid w:val="2FD933F6"/>
    <w:rsid w:val="2FDC7BBE"/>
    <w:rsid w:val="306616BE"/>
    <w:rsid w:val="311E4488"/>
    <w:rsid w:val="315947EF"/>
    <w:rsid w:val="323C0D6B"/>
    <w:rsid w:val="33B73A4E"/>
    <w:rsid w:val="33CB1208"/>
    <w:rsid w:val="34191506"/>
    <w:rsid w:val="343969C7"/>
    <w:rsid w:val="353E45D5"/>
    <w:rsid w:val="360F1719"/>
    <w:rsid w:val="36BB3856"/>
    <w:rsid w:val="37421881"/>
    <w:rsid w:val="38471845"/>
    <w:rsid w:val="390F5430"/>
    <w:rsid w:val="392562C1"/>
    <w:rsid w:val="39355B41"/>
    <w:rsid w:val="3A411C9C"/>
    <w:rsid w:val="3AF5349D"/>
    <w:rsid w:val="3B9954E6"/>
    <w:rsid w:val="3BCC2061"/>
    <w:rsid w:val="3C241E9D"/>
    <w:rsid w:val="3CCB2319"/>
    <w:rsid w:val="3CCF562A"/>
    <w:rsid w:val="3D163594"/>
    <w:rsid w:val="3DAA7C2D"/>
    <w:rsid w:val="3E1D4DF6"/>
    <w:rsid w:val="3E3005ED"/>
    <w:rsid w:val="3E414478"/>
    <w:rsid w:val="3E5A1BA6"/>
    <w:rsid w:val="3E830253"/>
    <w:rsid w:val="3EA90437"/>
    <w:rsid w:val="3ECB4852"/>
    <w:rsid w:val="406C6D61"/>
    <w:rsid w:val="4114603C"/>
    <w:rsid w:val="414803DC"/>
    <w:rsid w:val="42013BCE"/>
    <w:rsid w:val="428122F0"/>
    <w:rsid w:val="43F839F3"/>
    <w:rsid w:val="441F3108"/>
    <w:rsid w:val="442742D8"/>
    <w:rsid w:val="44BF6C07"/>
    <w:rsid w:val="44E16B7D"/>
    <w:rsid w:val="456A0C8B"/>
    <w:rsid w:val="457277D5"/>
    <w:rsid w:val="45F80164"/>
    <w:rsid w:val="46F15E80"/>
    <w:rsid w:val="475C14F1"/>
    <w:rsid w:val="47B749B2"/>
    <w:rsid w:val="47C973F3"/>
    <w:rsid w:val="47E312CD"/>
    <w:rsid w:val="49D30BCF"/>
    <w:rsid w:val="4A4E5B36"/>
    <w:rsid w:val="4BAD5A0B"/>
    <w:rsid w:val="4C457E70"/>
    <w:rsid w:val="4C481290"/>
    <w:rsid w:val="4D243AAB"/>
    <w:rsid w:val="4DF755E4"/>
    <w:rsid w:val="4E473EF5"/>
    <w:rsid w:val="4E6333C2"/>
    <w:rsid w:val="4E94611F"/>
    <w:rsid w:val="4E964623"/>
    <w:rsid w:val="4F7505EE"/>
    <w:rsid w:val="4FBF7ABB"/>
    <w:rsid w:val="4FDF1F0B"/>
    <w:rsid w:val="4FE01B9C"/>
    <w:rsid w:val="50420B6B"/>
    <w:rsid w:val="506F4EF7"/>
    <w:rsid w:val="50F32123"/>
    <w:rsid w:val="516A73D8"/>
    <w:rsid w:val="52CF663C"/>
    <w:rsid w:val="53634C01"/>
    <w:rsid w:val="53F817ED"/>
    <w:rsid w:val="54C33BA9"/>
    <w:rsid w:val="54DD5A80"/>
    <w:rsid w:val="55241A43"/>
    <w:rsid w:val="55FF3307"/>
    <w:rsid w:val="56350AD7"/>
    <w:rsid w:val="571E5E9C"/>
    <w:rsid w:val="57EA3B43"/>
    <w:rsid w:val="58053E40"/>
    <w:rsid w:val="58A2137B"/>
    <w:rsid w:val="58E23382"/>
    <w:rsid w:val="58F330AF"/>
    <w:rsid w:val="597C285A"/>
    <w:rsid w:val="59CA4715"/>
    <w:rsid w:val="5A317807"/>
    <w:rsid w:val="5A5D35E6"/>
    <w:rsid w:val="5A715E56"/>
    <w:rsid w:val="5A7D1380"/>
    <w:rsid w:val="5B10566E"/>
    <w:rsid w:val="5C223512"/>
    <w:rsid w:val="5CFC343A"/>
    <w:rsid w:val="5DD21301"/>
    <w:rsid w:val="5DDE7CA6"/>
    <w:rsid w:val="5E323CBE"/>
    <w:rsid w:val="5ED315A3"/>
    <w:rsid w:val="5EEA4D81"/>
    <w:rsid w:val="5F683CCB"/>
    <w:rsid w:val="5F9A7BFD"/>
    <w:rsid w:val="5FDC0AAF"/>
    <w:rsid w:val="60357A43"/>
    <w:rsid w:val="615362B5"/>
    <w:rsid w:val="62492FA9"/>
    <w:rsid w:val="629D1EDE"/>
    <w:rsid w:val="632048BD"/>
    <w:rsid w:val="63770981"/>
    <w:rsid w:val="646709F5"/>
    <w:rsid w:val="65D3265C"/>
    <w:rsid w:val="665723A3"/>
    <w:rsid w:val="66641A48"/>
    <w:rsid w:val="66B92094"/>
    <w:rsid w:val="67400F3B"/>
    <w:rsid w:val="67E33E17"/>
    <w:rsid w:val="67F82328"/>
    <w:rsid w:val="681E586F"/>
    <w:rsid w:val="68541290"/>
    <w:rsid w:val="68E343C2"/>
    <w:rsid w:val="690D1D75"/>
    <w:rsid w:val="69470DF5"/>
    <w:rsid w:val="6A492BFA"/>
    <w:rsid w:val="6B37459F"/>
    <w:rsid w:val="6BA17D14"/>
    <w:rsid w:val="6BA8358E"/>
    <w:rsid w:val="6BEB1764"/>
    <w:rsid w:val="6BF1343B"/>
    <w:rsid w:val="6C1115F1"/>
    <w:rsid w:val="6C57134F"/>
    <w:rsid w:val="6CC67436"/>
    <w:rsid w:val="6D987FF5"/>
    <w:rsid w:val="6DC14E5F"/>
    <w:rsid w:val="6DC42A14"/>
    <w:rsid w:val="6DF75C0B"/>
    <w:rsid w:val="6E257588"/>
    <w:rsid w:val="6E60636A"/>
    <w:rsid w:val="6E906C2E"/>
    <w:rsid w:val="6F125DCB"/>
    <w:rsid w:val="6FF375E1"/>
    <w:rsid w:val="70231548"/>
    <w:rsid w:val="70692E40"/>
    <w:rsid w:val="70C42D2B"/>
    <w:rsid w:val="71213150"/>
    <w:rsid w:val="725825F0"/>
    <w:rsid w:val="72B9527B"/>
    <w:rsid w:val="72D33F5D"/>
    <w:rsid w:val="73441F01"/>
    <w:rsid w:val="741B2C62"/>
    <w:rsid w:val="742A559B"/>
    <w:rsid w:val="743D707D"/>
    <w:rsid w:val="74DE1CCD"/>
    <w:rsid w:val="74F55BA9"/>
    <w:rsid w:val="750E0DF9"/>
    <w:rsid w:val="75114065"/>
    <w:rsid w:val="755328D0"/>
    <w:rsid w:val="75D05CCE"/>
    <w:rsid w:val="777859B9"/>
    <w:rsid w:val="780103C1"/>
    <w:rsid w:val="78144598"/>
    <w:rsid w:val="7820701B"/>
    <w:rsid w:val="786F5C73"/>
    <w:rsid w:val="79330C25"/>
    <w:rsid w:val="794E7636"/>
    <w:rsid w:val="7989477E"/>
    <w:rsid w:val="79F739EB"/>
    <w:rsid w:val="7AF16E13"/>
    <w:rsid w:val="7B490E2C"/>
    <w:rsid w:val="7B53323E"/>
    <w:rsid w:val="7C832859"/>
    <w:rsid w:val="7D2E334A"/>
    <w:rsid w:val="7E7A4B80"/>
    <w:rsid w:val="7EA8258B"/>
    <w:rsid w:val="7EB037B2"/>
    <w:rsid w:val="7F0F7867"/>
    <w:rsid w:val="7FF07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jc w:val="both"/>
    </w:pPr>
    <w:rPr>
      <w:kern w:val="2"/>
      <w:sz w:val="21"/>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footer"/>
    <w:basedOn w:val="a"/>
    <w:pPr>
      <w:tabs>
        <w:tab w:val="center" w:pos="4153"/>
        <w:tab w:val="right" w:pos="8306"/>
      </w:tabs>
      <w:snapToGrid w:val="0"/>
      <w:jc w:val="left"/>
    </w:pPr>
    <w:rPr>
      <w:sz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uiPriority w:val="99"/>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customStyle="1" w:styleId="Default">
    <w:name w:val="Default"/>
    <w:uiPriority w:val="99"/>
    <w:unhideWhenUsed/>
    <w:pPr>
      <w:widowControl w:val="0"/>
      <w:autoSpaceDE w:val="0"/>
      <w:autoSpaceDN w:val="0"/>
      <w:adjustRightInd w:val="0"/>
    </w:pPr>
    <w:rPr>
      <w:rFonts w:ascii="黑体" w:eastAsia="黑体" w:hAnsi="黑体" w:hint="eastAsia"/>
      <w:color w:val="000000"/>
      <w:sz w:val="24"/>
      <w:szCs w:val="24"/>
    </w:rPr>
  </w:style>
  <w:style w:type="paragraph" w:styleId="a6">
    <w:name w:val="Balloon Text"/>
    <w:basedOn w:val="a"/>
    <w:link w:val="Char"/>
    <w:rsid w:val="006F167A"/>
    <w:rPr>
      <w:sz w:val="18"/>
      <w:szCs w:val="18"/>
    </w:rPr>
  </w:style>
  <w:style w:type="character" w:customStyle="1" w:styleId="Char">
    <w:name w:val="批注框文本 Char"/>
    <w:link w:val="a6"/>
    <w:rsid w:val="006F167A"/>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jc w:val="both"/>
    </w:pPr>
    <w:rPr>
      <w:kern w:val="2"/>
      <w:sz w:val="21"/>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footer"/>
    <w:basedOn w:val="a"/>
    <w:pPr>
      <w:tabs>
        <w:tab w:val="center" w:pos="4153"/>
        <w:tab w:val="right" w:pos="8306"/>
      </w:tabs>
      <w:snapToGrid w:val="0"/>
      <w:jc w:val="left"/>
    </w:pPr>
    <w:rPr>
      <w:sz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uiPriority w:val="99"/>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customStyle="1" w:styleId="Default">
    <w:name w:val="Default"/>
    <w:uiPriority w:val="99"/>
    <w:unhideWhenUsed/>
    <w:pPr>
      <w:widowControl w:val="0"/>
      <w:autoSpaceDE w:val="0"/>
      <w:autoSpaceDN w:val="0"/>
      <w:adjustRightInd w:val="0"/>
    </w:pPr>
    <w:rPr>
      <w:rFonts w:ascii="黑体" w:eastAsia="黑体" w:hAnsi="黑体" w:hint="eastAsia"/>
      <w:color w:val="000000"/>
      <w:sz w:val="24"/>
      <w:szCs w:val="24"/>
    </w:rPr>
  </w:style>
  <w:style w:type="paragraph" w:styleId="a6">
    <w:name w:val="Balloon Text"/>
    <w:basedOn w:val="a"/>
    <w:link w:val="Char"/>
    <w:rsid w:val="006F167A"/>
    <w:rPr>
      <w:sz w:val="18"/>
      <w:szCs w:val="18"/>
    </w:rPr>
  </w:style>
  <w:style w:type="character" w:customStyle="1" w:styleId="Char">
    <w:name w:val="批注框文本 Char"/>
    <w:link w:val="a6"/>
    <w:rsid w:val="006F167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2288</Words>
  <Characters>2907</Characters>
  <Application>Microsoft Office Word</Application>
  <DocSecurity>0</DocSecurity>
  <Lines>363</Lines>
  <Paragraphs>305</Paragraphs>
  <ScaleCrop>false</ScaleCrop>
  <Company>Microsoft</Company>
  <LinksUpToDate>false</LinksUpToDate>
  <CharactersWithSpaces>4890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zhengbo</dc:creator>
  <cp:lastModifiedBy>hsq</cp:lastModifiedBy>
  <cp:revision>2</cp:revision>
  <cp:lastPrinted>2026-02-10T06:47:00Z</cp:lastPrinted>
  <dcterms:created xsi:type="dcterms:W3CDTF">2026-03-30T07:38:00Z</dcterms:created>
  <dcterms:modified xsi:type="dcterms:W3CDTF">2026-03-30T07:38:00Z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eyJoZGlkIjoiYjc3NTVmODk5OWI4YTU0YmU5MTlhYzJjMjBkNzFlNmEiLCJ1c2VySWQiOiIyNDMwNTgyMjAifQ==</vt:lpwstr>
  </property>
  <property fmtid="{D5CDD505-2E9C-101B-9397-08002B2CF9AE}" pid="4" name="ICV">
    <vt:lpwstr>B623873D97C14B7CBF73F7DC9F2A94FC_13</vt:lpwstr>
  </property>
</Properties>
</file>