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53DB58">
      <w:pPr>
        <w:autoSpaceDE w:val="0"/>
        <w:autoSpaceDN w:val="0"/>
        <w:adjustRightInd w:val="0"/>
        <w:spacing w:line="360" w:lineRule="auto"/>
        <w:jc w:val="center"/>
        <w:rPr>
          <w:rFonts w:ascii="仿宋" w:hAnsi="仿宋" w:eastAsia="仿宋"/>
          <w:color w:val="000000"/>
          <w:kern w:val="2"/>
          <w:sz w:val="28"/>
          <w:szCs w:val="20"/>
        </w:rPr>
      </w:pPr>
      <w:r>
        <w:rPr>
          <w:rFonts w:hint="eastAsia" w:ascii="仿宋" w:hAnsi="仿宋" w:eastAsia="仿宋"/>
          <w:color w:val="000000"/>
          <w:kern w:val="2"/>
          <w:sz w:val="28"/>
          <w:szCs w:val="20"/>
        </w:rPr>
        <w:t>证券代码：301178        证券简称：天亿马          公告编号：2026-014</w:t>
      </w:r>
    </w:p>
    <w:p w14:paraId="357E4EFD">
      <w:pPr>
        <w:autoSpaceDE w:val="0"/>
        <w:autoSpaceDN w:val="0"/>
        <w:adjustRightInd w:val="0"/>
        <w:spacing w:line="360" w:lineRule="auto"/>
        <w:jc w:val="center"/>
        <w:rPr>
          <w:rFonts w:ascii="黑体" w:hAnsi="黑体" w:eastAsia="黑体"/>
          <w:kern w:val="2"/>
          <w:sz w:val="36"/>
          <w:szCs w:val="36"/>
        </w:rPr>
      </w:pPr>
      <w:r>
        <w:rPr>
          <w:rFonts w:hint="eastAsia" w:ascii="黑体" w:hAnsi="黑体" w:eastAsia="黑体"/>
          <w:kern w:val="2"/>
          <w:sz w:val="36"/>
          <w:szCs w:val="36"/>
        </w:rPr>
        <w:t>广东天亿马信息产业股份有限公司</w:t>
      </w:r>
    </w:p>
    <w:p w14:paraId="3E290CEF">
      <w:pPr>
        <w:autoSpaceDE w:val="0"/>
        <w:autoSpaceDN w:val="0"/>
        <w:adjustRightInd w:val="0"/>
        <w:spacing w:line="360" w:lineRule="auto"/>
        <w:jc w:val="center"/>
        <w:rPr>
          <w:rFonts w:ascii="黑体" w:hAnsi="黑体" w:eastAsia="黑体"/>
          <w:kern w:val="2"/>
          <w:sz w:val="36"/>
          <w:szCs w:val="36"/>
        </w:rPr>
      </w:pPr>
      <w:r>
        <w:rPr>
          <w:rFonts w:hint="eastAsia" w:ascii="黑体" w:hAnsi="黑体" w:eastAsia="黑体"/>
          <w:kern w:val="2"/>
          <w:sz w:val="36"/>
          <w:szCs w:val="36"/>
        </w:rPr>
        <w:t>关于2025年度利润分配预案的公告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0"/>
      </w:tblGrid>
      <w:tr w14:paraId="20CBA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9000" w:type="dxa"/>
            <w:tcBorders>
              <w:top w:val="single" w:color="auto" w:sz="4" w:space="0"/>
              <w:left w:val="single" w:color="auto" w:sz="4" w:space="0"/>
              <w:bottom w:val="single" w:color="auto" w:sz="4" w:space="0"/>
              <w:right w:val="single" w:color="auto" w:sz="4" w:space="0"/>
            </w:tcBorders>
          </w:tcPr>
          <w:p w14:paraId="68855392">
            <w:pPr>
              <w:widowControl/>
              <w:spacing w:before="156" w:beforeLines="50" w:after="156" w:afterLines="50" w:line="440" w:lineRule="exact"/>
              <w:ind w:firstLine="560" w:firstLineChars="200"/>
              <w:rPr>
                <w:rFonts w:ascii="楷体" w:hAnsi="楷体" w:eastAsia="楷体" w:cs="宋体"/>
                <w:color w:val="000000"/>
                <w:sz w:val="28"/>
              </w:rPr>
            </w:pPr>
            <w:r>
              <w:rPr>
                <w:rFonts w:hint="eastAsia" w:ascii="楷体" w:hAnsi="楷体" w:eastAsia="楷体" w:cs="宋体"/>
                <w:color w:val="000000"/>
                <w:sz w:val="28"/>
              </w:rPr>
              <w:t>本公司及董事会全体成员保证信息披露内容的真实、准确和完整，没有虚假记载、误导性陈述或重大遗漏。</w:t>
            </w:r>
          </w:p>
        </w:tc>
      </w:tr>
    </w:tbl>
    <w:p w14:paraId="193BA218">
      <w:pPr>
        <w:ind w:firstLine="560" w:firstLineChars="200"/>
        <w:jc w:val="both"/>
        <w:outlineLvl w:val="0"/>
        <w:rPr>
          <w:rFonts w:ascii="仿宋" w:hAnsi="仿宋" w:eastAsia="仿宋"/>
          <w:b/>
          <w:kern w:val="2"/>
          <w:sz w:val="28"/>
          <w:szCs w:val="28"/>
        </w:rPr>
      </w:pPr>
      <w:r>
        <w:rPr>
          <w:rFonts w:hint="eastAsia" w:ascii="仿宋" w:hAnsi="仿宋" w:eastAsia="仿宋"/>
          <w:b/>
          <w:kern w:val="2"/>
          <w:sz w:val="28"/>
          <w:szCs w:val="28"/>
        </w:rPr>
        <w:t>特别提示：</w:t>
      </w:r>
    </w:p>
    <w:p w14:paraId="331DD634">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1.广东天亿马信息产业股份有限公司（以下简称“公司”“天亿马”）2025年度利润分配预案为：以2025年12月31日的总股本扣除回购账户所持有股份后的65,628,660股为基数，每10股派发现金0.5元，以资本公积金每10股转增4股，不送红股。若在利润分配方案公告后至实施前，公司出现股权激励行权、股份回购等股本总额发生变动情形时，将按照“现金分红总额、资本公积金转增股本总额固定不变”的原则对分配比例进行调整。</w:t>
      </w:r>
    </w:p>
    <w:p w14:paraId="06B234DE">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该预案尚需提交股东会审议通过后方可实施。</w:t>
      </w:r>
    </w:p>
    <w:p w14:paraId="409F28ED">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2.公司利润分配预案不涉及《深圳证券交易所创业板股票上市规则》第9.4条相关规定的可能被实施其他风险警示情形。</w:t>
      </w:r>
    </w:p>
    <w:p w14:paraId="4984D3B1">
      <w:pPr>
        <w:spacing w:line="360" w:lineRule="auto"/>
        <w:ind w:firstLine="560" w:firstLineChars="200"/>
        <w:jc w:val="both"/>
      </w:pPr>
      <w:r>
        <w:rPr>
          <w:rFonts w:hint="eastAsia" w:ascii="仿宋" w:hAnsi="仿宋" w:eastAsia="仿宋"/>
          <w:kern w:val="2"/>
          <w:sz w:val="28"/>
          <w:szCs w:val="28"/>
        </w:rPr>
        <w:t>3.公司2025年度利润分配预案经股东会审议通过后，将按照相关法律法规及规范性文件的要求另行发布权益分派实施公告，明确股权登记日、除权除息日等分派信息，敬请投资者留意相关公告。</w:t>
      </w:r>
    </w:p>
    <w:p w14:paraId="389BC2DE">
      <w:pPr>
        <w:ind w:firstLine="560" w:firstLineChars="200"/>
        <w:jc w:val="both"/>
        <w:outlineLvl w:val="0"/>
        <w:rPr>
          <w:rFonts w:ascii="仿宋" w:hAnsi="仿宋" w:eastAsia="仿宋"/>
          <w:b/>
          <w:kern w:val="2"/>
          <w:sz w:val="28"/>
          <w:szCs w:val="28"/>
        </w:rPr>
      </w:pPr>
      <w:bookmarkStart w:id="0" w:name="_Toc988889"/>
      <w:r>
        <w:rPr>
          <w:rFonts w:hint="eastAsia" w:ascii="仿宋" w:hAnsi="仿宋" w:eastAsia="仿宋"/>
          <w:b/>
          <w:kern w:val="2"/>
          <w:sz w:val="28"/>
          <w:szCs w:val="28"/>
        </w:rPr>
        <w:t>一、审议程序</w:t>
      </w:r>
      <w:bookmarkEnd w:id="0"/>
    </w:p>
    <w:p w14:paraId="4D34E567">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（一）独立董事专门会议审议情况</w:t>
      </w:r>
    </w:p>
    <w:p w14:paraId="2EB60250">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公司董事会于2026年3月29日召开了第四届董事会第二次独立董事专门会议，以3票同意、0票反对、0票弃权审议通过了《关于2025年度利润分配预案的议案》。经核查，独立董事认为：公司2025年度利润分配预案符合法律、法规及《公司章程》等相关规定，符合公司整体发展战略和实际情况，不存在损害公司及全体股东尤其是中小股东的利益。一致同意将该议案提交至董事会审议。</w:t>
      </w:r>
    </w:p>
    <w:p w14:paraId="3F59311E">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（二）审计委审议情况</w:t>
      </w:r>
    </w:p>
    <w:p w14:paraId="3B091261">
      <w:pPr>
        <w:spacing w:line="360" w:lineRule="auto"/>
        <w:ind w:firstLine="560" w:firstLineChars="200"/>
        <w:jc w:val="both"/>
        <w:rPr>
          <w:rFonts w:ascii="宋体" w:hAnsi="宋体" w:cs="宋体"/>
          <w:szCs w:val="21"/>
        </w:rPr>
      </w:pPr>
      <w:r>
        <w:rPr>
          <w:rFonts w:hint="eastAsia" w:ascii="仿宋" w:hAnsi="仿宋" w:eastAsia="仿宋"/>
          <w:kern w:val="2"/>
          <w:sz w:val="28"/>
          <w:szCs w:val="28"/>
        </w:rPr>
        <w:t>公司董事会审计委员会于2026年3月29日召开第四届董事会审计委员会第六次会议，以3票同意、0票反对、0票弃权审议通过了《关于2025年度利润分配预案的议案》，并同意提交至董事会审议。</w:t>
      </w:r>
      <w:r>
        <w:rPr>
          <w:rFonts w:hint="eastAsia" w:ascii="宋体" w:hAnsi="宋体" w:cs="宋体"/>
          <w:szCs w:val="21"/>
        </w:rPr>
        <w:t> </w:t>
      </w:r>
    </w:p>
    <w:p w14:paraId="1089BFC6">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（三）董事会审议情况</w:t>
      </w:r>
    </w:p>
    <w:p w14:paraId="1FA85D29">
      <w:pPr>
        <w:spacing w:line="360" w:lineRule="auto"/>
        <w:ind w:firstLine="560" w:firstLineChars="200"/>
        <w:jc w:val="both"/>
        <w:rPr>
          <w:rFonts w:ascii="宋体" w:hAnsi="宋体" w:cs="宋体"/>
          <w:szCs w:val="21"/>
        </w:rPr>
      </w:pPr>
      <w:r>
        <w:rPr>
          <w:rFonts w:hint="eastAsia" w:ascii="仿宋" w:hAnsi="仿宋" w:eastAsia="仿宋"/>
          <w:kern w:val="2"/>
          <w:sz w:val="28"/>
          <w:szCs w:val="28"/>
        </w:rPr>
        <w:t>公司于2026年3月30日召开第四届董事会第五次会议，以8票同意、0票反对、0票弃权审议通过了《关于2025年度利润分配预案的议案》，该预案须提交公司2025年年度股东会审议通过后方可实施。</w:t>
      </w:r>
    </w:p>
    <w:p w14:paraId="62420E06">
      <w:pPr>
        <w:ind w:firstLine="560" w:firstLineChars="200"/>
        <w:jc w:val="both"/>
        <w:outlineLvl w:val="0"/>
        <w:rPr>
          <w:rFonts w:ascii="仿宋" w:hAnsi="仿宋" w:eastAsia="仿宋"/>
          <w:b/>
          <w:kern w:val="2"/>
          <w:sz w:val="28"/>
          <w:szCs w:val="28"/>
        </w:rPr>
      </w:pPr>
      <w:bookmarkStart w:id="1" w:name="_Toc988890"/>
      <w:r>
        <w:rPr>
          <w:rFonts w:hint="eastAsia" w:ascii="仿宋" w:hAnsi="仿宋" w:eastAsia="仿宋"/>
          <w:b/>
          <w:kern w:val="2"/>
          <w:sz w:val="28"/>
          <w:szCs w:val="28"/>
        </w:rPr>
        <w:t>二、利润分配和资本公积金转增股本方案的基本情况</w:t>
      </w:r>
      <w:bookmarkEnd w:id="1"/>
    </w:p>
    <w:p w14:paraId="2BFC39BE">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（一）本次利润分配和资本公积金转增股本方案的基本内容</w:t>
      </w:r>
    </w:p>
    <w:p w14:paraId="470E1615">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1.本次利润分配预案为2025年度利润分配。</w:t>
      </w:r>
    </w:p>
    <w:p w14:paraId="57A76F72">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2.按照《中华人民共和国公司法》和《公司章程》规定，公司不存在需要弥补亏损、提取法定公积金、提取任意公积金的情况。</w:t>
      </w:r>
    </w:p>
    <w:p w14:paraId="1674B156">
      <w:pPr>
        <w:spacing w:line="360" w:lineRule="auto"/>
        <w:ind w:firstLine="560" w:firstLineChars="200"/>
        <w:jc w:val="both"/>
        <w:rPr>
          <w:rFonts w:ascii="仿宋" w:hAnsi="仿宋" w:eastAsia="仿宋"/>
          <w:color w:val="0000FF"/>
          <w:kern w:val="2"/>
          <w:sz w:val="28"/>
          <w:szCs w:val="28"/>
        </w:rPr>
      </w:pPr>
      <w:r>
        <w:rPr>
          <w:rFonts w:hint="eastAsia" w:ascii="仿宋" w:hAnsi="仿宋" w:eastAsia="仿宋"/>
          <w:kern w:val="2"/>
          <w:sz w:val="28"/>
          <w:szCs w:val="28"/>
        </w:rPr>
        <w:t>经中审亚太会计师事务所（特殊普通合伙）审计，天亿马母公司2025年实现净利润为-1,672,085.66元，加上期初未分配利润102,082,956.33元，报告期末母公司实际可分配利润为100,436,470.67元，资本公积金余额为605,387,759.48元；公司合并报表实际可分配的未分配利润为127,798,551.42元。根据利润分配应以母公司的可供分配利润及合并报表的可供分配利润孰低原则，公司2025年度可供股东分配的利润为100,436,470.67元。</w:t>
      </w:r>
    </w:p>
    <w:p w14:paraId="0A8FC607">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3.根据实际经营状况，公司以2025年12月31日的总股本扣除回购账户所持有股份后的65,628,660股为基数，每10股派发现金0.5元，以资本公积金每10股转增4股，不送红股。本次预计现金分红总额3,281,433.00元（含税）。</w:t>
      </w:r>
    </w:p>
    <w:p w14:paraId="767ACB7B">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4.本次利润分配实施后，2025年度累计分红总额为3,281,433.00元（含税），占本年度母公司净利润的196.25%；2025年度，公司以自有资金采用集中竞价方式回购股份金额为0元。本次现金分红实施完成后，2025年度公司现金分红总和股份回购总额为3,281,433.00元，占本年度母公司净利润的196.25%；以现金为对价，采用集中竞价方式回购股份并注销的回购金额为0元，现金分红和回购并注销金额合计3,281,433.00元（含税），占本年度上市公司股东净利润的43.81%。</w:t>
      </w:r>
    </w:p>
    <w:p w14:paraId="517B97F8">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5.本次利润分配实施后，公司总股本将由66,852,800股增加至93,104,264股。</w:t>
      </w:r>
    </w:p>
    <w:p w14:paraId="39EDFEBE">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(二）本次利润分配方案调整原则</w:t>
      </w:r>
    </w:p>
    <w:p w14:paraId="7E361809">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若在利润分配方案公告后至实施前，公司出现股权激励行权、股份回购等股本总额发生变动情形时，将按照“现金分红总额、资本公积金转增股本总额固定不变”的原则对分配比例进行调整。</w:t>
      </w:r>
    </w:p>
    <w:p w14:paraId="5FA092D5">
      <w:pPr>
        <w:ind w:firstLine="560" w:firstLineChars="200"/>
        <w:jc w:val="both"/>
        <w:outlineLvl w:val="0"/>
        <w:rPr>
          <w:rFonts w:ascii="仿宋" w:hAnsi="仿宋" w:eastAsia="仿宋"/>
          <w:b/>
          <w:kern w:val="2"/>
          <w:sz w:val="28"/>
          <w:szCs w:val="28"/>
        </w:rPr>
      </w:pPr>
      <w:bookmarkStart w:id="2" w:name="_Toc988891"/>
      <w:r>
        <w:rPr>
          <w:rFonts w:hint="eastAsia" w:ascii="仿宋" w:hAnsi="仿宋" w:eastAsia="仿宋"/>
          <w:b/>
          <w:kern w:val="2"/>
          <w:sz w:val="28"/>
          <w:szCs w:val="28"/>
        </w:rPr>
        <w:t>三、现金分红方案的具体情况</w:t>
      </w:r>
      <w:bookmarkEnd w:id="2"/>
    </w:p>
    <w:p w14:paraId="628EB267">
      <w:pPr>
        <w:spacing w:line="360" w:lineRule="auto"/>
        <w:ind w:firstLine="560" w:firstLineChars="200"/>
        <w:jc w:val="both"/>
        <w:rPr>
          <w:rFonts w:ascii="仿宋" w:hAnsi="仿宋" w:eastAsia="仿宋"/>
          <w:kern w:val="2"/>
          <w:sz w:val="28"/>
          <w:szCs w:val="28"/>
        </w:rPr>
      </w:pPr>
      <w:bookmarkStart w:id="3" w:name="_Toc988892"/>
      <w:r>
        <w:rPr>
          <w:rFonts w:hint="eastAsia" w:ascii="仿宋" w:hAnsi="仿宋" w:eastAsia="仿宋"/>
          <w:kern w:val="2"/>
          <w:sz w:val="28"/>
          <w:szCs w:val="28"/>
        </w:rPr>
        <w:t>（一）是否可能触及其他风险警示情形</w:t>
      </w:r>
      <w:bookmarkEnd w:id="3"/>
    </w:p>
    <w:p w14:paraId="44A7C832">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1．上市公司披露年度现金分红方案（含不分红）的，应当列示下列指标：</w:t>
      </w:r>
    </w:p>
    <w:tbl>
      <w:tblPr>
        <w:tblStyle w:val="7"/>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6DC49D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2A468FD">
            <w:pPr>
              <w:spacing w:line="400" w:lineRule="exact"/>
              <w:jc w:val="center"/>
              <w:rPr>
                <w:rFonts w:eastAsia="仿宋"/>
                <w:b/>
                <w:bCs/>
                <w:sz w:val="24"/>
                <w:szCs w:val="24"/>
              </w:rPr>
            </w:pPr>
            <w:r>
              <w:rPr>
                <w:rFonts w:eastAsia="仿宋"/>
                <w:b/>
                <w:bCs/>
                <w:sz w:val="24"/>
                <w:szCs w:val="24"/>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38C5AD">
            <w:pPr>
              <w:spacing w:line="400" w:lineRule="exact"/>
              <w:jc w:val="center"/>
              <w:rPr>
                <w:rFonts w:eastAsia="仿宋"/>
                <w:b/>
                <w:bCs/>
                <w:sz w:val="24"/>
                <w:szCs w:val="24"/>
              </w:rPr>
            </w:pPr>
            <w:r>
              <w:rPr>
                <w:rFonts w:eastAsia="仿宋"/>
                <w:b/>
                <w:bCs/>
                <w:sz w:val="24"/>
                <w:szCs w:val="24"/>
              </w:rPr>
              <w:t>本年度</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71489F">
            <w:pPr>
              <w:spacing w:line="400" w:lineRule="exact"/>
              <w:jc w:val="center"/>
              <w:rPr>
                <w:rFonts w:eastAsia="仿宋"/>
                <w:b/>
                <w:bCs/>
                <w:sz w:val="24"/>
                <w:szCs w:val="24"/>
              </w:rPr>
            </w:pPr>
            <w:r>
              <w:rPr>
                <w:rFonts w:eastAsia="仿宋"/>
                <w:b/>
                <w:bCs/>
                <w:sz w:val="24"/>
                <w:szCs w:val="24"/>
              </w:rPr>
              <w:t>上年度</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E75323F">
            <w:pPr>
              <w:spacing w:line="400" w:lineRule="exact"/>
              <w:jc w:val="center"/>
              <w:rPr>
                <w:rFonts w:eastAsia="仿宋"/>
                <w:b/>
                <w:bCs/>
                <w:sz w:val="24"/>
                <w:szCs w:val="24"/>
              </w:rPr>
            </w:pPr>
            <w:r>
              <w:rPr>
                <w:rFonts w:eastAsia="仿宋"/>
                <w:b/>
                <w:bCs/>
                <w:sz w:val="24"/>
                <w:szCs w:val="24"/>
              </w:rPr>
              <w:t>上上年度</w:t>
            </w:r>
          </w:p>
        </w:tc>
      </w:tr>
      <w:tr w14:paraId="711110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67305AEF">
            <w:pPr>
              <w:spacing w:line="400" w:lineRule="exact"/>
              <w:rPr>
                <w:rFonts w:eastAsia="仿宋"/>
                <w:sz w:val="24"/>
                <w:szCs w:val="24"/>
              </w:rPr>
            </w:pPr>
            <w:r>
              <w:rPr>
                <w:rFonts w:eastAsia="仿宋"/>
                <w:sz w:val="24"/>
                <w:szCs w:val="24"/>
              </w:rPr>
              <w:t>现金分红总额（元）</w:t>
            </w:r>
          </w:p>
        </w:tc>
        <w:tc>
          <w:tcPr>
            <w:tcW w:w="2410" w:type="dxa"/>
            <w:tcBorders>
              <w:top w:val="single" w:color="auto" w:sz="2" w:space="0"/>
              <w:left w:val="single" w:color="auto" w:sz="2" w:space="0"/>
              <w:bottom w:val="single" w:color="auto" w:sz="2" w:space="0"/>
              <w:right w:val="single" w:color="auto" w:sz="2" w:space="0"/>
            </w:tcBorders>
            <w:vAlign w:val="center"/>
          </w:tcPr>
          <w:p w14:paraId="5AB5B2E5">
            <w:pPr>
              <w:spacing w:line="400" w:lineRule="exact"/>
              <w:jc w:val="right"/>
              <w:rPr>
                <w:rFonts w:eastAsia="仿宋"/>
                <w:sz w:val="24"/>
                <w:szCs w:val="24"/>
              </w:rPr>
            </w:pPr>
            <w:r>
              <w:rPr>
                <w:rFonts w:eastAsia="仿宋"/>
                <w:sz w:val="24"/>
                <w:szCs w:val="24"/>
              </w:rPr>
              <w:t>3,281,433</w:t>
            </w:r>
            <w:r>
              <w:rPr>
                <w:rFonts w:hint="eastAsia" w:eastAsia="仿宋"/>
                <w:sz w:val="24"/>
                <w:szCs w:val="24"/>
              </w:rPr>
              <w:t>.00</w:t>
            </w:r>
          </w:p>
        </w:tc>
        <w:tc>
          <w:tcPr>
            <w:tcW w:w="2410" w:type="dxa"/>
            <w:tcBorders>
              <w:top w:val="single" w:color="auto" w:sz="2" w:space="0"/>
              <w:left w:val="single" w:color="auto" w:sz="2" w:space="0"/>
              <w:bottom w:val="single" w:color="auto" w:sz="2" w:space="0"/>
              <w:right w:val="single" w:color="auto" w:sz="2" w:space="0"/>
            </w:tcBorders>
            <w:vAlign w:val="center"/>
          </w:tcPr>
          <w:p w14:paraId="250263CD">
            <w:pPr>
              <w:spacing w:line="400" w:lineRule="exact"/>
              <w:jc w:val="right"/>
              <w:rPr>
                <w:rFonts w:eastAsia="仿宋"/>
                <w:sz w:val="24"/>
                <w:szCs w:val="24"/>
              </w:rPr>
            </w:pPr>
            <w:r>
              <w:rPr>
                <w:rFonts w:eastAsia="仿宋"/>
                <w:sz w:val="24"/>
                <w:szCs w:val="24"/>
              </w:rPr>
              <w:t>0</w:t>
            </w:r>
          </w:p>
        </w:tc>
        <w:tc>
          <w:tcPr>
            <w:tcW w:w="2410" w:type="dxa"/>
            <w:tcBorders>
              <w:top w:val="single" w:color="auto" w:sz="2" w:space="0"/>
              <w:left w:val="single" w:color="auto" w:sz="2" w:space="0"/>
              <w:bottom w:val="single" w:color="auto" w:sz="2" w:space="0"/>
              <w:right w:val="single" w:color="auto" w:sz="2" w:space="0"/>
            </w:tcBorders>
            <w:vAlign w:val="center"/>
          </w:tcPr>
          <w:p w14:paraId="281CC53F">
            <w:pPr>
              <w:spacing w:line="400" w:lineRule="exact"/>
              <w:jc w:val="right"/>
              <w:rPr>
                <w:rFonts w:eastAsia="仿宋"/>
                <w:sz w:val="24"/>
                <w:szCs w:val="24"/>
              </w:rPr>
            </w:pPr>
            <w:r>
              <w:rPr>
                <w:rFonts w:eastAsia="仿宋"/>
                <w:sz w:val="24"/>
                <w:szCs w:val="24"/>
              </w:rPr>
              <w:t>6</w:t>
            </w:r>
            <w:r>
              <w:rPr>
                <w:rFonts w:hint="eastAsia" w:eastAsia="仿宋"/>
                <w:sz w:val="24"/>
                <w:szCs w:val="24"/>
              </w:rPr>
              <w:t>,</w:t>
            </w:r>
            <w:r>
              <w:rPr>
                <w:rFonts w:eastAsia="仿宋"/>
                <w:sz w:val="24"/>
                <w:szCs w:val="24"/>
              </w:rPr>
              <w:t>623</w:t>
            </w:r>
            <w:r>
              <w:rPr>
                <w:rFonts w:hint="eastAsia" w:eastAsia="仿宋"/>
                <w:sz w:val="24"/>
                <w:szCs w:val="24"/>
              </w:rPr>
              <w:t>,</w:t>
            </w:r>
            <w:r>
              <w:rPr>
                <w:rFonts w:eastAsia="仿宋"/>
                <w:sz w:val="24"/>
                <w:szCs w:val="24"/>
              </w:rPr>
              <w:t>066</w:t>
            </w:r>
            <w:r>
              <w:rPr>
                <w:rFonts w:hint="eastAsia" w:eastAsia="仿宋"/>
                <w:sz w:val="24"/>
                <w:szCs w:val="24"/>
              </w:rPr>
              <w:t>.00</w:t>
            </w:r>
          </w:p>
        </w:tc>
      </w:tr>
      <w:tr w14:paraId="2FB35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98E90E4">
            <w:pPr>
              <w:spacing w:line="400" w:lineRule="exact"/>
              <w:rPr>
                <w:rFonts w:eastAsia="仿宋"/>
                <w:sz w:val="24"/>
                <w:szCs w:val="24"/>
              </w:rPr>
            </w:pPr>
            <w:r>
              <w:rPr>
                <w:rFonts w:eastAsia="仿宋"/>
                <w:sz w:val="24"/>
                <w:szCs w:val="24"/>
              </w:rPr>
              <w:t>回购注销总额（元）</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1DCEB445">
            <w:pPr>
              <w:spacing w:line="400" w:lineRule="exact"/>
              <w:jc w:val="right"/>
              <w:rPr>
                <w:rFonts w:eastAsia="仿宋"/>
                <w:sz w:val="24"/>
                <w:szCs w:val="24"/>
              </w:rPr>
            </w:pPr>
            <w:r>
              <w:rPr>
                <w:rFonts w:eastAsia="仿宋"/>
                <w:sz w:val="24"/>
                <w:szCs w:val="24"/>
              </w:rPr>
              <w:t>0</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7F68D9C">
            <w:pPr>
              <w:spacing w:line="400" w:lineRule="exact"/>
              <w:jc w:val="right"/>
              <w:rPr>
                <w:rFonts w:eastAsia="仿宋"/>
                <w:sz w:val="24"/>
                <w:szCs w:val="24"/>
              </w:rPr>
            </w:pPr>
            <w:r>
              <w:rPr>
                <w:rFonts w:eastAsia="仿宋"/>
                <w:sz w:val="24"/>
                <w:szCs w:val="24"/>
              </w:rPr>
              <w:t>0</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418EE75F">
            <w:pPr>
              <w:spacing w:line="400" w:lineRule="exact"/>
              <w:jc w:val="right"/>
              <w:rPr>
                <w:rFonts w:eastAsia="仿宋"/>
                <w:sz w:val="24"/>
                <w:szCs w:val="24"/>
              </w:rPr>
            </w:pPr>
            <w:r>
              <w:rPr>
                <w:rFonts w:eastAsia="仿宋"/>
                <w:sz w:val="24"/>
                <w:szCs w:val="24"/>
              </w:rPr>
              <w:t>0</w:t>
            </w:r>
          </w:p>
        </w:tc>
      </w:tr>
      <w:tr w14:paraId="7E8BF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186C1F6D">
            <w:pPr>
              <w:spacing w:line="400" w:lineRule="exact"/>
              <w:rPr>
                <w:rFonts w:eastAsia="仿宋"/>
                <w:sz w:val="24"/>
                <w:szCs w:val="24"/>
              </w:rPr>
            </w:pPr>
            <w:r>
              <w:rPr>
                <w:rFonts w:eastAsia="仿宋"/>
                <w:sz w:val="24"/>
                <w:szCs w:val="24"/>
              </w:rPr>
              <w:t>归属于上市公司股东的净利润（元）</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4AF070C4">
            <w:pPr>
              <w:spacing w:line="400" w:lineRule="exact"/>
              <w:jc w:val="right"/>
              <w:rPr>
                <w:rFonts w:eastAsia="仿宋"/>
                <w:sz w:val="24"/>
                <w:szCs w:val="24"/>
              </w:rPr>
            </w:pPr>
            <w:r>
              <w:rPr>
                <w:rFonts w:hint="eastAsia" w:eastAsia="仿宋"/>
                <w:sz w:val="24"/>
                <w:szCs w:val="24"/>
              </w:rPr>
              <w:t>7,489,613.54</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2CA6D799">
            <w:pPr>
              <w:spacing w:line="400" w:lineRule="exact"/>
              <w:jc w:val="right"/>
              <w:rPr>
                <w:rFonts w:eastAsia="仿宋"/>
                <w:sz w:val="24"/>
                <w:szCs w:val="24"/>
              </w:rPr>
            </w:pPr>
            <w:r>
              <w:rPr>
                <w:rFonts w:eastAsia="仿宋"/>
                <w:sz w:val="24"/>
                <w:szCs w:val="24"/>
              </w:rPr>
              <w:t>-49,552,838.46</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504B34AE">
            <w:pPr>
              <w:spacing w:line="400" w:lineRule="exact"/>
              <w:jc w:val="right"/>
              <w:rPr>
                <w:rFonts w:eastAsia="仿宋"/>
                <w:sz w:val="24"/>
                <w:szCs w:val="24"/>
              </w:rPr>
            </w:pPr>
            <w:r>
              <w:rPr>
                <w:rFonts w:eastAsia="仿宋"/>
                <w:sz w:val="24"/>
                <w:szCs w:val="24"/>
              </w:rPr>
              <w:t>6,389,000</w:t>
            </w:r>
            <w:r>
              <w:rPr>
                <w:rFonts w:hint="eastAsia" w:eastAsia="仿宋"/>
                <w:sz w:val="24"/>
                <w:szCs w:val="24"/>
              </w:rPr>
              <w:t>.49</w:t>
            </w:r>
          </w:p>
        </w:tc>
      </w:tr>
      <w:tr w14:paraId="6C000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13176A61">
            <w:pPr>
              <w:spacing w:line="400" w:lineRule="exact"/>
              <w:rPr>
                <w:rFonts w:eastAsia="仿宋"/>
                <w:sz w:val="24"/>
                <w:szCs w:val="24"/>
              </w:rPr>
            </w:pPr>
            <w:r>
              <w:rPr>
                <w:rFonts w:eastAsia="仿宋"/>
                <w:sz w:val="24"/>
                <w:szCs w:val="24"/>
              </w:rPr>
              <w:t>研发投入（元）</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B54F6D3">
            <w:pPr>
              <w:spacing w:line="400" w:lineRule="exact"/>
              <w:jc w:val="right"/>
              <w:rPr>
                <w:rFonts w:eastAsia="仿宋"/>
                <w:sz w:val="24"/>
                <w:szCs w:val="24"/>
              </w:rPr>
            </w:pPr>
            <w:r>
              <w:rPr>
                <w:rFonts w:hint="eastAsia" w:eastAsia="仿宋"/>
                <w:sz w:val="24"/>
                <w:szCs w:val="24"/>
              </w:rPr>
              <w:t>17,389,057.32</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1EA56DA">
            <w:pPr>
              <w:spacing w:line="400" w:lineRule="exact"/>
              <w:jc w:val="right"/>
              <w:rPr>
                <w:rFonts w:eastAsia="仿宋"/>
                <w:sz w:val="24"/>
                <w:szCs w:val="24"/>
              </w:rPr>
            </w:pPr>
            <w:r>
              <w:rPr>
                <w:rFonts w:eastAsia="仿宋"/>
                <w:sz w:val="24"/>
                <w:szCs w:val="24"/>
              </w:rPr>
              <w:t>17,311,262.53</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A1DB762">
            <w:pPr>
              <w:spacing w:line="400" w:lineRule="exact"/>
              <w:jc w:val="right"/>
              <w:rPr>
                <w:rFonts w:eastAsia="仿宋"/>
                <w:sz w:val="24"/>
                <w:szCs w:val="24"/>
              </w:rPr>
            </w:pPr>
            <w:r>
              <w:rPr>
                <w:rFonts w:eastAsia="仿宋"/>
                <w:sz w:val="24"/>
                <w:szCs w:val="24"/>
              </w:rPr>
              <w:t>17,886,140</w:t>
            </w:r>
          </w:p>
        </w:tc>
      </w:tr>
      <w:tr w14:paraId="55761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36500BA">
            <w:pPr>
              <w:spacing w:line="400" w:lineRule="exact"/>
              <w:rPr>
                <w:rFonts w:eastAsia="仿宋"/>
                <w:sz w:val="24"/>
                <w:szCs w:val="24"/>
              </w:rPr>
            </w:pPr>
            <w:r>
              <w:rPr>
                <w:rFonts w:hint="eastAsia" w:eastAsia="仿宋"/>
                <w:sz w:val="24"/>
                <w:szCs w:val="24"/>
              </w:rPr>
              <w:t>营业收入</w:t>
            </w:r>
            <w:r>
              <w:rPr>
                <w:rFonts w:eastAsia="仿宋"/>
                <w:sz w:val="24"/>
                <w:szCs w:val="24"/>
              </w:rPr>
              <w:t>（元）</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344F513C">
            <w:pPr>
              <w:spacing w:line="400" w:lineRule="exact"/>
              <w:jc w:val="right"/>
              <w:rPr>
                <w:rFonts w:eastAsia="仿宋"/>
                <w:sz w:val="24"/>
                <w:szCs w:val="24"/>
              </w:rPr>
            </w:pPr>
            <w:r>
              <w:rPr>
                <w:rFonts w:hint="eastAsia" w:eastAsia="仿宋"/>
                <w:sz w:val="24"/>
                <w:szCs w:val="24"/>
              </w:rPr>
              <w:t>476,993,037.00</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1927FC7">
            <w:pPr>
              <w:spacing w:line="400" w:lineRule="exact"/>
              <w:jc w:val="right"/>
              <w:rPr>
                <w:rFonts w:eastAsia="仿宋"/>
                <w:sz w:val="24"/>
                <w:szCs w:val="24"/>
              </w:rPr>
            </w:pPr>
            <w:r>
              <w:rPr>
                <w:rFonts w:hint="eastAsia" w:eastAsia="仿宋"/>
                <w:sz w:val="24"/>
                <w:szCs w:val="24"/>
              </w:rPr>
              <w:t>223,633,009.11</w:t>
            </w:r>
          </w:p>
        </w:tc>
        <w:tc>
          <w:tcPr>
            <w:tcW w:w="2410"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0B1E9A3">
            <w:pPr>
              <w:spacing w:line="400" w:lineRule="exact"/>
              <w:jc w:val="right"/>
              <w:rPr>
                <w:rFonts w:eastAsia="仿宋"/>
                <w:sz w:val="24"/>
                <w:szCs w:val="24"/>
              </w:rPr>
            </w:pPr>
            <w:r>
              <w:rPr>
                <w:rFonts w:hint="eastAsia" w:eastAsia="仿宋"/>
                <w:sz w:val="24"/>
                <w:szCs w:val="24"/>
              </w:rPr>
              <w:t>410,009,814.78</w:t>
            </w:r>
          </w:p>
        </w:tc>
      </w:tr>
      <w:tr w14:paraId="4C7751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8FFA8D9">
            <w:pPr>
              <w:spacing w:line="400" w:lineRule="exact"/>
              <w:rPr>
                <w:rFonts w:eastAsia="仿宋"/>
                <w:sz w:val="24"/>
                <w:szCs w:val="24"/>
              </w:rPr>
            </w:pPr>
            <w:r>
              <w:rPr>
                <w:rFonts w:hint="eastAsia" w:eastAsia="仿宋"/>
                <w:sz w:val="24"/>
                <w:szCs w:val="24"/>
              </w:rPr>
              <w:t>合并报表本年度末累计未分配利润（元）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347AC6C3">
            <w:pPr>
              <w:spacing w:line="240" w:lineRule="exact"/>
              <w:jc w:val="right"/>
              <w:rPr>
                <w:rFonts w:eastAsia="仿宋"/>
                <w:sz w:val="24"/>
                <w:szCs w:val="24"/>
              </w:rPr>
            </w:pPr>
            <w:r>
              <w:rPr>
                <w:color w:val="333333"/>
                <w:sz w:val="24"/>
                <w:szCs w:val="24"/>
                <w:shd w:val="clear" w:color="auto" w:fill="FFFFFF"/>
              </w:rPr>
              <w:t>127,798,551.42</w:t>
            </w:r>
          </w:p>
        </w:tc>
      </w:tr>
      <w:tr w14:paraId="2EA701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6F3D4BAD">
            <w:pPr>
              <w:spacing w:line="400" w:lineRule="exact"/>
              <w:rPr>
                <w:rFonts w:eastAsia="仿宋"/>
                <w:sz w:val="24"/>
                <w:szCs w:val="24"/>
              </w:rPr>
            </w:pPr>
            <w:r>
              <w:rPr>
                <w:rFonts w:hint="eastAsia" w:eastAsia="仿宋"/>
                <w:sz w:val="24"/>
                <w:szCs w:val="24"/>
              </w:rPr>
              <w:t>母公司报表本年度末累计未分配利润（元）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5DA0DABE">
            <w:pPr>
              <w:spacing w:line="240" w:lineRule="exact"/>
              <w:jc w:val="right"/>
              <w:rPr>
                <w:rFonts w:eastAsia="仿宋"/>
                <w:sz w:val="24"/>
                <w:szCs w:val="24"/>
              </w:rPr>
            </w:pPr>
            <w:r>
              <w:rPr>
                <w:color w:val="333333"/>
                <w:sz w:val="24"/>
                <w:szCs w:val="24"/>
                <w:shd w:val="clear" w:color="auto" w:fill="FFFFFF"/>
              </w:rPr>
              <w:t>100,436,470.67</w:t>
            </w:r>
          </w:p>
        </w:tc>
      </w:tr>
      <w:tr w14:paraId="0783A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5D9B361">
            <w:pPr>
              <w:spacing w:line="400" w:lineRule="exact"/>
              <w:rPr>
                <w:rFonts w:eastAsia="仿宋"/>
                <w:sz w:val="24"/>
                <w:szCs w:val="24"/>
              </w:rPr>
            </w:pPr>
            <w:r>
              <w:rPr>
                <w:rFonts w:eastAsia="仿宋"/>
                <w:sz w:val="24"/>
                <w:szCs w:val="24"/>
              </w:rPr>
              <w:t>上市是否满三个完整会计年度</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1DA34AAA">
            <w:pPr>
              <w:spacing w:line="240" w:lineRule="exact"/>
              <w:jc w:val="right"/>
              <w:rPr>
                <w:rFonts w:eastAsia="仿宋"/>
                <w:sz w:val="24"/>
                <w:szCs w:val="24"/>
              </w:rPr>
            </w:pPr>
            <w:r>
              <w:rPr>
                <w:rFonts w:eastAsia="仿宋"/>
                <w:sz w:val="24"/>
                <w:szCs w:val="24"/>
              </w:rPr>
              <w:sym w:font="Wingdings 2" w:char="F052"/>
            </w:r>
            <w:r>
              <w:rPr>
                <w:rFonts w:eastAsia="仿宋"/>
                <w:sz w:val="24"/>
                <w:szCs w:val="24"/>
              </w:rPr>
              <w:t>是 □否</w:t>
            </w:r>
          </w:p>
        </w:tc>
      </w:tr>
      <w:tr w14:paraId="6C9AE2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493E029">
            <w:pPr>
              <w:spacing w:line="400" w:lineRule="exact"/>
              <w:rPr>
                <w:rFonts w:eastAsia="仿宋"/>
                <w:sz w:val="24"/>
                <w:szCs w:val="24"/>
              </w:rPr>
            </w:pPr>
            <w:r>
              <w:rPr>
                <w:rFonts w:eastAsia="仿宋"/>
                <w:sz w:val="24"/>
                <w:szCs w:val="24"/>
              </w:rPr>
              <w:t>最近三个会计年度累计现金分红总额（元）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398EC1FE">
            <w:pPr>
              <w:spacing w:line="400" w:lineRule="exact"/>
              <w:jc w:val="right"/>
              <w:rPr>
                <w:rFonts w:eastAsia="仿宋"/>
                <w:sz w:val="24"/>
                <w:szCs w:val="24"/>
              </w:rPr>
            </w:pPr>
            <w:r>
              <w:rPr>
                <w:rFonts w:eastAsia="仿宋"/>
                <w:sz w:val="24"/>
                <w:szCs w:val="24"/>
              </w:rPr>
              <w:t>9,904,499.00</w:t>
            </w:r>
          </w:p>
        </w:tc>
      </w:tr>
      <w:tr w14:paraId="0A2EBE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87AFAA9">
            <w:pPr>
              <w:spacing w:line="400" w:lineRule="exact"/>
              <w:rPr>
                <w:rFonts w:eastAsia="仿宋"/>
                <w:sz w:val="24"/>
                <w:szCs w:val="24"/>
              </w:rPr>
            </w:pPr>
            <w:r>
              <w:rPr>
                <w:rFonts w:eastAsia="仿宋"/>
                <w:sz w:val="24"/>
                <w:szCs w:val="24"/>
              </w:rPr>
              <w:t>最近三个会计年度累计回购注销总额（元）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6D81913D">
            <w:pPr>
              <w:spacing w:line="400" w:lineRule="exact"/>
              <w:jc w:val="right"/>
              <w:rPr>
                <w:rFonts w:eastAsia="仿宋"/>
                <w:sz w:val="24"/>
                <w:szCs w:val="24"/>
              </w:rPr>
            </w:pPr>
            <w:r>
              <w:rPr>
                <w:rFonts w:eastAsia="仿宋"/>
                <w:sz w:val="24"/>
                <w:szCs w:val="24"/>
              </w:rPr>
              <w:t>0</w:t>
            </w:r>
          </w:p>
        </w:tc>
      </w:tr>
      <w:tr w14:paraId="049C09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0DB984F6">
            <w:pPr>
              <w:spacing w:after="40" w:line="400" w:lineRule="exact"/>
              <w:rPr>
                <w:rFonts w:eastAsia="仿宋"/>
                <w:sz w:val="24"/>
                <w:szCs w:val="24"/>
              </w:rPr>
            </w:pPr>
            <w:r>
              <w:rPr>
                <w:rFonts w:eastAsia="仿宋"/>
                <w:sz w:val="24"/>
                <w:szCs w:val="24"/>
              </w:rPr>
              <w:t>最近三个会计年度累计研发投入总额（元）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306F1E2E">
            <w:pPr>
              <w:spacing w:line="400" w:lineRule="exact"/>
              <w:jc w:val="right"/>
              <w:rPr>
                <w:rFonts w:eastAsia="仿宋"/>
                <w:sz w:val="24"/>
                <w:szCs w:val="24"/>
              </w:rPr>
            </w:pPr>
            <w:r>
              <w:rPr>
                <w:rFonts w:hint="eastAsia" w:eastAsia="仿宋"/>
                <w:sz w:val="24"/>
                <w:szCs w:val="24"/>
              </w:rPr>
              <w:t xml:space="preserve"> 52,586,459.85 </w:t>
            </w:r>
          </w:p>
        </w:tc>
      </w:tr>
      <w:tr w14:paraId="33E686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3509F4C">
            <w:pPr>
              <w:spacing w:line="400" w:lineRule="exact"/>
              <w:rPr>
                <w:rFonts w:eastAsia="仿宋"/>
                <w:sz w:val="24"/>
                <w:szCs w:val="24"/>
              </w:rPr>
            </w:pPr>
            <w:r>
              <w:rPr>
                <w:rFonts w:hint="eastAsia" w:eastAsia="仿宋"/>
                <w:sz w:val="24"/>
                <w:szCs w:val="24"/>
              </w:rPr>
              <w:t>最近三个会计年度平均净利润（元）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724DE2EF">
            <w:pPr>
              <w:spacing w:line="240" w:lineRule="exact"/>
              <w:jc w:val="right"/>
              <w:rPr>
                <w:rFonts w:eastAsia="仿宋"/>
                <w:sz w:val="24"/>
                <w:szCs w:val="24"/>
              </w:rPr>
            </w:pPr>
            <w:r>
              <w:rPr>
                <w:rFonts w:eastAsia="仿宋"/>
                <w:sz w:val="24"/>
                <w:szCs w:val="24"/>
              </w:rPr>
              <w:t>不适用</w:t>
            </w:r>
          </w:p>
        </w:tc>
      </w:tr>
      <w:tr w14:paraId="027C89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F85059F">
            <w:pPr>
              <w:spacing w:line="400" w:lineRule="exact"/>
              <w:rPr>
                <w:rFonts w:eastAsia="仿宋"/>
                <w:sz w:val="24"/>
                <w:szCs w:val="24"/>
              </w:rPr>
            </w:pPr>
            <w:r>
              <w:rPr>
                <w:rFonts w:hint="eastAsia" w:eastAsia="仿宋"/>
                <w:sz w:val="24"/>
                <w:szCs w:val="24"/>
              </w:rPr>
              <w:t>最近三个会计年度累计现金分红及回购注销总额（元）</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74853D8E">
            <w:pPr>
              <w:spacing w:line="400" w:lineRule="exact"/>
              <w:jc w:val="right"/>
              <w:rPr>
                <w:rFonts w:eastAsia="仿宋"/>
                <w:sz w:val="24"/>
                <w:szCs w:val="24"/>
              </w:rPr>
            </w:pPr>
            <w:r>
              <w:rPr>
                <w:rFonts w:eastAsia="仿宋"/>
                <w:sz w:val="24"/>
                <w:szCs w:val="24"/>
              </w:rPr>
              <w:t>9,904,499.00</w:t>
            </w:r>
          </w:p>
        </w:tc>
      </w:tr>
      <w:tr w14:paraId="7E2E5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5B029D2">
            <w:pPr>
              <w:spacing w:line="400" w:lineRule="exact"/>
              <w:rPr>
                <w:rFonts w:eastAsia="仿宋"/>
                <w:sz w:val="24"/>
                <w:szCs w:val="24"/>
              </w:rPr>
            </w:pPr>
            <w:r>
              <w:rPr>
                <w:rFonts w:hint="eastAsia" w:eastAsia="仿宋"/>
                <w:sz w:val="24"/>
                <w:szCs w:val="24"/>
              </w:rPr>
              <w:t>最近三个会计年度累计研发投入总额占累计营业收入比例（%）</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62414CDB">
            <w:pPr>
              <w:spacing w:line="240" w:lineRule="exact"/>
              <w:jc w:val="right"/>
              <w:rPr>
                <w:rFonts w:eastAsia="仿宋"/>
                <w:sz w:val="24"/>
                <w:szCs w:val="24"/>
              </w:rPr>
            </w:pPr>
            <w:r>
              <w:rPr>
                <w:rFonts w:hint="eastAsia"/>
                <w:color w:val="333333"/>
                <w:szCs w:val="21"/>
                <w:shd w:val="clear" w:color="auto" w:fill="FFFFFF"/>
              </w:rPr>
              <w:t>4.7</w:t>
            </w:r>
            <w:r>
              <w:rPr>
                <w:rFonts w:hint="eastAsia"/>
                <w:color w:val="333333"/>
                <w:szCs w:val="21"/>
                <w:shd w:val="clear" w:color="auto" w:fill="FFFFFF"/>
                <w:lang w:val="en-US" w:eastAsia="zh-CN"/>
              </w:rPr>
              <w:t>3</w:t>
            </w:r>
            <w:r>
              <w:rPr>
                <w:rFonts w:hint="eastAsia"/>
                <w:color w:val="333333"/>
                <w:szCs w:val="21"/>
                <w:shd w:val="clear" w:color="auto" w:fill="FFFFFF"/>
              </w:rPr>
              <w:t>%</w:t>
            </w:r>
          </w:p>
        </w:tc>
      </w:tr>
      <w:tr w14:paraId="00AE89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B1A8A1A">
            <w:pPr>
              <w:spacing w:line="400" w:lineRule="exact"/>
              <w:rPr>
                <w:rFonts w:eastAsia="仿宋"/>
                <w:sz w:val="24"/>
                <w:szCs w:val="24"/>
              </w:rPr>
            </w:pPr>
            <w:r>
              <w:rPr>
                <w:rFonts w:eastAsia="仿宋"/>
                <w:sz w:val="24"/>
                <w:szCs w:val="24"/>
              </w:rPr>
              <w:t>是否触及《创业板股票上市规则》第9.4条第（八）项规定的可能被实施其他风险警示情形</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2E05B897">
            <w:pPr>
              <w:spacing w:line="240" w:lineRule="exact"/>
              <w:jc w:val="right"/>
              <w:rPr>
                <w:rFonts w:eastAsia="仿宋"/>
                <w:sz w:val="24"/>
                <w:szCs w:val="24"/>
              </w:rPr>
            </w:pPr>
            <w:r>
              <w:rPr>
                <w:rFonts w:eastAsia="仿宋"/>
                <w:sz w:val="24"/>
                <w:szCs w:val="24"/>
              </w:rPr>
              <w:t xml:space="preserve">□是 </w:t>
            </w:r>
            <w:r>
              <w:rPr>
                <w:rFonts w:eastAsia="仿宋"/>
                <w:sz w:val="24"/>
                <w:szCs w:val="24"/>
              </w:rPr>
              <w:sym w:font="Wingdings 2" w:char="F052"/>
            </w:r>
            <w:r>
              <w:rPr>
                <w:rFonts w:eastAsia="仿宋"/>
                <w:sz w:val="24"/>
                <w:szCs w:val="24"/>
              </w:rPr>
              <w:t>否</w:t>
            </w:r>
          </w:p>
        </w:tc>
      </w:tr>
    </w:tbl>
    <w:p w14:paraId="036071C4">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其他说明：</w:t>
      </w:r>
    </w:p>
    <w:p w14:paraId="2D995049">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公司2023、2024、2025年累计现金分红金额为9,904,499.00元，占最近三个会计年度年均净利润的142.73%（剔除亏损年度），高于年均净利润的30%；最近三个会计年度累计研发投入总额52,</w:t>
      </w:r>
      <w:r>
        <w:rPr>
          <w:rFonts w:hint="eastAsia" w:ascii="仿宋" w:hAnsi="仿宋" w:eastAsia="仿宋"/>
          <w:kern w:val="2"/>
          <w:sz w:val="28"/>
          <w:szCs w:val="28"/>
          <w:lang w:val="en-US" w:eastAsia="zh-CN"/>
        </w:rPr>
        <w:t>586</w:t>
      </w:r>
      <w:r>
        <w:rPr>
          <w:rFonts w:hint="eastAsia" w:ascii="仿宋" w:hAnsi="仿宋" w:eastAsia="仿宋"/>
          <w:kern w:val="2"/>
          <w:sz w:val="28"/>
          <w:szCs w:val="28"/>
        </w:rPr>
        <w:t>,</w:t>
      </w:r>
      <w:r>
        <w:rPr>
          <w:rFonts w:hint="eastAsia" w:ascii="仿宋" w:hAnsi="仿宋" w:eastAsia="仿宋"/>
          <w:kern w:val="2"/>
          <w:sz w:val="28"/>
          <w:szCs w:val="28"/>
          <w:lang w:val="en-US" w:eastAsia="zh-CN"/>
        </w:rPr>
        <w:t>459</w:t>
      </w:r>
      <w:r>
        <w:rPr>
          <w:rFonts w:hint="eastAsia" w:ascii="仿宋" w:hAnsi="仿宋" w:eastAsia="仿宋"/>
          <w:kern w:val="2"/>
          <w:sz w:val="28"/>
          <w:szCs w:val="28"/>
        </w:rPr>
        <w:t>.8</w:t>
      </w:r>
      <w:r>
        <w:rPr>
          <w:rFonts w:hint="eastAsia" w:ascii="仿宋" w:hAnsi="仿宋" w:eastAsia="仿宋"/>
          <w:kern w:val="2"/>
          <w:sz w:val="28"/>
          <w:szCs w:val="28"/>
          <w:lang w:val="en-US" w:eastAsia="zh-CN"/>
        </w:rPr>
        <w:t>5</w:t>
      </w:r>
      <w:r>
        <w:rPr>
          <w:rFonts w:hint="eastAsia" w:ascii="仿宋" w:hAnsi="仿宋" w:eastAsia="仿宋"/>
          <w:kern w:val="2"/>
          <w:sz w:val="28"/>
          <w:szCs w:val="28"/>
        </w:rPr>
        <w:t>元，占最近三个会计年度累计营业收入的4.7</w:t>
      </w:r>
      <w:r>
        <w:rPr>
          <w:rFonts w:hint="eastAsia" w:ascii="仿宋" w:hAnsi="仿宋" w:eastAsia="仿宋"/>
          <w:kern w:val="2"/>
          <w:sz w:val="28"/>
          <w:szCs w:val="28"/>
          <w:lang w:val="en-US" w:eastAsia="zh-CN"/>
        </w:rPr>
        <w:t>3</w:t>
      </w:r>
      <w:r>
        <w:rPr>
          <w:rFonts w:hint="eastAsia" w:ascii="仿宋" w:hAnsi="仿宋" w:eastAsia="仿宋"/>
          <w:kern w:val="2"/>
          <w:sz w:val="28"/>
          <w:szCs w:val="28"/>
        </w:rPr>
        <w:t>%。公司不触及《深</w:t>
      </w:r>
      <w:bookmarkStart w:id="8" w:name="_GoBack"/>
      <w:bookmarkEnd w:id="8"/>
      <w:r>
        <w:rPr>
          <w:rFonts w:hint="eastAsia" w:ascii="仿宋" w:hAnsi="仿宋" w:eastAsia="仿宋"/>
          <w:kern w:val="2"/>
          <w:sz w:val="28"/>
          <w:szCs w:val="28"/>
        </w:rPr>
        <w:t>圳证券交易所创业板股票上市规则》第9.4条第（八）项规定的可能被实施其他风险警示情形。</w:t>
      </w:r>
    </w:p>
    <w:p w14:paraId="70DD4C0E">
      <w:pPr>
        <w:spacing w:line="360" w:lineRule="auto"/>
        <w:ind w:firstLine="560" w:firstLineChars="200"/>
        <w:jc w:val="both"/>
        <w:rPr>
          <w:rFonts w:ascii="仿宋" w:hAnsi="仿宋" w:eastAsia="仿宋"/>
          <w:kern w:val="2"/>
          <w:sz w:val="28"/>
          <w:szCs w:val="28"/>
        </w:rPr>
      </w:pPr>
      <w:bookmarkStart w:id="4" w:name="_Toc988893"/>
      <w:r>
        <w:rPr>
          <w:rFonts w:hint="eastAsia" w:ascii="仿宋" w:hAnsi="仿宋" w:eastAsia="仿宋"/>
          <w:kern w:val="2"/>
          <w:sz w:val="28"/>
          <w:szCs w:val="28"/>
        </w:rPr>
        <w:t>（二）现金分红方案合理性说明</w:t>
      </w:r>
      <w:bookmarkEnd w:id="4"/>
    </w:p>
    <w:p w14:paraId="5ABFDE24">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公司本次利润分配预案符合《公司法》《上市公司监管指引第3 号——上市公司现金分红》等法律、法规、规范性文件以及《公司章程》的相关规定和要求，符合公司的利润分配政策和股东分红回报规划，有利于全体股东共享公司经营成果，具备合法合规性。</w:t>
      </w:r>
    </w:p>
    <w:p w14:paraId="21757404">
      <w:pPr>
        <w:ind w:firstLine="560" w:firstLineChars="200"/>
        <w:jc w:val="both"/>
        <w:outlineLvl w:val="0"/>
        <w:rPr>
          <w:rFonts w:ascii="仿宋" w:hAnsi="仿宋" w:eastAsia="仿宋"/>
          <w:b/>
          <w:kern w:val="2"/>
          <w:sz w:val="28"/>
          <w:szCs w:val="28"/>
        </w:rPr>
      </w:pPr>
      <w:bookmarkStart w:id="5" w:name="_Toc988897"/>
      <w:r>
        <w:rPr>
          <w:rFonts w:hint="eastAsia" w:ascii="仿宋" w:hAnsi="仿宋" w:eastAsia="仿宋"/>
          <w:b/>
          <w:kern w:val="2"/>
          <w:sz w:val="28"/>
          <w:szCs w:val="28"/>
        </w:rPr>
        <w:t>四、相关说明及风险提示</w:t>
      </w:r>
      <w:bookmarkEnd w:id="5"/>
    </w:p>
    <w:p w14:paraId="5BED1274">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（一）本次公司利润分配预案尚需提交公司年度股东会审议，审议通过后方可正式实施，存在不确定性，敬请广大投资者理性投资，注意投资风险。</w:t>
      </w:r>
    </w:p>
    <w:p w14:paraId="0D579D9B">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（二）公司2025年度利润分配预案经股东会审议通过后，公司将按照相关法律法规及规范性文件的要求另行发布权益分派实施公告，明确股权登记日、除权除息日等分派信息，敬请投资者留意相关公告。</w:t>
      </w:r>
    </w:p>
    <w:p w14:paraId="50DDB75A">
      <w:pPr>
        <w:ind w:firstLine="560" w:firstLineChars="200"/>
        <w:jc w:val="both"/>
        <w:outlineLvl w:val="0"/>
        <w:rPr>
          <w:rFonts w:ascii="仿宋" w:hAnsi="仿宋" w:eastAsia="仿宋"/>
          <w:b/>
          <w:kern w:val="2"/>
          <w:sz w:val="28"/>
          <w:szCs w:val="28"/>
        </w:rPr>
      </w:pPr>
      <w:bookmarkStart w:id="6" w:name="_Toc988898"/>
      <w:r>
        <w:rPr>
          <w:rFonts w:hint="eastAsia" w:ascii="仿宋" w:hAnsi="仿宋" w:eastAsia="仿宋"/>
          <w:b/>
          <w:kern w:val="2"/>
          <w:sz w:val="28"/>
          <w:szCs w:val="28"/>
        </w:rPr>
        <w:t>五、备查文件</w:t>
      </w:r>
      <w:bookmarkEnd w:id="6"/>
    </w:p>
    <w:p w14:paraId="5FEE98D3">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（一）《广东天亿马信息产业股份有限公司第四届董事会第五次会议决议》；</w:t>
      </w:r>
    </w:p>
    <w:p w14:paraId="32D418D3">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（二）《广东天亿马信息产业股份有限公司第四届董事会审计委员会第六次会议决议》；</w:t>
      </w:r>
    </w:p>
    <w:p w14:paraId="5563BAB6">
      <w:pPr>
        <w:spacing w:line="360" w:lineRule="auto"/>
        <w:ind w:firstLine="560" w:firstLineChars="200"/>
        <w:jc w:val="both"/>
        <w:rPr>
          <w:rFonts w:ascii="仿宋" w:hAnsi="仿宋" w:eastAsia="仿宋"/>
          <w:kern w:val="2"/>
          <w:sz w:val="28"/>
          <w:szCs w:val="28"/>
        </w:rPr>
      </w:pPr>
      <w:r>
        <w:rPr>
          <w:rFonts w:hint="eastAsia" w:ascii="仿宋" w:hAnsi="仿宋" w:eastAsia="仿宋"/>
          <w:kern w:val="2"/>
          <w:sz w:val="28"/>
          <w:szCs w:val="28"/>
        </w:rPr>
        <w:t>（三）《广东天亿马信息产业股份有限公司第四届董事会第二次独立董事专门会议决议》。</w:t>
      </w:r>
    </w:p>
    <w:p w14:paraId="1A3037FD">
      <w:pPr>
        <w:spacing w:line="360" w:lineRule="auto"/>
        <w:ind w:firstLine="560" w:firstLineChars="200"/>
        <w:jc w:val="both"/>
        <w:rPr>
          <w:rFonts w:ascii="仿宋" w:hAnsi="仿宋" w:eastAsia="仿宋"/>
          <w:kern w:val="2"/>
          <w:sz w:val="28"/>
          <w:szCs w:val="28"/>
        </w:rPr>
      </w:pPr>
      <w:bookmarkStart w:id="7" w:name="_Toc988899"/>
      <w:bookmarkEnd w:id="7"/>
      <w:r>
        <w:rPr>
          <w:rFonts w:hint="eastAsia" w:ascii="仿宋" w:hAnsi="仿宋" w:eastAsia="仿宋"/>
          <w:kern w:val="2"/>
          <w:sz w:val="28"/>
          <w:szCs w:val="28"/>
        </w:rPr>
        <w:t>特此公告。</w:t>
      </w:r>
    </w:p>
    <w:p w14:paraId="32F01D59">
      <w:pPr>
        <w:spacing w:line="360" w:lineRule="auto"/>
        <w:ind w:firstLine="560" w:firstLineChars="200"/>
        <w:jc w:val="right"/>
        <w:rPr>
          <w:rFonts w:ascii="仿宋" w:hAnsi="仿宋" w:eastAsia="仿宋"/>
          <w:kern w:val="2"/>
          <w:sz w:val="28"/>
          <w:szCs w:val="28"/>
        </w:rPr>
      </w:pPr>
      <w:r>
        <w:rPr>
          <w:rFonts w:hint="eastAsia" w:ascii="仿宋" w:hAnsi="仿宋" w:eastAsia="仿宋"/>
          <w:kern w:val="2"/>
          <w:sz w:val="28"/>
          <w:szCs w:val="28"/>
        </w:rPr>
        <w:t>广东天亿马信息产业股份有限公司</w:t>
      </w:r>
    </w:p>
    <w:p w14:paraId="0E3D7EBF">
      <w:pPr>
        <w:spacing w:line="360" w:lineRule="auto"/>
        <w:ind w:firstLine="560" w:firstLineChars="200"/>
        <w:jc w:val="right"/>
        <w:rPr>
          <w:rFonts w:ascii="仿宋" w:hAnsi="仿宋" w:eastAsia="仿宋"/>
          <w:kern w:val="2"/>
          <w:sz w:val="28"/>
          <w:szCs w:val="28"/>
        </w:rPr>
      </w:pPr>
      <w:r>
        <w:rPr>
          <w:rFonts w:hint="eastAsia" w:ascii="仿宋" w:hAnsi="仿宋" w:eastAsia="仿宋"/>
          <w:kern w:val="2"/>
          <w:sz w:val="28"/>
          <w:szCs w:val="28"/>
        </w:rPr>
        <w:t>董事会</w:t>
      </w:r>
    </w:p>
    <w:p w14:paraId="2E269725">
      <w:pPr>
        <w:spacing w:line="360" w:lineRule="auto"/>
        <w:ind w:firstLine="560" w:firstLineChars="200"/>
        <w:jc w:val="right"/>
        <w:rPr>
          <w:rFonts w:ascii="仿宋" w:hAnsi="仿宋" w:eastAsia="仿宋"/>
          <w:kern w:val="2"/>
          <w:sz w:val="28"/>
          <w:szCs w:val="28"/>
        </w:rPr>
      </w:pPr>
      <w:r>
        <w:rPr>
          <w:rFonts w:hint="eastAsia" w:ascii="仿宋" w:hAnsi="仿宋" w:eastAsia="仿宋"/>
          <w:kern w:val="2"/>
          <w:sz w:val="28"/>
          <w:szCs w:val="28"/>
        </w:rPr>
        <w:t>2026年3月31日</w:t>
      </w:r>
    </w:p>
    <w:p w14:paraId="0CBC2017">
      <w:pPr>
        <w:spacing w:line="360" w:lineRule="auto"/>
        <w:ind w:firstLine="560" w:firstLineChars="200"/>
        <w:jc w:val="both"/>
        <w:rPr>
          <w:rFonts w:ascii="仿宋" w:hAnsi="仿宋" w:eastAsia="仿宋"/>
          <w:kern w:val="2"/>
          <w:sz w:val="28"/>
          <w:szCs w:val="28"/>
        </w:rPr>
      </w:pPr>
    </w:p>
    <w:sectPr>
      <w:footerReference r:id="rId3"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D6297">
    <w:pPr>
      <w:pStyle w:val="11"/>
    </w:pPr>
    <w:r>
      <w:fldChar w:fldCharType="begin"/>
    </w:r>
    <w:r>
      <w:instrText xml:space="preserve">PAGE   \* MERGEFORMAT</w:instrText>
    </w:r>
    <w:r>
      <w:fldChar w:fldCharType="separate"/>
    </w:r>
    <w:r>
      <w:t>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
  <w:rsids>
    <w:rsidRoot w:val="0021212D"/>
    <w:rsid w:val="00193A78"/>
    <w:rsid w:val="00201A08"/>
    <w:rsid w:val="0021212D"/>
    <w:rsid w:val="003946B4"/>
    <w:rsid w:val="00716E45"/>
    <w:rsid w:val="00735ADA"/>
    <w:rsid w:val="00764D6A"/>
    <w:rsid w:val="008777F3"/>
    <w:rsid w:val="00951ED0"/>
    <w:rsid w:val="00BD3E69"/>
    <w:rsid w:val="00CF51C2"/>
    <w:rsid w:val="00D3688E"/>
    <w:rsid w:val="00D96E5F"/>
    <w:rsid w:val="00DC566E"/>
    <w:rsid w:val="00ED241E"/>
    <w:rsid w:val="00F94715"/>
    <w:rsid w:val="010333FC"/>
    <w:rsid w:val="029A1B3E"/>
    <w:rsid w:val="03913FC3"/>
    <w:rsid w:val="04AB1DE0"/>
    <w:rsid w:val="05322502"/>
    <w:rsid w:val="059D6B5E"/>
    <w:rsid w:val="05D610DF"/>
    <w:rsid w:val="066A7A79"/>
    <w:rsid w:val="073E6F3C"/>
    <w:rsid w:val="07BC2556"/>
    <w:rsid w:val="08205941"/>
    <w:rsid w:val="08A83C14"/>
    <w:rsid w:val="09E55D95"/>
    <w:rsid w:val="0BF027CF"/>
    <w:rsid w:val="0C8C0749"/>
    <w:rsid w:val="0D7A12B9"/>
    <w:rsid w:val="0E336CD8"/>
    <w:rsid w:val="0E501518"/>
    <w:rsid w:val="0EE7435D"/>
    <w:rsid w:val="10630A0C"/>
    <w:rsid w:val="1125116C"/>
    <w:rsid w:val="129245E0"/>
    <w:rsid w:val="129E2F84"/>
    <w:rsid w:val="13225964"/>
    <w:rsid w:val="14767270"/>
    <w:rsid w:val="150F4410"/>
    <w:rsid w:val="15605210"/>
    <w:rsid w:val="15786D2F"/>
    <w:rsid w:val="172A591A"/>
    <w:rsid w:val="18693E8E"/>
    <w:rsid w:val="1A6A7BF0"/>
    <w:rsid w:val="1BF73705"/>
    <w:rsid w:val="1C4C57FF"/>
    <w:rsid w:val="1EA22CF6"/>
    <w:rsid w:val="1EFD54D7"/>
    <w:rsid w:val="1F122D30"/>
    <w:rsid w:val="1F1433F0"/>
    <w:rsid w:val="1F2B2E85"/>
    <w:rsid w:val="1F32257C"/>
    <w:rsid w:val="20CB0A38"/>
    <w:rsid w:val="22D810F2"/>
    <w:rsid w:val="22F83FEB"/>
    <w:rsid w:val="237202B0"/>
    <w:rsid w:val="24400A52"/>
    <w:rsid w:val="24424F22"/>
    <w:rsid w:val="245C75C1"/>
    <w:rsid w:val="247E4746"/>
    <w:rsid w:val="24885842"/>
    <w:rsid w:val="24AE34FB"/>
    <w:rsid w:val="24F6032B"/>
    <w:rsid w:val="25186BC6"/>
    <w:rsid w:val="26A24E49"/>
    <w:rsid w:val="279527B9"/>
    <w:rsid w:val="2A5C7555"/>
    <w:rsid w:val="2BCF4B74"/>
    <w:rsid w:val="2C0003B4"/>
    <w:rsid w:val="2C655183"/>
    <w:rsid w:val="2C9F197B"/>
    <w:rsid w:val="2E0E6DB8"/>
    <w:rsid w:val="2FDE6C5E"/>
    <w:rsid w:val="30590093"/>
    <w:rsid w:val="30B73737"/>
    <w:rsid w:val="31442AF1"/>
    <w:rsid w:val="32B76B39"/>
    <w:rsid w:val="32C24615"/>
    <w:rsid w:val="33FC4FD9"/>
    <w:rsid w:val="34361235"/>
    <w:rsid w:val="34580D8D"/>
    <w:rsid w:val="35CD1307"/>
    <w:rsid w:val="37A07DA8"/>
    <w:rsid w:val="38521F98"/>
    <w:rsid w:val="399D5494"/>
    <w:rsid w:val="39E353D5"/>
    <w:rsid w:val="3A6B550B"/>
    <w:rsid w:val="3AFA7F85"/>
    <w:rsid w:val="3CC86CCC"/>
    <w:rsid w:val="3DB86D41"/>
    <w:rsid w:val="3E742C68"/>
    <w:rsid w:val="3E86299B"/>
    <w:rsid w:val="3EEA117C"/>
    <w:rsid w:val="40B4105A"/>
    <w:rsid w:val="411029F0"/>
    <w:rsid w:val="41175793"/>
    <w:rsid w:val="41674374"/>
    <w:rsid w:val="45E85CE9"/>
    <w:rsid w:val="464B69A4"/>
    <w:rsid w:val="47086643"/>
    <w:rsid w:val="474F4272"/>
    <w:rsid w:val="479F062A"/>
    <w:rsid w:val="48C77E38"/>
    <w:rsid w:val="48FF75D2"/>
    <w:rsid w:val="49EC5A88"/>
    <w:rsid w:val="4A592213"/>
    <w:rsid w:val="4BCF5981"/>
    <w:rsid w:val="4C0513A3"/>
    <w:rsid w:val="4C6205A3"/>
    <w:rsid w:val="4D421890"/>
    <w:rsid w:val="4DC8252A"/>
    <w:rsid w:val="4DF416CF"/>
    <w:rsid w:val="4DFD3778"/>
    <w:rsid w:val="4F5A4A40"/>
    <w:rsid w:val="4FD73B20"/>
    <w:rsid w:val="50DB3D34"/>
    <w:rsid w:val="50EB7D9F"/>
    <w:rsid w:val="511856D5"/>
    <w:rsid w:val="515B1A65"/>
    <w:rsid w:val="515E50B1"/>
    <w:rsid w:val="53966D85"/>
    <w:rsid w:val="53EC109A"/>
    <w:rsid w:val="5698744F"/>
    <w:rsid w:val="56E33F90"/>
    <w:rsid w:val="57E36310"/>
    <w:rsid w:val="5846521D"/>
    <w:rsid w:val="5886561A"/>
    <w:rsid w:val="5AB83A84"/>
    <w:rsid w:val="5C3654BB"/>
    <w:rsid w:val="5C702869"/>
    <w:rsid w:val="5DD83C04"/>
    <w:rsid w:val="5ED33D5A"/>
    <w:rsid w:val="5F6F7465"/>
    <w:rsid w:val="60593614"/>
    <w:rsid w:val="613E4DDC"/>
    <w:rsid w:val="61E635CD"/>
    <w:rsid w:val="61EF4230"/>
    <w:rsid w:val="61FE02CD"/>
    <w:rsid w:val="620D0B5A"/>
    <w:rsid w:val="640B731B"/>
    <w:rsid w:val="64AD2180"/>
    <w:rsid w:val="64C23E7D"/>
    <w:rsid w:val="65D04378"/>
    <w:rsid w:val="669203A8"/>
    <w:rsid w:val="66EB461E"/>
    <w:rsid w:val="6897117D"/>
    <w:rsid w:val="69274E76"/>
    <w:rsid w:val="69310AF9"/>
    <w:rsid w:val="6D0019E7"/>
    <w:rsid w:val="6E2C2368"/>
    <w:rsid w:val="6E692F44"/>
    <w:rsid w:val="6E7F693B"/>
    <w:rsid w:val="6F3775AB"/>
    <w:rsid w:val="70D867D7"/>
    <w:rsid w:val="71306613"/>
    <w:rsid w:val="717464FF"/>
    <w:rsid w:val="719552FF"/>
    <w:rsid w:val="76852F5D"/>
    <w:rsid w:val="77E765D0"/>
    <w:rsid w:val="78E81581"/>
    <w:rsid w:val="78EA52F9"/>
    <w:rsid w:val="79780B57"/>
    <w:rsid w:val="79C821C8"/>
    <w:rsid w:val="7C1C4B30"/>
    <w:rsid w:val="7C62373C"/>
    <w:rsid w:val="7C7F7D89"/>
    <w:rsid w:val="7D252DA4"/>
    <w:rsid w:val="7D380D29"/>
    <w:rsid w:val="7D496A92"/>
    <w:rsid w:val="7ED54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sz w:val="21"/>
      <w:szCs w:val="22"/>
      <w:lang w:val="en-US" w:eastAsia="zh-CN" w:bidi="ar-SA"/>
    </w:rPr>
  </w:style>
  <w:style w:type="paragraph" w:styleId="2">
    <w:name w:val="heading 2"/>
    <w:basedOn w:val="1"/>
    <w:next w:val="1"/>
    <w:unhideWhenUsed/>
    <w:qFormat/>
    <w:uiPriority w:val="9"/>
    <w:pPr>
      <w:keepNext/>
      <w:keepLines/>
      <w:spacing w:before="156" w:after="156"/>
      <w:outlineLvl w:val="1"/>
    </w:pPr>
    <w:rPr>
      <w:szCs w:val="21"/>
    </w:rPr>
  </w:style>
  <w:style w:type="paragraph" w:styleId="3">
    <w:name w:val="heading 3"/>
    <w:basedOn w:val="1"/>
    <w:next w:val="1"/>
    <w:qFormat/>
    <w:uiPriority w:val="99"/>
    <w:pPr>
      <w:keepNext/>
      <w:keepLines/>
      <w:spacing w:before="300" w:after="300" w:line="241" w:lineRule="auto"/>
      <w:jc w:val="both"/>
      <w:outlineLvl w:val="2"/>
    </w:pPr>
    <w:rPr>
      <w:szCs w:val="21"/>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toc 1"/>
    <w:basedOn w:val="1"/>
    <w:next w:val="1"/>
    <w:autoRedefine/>
    <w:qFormat/>
    <w:uiPriority w:val="39"/>
  </w:style>
  <w:style w:type="paragraph" w:styleId="5">
    <w:name w:val="toc 2"/>
    <w:basedOn w:val="1"/>
    <w:next w:val="1"/>
    <w:autoRedefine/>
    <w:unhideWhenUsed/>
    <w:qFormat/>
    <w:uiPriority w:val="39"/>
    <w:pPr>
      <w:ind w:left="420" w:leftChars="200"/>
    </w:pPr>
  </w:style>
  <w:style w:type="paragraph" w:styleId="6">
    <w:name w:val="Normal (Web)"/>
    <w:basedOn w:val="1"/>
    <w:qFormat/>
    <w:uiPriority w:val="0"/>
    <w:pPr>
      <w:spacing w:beforeAutospacing="1" w:afterAutospacing="1"/>
    </w:pPr>
    <w:rPr>
      <w:sz w:val="24"/>
    </w:rPr>
  </w:style>
  <w:style w:type="paragraph" w:customStyle="1" w:styleId="9">
    <w:name w:val="Header 1"/>
    <w:qFormat/>
    <w:uiPriority w:val="0"/>
    <w:pPr>
      <w:jc w:val="right"/>
    </w:pPr>
    <w:rPr>
      <w:rFonts w:ascii="宋体" w:hAnsi="Times New Roman" w:eastAsia="宋体" w:cs="Times New Roman"/>
      <w:sz w:val="18"/>
      <w:szCs w:val="18"/>
      <w:lang w:val="en-US" w:eastAsia="zh-CN" w:bidi="ar-SA"/>
    </w:rPr>
  </w:style>
  <w:style w:type="paragraph" w:customStyle="1" w:styleId="10">
    <w:name w:val="heading h1"/>
    <w:basedOn w:val="1"/>
    <w:next w:val="1"/>
    <w:qFormat/>
    <w:uiPriority w:val="9"/>
    <w:pPr>
      <w:keepNext/>
      <w:keepLines/>
      <w:spacing w:before="240" w:after="240" w:line="578" w:lineRule="auto"/>
      <w:outlineLvl w:val="0"/>
    </w:pPr>
    <w:rPr>
      <w:kern w:val="44"/>
      <w:sz w:val="44"/>
      <w:szCs w:val="44"/>
    </w:rPr>
  </w:style>
  <w:style w:type="paragraph" w:customStyle="1" w:styleId="11">
    <w:name w:val="fotter 1"/>
    <w:qFormat/>
    <w:uiPriority w:val="0"/>
    <w:pPr>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2450</Words>
  <Characters>2960</Characters>
  <Lines>226</Lines>
  <Paragraphs>181</Paragraphs>
  <TotalTime>156</TotalTime>
  <ScaleCrop>false</ScaleCrop>
  <LinksUpToDate>false</LinksUpToDate>
  <CharactersWithSpaces>2982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2026-03-22T11:33:00Z</dcterms:created>
  <dc:creator>huangsq</dc:creator>
  <cp:lastModifiedBy>hcj</cp:lastModifiedBy>
  <dcterms:modified xsi:type="dcterms:W3CDTF">2026-03-30T06:16:05Z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eyJoZGlkIjoiNjJjY2EyZTU2N2VlYmNlMGYyNWQ4MmVlZDE5OGQyZTYiLCJ1c2VySWQiOiIzMTg1Njg3MTYifQ==</vt:lpwstr>
  </property>
  <property fmtid="{D5CDD505-2E9C-101B-9397-08002B2CF9AE}" pid="3" name="KSOProductBuildVer">
    <vt:lpwstr>2052-12.1.0.25225</vt:lpwstr>
  </property>
  <property fmtid="{D5CDD505-2E9C-101B-9397-08002B2CF9AE}" pid="4" name="ICV">
    <vt:lpwstr>45A47BB66A3D4657A82DD1085CED73B8_13</vt:lpwstr>
  </property>
</Properties>
</file>