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0D23A460" w14:textId="2892DB94" w:rsidR="003D6405" w:rsidRDefault="006A45E3">
      <w:pPr>
        <w:autoSpaceDE w:val="0"/>
        <w:autoSpaceDN w:val="0"/>
        <w:adjustRightInd w:val="0"/>
        <w:spacing w:line="360" w:lineRule="auto"/>
        <w:jc w:val="center"/>
        <w:rPr>
          <w:rFonts w:ascii="仿宋" w:eastAsia="仿宋" w:hAnsi="仿宋"/>
          <w:color w:val="000000"/>
          <w:sz w:val="28"/>
        </w:rPr>
      </w:pPr>
      <w:r>
        <w:rPr>
          <w:rFonts w:ascii="仿宋" w:eastAsia="仿宋" w:hAnsi="仿宋" w:hint="eastAsia"/>
          <w:color w:val="000000"/>
          <w:sz w:val="28"/>
        </w:rPr>
        <w:t>证券代码：</w:t>
      </w:r>
      <w:r>
        <w:rPr>
          <w:rFonts w:ascii="仿宋" w:eastAsia="仿宋" w:hAnsi="仿宋" w:hint="eastAsia"/>
          <w:color w:val="000000"/>
          <w:sz w:val="28"/>
        </w:rPr>
        <w:t xml:space="preserve">301178    </w:t>
      </w:r>
      <w:r>
        <w:rPr>
          <w:rFonts w:ascii="仿宋" w:eastAsia="仿宋" w:hAnsi="仿宋" w:hint="eastAsia"/>
          <w:color w:val="000000"/>
          <w:sz w:val="28"/>
        </w:rPr>
        <w:t>证券简称：天亿马</w:t>
      </w:r>
      <w:r>
        <w:rPr>
          <w:rFonts w:ascii="仿宋" w:eastAsia="仿宋" w:hAnsi="仿宋" w:hint="eastAsia"/>
          <w:color w:val="000000"/>
          <w:sz w:val="28"/>
        </w:rPr>
        <w:t xml:space="preserve">   </w:t>
      </w:r>
      <w:r>
        <w:rPr>
          <w:rFonts w:ascii="仿宋" w:eastAsia="仿宋" w:hAnsi="仿宋" w:hint="eastAsia"/>
          <w:color w:val="000000"/>
          <w:sz w:val="28"/>
        </w:rPr>
        <w:t>公告编号：</w:t>
      </w:r>
      <w:r>
        <w:rPr>
          <w:rFonts w:ascii="仿宋" w:eastAsia="仿宋" w:hAnsi="仿宋" w:hint="eastAsia"/>
          <w:color w:val="000000"/>
          <w:sz w:val="28"/>
        </w:rPr>
        <w:t>202</w:t>
      </w:r>
      <w:r>
        <w:rPr>
          <w:rFonts w:ascii="仿宋" w:eastAsia="仿宋" w:hAnsi="仿宋" w:hint="eastAsia"/>
          <w:color w:val="000000"/>
          <w:sz w:val="28"/>
        </w:rPr>
        <w:t>6</w:t>
      </w:r>
      <w:r>
        <w:rPr>
          <w:rFonts w:ascii="仿宋" w:eastAsia="仿宋" w:hAnsi="仿宋" w:hint="eastAsia"/>
          <w:color w:val="000000"/>
          <w:sz w:val="28"/>
        </w:rPr>
        <w:t>-0</w:t>
      </w:r>
      <w:r>
        <w:rPr>
          <w:rFonts w:ascii="仿宋" w:eastAsia="仿宋" w:hAnsi="仿宋" w:hint="eastAsia"/>
          <w:color w:val="000000"/>
          <w:sz w:val="28"/>
        </w:rPr>
        <w:t>15</w:t>
      </w:r>
      <w:r>
        <w:rPr>
          <w:rFonts w:ascii="仿宋" w:eastAsia="仿宋" w:hAnsi="仿宋" w:hint="eastAsia"/>
          <w:color w:val="000000"/>
          <w:sz w:val="28"/>
        </w:rPr>
        <w:t xml:space="preserve"> </w:t>
      </w:r>
    </w:p>
    <w:p w14:paraId="5C6299A7" w14:textId="77777777" w:rsidR="003D6405" w:rsidRDefault="006A45E3">
      <w:pPr>
        <w:autoSpaceDE w:val="0"/>
        <w:autoSpaceDN w:val="0"/>
        <w:adjustRightInd w:val="0"/>
        <w:spacing w:line="360" w:lineRule="auto"/>
        <w:jc w:val="center"/>
        <w:rPr>
          <w:rFonts w:ascii="黑体" w:eastAsia="黑体" w:hAnsi="黑体"/>
          <w:sz w:val="36"/>
          <w:szCs w:val="36"/>
        </w:rPr>
      </w:pPr>
      <w:r>
        <w:rPr>
          <w:rFonts w:ascii="黑体" w:eastAsia="黑体" w:hAnsi="黑体" w:hint="eastAsia"/>
          <w:sz w:val="36"/>
          <w:szCs w:val="36"/>
        </w:rPr>
        <w:t>广东天亿马信息产业股份有限公司</w:t>
      </w:r>
    </w:p>
    <w:p w14:paraId="40C0A4E8" w14:textId="77777777" w:rsidR="003D6405" w:rsidRDefault="006A45E3">
      <w:pPr>
        <w:spacing w:afterLines="100" w:after="312"/>
        <w:jc w:val="center"/>
        <w:rPr>
          <w:rFonts w:ascii="黑体" w:eastAsia="黑体" w:hAnsi="黑体"/>
          <w:sz w:val="36"/>
          <w:szCs w:val="36"/>
        </w:rPr>
      </w:pPr>
      <w:r>
        <w:rPr>
          <w:rFonts w:ascii="黑体" w:eastAsia="黑体" w:hAnsi="黑体" w:hint="eastAsia"/>
          <w:sz w:val="36"/>
          <w:szCs w:val="36"/>
        </w:rPr>
        <w:t>关于董事及高级管理人员</w:t>
      </w:r>
      <w:r>
        <w:rPr>
          <w:rFonts w:ascii="黑体" w:eastAsia="黑体" w:hAnsi="黑体" w:hint="eastAsia"/>
          <w:sz w:val="36"/>
          <w:szCs w:val="36"/>
        </w:rPr>
        <w:t>202</w:t>
      </w:r>
      <w:r>
        <w:rPr>
          <w:rFonts w:ascii="黑体" w:eastAsia="黑体" w:hAnsi="黑体" w:hint="eastAsia"/>
          <w:sz w:val="36"/>
          <w:szCs w:val="36"/>
        </w:rPr>
        <w:t>6</w:t>
      </w:r>
      <w:r>
        <w:rPr>
          <w:rFonts w:ascii="黑体" w:eastAsia="黑体" w:hAnsi="黑体" w:hint="eastAsia"/>
          <w:sz w:val="36"/>
          <w:szCs w:val="36"/>
        </w:rPr>
        <w:t>年度薪酬待遇方案的公告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8522"/>
      </w:tblGrid>
      <w:tr w:rsidR="003D6405" w14:paraId="2C3ACFDE" w14:textId="77777777">
        <w:trPr>
          <w:trHeight w:val="930"/>
          <w:jc w:val="center"/>
        </w:trPr>
        <w:tc>
          <w:tcPr>
            <w:tcW w:w="8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74D381A" w14:textId="77777777" w:rsidR="003D6405" w:rsidRDefault="006A45E3">
            <w:pPr>
              <w:widowControl/>
              <w:spacing w:line="440" w:lineRule="exact"/>
              <w:ind w:firstLineChars="200" w:firstLine="560"/>
              <w:rPr>
                <w:rFonts w:ascii="楷体" w:eastAsia="楷体" w:hAnsi="楷体" w:cs="宋体"/>
                <w:color w:val="000000"/>
                <w:kern w:val="0"/>
                <w:sz w:val="28"/>
              </w:rPr>
            </w:pPr>
            <w:r>
              <w:rPr>
                <w:rFonts w:ascii="楷体" w:eastAsia="楷体" w:hAnsi="楷体" w:cs="宋体" w:hint="eastAsia"/>
                <w:color w:val="000000"/>
                <w:kern w:val="0"/>
                <w:sz w:val="28"/>
              </w:rPr>
              <w:t>本公司及董事会全体成员保证信息披露内容的真实、准确和完整，没有虚假记载、误导性陈述或重大遗漏。</w:t>
            </w:r>
          </w:p>
        </w:tc>
      </w:tr>
    </w:tbl>
    <w:p w14:paraId="3CA5D2D3" w14:textId="77777777" w:rsidR="003D6405" w:rsidRDefault="003D6405"/>
    <w:p w14:paraId="68FF625E" w14:textId="77777777" w:rsidR="003D6405" w:rsidRDefault="006A45E3">
      <w:pPr>
        <w:ind w:firstLineChars="200" w:firstLine="560"/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>广东天亿马信息产业股份有限公司（以下简称“公司”）于</w:t>
      </w:r>
      <w:r>
        <w:rPr>
          <w:rFonts w:ascii="仿宋" w:eastAsia="仿宋" w:hAnsi="仿宋" w:hint="eastAsia"/>
          <w:sz w:val="28"/>
          <w:szCs w:val="28"/>
        </w:rPr>
        <w:t>202</w:t>
      </w:r>
      <w:r>
        <w:rPr>
          <w:rFonts w:ascii="仿宋" w:eastAsia="仿宋" w:hAnsi="仿宋" w:hint="eastAsia"/>
          <w:sz w:val="28"/>
          <w:szCs w:val="28"/>
        </w:rPr>
        <w:t>6</w:t>
      </w:r>
      <w:r>
        <w:rPr>
          <w:rFonts w:ascii="仿宋" w:eastAsia="仿宋" w:hAnsi="仿宋" w:hint="eastAsia"/>
          <w:sz w:val="28"/>
          <w:szCs w:val="28"/>
        </w:rPr>
        <w:t>年</w:t>
      </w:r>
      <w:r>
        <w:rPr>
          <w:rFonts w:ascii="仿宋" w:eastAsia="仿宋" w:hAnsi="仿宋" w:hint="eastAsia"/>
          <w:sz w:val="28"/>
          <w:szCs w:val="28"/>
        </w:rPr>
        <w:t>3</w:t>
      </w:r>
      <w:r>
        <w:rPr>
          <w:rFonts w:ascii="仿宋" w:eastAsia="仿宋" w:hAnsi="仿宋" w:hint="eastAsia"/>
          <w:sz w:val="28"/>
          <w:szCs w:val="28"/>
        </w:rPr>
        <w:t>月</w:t>
      </w:r>
      <w:r>
        <w:rPr>
          <w:rFonts w:ascii="仿宋" w:eastAsia="仿宋" w:hAnsi="仿宋" w:hint="eastAsia"/>
          <w:sz w:val="28"/>
          <w:szCs w:val="28"/>
        </w:rPr>
        <w:t>30</w:t>
      </w:r>
      <w:r>
        <w:rPr>
          <w:rFonts w:ascii="仿宋" w:eastAsia="仿宋" w:hAnsi="仿宋" w:hint="eastAsia"/>
          <w:sz w:val="28"/>
          <w:szCs w:val="28"/>
        </w:rPr>
        <w:t>日召开第</w:t>
      </w:r>
      <w:r>
        <w:rPr>
          <w:rFonts w:ascii="仿宋" w:eastAsia="仿宋" w:hAnsi="仿宋" w:hint="eastAsia"/>
          <w:sz w:val="28"/>
          <w:szCs w:val="28"/>
        </w:rPr>
        <w:t>四</w:t>
      </w:r>
      <w:r>
        <w:rPr>
          <w:rFonts w:ascii="仿宋" w:eastAsia="仿宋" w:hAnsi="仿宋" w:hint="eastAsia"/>
          <w:sz w:val="28"/>
          <w:szCs w:val="28"/>
        </w:rPr>
        <w:t>届董事会第</w:t>
      </w:r>
      <w:r>
        <w:rPr>
          <w:rFonts w:ascii="仿宋" w:eastAsia="仿宋" w:hAnsi="仿宋" w:hint="eastAsia"/>
          <w:sz w:val="28"/>
          <w:szCs w:val="28"/>
        </w:rPr>
        <w:t>五次</w:t>
      </w:r>
      <w:r>
        <w:rPr>
          <w:rFonts w:ascii="仿宋" w:eastAsia="仿宋" w:hAnsi="仿宋" w:hint="eastAsia"/>
          <w:sz w:val="28"/>
          <w:szCs w:val="28"/>
        </w:rPr>
        <w:t>会议，审议</w:t>
      </w:r>
      <w:r>
        <w:rPr>
          <w:rFonts w:ascii="仿宋" w:eastAsia="仿宋" w:hAnsi="仿宋" w:hint="eastAsia"/>
          <w:sz w:val="28"/>
          <w:szCs w:val="28"/>
        </w:rPr>
        <w:t>通过</w:t>
      </w:r>
      <w:r>
        <w:rPr>
          <w:rFonts w:ascii="仿宋" w:eastAsia="仿宋" w:hAnsi="仿宋" w:hint="eastAsia"/>
          <w:sz w:val="28"/>
          <w:szCs w:val="28"/>
        </w:rPr>
        <w:t>了《关于公司董事及高级管理人员</w:t>
      </w:r>
      <w:r>
        <w:rPr>
          <w:rFonts w:ascii="仿宋" w:eastAsia="仿宋" w:hAnsi="仿宋" w:hint="eastAsia"/>
          <w:sz w:val="28"/>
          <w:szCs w:val="28"/>
        </w:rPr>
        <w:t>202</w:t>
      </w:r>
      <w:r>
        <w:rPr>
          <w:rFonts w:ascii="仿宋" w:eastAsia="仿宋" w:hAnsi="仿宋" w:hint="eastAsia"/>
          <w:sz w:val="28"/>
          <w:szCs w:val="28"/>
        </w:rPr>
        <w:t>6</w:t>
      </w:r>
      <w:r>
        <w:rPr>
          <w:rFonts w:ascii="仿宋" w:eastAsia="仿宋" w:hAnsi="仿宋" w:hint="eastAsia"/>
          <w:sz w:val="28"/>
          <w:szCs w:val="28"/>
        </w:rPr>
        <w:t>年度薪酬待遇方案的议案》</w:t>
      </w:r>
      <w:r>
        <w:rPr>
          <w:rFonts w:ascii="仿宋" w:eastAsia="仿宋" w:hAnsi="仿宋" w:hint="eastAsia"/>
          <w:sz w:val="28"/>
          <w:szCs w:val="28"/>
        </w:rPr>
        <w:t>。</w:t>
      </w:r>
      <w:r>
        <w:rPr>
          <w:rFonts w:ascii="仿宋" w:eastAsia="仿宋" w:hAnsi="仿宋" w:hint="eastAsia"/>
          <w:sz w:val="28"/>
          <w:szCs w:val="28"/>
        </w:rPr>
        <w:t>基于谨慎性原则，全体董事对此议案回避表决，该议案直接提交股东会审议。具体情况公告如下：</w:t>
      </w:r>
    </w:p>
    <w:p w14:paraId="1D686AB7" w14:textId="77777777" w:rsidR="003D6405" w:rsidRDefault="006A45E3">
      <w:pPr>
        <w:ind w:firstLineChars="200" w:firstLine="562"/>
        <w:outlineLvl w:val="0"/>
        <w:rPr>
          <w:rFonts w:ascii="仿宋" w:eastAsia="仿宋" w:hAnsi="仿宋"/>
          <w:b/>
          <w:sz w:val="28"/>
          <w:szCs w:val="28"/>
        </w:rPr>
      </w:pPr>
      <w:r>
        <w:rPr>
          <w:rFonts w:ascii="仿宋" w:eastAsia="仿宋" w:hAnsi="仿宋" w:hint="eastAsia"/>
          <w:b/>
          <w:sz w:val="28"/>
          <w:szCs w:val="28"/>
        </w:rPr>
        <w:t>一、适用对象</w:t>
      </w:r>
    </w:p>
    <w:p w14:paraId="2046C2DC" w14:textId="77777777" w:rsidR="003D6405" w:rsidRDefault="006A45E3">
      <w:pPr>
        <w:pStyle w:val="a4"/>
        <w:ind w:firstLine="560"/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cs="仿宋" w:hint="eastAsia"/>
          <w:sz w:val="28"/>
          <w:szCs w:val="28"/>
        </w:rPr>
        <w:t>公司董事、总经理、副总经理、财务负责人、董事会秘书等高级管理人员（以下简称“高管人员”）</w:t>
      </w:r>
      <w:r>
        <w:rPr>
          <w:rFonts w:ascii="仿宋" w:eastAsia="仿宋" w:hAnsi="仿宋" w:cs="仿宋" w:hint="eastAsia"/>
          <w:sz w:val="28"/>
          <w:szCs w:val="28"/>
        </w:rPr>
        <w:t>。</w:t>
      </w:r>
    </w:p>
    <w:p w14:paraId="1AE10CBD" w14:textId="77777777" w:rsidR="003D6405" w:rsidRDefault="006A45E3">
      <w:pPr>
        <w:ind w:firstLineChars="200" w:firstLine="562"/>
        <w:outlineLvl w:val="0"/>
        <w:rPr>
          <w:rFonts w:ascii="仿宋" w:eastAsia="仿宋" w:hAnsi="仿宋"/>
          <w:b/>
          <w:sz w:val="28"/>
          <w:szCs w:val="28"/>
        </w:rPr>
      </w:pPr>
      <w:r>
        <w:rPr>
          <w:rFonts w:ascii="仿宋" w:eastAsia="仿宋" w:hAnsi="仿宋" w:hint="eastAsia"/>
          <w:b/>
          <w:sz w:val="28"/>
          <w:szCs w:val="28"/>
        </w:rPr>
        <w:t>二、适用期限</w:t>
      </w:r>
    </w:p>
    <w:p w14:paraId="13DC6489" w14:textId="77777777" w:rsidR="003D6405" w:rsidRDefault="006A45E3">
      <w:pPr>
        <w:ind w:firstLineChars="200" w:firstLine="560"/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>202</w:t>
      </w:r>
      <w:r>
        <w:rPr>
          <w:rFonts w:ascii="仿宋" w:eastAsia="仿宋" w:hAnsi="仿宋" w:hint="eastAsia"/>
          <w:sz w:val="28"/>
          <w:szCs w:val="28"/>
        </w:rPr>
        <w:t>6</w:t>
      </w:r>
      <w:r>
        <w:rPr>
          <w:rFonts w:ascii="仿宋" w:eastAsia="仿宋" w:hAnsi="仿宋" w:hint="eastAsia"/>
          <w:sz w:val="28"/>
          <w:szCs w:val="28"/>
        </w:rPr>
        <w:t>年</w:t>
      </w:r>
      <w:r>
        <w:rPr>
          <w:rFonts w:ascii="仿宋" w:eastAsia="仿宋" w:hAnsi="仿宋" w:hint="eastAsia"/>
          <w:sz w:val="28"/>
          <w:szCs w:val="28"/>
        </w:rPr>
        <w:t>1</w:t>
      </w:r>
      <w:r>
        <w:rPr>
          <w:rFonts w:ascii="仿宋" w:eastAsia="仿宋" w:hAnsi="仿宋" w:hint="eastAsia"/>
          <w:sz w:val="28"/>
          <w:szCs w:val="28"/>
        </w:rPr>
        <w:t>月</w:t>
      </w:r>
      <w:r>
        <w:rPr>
          <w:rFonts w:ascii="仿宋" w:eastAsia="仿宋" w:hAnsi="仿宋" w:hint="eastAsia"/>
          <w:sz w:val="28"/>
          <w:szCs w:val="28"/>
        </w:rPr>
        <w:t>1</w:t>
      </w:r>
      <w:r>
        <w:rPr>
          <w:rFonts w:ascii="仿宋" w:eastAsia="仿宋" w:hAnsi="仿宋" w:hint="eastAsia"/>
          <w:sz w:val="28"/>
          <w:szCs w:val="28"/>
        </w:rPr>
        <w:t>日至</w:t>
      </w:r>
      <w:r>
        <w:rPr>
          <w:rFonts w:ascii="仿宋" w:eastAsia="仿宋" w:hAnsi="仿宋" w:hint="eastAsia"/>
          <w:sz w:val="28"/>
          <w:szCs w:val="28"/>
        </w:rPr>
        <w:t>202</w:t>
      </w:r>
      <w:r>
        <w:rPr>
          <w:rFonts w:ascii="仿宋" w:eastAsia="仿宋" w:hAnsi="仿宋" w:hint="eastAsia"/>
          <w:sz w:val="28"/>
          <w:szCs w:val="28"/>
        </w:rPr>
        <w:t>6</w:t>
      </w:r>
      <w:r>
        <w:rPr>
          <w:rFonts w:ascii="仿宋" w:eastAsia="仿宋" w:hAnsi="仿宋" w:hint="eastAsia"/>
          <w:sz w:val="28"/>
          <w:szCs w:val="28"/>
        </w:rPr>
        <w:t>年</w:t>
      </w:r>
      <w:r>
        <w:rPr>
          <w:rFonts w:ascii="仿宋" w:eastAsia="仿宋" w:hAnsi="仿宋" w:hint="eastAsia"/>
          <w:sz w:val="28"/>
          <w:szCs w:val="28"/>
        </w:rPr>
        <w:t>12</w:t>
      </w:r>
      <w:r>
        <w:rPr>
          <w:rFonts w:ascii="仿宋" w:eastAsia="仿宋" w:hAnsi="仿宋" w:hint="eastAsia"/>
          <w:sz w:val="28"/>
          <w:szCs w:val="28"/>
        </w:rPr>
        <w:t>月</w:t>
      </w:r>
      <w:r>
        <w:rPr>
          <w:rFonts w:ascii="仿宋" w:eastAsia="仿宋" w:hAnsi="仿宋" w:hint="eastAsia"/>
          <w:sz w:val="28"/>
          <w:szCs w:val="28"/>
        </w:rPr>
        <w:t>31</w:t>
      </w:r>
      <w:r>
        <w:rPr>
          <w:rFonts w:ascii="仿宋" w:eastAsia="仿宋" w:hAnsi="仿宋" w:hint="eastAsia"/>
          <w:sz w:val="28"/>
          <w:szCs w:val="28"/>
        </w:rPr>
        <w:t>日</w:t>
      </w:r>
    </w:p>
    <w:p w14:paraId="0468BBAA" w14:textId="77777777" w:rsidR="003D6405" w:rsidRDefault="006A45E3">
      <w:pPr>
        <w:ind w:firstLineChars="200" w:firstLine="562"/>
        <w:outlineLvl w:val="0"/>
        <w:rPr>
          <w:rFonts w:ascii="仿宋" w:eastAsia="仿宋" w:hAnsi="仿宋"/>
          <w:b/>
          <w:sz w:val="28"/>
          <w:szCs w:val="28"/>
        </w:rPr>
      </w:pPr>
      <w:r>
        <w:rPr>
          <w:rFonts w:ascii="仿宋" w:eastAsia="仿宋" w:hAnsi="仿宋" w:hint="eastAsia"/>
          <w:b/>
          <w:sz w:val="28"/>
          <w:szCs w:val="28"/>
        </w:rPr>
        <w:t>三、薪酬标准</w:t>
      </w:r>
    </w:p>
    <w:p w14:paraId="7F96D9F5" w14:textId="77777777" w:rsidR="003D6405" w:rsidRDefault="006A45E3">
      <w:pPr>
        <w:spacing w:line="360" w:lineRule="auto"/>
        <w:ind w:firstLineChars="200" w:firstLine="560"/>
        <w:rPr>
          <w:rFonts w:ascii="仿宋" w:eastAsia="仿宋" w:hAnsi="仿宋"/>
          <w:sz w:val="28"/>
        </w:rPr>
      </w:pPr>
      <w:r>
        <w:rPr>
          <w:rFonts w:ascii="仿宋" w:eastAsia="仿宋" w:hAnsi="仿宋" w:hint="eastAsia"/>
          <w:sz w:val="28"/>
        </w:rPr>
        <w:t>（一）董事薪酬</w:t>
      </w:r>
    </w:p>
    <w:p w14:paraId="697B9DD5" w14:textId="77777777" w:rsidR="003D6405" w:rsidRDefault="006A45E3">
      <w:pPr>
        <w:spacing w:line="360" w:lineRule="auto"/>
        <w:ind w:firstLineChars="200" w:firstLine="560"/>
        <w:rPr>
          <w:rFonts w:ascii="仿宋" w:eastAsia="仿宋" w:hAnsi="仿宋"/>
          <w:sz w:val="28"/>
        </w:rPr>
      </w:pPr>
      <w:r>
        <w:rPr>
          <w:rFonts w:ascii="仿宋" w:eastAsia="仿宋" w:hAnsi="仿宋" w:hint="eastAsia"/>
          <w:sz w:val="28"/>
        </w:rPr>
        <w:t>1.</w:t>
      </w:r>
      <w:r>
        <w:rPr>
          <w:rFonts w:ascii="仿宋" w:eastAsia="仿宋" w:hAnsi="仿宋" w:hint="eastAsia"/>
          <w:sz w:val="28"/>
        </w:rPr>
        <w:t>在公司任职的董事薪酬</w:t>
      </w:r>
    </w:p>
    <w:p w14:paraId="4FF94159" w14:textId="77777777" w:rsidR="003D6405" w:rsidRDefault="006A45E3">
      <w:pPr>
        <w:spacing w:line="360" w:lineRule="auto"/>
        <w:ind w:firstLineChars="200" w:firstLine="560"/>
        <w:rPr>
          <w:rFonts w:ascii="仿宋" w:eastAsia="仿宋" w:hAnsi="仿宋"/>
          <w:sz w:val="28"/>
        </w:rPr>
      </w:pPr>
      <w:r>
        <w:rPr>
          <w:rFonts w:ascii="仿宋" w:eastAsia="仿宋" w:hAnsi="仿宋" w:hint="eastAsia"/>
          <w:sz w:val="28"/>
        </w:rPr>
        <w:t>在公司任职的董事薪酬由基本薪酬和绩效薪酬构成：</w:t>
      </w:r>
    </w:p>
    <w:p w14:paraId="5AD269FC" w14:textId="77777777" w:rsidR="003D6405" w:rsidRDefault="006A45E3">
      <w:pPr>
        <w:spacing w:line="360" w:lineRule="auto"/>
        <w:ind w:firstLineChars="200" w:firstLine="560"/>
        <w:rPr>
          <w:rFonts w:ascii="仿宋" w:eastAsia="仿宋" w:hAnsi="仿宋"/>
          <w:sz w:val="28"/>
        </w:rPr>
      </w:pPr>
      <w:r>
        <w:rPr>
          <w:rFonts w:ascii="仿宋" w:eastAsia="仿宋" w:hAnsi="仿宋" w:hint="eastAsia"/>
          <w:sz w:val="28"/>
        </w:rPr>
        <w:t>基本薪酬综合考虑所任职务的岗位重要性、个人能力、履职情况</w:t>
      </w:r>
      <w:r>
        <w:rPr>
          <w:rFonts w:ascii="仿宋" w:eastAsia="仿宋" w:hAnsi="仿宋" w:hint="eastAsia"/>
          <w:sz w:val="28"/>
        </w:rPr>
        <w:lastRenderedPageBreak/>
        <w:t>等因素，结合行业及地区薪酬水平确定，按月以银行转账方式予以结算；绩效薪酬根据公司经营规划、绩效目标及实际实施情况，结合整体效益，综合考核后以银行转账方式予以结算。</w:t>
      </w:r>
    </w:p>
    <w:p w14:paraId="7E5E355F" w14:textId="77777777" w:rsidR="003D6405" w:rsidRDefault="006A45E3">
      <w:pPr>
        <w:spacing w:line="360" w:lineRule="auto"/>
        <w:ind w:firstLineChars="200" w:firstLine="560"/>
        <w:rPr>
          <w:rFonts w:ascii="仿宋" w:eastAsia="仿宋" w:hAnsi="仿宋"/>
          <w:sz w:val="28"/>
        </w:rPr>
      </w:pPr>
      <w:r>
        <w:rPr>
          <w:rFonts w:ascii="仿宋" w:eastAsia="仿宋" w:hAnsi="仿宋" w:hint="eastAsia"/>
          <w:sz w:val="28"/>
        </w:rPr>
        <w:t>此外，在公司任职的董事不再领取董事津贴；兼任高级管理人员的董事薪酬方案按此实行。</w:t>
      </w:r>
    </w:p>
    <w:p w14:paraId="768A1F2C" w14:textId="77777777" w:rsidR="003D6405" w:rsidRDefault="006A45E3">
      <w:pPr>
        <w:spacing w:line="360" w:lineRule="auto"/>
        <w:ind w:firstLineChars="200" w:firstLine="560"/>
        <w:rPr>
          <w:rFonts w:ascii="仿宋" w:eastAsia="仿宋" w:hAnsi="仿宋"/>
          <w:sz w:val="28"/>
        </w:rPr>
      </w:pPr>
      <w:r>
        <w:rPr>
          <w:rFonts w:ascii="仿宋" w:eastAsia="仿宋" w:hAnsi="仿宋" w:hint="eastAsia"/>
          <w:sz w:val="28"/>
        </w:rPr>
        <w:t>2.</w:t>
      </w:r>
      <w:r>
        <w:rPr>
          <w:rFonts w:ascii="仿宋" w:eastAsia="仿宋" w:hAnsi="仿宋" w:hint="eastAsia"/>
          <w:sz w:val="28"/>
        </w:rPr>
        <w:t>独立董事津贴</w:t>
      </w:r>
    </w:p>
    <w:p w14:paraId="5933473F" w14:textId="77777777" w:rsidR="003D6405" w:rsidRDefault="006A45E3">
      <w:pPr>
        <w:spacing w:line="360" w:lineRule="auto"/>
        <w:ind w:firstLineChars="200" w:firstLine="560"/>
        <w:rPr>
          <w:rFonts w:ascii="仿宋" w:eastAsia="仿宋" w:hAnsi="仿宋"/>
          <w:sz w:val="28"/>
        </w:rPr>
      </w:pPr>
      <w:r>
        <w:rPr>
          <w:rFonts w:ascii="仿宋" w:eastAsia="仿宋" w:hAnsi="仿宋" w:hint="eastAsia"/>
          <w:sz w:val="28"/>
        </w:rPr>
        <w:t>公司独立董事实行津贴方案。独立董事津</w:t>
      </w:r>
      <w:r>
        <w:rPr>
          <w:rFonts w:ascii="仿宋" w:eastAsia="仿宋" w:hAnsi="仿宋" w:hint="eastAsia"/>
          <w:sz w:val="28"/>
        </w:rPr>
        <w:t>贴为每人税前</w:t>
      </w:r>
      <w:r>
        <w:rPr>
          <w:rFonts w:ascii="仿宋" w:eastAsia="仿宋" w:hAnsi="仿宋" w:hint="eastAsia"/>
          <w:sz w:val="28"/>
        </w:rPr>
        <w:t>9.6</w:t>
      </w:r>
      <w:r>
        <w:rPr>
          <w:rFonts w:ascii="仿宋" w:eastAsia="仿宋" w:hAnsi="仿宋" w:hint="eastAsia"/>
          <w:sz w:val="28"/>
        </w:rPr>
        <w:t>万元</w:t>
      </w:r>
      <w:r>
        <w:rPr>
          <w:rFonts w:ascii="仿宋" w:eastAsia="仿宋" w:hAnsi="仿宋" w:hint="eastAsia"/>
          <w:sz w:val="28"/>
        </w:rPr>
        <w:t>/</w:t>
      </w:r>
      <w:r>
        <w:rPr>
          <w:rFonts w:ascii="仿宋" w:eastAsia="仿宋" w:hAnsi="仿宋" w:hint="eastAsia"/>
          <w:sz w:val="28"/>
        </w:rPr>
        <w:t>年，按月以银行转账方式予以结算。</w:t>
      </w:r>
    </w:p>
    <w:p w14:paraId="71B2394E" w14:textId="77777777" w:rsidR="003D6405" w:rsidRDefault="006A45E3">
      <w:pPr>
        <w:spacing w:line="360" w:lineRule="auto"/>
        <w:ind w:firstLineChars="200" w:firstLine="560"/>
        <w:rPr>
          <w:rFonts w:ascii="仿宋" w:eastAsia="仿宋" w:hAnsi="仿宋"/>
          <w:sz w:val="28"/>
        </w:rPr>
      </w:pPr>
      <w:r>
        <w:rPr>
          <w:rFonts w:ascii="仿宋" w:eastAsia="仿宋" w:hAnsi="仿宋" w:hint="eastAsia"/>
          <w:sz w:val="28"/>
        </w:rPr>
        <w:t>3.</w:t>
      </w:r>
      <w:r>
        <w:rPr>
          <w:rFonts w:ascii="仿宋" w:eastAsia="仿宋" w:hAnsi="仿宋" w:hint="eastAsia"/>
          <w:sz w:val="28"/>
        </w:rPr>
        <w:t>外部董事津贴</w:t>
      </w:r>
    </w:p>
    <w:p w14:paraId="00AE2DEE" w14:textId="77777777" w:rsidR="003D6405" w:rsidRDefault="006A45E3">
      <w:pPr>
        <w:spacing w:line="360" w:lineRule="auto"/>
        <w:ind w:firstLineChars="200" w:firstLine="560"/>
        <w:rPr>
          <w:rFonts w:ascii="仿宋" w:eastAsia="仿宋" w:hAnsi="仿宋"/>
          <w:sz w:val="28"/>
        </w:rPr>
      </w:pPr>
      <w:r>
        <w:rPr>
          <w:rFonts w:ascii="仿宋" w:eastAsia="仿宋" w:hAnsi="仿宋" w:hint="eastAsia"/>
          <w:sz w:val="28"/>
        </w:rPr>
        <w:t>外部董事未在公司任其他职务，参照独立董事实行津贴方案。外部董事津贴为</w:t>
      </w:r>
      <w:r>
        <w:rPr>
          <w:rFonts w:ascii="仿宋" w:eastAsia="仿宋" w:hAnsi="仿宋" w:hint="eastAsia"/>
          <w:sz w:val="28"/>
        </w:rPr>
        <w:t>不高于</w:t>
      </w:r>
      <w:r>
        <w:rPr>
          <w:rFonts w:ascii="仿宋" w:eastAsia="仿宋" w:hAnsi="仿宋" w:hint="eastAsia"/>
          <w:sz w:val="28"/>
        </w:rPr>
        <w:t>每人税前</w:t>
      </w:r>
      <w:r>
        <w:rPr>
          <w:rFonts w:ascii="仿宋" w:eastAsia="仿宋" w:hAnsi="仿宋" w:hint="eastAsia"/>
          <w:sz w:val="28"/>
        </w:rPr>
        <w:t>9.6</w:t>
      </w:r>
      <w:r>
        <w:rPr>
          <w:rFonts w:ascii="仿宋" w:eastAsia="仿宋" w:hAnsi="仿宋" w:hint="eastAsia"/>
          <w:sz w:val="28"/>
        </w:rPr>
        <w:t>万元</w:t>
      </w:r>
      <w:r>
        <w:rPr>
          <w:rFonts w:ascii="仿宋" w:eastAsia="仿宋" w:hAnsi="仿宋" w:hint="eastAsia"/>
          <w:sz w:val="28"/>
        </w:rPr>
        <w:t>/</w:t>
      </w:r>
      <w:r>
        <w:rPr>
          <w:rFonts w:ascii="仿宋" w:eastAsia="仿宋" w:hAnsi="仿宋" w:hint="eastAsia"/>
          <w:sz w:val="28"/>
        </w:rPr>
        <w:t>年，按月以银行转</w:t>
      </w:r>
      <w:r>
        <w:rPr>
          <w:rFonts w:ascii="仿宋" w:eastAsia="仿宋" w:hAnsi="仿宋" w:hint="eastAsia"/>
          <w:sz w:val="28"/>
        </w:rPr>
        <w:t>账方式予以结算。</w:t>
      </w:r>
    </w:p>
    <w:p w14:paraId="585646DB" w14:textId="77777777" w:rsidR="003D6405" w:rsidRDefault="006A45E3">
      <w:pPr>
        <w:spacing w:line="360" w:lineRule="auto"/>
        <w:ind w:firstLineChars="200" w:firstLine="560"/>
        <w:rPr>
          <w:rFonts w:ascii="仿宋" w:eastAsia="仿宋" w:hAnsi="仿宋"/>
          <w:sz w:val="28"/>
        </w:rPr>
      </w:pPr>
      <w:r>
        <w:rPr>
          <w:rFonts w:ascii="仿宋" w:eastAsia="仿宋" w:hAnsi="仿宋" w:hint="eastAsia"/>
          <w:sz w:val="28"/>
        </w:rPr>
        <w:t>4.</w:t>
      </w:r>
      <w:r>
        <w:rPr>
          <w:rFonts w:ascii="仿宋" w:eastAsia="仿宋" w:hAnsi="仿宋" w:hint="eastAsia"/>
          <w:sz w:val="28"/>
        </w:rPr>
        <w:t>高级管理人员薪酬</w:t>
      </w:r>
    </w:p>
    <w:p w14:paraId="2954B59C" w14:textId="77777777" w:rsidR="003D6405" w:rsidRDefault="006A45E3">
      <w:pPr>
        <w:spacing w:line="360" w:lineRule="auto"/>
        <w:ind w:firstLineChars="200" w:firstLine="560"/>
        <w:rPr>
          <w:rFonts w:ascii="仿宋" w:eastAsia="仿宋" w:hAnsi="仿宋"/>
          <w:sz w:val="28"/>
        </w:rPr>
      </w:pPr>
      <w:r>
        <w:rPr>
          <w:rFonts w:ascii="仿宋" w:eastAsia="仿宋" w:hAnsi="仿宋" w:hint="eastAsia"/>
          <w:sz w:val="28"/>
        </w:rPr>
        <w:t>公司高级管理人员薪酬由基本薪酬和绩效薪酬构成：</w:t>
      </w:r>
    </w:p>
    <w:p w14:paraId="1612A8ED" w14:textId="77777777" w:rsidR="003D6405" w:rsidRDefault="006A45E3">
      <w:pPr>
        <w:spacing w:line="360" w:lineRule="auto"/>
        <w:ind w:firstLineChars="200" w:firstLine="560"/>
        <w:rPr>
          <w:rFonts w:ascii="仿宋" w:eastAsia="仿宋" w:hAnsi="仿宋"/>
          <w:sz w:val="28"/>
        </w:rPr>
      </w:pPr>
      <w:r>
        <w:rPr>
          <w:rFonts w:ascii="仿宋" w:eastAsia="仿宋" w:hAnsi="仿宋" w:hint="eastAsia"/>
          <w:sz w:val="28"/>
        </w:rPr>
        <w:t>基本薪酬综合考虑所任职务的岗位重要性、个人能力、履职情况、市场薪资等因素，结合行业及地区薪酬水平确定，按月以银行转账方式予以结算；绩效薪酬根据公司经营规划、绩效目标及实施情况，结合整体效益，综合考核后以银行转账方式予以结算。</w:t>
      </w:r>
    </w:p>
    <w:p w14:paraId="6BD2A4BC" w14:textId="77777777" w:rsidR="003D6405" w:rsidRDefault="006A45E3">
      <w:pPr>
        <w:ind w:firstLineChars="200" w:firstLine="562"/>
        <w:outlineLvl w:val="0"/>
        <w:rPr>
          <w:rFonts w:ascii="仿宋" w:eastAsia="仿宋" w:hAnsi="仿宋"/>
          <w:b/>
          <w:sz w:val="28"/>
          <w:szCs w:val="28"/>
        </w:rPr>
      </w:pPr>
      <w:r>
        <w:rPr>
          <w:rFonts w:ascii="仿宋" w:eastAsia="仿宋" w:hAnsi="仿宋" w:hint="eastAsia"/>
          <w:b/>
          <w:sz w:val="28"/>
          <w:szCs w:val="28"/>
        </w:rPr>
        <w:t>四、审议程序</w:t>
      </w:r>
    </w:p>
    <w:p w14:paraId="2F94626C" w14:textId="77777777" w:rsidR="003D6405" w:rsidRDefault="006A45E3">
      <w:pPr>
        <w:ind w:firstLineChars="200" w:firstLine="560"/>
        <w:rPr>
          <w:rFonts w:ascii="仿宋" w:eastAsia="仿宋" w:hAnsi="仿宋"/>
          <w:sz w:val="28"/>
        </w:rPr>
      </w:pPr>
      <w:r>
        <w:rPr>
          <w:rFonts w:ascii="仿宋" w:eastAsia="仿宋" w:hAnsi="仿宋" w:hint="eastAsia"/>
          <w:sz w:val="28"/>
        </w:rPr>
        <w:t>（一）董事会薪酬与考核委员会审议情况</w:t>
      </w:r>
    </w:p>
    <w:p w14:paraId="26B35A42" w14:textId="77777777" w:rsidR="003D6405" w:rsidRDefault="006A45E3">
      <w:pPr>
        <w:ind w:firstLineChars="200" w:firstLine="560"/>
        <w:rPr>
          <w:rFonts w:ascii="仿宋" w:eastAsia="仿宋" w:hAnsi="仿宋"/>
          <w:sz w:val="28"/>
        </w:rPr>
      </w:pPr>
      <w:r>
        <w:rPr>
          <w:rFonts w:ascii="仿宋" w:eastAsia="仿宋" w:hAnsi="仿宋" w:hint="eastAsia"/>
          <w:sz w:val="28"/>
        </w:rPr>
        <w:t>公司</w:t>
      </w:r>
      <w:r>
        <w:rPr>
          <w:rFonts w:ascii="仿宋" w:eastAsia="仿宋" w:hAnsi="仿宋" w:hint="eastAsia"/>
          <w:sz w:val="28"/>
        </w:rPr>
        <w:t>董事会薪酬与考核委员会</w:t>
      </w:r>
      <w:r>
        <w:rPr>
          <w:rFonts w:ascii="仿宋" w:eastAsia="仿宋" w:hAnsi="仿宋" w:hint="eastAsia"/>
          <w:sz w:val="28"/>
        </w:rPr>
        <w:t>于</w:t>
      </w:r>
      <w:r>
        <w:rPr>
          <w:rFonts w:ascii="仿宋" w:eastAsia="仿宋" w:hAnsi="仿宋" w:hint="eastAsia"/>
          <w:sz w:val="28"/>
        </w:rPr>
        <w:t>202</w:t>
      </w:r>
      <w:r>
        <w:rPr>
          <w:rFonts w:ascii="仿宋" w:eastAsia="仿宋" w:hAnsi="仿宋" w:hint="eastAsia"/>
          <w:sz w:val="28"/>
        </w:rPr>
        <w:t>6</w:t>
      </w:r>
      <w:r>
        <w:rPr>
          <w:rFonts w:ascii="仿宋" w:eastAsia="仿宋" w:hAnsi="仿宋" w:hint="eastAsia"/>
          <w:sz w:val="28"/>
        </w:rPr>
        <w:t>年</w:t>
      </w:r>
      <w:r>
        <w:rPr>
          <w:rFonts w:ascii="仿宋" w:eastAsia="仿宋" w:hAnsi="仿宋" w:hint="eastAsia"/>
          <w:sz w:val="28"/>
        </w:rPr>
        <w:t>3</w:t>
      </w:r>
      <w:r>
        <w:rPr>
          <w:rFonts w:ascii="仿宋" w:eastAsia="仿宋" w:hAnsi="仿宋" w:hint="eastAsia"/>
          <w:sz w:val="28"/>
        </w:rPr>
        <w:t>月</w:t>
      </w:r>
      <w:r>
        <w:rPr>
          <w:rFonts w:ascii="仿宋" w:eastAsia="仿宋" w:hAnsi="仿宋" w:hint="eastAsia"/>
          <w:sz w:val="28"/>
        </w:rPr>
        <w:t>29</w:t>
      </w:r>
      <w:r>
        <w:rPr>
          <w:rFonts w:ascii="仿宋" w:eastAsia="仿宋" w:hAnsi="仿宋" w:hint="eastAsia"/>
          <w:sz w:val="28"/>
        </w:rPr>
        <w:t>日通讯召开第</w:t>
      </w:r>
      <w:r>
        <w:rPr>
          <w:rFonts w:ascii="仿宋" w:eastAsia="仿宋" w:hAnsi="仿宋" w:hint="eastAsia"/>
          <w:sz w:val="28"/>
        </w:rPr>
        <w:t>四</w:t>
      </w:r>
      <w:r>
        <w:rPr>
          <w:rFonts w:ascii="仿宋" w:eastAsia="仿宋" w:hAnsi="仿宋" w:hint="eastAsia"/>
          <w:sz w:val="28"/>
        </w:rPr>
        <w:t>届董事会薪酬与考核委员会第</w:t>
      </w:r>
      <w:r>
        <w:rPr>
          <w:rFonts w:ascii="仿宋" w:eastAsia="仿宋" w:hAnsi="仿宋" w:hint="eastAsia"/>
          <w:sz w:val="28"/>
        </w:rPr>
        <w:t>一</w:t>
      </w:r>
      <w:r>
        <w:rPr>
          <w:rFonts w:ascii="仿宋" w:eastAsia="仿宋" w:hAnsi="仿宋" w:hint="eastAsia"/>
          <w:sz w:val="28"/>
        </w:rPr>
        <w:t>次会议，与会董事委员审</w:t>
      </w:r>
      <w:r>
        <w:rPr>
          <w:rFonts w:ascii="仿宋" w:eastAsia="仿宋" w:hAnsi="仿宋" w:hint="eastAsia"/>
          <w:sz w:val="28"/>
        </w:rPr>
        <w:t>议了《</w:t>
      </w:r>
      <w:r>
        <w:rPr>
          <w:rFonts w:ascii="仿宋" w:eastAsia="仿宋" w:hAnsi="仿宋" w:hint="eastAsia"/>
          <w:sz w:val="28"/>
          <w:szCs w:val="28"/>
        </w:rPr>
        <w:t>关于</w:t>
      </w:r>
      <w:r>
        <w:rPr>
          <w:rFonts w:ascii="仿宋" w:eastAsia="仿宋" w:hAnsi="仿宋" w:hint="eastAsia"/>
          <w:sz w:val="28"/>
          <w:szCs w:val="28"/>
        </w:rPr>
        <w:lastRenderedPageBreak/>
        <w:t>公司董事及高级管理人员</w:t>
      </w:r>
      <w:r>
        <w:rPr>
          <w:rFonts w:ascii="仿宋" w:eastAsia="仿宋" w:hAnsi="仿宋" w:hint="eastAsia"/>
          <w:sz w:val="28"/>
          <w:szCs w:val="28"/>
        </w:rPr>
        <w:t>202</w:t>
      </w:r>
      <w:r>
        <w:rPr>
          <w:rFonts w:ascii="仿宋" w:eastAsia="仿宋" w:hAnsi="仿宋" w:hint="eastAsia"/>
          <w:sz w:val="28"/>
          <w:szCs w:val="28"/>
        </w:rPr>
        <w:t>6</w:t>
      </w:r>
      <w:r>
        <w:rPr>
          <w:rFonts w:ascii="仿宋" w:eastAsia="仿宋" w:hAnsi="仿宋" w:hint="eastAsia"/>
          <w:sz w:val="28"/>
          <w:szCs w:val="28"/>
        </w:rPr>
        <w:t>年度薪酬待遇方案的议案》，同意提交至董事会审议。</w:t>
      </w:r>
    </w:p>
    <w:p w14:paraId="6518124F" w14:textId="77777777" w:rsidR="003D6405" w:rsidRDefault="006A45E3">
      <w:pPr>
        <w:ind w:firstLineChars="200" w:firstLine="560"/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hint="eastAsia"/>
          <w:sz w:val="28"/>
        </w:rPr>
        <w:t>（二）</w:t>
      </w:r>
      <w:r>
        <w:rPr>
          <w:rFonts w:ascii="仿宋" w:eastAsia="仿宋" w:hAnsi="仿宋" w:hint="eastAsia"/>
          <w:sz w:val="28"/>
          <w:szCs w:val="28"/>
        </w:rPr>
        <w:t>董事会审议情况</w:t>
      </w:r>
    </w:p>
    <w:p w14:paraId="62C29D6B" w14:textId="77777777" w:rsidR="003D6405" w:rsidRDefault="006A45E3">
      <w:pPr>
        <w:ind w:firstLineChars="200" w:firstLine="560"/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>公司于</w:t>
      </w:r>
      <w:r>
        <w:rPr>
          <w:rFonts w:ascii="仿宋" w:eastAsia="仿宋" w:hAnsi="仿宋" w:hint="eastAsia"/>
          <w:sz w:val="28"/>
          <w:szCs w:val="28"/>
        </w:rPr>
        <w:t>202</w:t>
      </w:r>
      <w:r>
        <w:rPr>
          <w:rFonts w:ascii="仿宋" w:eastAsia="仿宋" w:hAnsi="仿宋" w:hint="eastAsia"/>
          <w:sz w:val="28"/>
          <w:szCs w:val="28"/>
        </w:rPr>
        <w:t>6</w:t>
      </w:r>
      <w:r>
        <w:rPr>
          <w:rFonts w:ascii="仿宋" w:eastAsia="仿宋" w:hAnsi="仿宋" w:hint="eastAsia"/>
          <w:sz w:val="28"/>
          <w:szCs w:val="28"/>
        </w:rPr>
        <w:t>年</w:t>
      </w:r>
      <w:r>
        <w:rPr>
          <w:rFonts w:ascii="仿宋" w:eastAsia="仿宋" w:hAnsi="仿宋" w:hint="eastAsia"/>
          <w:sz w:val="28"/>
          <w:szCs w:val="28"/>
        </w:rPr>
        <w:t>3</w:t>
      </w:r>
      <w:r>
        <w:rPr>
          <w:rFonts w:ascii="仿宋" w:eastAsia="仿宋" w:hAnsi="仿宋" w:hint="eastAsia"/>
          <w:sz w:val="28"/>
          <w:szCs w:val="28"/>
        </w:rPr>
        <w:t>月</w:t>
      </w:r>
      <w:r>
        <w:rPr>
          <w:rFonts w:ascii="仿宋" w:eastAsia="仿宋" w:hAnsi="仿宋" w:hint="eastAsia"/>
          <w:sz w:val="28"/>
          <w:szCs w:val="28"/>
        </w:rPr>
        <w:t>30</w:t>
      </w:r>
      <w:r>
        <w:rPr>
          <w:rFonts w:ascii="仿宋" w:eastAsia="仿宋" w:hAnsi="仿宋" w:hint="eastAsia"/>
          <w:sz w:val="28"/>
          <w:szCs w:val="28"/>
        </w:rPr>
        <w:t>日召开第</w:t>
      </w:r>
      <w:r>
        <w:rPr>
          <w:rFonts w:ascii="仿宋" w:eastAsia="仿宋" w:hAnsi="仿宋" w:hint="eastAsia"/>
          <w:sz w:val="28"/>
          <w:szCs w:val="28"/>
        </w:rPr>
        <w:t>四</w:t>
      </w:r>
      <w:r>
        <w:rPr>
          <w:rFonts w:ascii="仿宋" w:eastAsia="仿宋" w:hAnsi="仿宋" w:hint="eastAsia"/>
          <w:sz w:val="28"/>
          <w:szCs w:val="28"/>
        </w:rPr>
        <w:t>届董事会第</w:t>
      </w:r>
      <w:r>
        <w:rPr>
          <w:rFonts w:ascii="仿宋" w:eastAsia="仿宋" w:hAnsi="仿宋" w:hint="eastAsia"/>
          <w:sz w:val="28"/>
          <w:szCs w:val="28"/>
        </w:rPr>
        <w:t>五</w:t>
      </w:r>
      <w:r>
        <w:rPr>
          <w:rFonts w:ascii="仿宋" w:eastAsia="仿宋" w:hAnsi="仿宋" w:hint="eastAsia"/>
          <w:sz w:val="28"/>
          <w:szCs w:val="28"/>
        </w:rPr>
        <w:t>次会议，与会董事审议了《关于公司董事及高级管理人员</w:t>
      </w:r>
      <w:r>
        <w:rPr>
          <w:rFonts w:ascii="仿宋" w:eastAsia="仿宋" w:hAnsi="仿宋" w:hint="eastAsia"/>
          <w:sz w:val="28"/>
          <w:szCs w:val="28"/>
        </w:rPr>
        <w:t>202</w:t>
      </w:r>
      <w:r>
        <w:rPr>
          <w:rFonts w:ascii="仿宋" w:eastAsia="仿宋" w:hAnsi="仿宋" w:hint="eastAsia"/>
          <w:sz w:val="28"/>
          <w:szCs w:val="28"/>
        </w:rPr>
        <w:t>6</w:t>
      </w:r>
      <w:r>
        <w:rPr>
          <w:rFonts w:ascii="仿宋" w:eastAsia="仿宋" w:hAnsi="仿宋" w:hint="eastAsia"/>
          <w:sz w:val="28"/>
          <w:szCs w:val="28"/>
        </w:rPr>
        <w:t>年度薪酬待遇方案的议案》。鉴于该议案与所有与会表决董事相关，全体董事回避表决。本议案直接提交股东会审议。</w:t>
      </w:r>
    </w:p>
    <w:p w14:paraId="2FCBA79D" w14:textId="77777777" w:rsidR="003D6405" w:rsidRDefault="006A45E3">
      <w:pPr>
        <w:ind w:firstLineChars="200" w:firstLine="562"/>
        <w:outlineLvl w:val="0"/>
        <w:rPr>
          <w:rFonts w:ascii="仿宋" w:eastAsia="仿宋" w:hAnsi="仿宋"/>
          <w:b/>
          <w:sz w:val="28"/>
          <w:szCs w:val="28"/>
        </w:rPr>
      </w:pPr>
      <w:r>
        <w:rPr>
          <w:rFonts w:ascii="仿宋" w:eastAsia="仿宋" w:hAnsi="仿宋" w:hint="eastAsia"/>
          <w:b/>
          <w:sz w:val="28"/>
          <w:szCs w:val="28"/>
        </w:rPr>
        <w:t>五、备查文件</w:t>
      </w:r>
    </w:p>
    <w:p w14:paraId="782C1AF8" w14:textId="77777777" w:rsidR="003D6405" w:rsidRDefault="006A45E3">
      <w:pPr>
        <w:spacing w:line="360" w:lineRule="auto"/>
        <w:ind w:firstLineChars="200" w:firstLine="560"/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hint="eastAsia"/>
          <w:kern w:val="0"/>
          <w:sz w:val="28"/>
          <w:szCs w:val="28"/>
        </w:rPr>
        <w:t>（一）《</w:t>
      </w:r>
      <w:r>
        <w:rPr>
          <w:rFonts w:ascii="仿宋" w:eastAsia="仿宋" w:hAnsi="仿宋" w:hint="eastAsia"/>
          <w:sz w:val="28"/>
          <w:szCs w:val="28"/>
        </w:rPr>
        <w:t>广东天亿马信息产业股份有限公司第</w:t>
      </w:r>
      <w:r>
        <w:rPr>
          <w:rFonts w:ascii="仿宋" w:eastAsia="仿宋" w:hAnsi="仿宋" w:hint="eastAsia"/>
          <w:sz w:val="28"/>
          <w:szCs w:val="28"/>
        </w:rPr>
        <w:t>四</w:t>
      </w:r>
      <w:r>
        <w:rPr>
          <w:rFonts w:ascii="仿宋" w:eastAsia="仿宋" w:hAnsi="仿宋" w:hint="eastAsia"/>
          <w:sz w:val="28"/>
          <w:szCs w:val="28"/>
        </w:rPr>
        <w:t>届董事会第</w:t>
      </w:r>
      <w:r>
        <w:rPr>
          <w:rFonts w:ascii="仿宋" w:eastAsia="仿宋" w:hAnsi="仿宋" w:hint="eastAsia"/>
          <w:sz w:val="28"/>
          <w:szCs w:val="28"/>
        </w:rPr>
        <w:t>五</w:t>
      </w:r>
      <w:r>
        <w:rPr>
          <w:rFonts w:ascii="仿宋" w:eastAsia="仿宋" w:hAnsi="仿宋" w:hint="eastAsia"/>
          <w:sz w:val="28"/>
          <w:szCs w:val="28"/>
        </w:rPr>
        <w:t>次会议决议》；</w:t>
      </w:r>
    </w:p>
    <w:p w14:paraId="017689E3" w14:textId="77777777" w:rsidR="003D6405" w:rsidRDefault="006A45E3">
      <w:pPr>
        <w:spacing w:line="360" w:lineRule="auto"/>
        <w:ind w:firstLineChars="200" w:firstLine="560"/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>（</w:t>
      </w:r>
      <w:r>
        <w:rPr>
          <w:rFonts w:ascii="仿宋" w:eastAsia="仿宋" w:hAnsi="仿宋" w:hint="eastAsia"/>
          <w:sz w:val="28"/>
          <w:szCs w:val="28"/>
        </w:rPr>
        <w:t>二</w:t>
      </w:r>
      <w:r>
        <w:rPr>
          <w:rFonts w:ascii="仿宋" w:eastAsia="仿宋" w:hAnsi="仿宋" w:hint="eastAsia"/>
          <w:sz w:val="28"/>
          <w:szCs w:val="28"/>
        </w:rPr>
        <w:t>）《广东天亿马信息产业股份有限公司第</w:t>
      </w:r>
      <w:r>
        <w:rPr>
          <w:rFonts w:ascii="仿宋" w:eastAsia="仿宋" w:hAnsi="仿宋" w:hint="eastAsia"/>
          <w:sz w:val="28"/>
          <w:szCs w:val="28"/>
        </w:rPr>
        <w:t>四</w:t>
      </w:r>
      <w:r>
        <w:rPr>
          <w:rFonts w:ascii="仿宋" w:eastAsia="仿宋" w:hAnsi="仿宋" w:hint="eastAsia"/>
          <w:sz w:val="28"/>
          <w:szCs w:val="28"/>
        </w:rPr>
        <w:t>届董事会薪酬与考核委员会第</w:t>
      </w:r>
      <w:r>
        <w:rPr>
          <w:rFonts w:ascii="仿宋" w:eastAsia="仿宋" w:hAnsi="仿宋" w:hint="eastAsia"/>
          <w:sz w:val="28"/>
          <w:szCs w:val="28"/>
        </w:rPr>
        <w:t>一</w:t>
      </w:r>
      <w:r>
        <w:rPr>
          <w:rFonts w:ascii="仿宋" w:eastAsia="仿宋" w:hAnsi="仿宋" w:hint="eastAsia"/>
          <w:sz w:val="28"/>
          <w:szCs w:val="28"/>
        </w:rPr>
        <w:t>次会议决议》。</w:t>
      </w:r>
    </w:p>
    <w:p w14:paraId="576508D9" w14:textId="77777777" w:rsidR="003D6405" w:rsidRDefault="006A45E3">
      <w:pPr>
        <w:spacing w:line="360" w:lineRule="auto"/>
        <w:ind w:firstLineChars="200" w:firstLine="560"/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>特此公告。</w:t>
      </w:r>
      <w:bookmarkStart w:id="0" w:name="_GoBack"/>
      <w:bookmarkEnd w:id="0"/>
    </w:p>
    <w:p w14:paraId="2F1ADDAC" w14:textId="77777777" w:rsidR="003D6405" w:rsidRDefault="006A45E3">
      <w:pPr>
        <w:spacing w:line="360" w:lineRule="auto"/>
        <w:ind w:firstLineChars="200" w:firstLine="560"/>
        <w:jc w:val="right"/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>广东天亿马信息产业股份有限公司</w:t>
      </w:r>
    </w:p>
    <w:p w14:paraId="05A129A0" w14:textId="77777777" w:rsidR="003D6405" w:rsidRDefault="006A45E3">
      <w:pPr>
        <w:spacing w:line="360" w:lineRule="auto"/>
        <w:ind w:firstLineChars="200" w:firstLine="560"/>
        <w:jc w:val="right"/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>董事会</w:t>
      </w:r>
    </w:p>
    <w:p w14:paraId="4E9E2AE7" w14:textId="77777777" w:rsidR="003D6405" w:rsidRDefault="006A45E3">
      <w:pPr>
        <w:spacing w:line="360" w:lineRule="auto"/>
        <w:ind w:firstLineChars="200" w:firstLine="560"/>
        <w:jc w:val="right"/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>202</w:t>
      </w:r>
      <w:r>
        <w:rPr>
          <w:rFonts w:ascii="仿宋" w:eastAsia="仿宋" w:hAnsi="仿宋" w:hint="eastAsia"/>
          <w:sz w:val="28"/>
          <w:szCs w:val="28"/>
        </w:rPr>
        <w:t>6</w:t>
      </w:r>
      <w:r>
        <w:rPr>
          <w:rFonts w:ascii="仿宋" w:eastAsia="仿宋" w:hAnsi="仿宋" w:hint="eastAsia"/>
          <w:sz w:val="28"/>
          <w:szCs w:val="28"/>
        </w:rPr>
        <w:t>年</w:t>
      </w:r>
      <w:r>
        <w:rPr>
          <w:rFonts w:ascii="仿宋" w:eastAsia="仿宋" w:hAnsi="仿宋" w:hint="eastAsia"/>
          <w:sz w:val="28"/>
          <w:szCs w:val="28"/>
        </w:rPr>
        <w:t>3</w:t>
      </w:r>
      <w:r>
        <w:rPr>
          <w:rFonts w:ascii="仿宋" w:eastAsia="仿宋" w:hAnsi="仿宋" w:hint="eastAsia"/>
          <w:sz w:val="28"/>
          <w:szCs w:val="28"/>
        </w:rPr>
        <w:t>月</w:t>
      </w:r>
      <w:r>
        <w:rPr>
          <w:rFonts w:ascii="仿宋" w:eastAsia="仿宋" w:hAnsi="仿宋" w:hint="eastAsia"/>
          <w:sz w:val="28"/>
          <w:szCs w:val="28"/>
        </w:rPr>
        <w:t>31</w:t>
      </w:r>
      <w:r>
        <w:rPr>
          <w:rFonts w:ascii="仿宋" w:eastAsia="仿宋" w:hAnsi="仿宋" w:hint="eastAsia"/>
          <w:sz w:val="28"/>
          <w:szCs w:val="28"/>
        </w:rPr>
        <w:t>日</w:t>
      </w:r>
    </w:p>
    <w:sectPr w:rsidR="003D640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80"/>
  <w:doNotDisplayPageBoundarie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jcyYzZmNWM3MzA2MWYwYjgzOTRiNzA2ZjE4ODUwOWUifQ=="/>
  </w:docVars>
  <w:rsids>
    <w:rsidRoot w:val="00CF63F3"/>
    <w:rsid w:val="00045D26"/>
    <w:rsid w:val="000E358E"/>
    <w:rsid w:val="000F0BD9"/>
    <w:rsid w:val="00114028"/>
    <w:rsid w:val="00124C9F"/>
    <w:rsid w:val="001478BF"/>
    <w:rsid w:val="001A4DA6"/>
    <w:rsid w:val="001C6368"/>
    <w:rsid w:val="00254726"/>
    <w:rsid w:val="00281890"/>
    <w:rsid w:val="00285DE4"/>
    <w:rsid w:val="00297767"/>
    <w:rsid w:val="002F3313"/>
    <w:rsid w:val="003032EF"/>
    <w:rsid w:val="003965B5"/>
    <w:rsid w:val="003D6405"/>
    <w:rsid w:val="00406F81"/>
    <w:rsid w:val="0045094D"/>
    <w:rsid w:val="004660AB"/>
    <w:rsid w:val="00474ACE"/>
    <w:rsid w:val="004B2E4F"/>
    <w:rsid w:val="00500FFC"/>
    <w:rsid w:val="005024DA"/>
    <w:rsid w:val="00510B01"/>
    <w:rsid w:val="00525C68"/>
    <w:rsid w:val="0057274B"/>
    <w:rsid w:val="0058575A"/>
    <w:rsid w:val="005A277A"/>
    <w:rsid w:val="005B0166"/>
    <w:rsid w:val="005B3A2E"/>
    <w:rsid w:val="005D4471"/>
    <w:rsid w:val="005F168C"/>
    <w:rsid w:val="00621D03"/>
    <w:rsid w:val="00660D19"/>
    <w:rsid w:val="006718E4"/>
    <w:rsid w:val="006A0A70"/>
    <w:rsid w:val="006A45E3"/>
    <w:rsid w:val="006D07BC"/>
    <w:rsid w:val="00703622"/>
    <w:rsid w:val="00782E26"/>
    <w:rsid w:val="0078688C"/>
    <w:rsid w:val="00790C8C"/>
    <w:rsid w:val="007A0C90"/>
    <w:rsid w:val="007A7A64"/>
    <w:rsid w:val="007B4EB8"/>
    <w:rsid w:val="007C0B9F"/>
    <w:rsid w:val="007C4FD9"/>
    <w:rsid w:val="00893C94"/>
    <w:rsid w:val="008A4BB9"/>
    <w:rsid w:val="008C68F0"/>
    <w:rsid w:val="009137B0"/>
    <w:rsid w:val="009163FC"/>
    <w:rsid w:val="00931083"/>
    <w:rsid w:val="00955281"/>
    <w:rsid w:val="0096240B"/>
    <w:rsid w:val="009C753C"/>
    <w:rsid w:val="009C7B85"/>
    <w:rsid w:val="009D6DBD"/>
    <w:rsid w:val="00A2188B"/>
    <w:rsid w:val="00A8508A"/>
    <w:rsid w:val="00A87BE4"/>
    <w:rsid w:val="00AD1FDC"/>
    <w:rsid w:val="00AE48EC"/>
    <w:rsid w:val="00B11FFC"/>
    <w:rsid w:val="00B376FC"/>
    <w:rsid w:val="00BE62D0"/>
    <w:rsid w:val="00BF4D7E"/>
    <w:rsid w:val="00C04BC0"/>
    <w:rsid w:val="00C37469"/>
    <w:rsid w:val="00C45CC1"/>
    <w:rsid w:val="00C74D78"/>
    <w:rsid w:val="00C97F47"/>
    <w:rsid w:val="00CA6C6B"/>
    <w:rsid w:val="00CC724F"/>
    <w:rsid w:val="00CE6D58"/>
    <w:rsid w:val="00CF2AF8"/>
    <w:rsid w:val="00CF63F3"/>
    <w:rsid w:val="00D03E33"/>
    <w:rsid w:val="00D20F4F"/>
    <w:rsid w:val="00D46F7B"/>
    <w:rsid w:val="00D616CF"/>
    <w:rsid w:val="00D77021"/>
    <w:rsid w:val="00DA18D1"/>
    <w:rsid w:val="00DC0EBD"/>
    <w:rsid w:val="00DE057E"/>
    <w:rsid w:val="00E2099D"/>
    <w:rsid w:val="00E41169"/>
    <w:rsid w:val="00E71748"/>
    <w:rsid w:val="00E82FF1"/>
    <w:rsid w:val="00ED707D"/>
    <w:rsid w:val="00EE6CE9"/>
    <w:rsid w:val="00F1537C"/>
    <w:rsid w:val="00F60986"/>
    <w:rsid w:val="00F97C9E"/>
    <w:rsid w:val="00FB08E9"/>
    <w:rsid w:val="0264662C"/>
    <w:rsid w:val="02C01D21"/>
    <w:rsid w:val="03E80687"/>
    <w:rsid w:val="06F141E7"/>
    <w:rsid w:val="086246D0"/>
    <w:rsid w:val="0909312D"/>
    <w:rsid w:val="0B963AEC"/>
    <w:rsid w:val="0CA84E57"/>
    <w:rsid w:val="12B707CC"/>
    <w:rsid w:val="13436DD5"/>
    <w:rsid w:val="1381624B"/>
    <w:rsid w:val="175D5E07"/>
    <w:rsid w:val="17ED2158"/>
    <w:rsid w:val="1A147FD0"/>
    <w:rsid w:val="1D0B1216"/>
    <w:rsid w:val="21A734D8"/>
    <w:rsid w:val="288D37FB"/>
    <w:rsid w:val="2895320A"/>
    <w:rsid w:val="2CE43832"/>
    <w:rsid w:val="2E8157DC"/>
    <w:rsid w:val="2EEC5705"/>
    <w:rsid w:val="2FDD7E33"/>
    <w:rsid w:val="330B38C7"/>
    <w:rsid w:val="381C0324"/>
    <w:rsid w:val="38CE2CD3"/>
    <w:rsid w:val="3DE2791A"/>
    <w:rsid w:val="41D70F57"/>
    <w:rsid w:val="4494102B"/>
    <w:rsid w:val="47084895"/>
    <w:rsid w:val="4AAB16AF"/>
    <w:rsid w:val="50036B16"/>
    <w:rsid w:val="57FB2F35"/>
    <w:rsid w:val="59E21F44"/>
    <w:rsid w:val="5C8C5C72"/>
    <w:rsid w:val="5D7B4A1E"/>
    <w:rsid w:val="608D6CD1"/>
    <w:rsid w:val="62C90F25"/>
    <w:rsid w:val="641B6B36"/>
    <w:rsid w:val="68F95994"/>
    <w:rsid w:val="6F5C0A2B"/>
    <w:rsid w:val="6FF230A4"/>
    <w:rsid w:val="73274BDD"/>
    <w:rsid w:val="754E778F"/>
    <w:rsid w:val="77376912"/>
    <w:rsid w:val="7BEE4656"/>
    <w:rsid w:val="7CAC2D59"/>
    <w:rsid w:val="7E983F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annotation text" w:qFormat="1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Balloon Text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autoRedefine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uiPriority w:val="99"/>
    <w:semiHidden/>
    <w:unhideWhenUsed/>
    <w:qFormat/>
    <w:pPr>
      <w:jc w:val="left"/>
    </w:pPr>
  </w:style>
  <w:style w:type="paragraph" w:styleId="a4">
    <w:name w:val="Body Text"/>
    <w:uiPriority w:val="99"/>
    <w:semiHidden/>
    <w:unhideWhenUsed/>
    <w:qFormat/>
    <w:pPr>
      <w:widowControl w:val="0"/>
      <w:adjustRightInd w:val="0"/>
      <w:spacing w:before="100" w:after="100" w:line="300" w:lineRule="auto"/>
      <w:ind w:firstLineChars="200" w:firstLine="1044"/>
      <w:jc w:val="both"/>
    </w:pPr>
    <w:rPr>
      <w:rFonts w:ascii="Times New Roman" w:eastAsia="宋体" w:hAnsi="Times New Roman" w:cs="Times New Roman"/>
      <w:kern w:val="2"/>
      <w:sz w:val="24"/>
      <w:szCs w:val="24"/>
    </w:rPr>
  </w:style>
  <w:style w:type="paragraph" w:styleId="a5">
    <w:name w:val="Balloon Text"/>
    <w:basedOn w:val="a"/>
    <w:link w:val="Char"/>
    <w:uiPriority w:val="99"/>
    <w:semiHidden/>
    <w:unhideWhenUsed/>
    <w:qFormat/>
    <w:rPr>
      <w:sz w:val="18"/>
      <w:szCs w:val="18"/>
    </w:rPr>
  </w:style>
  <w:style w:type="paragraph" w:styleId="a6">
    <w:name w:val="footer"/>
    <w:basedOn w:val="a"/>
    <w:link w:val="Char0"/>
    <w:autoRedefine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header"/>
    <w:basedOn w:val="a"/>
    <w:link w:val="Char1"/>
    <w:autoRedefine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1">
    <w:name w:val="页眉 Char"/>
    <w:basedOn w:val="a0"/>
    <w:link w:val="a7"/>
    <w:autoRedefine/>
    <w:uiPriority w:val="99"/>
    <w:qFormat/>
    <w:rPr>
      <w:rFonts w:ascii="Times New Roman" w:eastAsia="宋体" w:hAnsi="Times New Roman" w:cs="Times New Roman"/>
      <w:sz w:val="18"/>
      <w:szCs w:val="18"/>
    </w:rPr>
  </w:style>
  <w:style w:type="character" w:customStyle="1" w:styleId="Char0">
    <w:name w:val="页脚 Char"/>
    <w:basedOn w:val="a0"/>
    <w:link w:val="a6"/>
    <w:autoRedefine/>
    <w:uiPriority w:val="99"/>
    <w:qFormat/>
    <w:rPr>
      <w:rFonts w:ascii="Times New Roman" w:eastAsia="宋体" w:hAnsi="Times New Roman" w:cs="Times New Roman"/>
      <w:sz w:val="18"/>
      <w:szCs w:val="18"/>
    </w:rPr>
  </w:style>
  <w:style w:type="character" w:customStyle="1" w:styleId="Char">
    <w:name w:val="批注框文本 Char"/>
    <w:basedOn w:val="a0"/>
    <w:link w:val="a5"/>
    <w:uiPriority w:val="99"/>
    <w:semiHidden/>
    <w:qFormat/>
    <w:rPr>
      <w:rFonts w:ascii="Times New Roman" w:eastAsia="宋体" w:hAnsi="Times New Roman" w:cs="Times New Roman"/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annotation text" w:qFormat="1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Balloon Text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autoRedefine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uiPriority w:val="99"/>
    <w:semiHidden/>
    <w:unhideWhenUsed/>
    <w:qFormat/>
    <w:pPr>
      <w:jc w:val="left"/>
    </w:pPr>
  </w:style>
  <w:style w:type="paragraph" w:styleId="a4">
    <w:name w:val="Body Text"/>
    <w:uiPriority w:val="99"/>
    <w:semiHidden/>
    <w:unhideWhenUsed/>
    <w:qFormat/>
    <w:pPr>
      <w:widowControl w:val="0"/>
      <w:adjustRightInd w:val="0"/>
      <w:spacing w:before="100" w:after="100" w:line="300" w:lineRule="auto"/>
      <w:ind w:firstLineChars="200" w:firstLine="1044"/>
      <w:jc w:val="both"/>
    </w:pPr>
    <w:rPr>
      <w:rFonts w:ascii="Times New Roman" w:eastAsia="宋体" w:hAnsi="Times New Roman" w:cs="Times New Roman"/>
      <w:kern w:val="2"/>
      <w:sz w:val="24"/>
      <w:szCs w:val="24"/>
    </w:rPr>
  </w:style>
  <w:style w:type="paragraph" w:styleId="a5">
    <w:name w:val="Balloon Text"/>
    <w:basedOn w:val="a"/>
    <w:link w:val="Char"/>
    <w:uiPriority w:val="99"/>
    <w:semiHidden/>
    <w:unhideWhenUsed/>
    <w:qFormat/>
    <w:rPr>
      <w:sz w:val="18"/>
      <w:szCs w:val="18"/>
    </w:rPr>
  </w:style>
  <w:style w:type="paragraph" w:styleId="a6">
    <w:name w:val="footer"/>
    <w:basedOn w:val="a"/>
    <w:link w:val="Char0"/>
    <w:autoRedefine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header"/>
    <w:basedOn w:val="a"/>
    <w:link w:val="Char1"/>
    <w:autoRedefine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1">
    <w:name w:val="页眉 Char"/>
    <w:basedOn w:val="a0"/>
    <w:link w:val="a7"/>
    <w:autoRedefine/>
    <w:uiPriority w:val="99"/>
    <w:qFormat/>
    <w:rPr>
      <w:rFonts w:ascii="Times New Roman" w:eastAsia="宋体" w:hAnsi="Times New Roman" w:cs="Times New Roman"/>
      <w:sz w:val="18"/>
      <w:szCs w:val="18"/>
    </w:rPr>
  </w:style>
  <w:style w:type="character" w:customStyle="1" w:styleId="Char0">
    <w:name w:val="页脚 Char"/>
    <w:basedOn w:val="a0"/>
    <w:link w:val="a6"/>
    <w:autoRedefine/>
    <w:uiPriority w:val="99"/>
    <w:qFormat/>
    <w:rPr>
      <w:rFonts w:ascii="Times New Roman" w:eastAsia="宋体" w:hAnsi="Times New Roman" w:cs="Times New Roman"/>
      <w:sz w:val="18"/>
      <w:szCs w:val="18"/>
    </w:rPr>
  </w:style>
  <w:style w:type="character" w:customStyle="1" w:styleId="Char">
    <w:name w:val="批注框文本 Char"/>
    <w:basedOn w:val="a0"/>
    <w:link w:val="a5"/>
    <w:uiPriority w:val="99"/>
    <w:semiHidden/>
    <w:qFormat/>
    <w:rPr>
      <w:rFonts w:ascii="Times New Roman" w:eastAsia="宋体" w:hAnsi="Times New Roman" w:cs="Times New Roman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dataSourceCollection xmlns="http://www.yonyou.com/datasource"/>
</file>

<file path=customXml/item2.xml><?xml version="1.0" encoding="utf-8"?>
<relations xmlns="http://www.yonyou.com/relation"/>
</file>

<file path=customXml/itemProps1.xml><?xml version="1.0" encoding="utf-8"?>
<ds:datastoreItem xmlns:ds="http://schemas.openxmlformats.org/officeDocument/2006/customXml" ds:itemID="{3DD11FEF-78CF-40A1-A75E-B8A54F75B33C}">
  <ds:schemaRefs>
    <ds:schemaRef ds:uri="http://www.yonyou.com/datasource"/>
  </ds:schemaRefs>
</ds:datastoreItem>
</file>

<file path=customXml/itemProps2.xml><?xml version="1.0" encoding="utf-8"?>
<ds:datastoreItem xmlns:ds="http://schemas.openxmlformats.org/officeDocument/2006/customXml" ds:itemID="{6926B2C0-B027-470E-9E66-7BA2D2307E0F}">
  <ds:schemaRefs>
    <ds:schemaRef ds:uri="http://www.yonyou.com/relation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580</Words>
  <Characters>610</Characters>
  <Application>Microsoft Office Word</Application>
  <DocSecurity>0</DocSecurity>
  <Lines>87</Lines>
  <Paragraphs>69</Paragraphs>
  <ScaleCrop>false</ScaleCrop>
  <Company>Microsoft</Company>
  <LinksUpToDate>false</LinksUpToDate>
  <CharactersWithSpaces>1121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hsq</dc:creator>
  <cp:lastModifiedBy>hsq</cp:lastModifiedBy>
  <cp:revision>75</cp:revision>
  <dcterms:created xsi:type="dcterms:W3CDTF">2022-04-20T03:23:00Z</dcterms:created>
  <dcterms:modified xsi:type="dcterms:W3CDTF">2026-03-28T07:11:00Z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2052-12.1.0.25225</vt:lpwstr>
  </property>
  <property fmtid="{D5CDD505-2E9C-101B-9397-08002B2CF9AE}" pid="3" name="ICV">
    <vt:lpwstr>45B10155587F40BE8FDEDDB00FCFEE8D_12</vt:lpwstr>
  </property>
  <property fmtid="{D5CDD505-2E9C-101B-9397-08002B2CF9AE}" pid="4" name="KSOTemplateDocerSaveRecord">
    <vt:lpwstr>eyJoZGlkIjoiYjc3NTVmODk5OWI4YTU0YmU5MTlhYzJjMjBkNzFlNmEiLCJ1c2VySWQiOiIyNDMwNTgyMjAifQ==</vt:lpwstr>
  </property>
</Properties>
</file>