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9E9F1">
      <w:pPr>
        <w:autoSpaceDE w:val="0"/>
        <w:autoSpaceDN w:val="0"/>
        <w:adjustRightInd w:val="0"/>
        <w:spacing w:line="360" w:lineRule="auto"/>
        <w:jc w:val="center"/>
        <w:rPr>
          <w:rFonts w:ascii="仿宋" w:hAnsi="仿宋" w:eastAsia="仿宋"/>
          <w:color w:val="000000"/>
          <w:sz w:val="28"/>
        </w:rPr>
      </w:pPr>
      <w:r>
        <w:rPr>
          <w:rFonts w:hint="eastAsia" w:ascii="仿宋" w:hAnsi="仿宋" w:eastAsia="仿宋"/>
          <w:color w:val="000000"/>
          <w:sz w:val="28"/>
        </w:rPr>
        <w:t>证券代码：301178     证券简称：天亿马     公告编号：2026-018</w:t>
      </w:r>
    </w:p>
    <w:p w14:paraId="74A7510B">
      <w:pPr>
        <w:autoSpaceDE w:val="0"/>
        <w:autoSpaceDN w:val="0"/>
        <w:adjustRightInd w:val="0"/>
        <w:spacing w:line="360" w:lineRule="auto"/>
        <w:ind w:firstLine="560"/>
        <w:jc w:val="center"/>
        <w:rPr>
          <w:rFonts w:ascii="黑体" w:hAnsi="黑体" w:eastAsia="黑体"/>
          <w:sz w:val="36"/>
          <w:szCs w:val="36"/>
        </w:rPr>
      </w:pPr>
      <w:r>
        <w:rPr>
          <w:rFonts w:hint="eastAsia" w:ascii="黑体" w:hAnsi="黑体" w:eastAsia="黑体"/>
          <w:sz w:val="36"/>
          <w:szCs w:val="36"/>
        </w:rPr>
        <w:t>广东天亿马信息产业股份有限公司</w:t>
      </w:r>
    </w:p>
    <w:p w14:paraId="51DD06D6">
      <w:pPr>
        <w:spacing w:after="312" w:afterLines="100"/>
        <w:jc w:val="center"/>
        <w:rPr>
          <w:rFonts w:ascii="黑体" w:hAnsi="黑体" w:eastAsia="黑体"/>
          <w:sz w:val="36"/>
          <w:szCs w:val="36"/>
        </w:rPr>
      </w:pPr>
      <w:r>
        <w:rPr>
          <w:rFonts w:hint="eastAsia" w:ascii="黑体" w:hAnsi="黑体" w:eastAsia="黑体"/>
          <w:sz w:val="36"/>
          <w:szCs w:val="36"/>
        </w:rPr>
        <w:t>关于子公司申请融资并由公司为其提供担保的公告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245C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544" w:type="dxa"/>
            <w:tcBorders>
              <w:top w:val="single" w:color="auto" w:sz="4" w:space="0"/>
              <w:left w:val="single" w:color="auto" w:sz="4" w:space="0"/>
              <w:bottom w:val="single" w:color="auto" w:sz="4" w:space="0"/>
              <w:right w:val="single" w:color="auto" w:sz="4" w:space="0"/>
            </w:tcBorders>
          </w:tcPr>
          <w:p w14:paraId="275C12B1">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19E495EC"/>
    <w:p w14:paraId="715850DA">
      <w:pPr>
        <w:spacing w:line="560" w:lineRule="exact"/>
        <w:ind w:firstLine="562" w:firstLineChars="200"/>
        <w:rPr>
          <w:rFonts w:ascii="仿宋" w:hAnsi="仿宋" w:eastAsia="仿宋"/>
          <w:b/>
          <w:color w:val="000000"/>
          <w:sz w:val="28"/>
          <w:szCs w:val="28"/>
        </w:rPr>
      </w:pPr>
      <w:r>
        <w:rPr>
          <w:rFonts w:hint="eastAsia" w:ascii="仿宋" w:hAnsi="仿宋" w:eastAsia="仿宋"/>
          <w:b/>
          <w:color w:val="000000"/>
          <w:sz w:val="28"/>
          <w:szCs w:val="28"/>
        </w:rPr>
        <w:t>特别风险提示：</w:t>
      </w:r>
    </w:p>
    <w:p w14:paraId="6422BE65">
      <w:pPr>
        <w:spacing w:line="5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广东天亿马信息产业股份有限公司（以下简称“公司”“天亿马”）拟为</w:t>
      </w:r>
      <w:r>
        <w:rPr>
          <w:rFonts w:hint="eastAsia" w:ascii="仿宋" w:hAnsi="仿宋" w:eastAsia="仿宋"/>
          <w:sz w:val="28"/>
          <w:szCs w:val="28"/>
        </w:rPr>
        <w:t>深圳市互联精英信息技术有限公司（以下简称“互联精英”）、天亿马信息技术有限公司（以下简称“天亿马信息技术”）、广东天亿马信息科技有限公司（以下简称“天亿马信息科技”）、上海天亿马人工智能科技有限公司（以下简称“上海天亿马智能”）、天亿马（香港）信息产业有限公司（以下简称“香港天亿马”）、广东翼启数据产业有限公司（以下简称“翼启数据”）等控股子公司向银行等金融机构申请融资后发生</w:t>
      </w:r>
      <w:r>
        <w:rPr>
          <w:rFonts w:hint="eastAsia" w:ascii="仿宋" w:hAnsi="仿宋" w:eastAsia="仿宋"/>
          <w:color w:val="000000"/>
          <w:sz w:val="28"/>
          <w:szCs w:val="28"/>
        </w:rPr>
        <w:t>的实际贷款提供担保。截至本公告日，公司不存在对合并报表范围外单位提供担保的情况。</w:t>
      </w:r>
    </w:p>
    <w:p w14:paraId="23916976">
      <w:pPr>
        <w:spacing w:line="5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公司于2026年3月30日召开第四届董事会第五次会议，审议通过了《</w:t>
      </w:r>
      <w:r>
        <w:rPr>
          <w:rFonts w:hint="eastAsia" w:ascii="仿宋" w:hAnsi="仿宋" w:eastAsia="仿宋"/>
          <w:color w:val="000000"/>
          <w:sz w:val="28"/>
        </w:rPr>
        <w:t>关于子公司拟申请融资并由公司为其提供担保的议案</w:t>
      </w:r>
      <w:r>
        <w:rPr>
          <w:rFonts w:hint="eastAsia" w:ascii="仿宋" w:hAnsi="仿宋" w:eastAsia="仿宋"/>
          <w:color w:val="000000"/>
          <w:sz w:val="28"/>
          <w:szCs w:val="28"/>
        </w:rPr>
        <w:t>》，具体内容公告如下：</w:t>
      </w:r>
    </w:p>
    <w:p w14:paraId="1C878699">
      <w:pPr>
        <w:tabs>
          <w:tab w:val="left" w:pos="7391"/>
        </w:tabs>
        <w:ind w:firstLine="562" w:firstLineChars="200"/>
        <w:outlineLvl w:val="0"/>
        <w:rPr>
          <w:rFonts w:ascii="仿宋" w:hAnsi="仿宋" w:eastAsia="仿宋"/>
          <w:b/>
          <w:sz w:val="28"/>
          <w:szCs w:val="28"/>
        </w:rPr>
      </w:pPr>
      <w:r>
        <w:rPr>
          <w:rFonts w:hint="eastAsia" w:ascii="仿宋" w:hAnsi="仿宋" w:eastAsia="仿宋"/>
          <w:b/>
          <w:sz w:val="28"/>
          <w:szCs w:val="28"/>
        </w:rPr>
        <w:t>一、担保情况概述</w:t>
      </w:r>
      <w:r>
        <w:rPr>
          <w:rFonts w:hint="eastAsia" w:ascii="仿宋" w:hAnsi="仿宋" w:eastAsia="仿宋"/>
          <w:b/>
          <w:sz w:val="28"/>
          <w:szCs w:val="28"/>
        </w:rPr>
        <w:tab/>
      </w:r>
    </w:p>
    <w:p w14:paraId="16434DF0">
      <w:pPr>
        <w:spacing w:before="156" w:beforeLines="50" w:line="360" w:lineRule="auto"/>
        <w:ind w:firstLine="560" w:firstLineChars="200"/>
        <w:rPr>
          <w:rFonts w:ascii="仿宋" w:hAnsi="仿宋" w:eastAsia="仿宋"/>
          <w:sz w:val="28"/>
        </w:rPr>
      </w:pPr>
      <w:r>
        <w:rPr>
          <w:rFonts w:hint="eastAsia" w:ascii="仿宋" w:hAnsi="仿宋" w:eastAsia="仿宋"/>
          <w:sz w:val="28"/>
        </w:rPr>
        <w:t>为满足日常生产经营和项目建设的资金需求，公司子公司互联精英、天亿马信息技术、天亿马信息科技</w:t>
      </w:r>
      <w:r>
        <w:rPr>
          <w:rFonts w:hint="eastAsia" w:ascii="仿宋" w:hAnsi="仿宋" w:eastAsia="仿宋"/>
          <w:sz w:val="28"/>
          <w:szCs w:val="28"/>
        </w:rPr>
        <w:t>、上海天亿马、香港天亿马、翼启数据</w:t>
      </w:r>
      <w:r>
        <w:rPr>
          <w:rFonts w:hint="eastAsia" w:ascii="仿宋" w:hAnsi="仿宋" w:eastAsia="仿宋"/>
          <w:sz w:val="28"/>
        </w:rPr>
        <w:t>拟向银行等金融机构申请总额度不超过40,000万元（人民币万元，下同）的融资额度，并由公司为实际贷款提供担保。融资额度主要用于办理流动资金贷款、固定资产贷款，开立银行承兑汇票、信用证等业务品种，具体业务品种、授信额度和期限以各家金融机构最终核定为准。在符合法律、行政法规及相关规定的前提下，在2025年年度股东会审议通过的额度范围内及其有效期内，公司并表范围内主体及未来授权期内新设立或纳入的子公司间担保额度可以进行调剂。该事项自股东会审议通过后至次年年度股东会召开前有效。</w:t>
      </w:r>
    </w:p>
    <w:p w14:paraId="2F11A610">
      <w:pPr>
        <w:spacing w:before="156" w:beforeLines="50" w:line="360" w:lineRule="auto"/>
        <w:ind w:firstLine="560" w:firstLineChars="200"/>
        <w:rPr>
          <w:rFonts w:ascii="仿宋" w:hAnsi="仿宋" w:eastAsia="仿宋"/>
          <w:sz w:val="28"/>
          <w:szCs w:val="24"/>
        </w:rPr>
      </w:pPr>
      <w:r>
        <w:rPr>
          <w:rFonts w:hint="eastAsia" w:ascii="仿宋" w:hAnsi="仿宋" w:eastAsia="仿宋"/>
          <w:sz w:val="28"/>
          <w:szCs w:val="24"/>
        </w:rPr>
        <w:t>公司董事会以8票同意、0票反对、0票弃权审议通过该事项。本次提供担保事项须提交股东会审。</w:t>
      </w:r>
    </w:p>
    <w:p w14:paraId="531C7E4A">
      <w:pPr>
        <w:ind w:firstLine="562" w:firstLineChars="200"/>
        <w:outlineLvl w:val="0"/>
        <w:rPr>
          <w:rFonts w:ascii="仿宋" w:hAnsi="仿宋" w:eastAsia="仿宋"/>
          <w:b/>
          <w:sz w:val="28"/>
          <w:szCs w:val="28"/>
        </w:rPr>
      </w:pPr>
      <w:r>
        <w:rPr>
          <w:rFonts w:hint="eastAsia" w:ascii="仿宋" w:hAnsi="仿宋" w:eastAsia="仿宋"/>
          <w:b/>
          <w:sz w:val="28"/>
          <w:szCs w:val="28"/>
        </w:rPr>
        <w:t>二、担保额度预计情况</w:t>
      </w:r>
    </w:p>
    <w:tbl>
      <w:tblPr>
        <w:tblStyle w:val="8"/>
        <w:tblW w:w="10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1995"/>
        <w:gridCol w:w="992"/>
        <w:gridCol w:w="1134"/>
        <w:gridCol w:w="1134"/>
        <w:gridCol w:w="1176"/>
        <w:gridCol w:w="1559"/>
        <w:gridCol w:w="1134"/>
      </w:tblGrid>
      <w:tr w14:paraId="25DE6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0" w:type="auto"/>
            <w:vAlign w:val="center"/>
          </w:tcPr>
          <w:p w14:paraId="500A4469">
            <w:pPr>
              <w:spacing w:line="340" w:lineRule="exact"/>
              <w:jc w:val="center"/>
              <w:rPr>
                <w:rFonts w:eastAsia="仿宋"/>
                <w:kern w:val="0"/>
                <w:sz w:val="24"/>
                <w:szCs w:val="24"/>
              </w:rPr>
            </w:pPr>
            <w:r>
              <w:rPr>
                <w:rFonts w:eastAsia="仿宋"/>
                <w:kern w:val="0"/>
                <w:sz w:val="24"/>
                <w:szCs w:val="24"/>
              </w:rPr>
              <w:t>担保方</w:t>
            </w:r>
          </w:p>
        </w:tc>
        <w:tc>
          <w:tcPr>
            <w:tcW w:w="1995" w:type="dxa"/>
            <w:vAlign w:val="center"/>
          </w:tcPr>
          <w:p w14:paraId="34EF3E4C">
            <w:pPr>
              <w:spacing w:line="340" w:lineRule="exact"/>
              <w:jc w:val="center"/>
              <w:rPr>
                <w:rFonts w:eastAsia="仿宋"/>
                <w:kern w:val="0"/>
                <w:sz w:val="24"/>
                <w:szCs w:val="24"/>
              </w:rPr>
            </w:pPr>
            <w:r>
              <w:rPr>
                <w:rFonts w:eastAsia="仿宋"/>
                <w:kern w:val="0"/>
                <w:sz w:val="24"/>
                <w:szCs w:val="24"/>
              </w:rPr>
              <w:t>被担保方</w:t>
            </w:r>
          </w:p>
        </w:tc>
        <w:tc>
          <w:tcPr>
            <w:tcW w:w="992" w:type="dxa"/>
            <w:vAlign w:val="center"/>
          </w:tcPr>
          <w:p w14:paraId="5935AE64">
            <w:pPr>
              <w:spacing w:line="340" w:lineRule="exact"/>
              <w:jc w:val="center"/>
              <w:rPr>
                <w:rFonts w:eastAsia="仿宋"/>
                <w:kern w:val="0"/>
                <w:sz w:val="24"/>
                <w:szCs w:val="24"/>
              </w:rPr>
            </w:pPr>
            <w:r>
              <w:rPr>
                <w:rFonts w:eastAsia="仿宋"/>
                <w:kern w:val="0"/>
                <w:sz w:val="24"/>
                <w:szCs w:val="24"/>
              </w:rPr>
              <w:t>担保方持股比例</w:t>
            </w:r>
          </w:p>
        </w:tc>
        <w:tc>
          <w:tcPr>
            <w:tcW w:w="1134" w:type="dxa"/>
            <w:vAlign w:val="center"/>
          </w:tcPr>
          <w:p w14:paraId="7B7028C9">
            <w:pPr>
              <w:spacing w:line="340" w:lineRule="exact"/>
              <w:jc w:val="center"/>
              <w:rPr>
                <w:rFonts w:eastAsia="仿宋"/>
                <w:kern w:val="0"/>
                <w:sz w:val="24"/>
                <w:szCs w:val="24"/>
              </w:rPr>
            </w:pPr>
            <w:r>
              <w:rPr>
                <w:rFonts w:eastAsia="仿宋"/>
                <w:kern w:val="0"/>
                <w:sz w:val="24"/>
                <w:szCs w:val="24"/>
              </w:rPr>
              <w:t>被担保方最近一期资产负债率</w:t>
            </w:r>
          </w:p>
        </w:tc>
        <w:tc>
          <w:tcPr>
            <w:tcW w:w="1134" w:type="dxa"/>
            <w:vAlign w:val="center"/>
          </w:tcPr>
          <w:p w14:paraId="18D9ADE5">
            <w:pPr>
              <w:spacing w:line="340" w:lineRule="exact"/>
              <w:jc w:val="center"/>
              <w:rPr>
                <w:rFonts w:eastAsia="仿宋"/>
                <w:kern w:val="0"/>
                <w:sz w:val="24"/>
                <w:szCs w:val="24"/>
              </w:rPr>
            </w:pPr>
            <w:r>
              <w:rPr>
                <w:rFonts w:eastAsia="仿宋"/>
                <w:kern w:val="0"/>
                <w:sz w:val="24"/>
                <w:szCs w:val="24"/>
              </w:rPr>
              <w:t>截至目前担保余额（万元）</w:t>
            </w:r>
          </w:p>
        </w:tc>
        <w:tc>
          <w:tcPr>
            <w:tcW w:w="1176" w:type="dxa"/>
            <w:vAlign w:val="center"/>
          </w:tcPr>
          <w:p w14:paraId="71F0DBDE">
            <w:pPr>
              <w:spacing w:line="340" w:lineRule="exact"/>
              <w:jc w:val="center"/>
              <w:rPr>
                <w:rFonts w:eastAsia="仿宋"/>
                <w:kern w:val="0"/>
                <w:sz w:val="24"/>
                <w:szCs w:val="24"/>
              </w:rPr>
            </w:pPr>
            <w:r>
              <w:rPr>
                <w:rFonts w:eastAsia="仿宋"/>
                <w:kern w:val="0"/>
                <w:sz w:val="24"/>
                <w:szCs w:val="24"/>
              </w:rPr>
              <w:t>本次新增担保额度（万元）</w:t>
            </w:r>
          </w:p>
        </w:tc>
        <w:tc>
          <w:tcPr>
            <w:tcW w:w="1559" w:type="dxa"/>
            <w:vAlign w:val="center"/>
          </w:tcPr>
          <w:p w14:paraId="402FBDE6">
            <w:pPr>
              <w:spacing w:line="340" w:lineRule="exact"/>
              <w:jc w:val="center"/>
              <w:rPr>
                <w:rFonts w:eastAsia="仿宋"/>
                <w:kern w:val="0"/>
                <w:sz w:val="24"/>
                <w:szCs w:val="24"/>
              </w:rPr>
            </w:pPr>
            <w:r>
              <w:rPr>
                <w:rFonts w:eastAsia="仿宋"/>
                <w:kern w:val="0"/>
                <w:sz w:val="24"/>
                <w:szCs w:val="24"/>
              </w:rPr>
              <w:t>担保额度占上市公司最近一期净资产比例</w:t>
            </w:r>
          </w:p>
        </w:tc>
        <w:tc>
          <w:tcPr>
            <w:tcW w:w="1134" w:type="dxa"/>
            <w:vAlign w:val="center"/>
          </w:tcPr>
          <w:p w14:paraId="0294E9EA">
            <w:pPr>
              <w:spacing w:line="340" w:lineRule="exact"/>
              <w:jc w:val="center"/>
              <w:rPr>
                <w:rFonts w:eastAsia="仿宋"/>
                <w:kern w:val="0"/>
                <w:sz w:val="24"/>
                <w:szCs w:val="24"/>
              </w:rPr>
            </w:pPr>
            <w:r>
              <w:rPr>
                <w:rFonts w:eastAsia="仿宋"/>
                <w:kern w:val="0"/>
                <w:sz w:val="24"/>
                <w:szCs w:val="24"/>
              </w:rPr>
              <w:t>是否关联担保</w:t>
            </w:r>
          </w:p>
        </w:tc>
      </w:tr>
      <w:tr w14:paraId="0EB09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vMerge w:val="restart"/>
          </w:tcPr>
          <w:p w14:paraId="5F81B73B">
            <w:pPr>
              <w:spacing w:before="156" w:beforeLines="50" w:line="360" w:lineRule="auto"/>
              <w:rPr>
                <w:rFonts w:eastAsia="仿宋"/>
                <w:kern w:val="0"/>
                <w:sz w:val="24"/>
                <w:szCs w:val="24"/>
              </w:rPr>
            </w:pPr>
            <w:r>
              <w:rPr>
                <w:rFonts w:eastAsia="仿宋"/>
                <w:kern w:val="0"/>
                <w:sz w:val="24"/>
                <w:szCs w:val="24"/>
              </w:rPr>
              <w:t>广东天亿马信息产业股份有限公司</w:t>
            </w:r>
          </w:p>
        </w:tc>
        <w:tc>
          <w:tcPr>
            <w:tcW w:w="1995" w:type="dxa"/>
            <w:vAlign w:val="center"/>
          </w:tcPr>
          <w:p w14:paraId="0E5F31F8">
            <w:pPr>
              <w:jc w:val="center"/>
              <w:rPr>
                <w:rFonts w:eastAsia="仿宋"/>
                <w:kern w:val="0"/>
                <w:sz w:val="24"/>
                <w:szCs w:val="24"/>
              </w:rPr>
            </w:pPr>
            <w:r>
              <w:rPr>
                <w:rFonts w:hint="eastAsia" w:eastAsia="仿宋"/>
                <w:kern w:val="0"/>
                <w:sz w:val="24"/>
                <w:szCs w:val="24"/>
              </w:rPr>
              <w:t>互联精英</w:t>
            </w:r>
          </w:p>
        </w:tc>
        <w:tc>
          <w:tcPr>
            <w:tcW w:w="992" w:type="dxa"/>
            <w:vAlign w:val="center"/>
          </w:tcPr>
          <w:p w14:paraId="750CC145">
            <w:pPr>
              <w:jc w:val="center"/>
              <w:rPr>
                <w:rFonts w:eastAsia="仿宋"/>
                <w:kern w:val="0"/>
                <w:sz w:val="24"/>
                <w:szCs w:val="24"/>
              </w:rPr>
            </w:pPr>
            <w:r>
              <w:rPr>
                <w:rFonts w:hint="eastAsia" w:eastAsia="仿宋"/>
                <w:kern w:val="0"/>
                <w:sz w:val="24"/>
                <w:szCs w:val="24"/>
              </w:rPr>
              <w:t>100%</w:t>
            </w:r>
          </w:p>
        </w:tc>
        <w:tc>
          <w:tcPr>
            <w:tcW w:w="1134" w:type="dxa"/>
            <w:vAlign w:val="center"/>
          </w:tcPr>
          <w:p w14:paraId="055F6D87">
            <w:pPr>
              <w:jc w:val="center"/>
              <w:rPr>
                <w:rFonts w:eastAsia="仿宋"/>
                <w:kern w:val="0"/>
                <w:sz w:val="24"/>
                <w:szCs w:val="24"/>
              </w:rPr>
            </w:pPr>
            <w:r>
              <w:rPr>
                <w:rFonts w:hint="eastAsia" w:eastAsia="仿宋"/>
                <w:kern w:val="0"/>
                <w:sz w:val="24"/>
                <w:szCs w:val="24"/>
              </w:rPr>
              <w:t>30.60%</w:t>
            </w:r>
          </w:p>
        </w:tc>
        <w:tc>
          <w:tcPr>
            <w:tcW w:w="1134" w:type="dxa"/>
            <w:vAlign w:val="center"/>
          </w:tcPr>
          <w:p w14:paraId="38F99874">
            <w:pPr>
              <w:jc w:val="center"/>
              <w:rPr>
                <w:rFonts w:eastAsia="仿宋"/>
                <w:kern w:val="0"/>
                <w:sz w:val="24"/>
                <w:szCs w:val="24"/>
              </w:rPr>
            </w:pPr>
            <w:r>
              <w:rPr>
                <w:rFonts w:hint="eastAsia" w:eastAsia="仿宋"/>
                <w:kern w:val="0"/>
                <w:sz w:val="24"/>
                <w:szCs w:val="24"/>
              </w:rPr>
              <w:t>0</w:t>
            </w:r>
          </w:p>
        </w:tc>
        <w:tc>
          <w:tcPr>
            <w:tcW w:w="1176" w:type="dxa"/>
            <w:vAlign w:val="center"/>
          </w:tcPr>
          <w:p w14:paraId="5A5A6DC2">
            <w:pPr>
              <w:jc w:val="center"/>
              <w:rPr>
                <w:rFonts w:eastAsia="仿宋"/>
                <w:kern w:val="0"/>
                <w:sz w:val="24"/>
                <w:szCs w:val="24"/>
              </w:rPr>
            </w:pPr>
            <w:r>
              <w:rPr>
                <w:rFonts w:hint="eastAsia" w:eastAsia="仿宋"/>
                <w:kern w:val="0"/>
                <w:sz w:val="24"/>
                <w:szCs w:val="24"/>
              </w:rPr>
              <w:t>2,000.00</w:t>
            </w:r>
          </w:p>
        </w:tc>
        <w:tc>
          <w:tcPr>
            <w:tcW w:w="1559" w:type="dxa"/>
            <w:shd w:val="clear" w:color="auto" w:fill="FFFFFF" w:themeFill="background1"/>
            <w:vAlign w:val="center"/>
          </w:tcPr>
          <w:p w14:paraId="5A31A097">
            <w:pPr>
              <w:jc w:val="center"/>
              <w:rPr>
                <w:rFonts w:eastAsia="仿宋"/>
                <w:kern w:val="0"/>
                <w:sz w:val="24"/>
                <w:szCs w:val="24"/>
              </w:rPr>
            </w:pPr>
            <w:r>
              <w:rPr>
                <w:rFonts w:hint="eastAsia" w:eastAsia="仿宋"/>
                <w:kern w:val="0"/>
                <w:sz w:val="24"/>
                <w:szCs w:val="24"/>
              </w:rPr>
              <w:t>2.57%</w:t>
            </w:r>
          </w:p>
        </w:tc>
        <w:tc>
          <w:tcPr>
            <w:tcW w:w="1134" w:type="dxa"/>
            <w:vAlign w:val="center"/>
          </w:tcPr>
          <w:p w14:paraId="3CEA9706">
            <w:pPr>
              <w:jc w:val="center"/>
              <w:rPr>
                <w:rFonts w:eastAsia="仿宋"/>
                <w:kern w:val="0"/>
                <w:sz w:val="24"/>
                <w:szCs w:val="24"/>
              </w:rPr>
            </w:pPr>
            <w:r>
              <w:rPr>
                <w:rFonts w:hint="eastAsia" w:eastAsia="仿宋"/>
                <w:kern w:val="0"/>
                <w:sz w:val="24"/>
                <w:szCs w:val="24"/>
              </w:rPr>
              <w:t>否</w:t>
            </w:r>
          </w:p>
        </w:tc>
      </w:tr>
      <w:tr w14:paraId="208FA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vMerge w:val="continue"/>
          </w:tcPr>
          <w:p w14:paraId="279127FE">
            <w:pPr>
              <w:spacing w:before="156" w:beforeLines="50" w:line="360" w:lineRule="auto"/>
              <w:rPr>
                <w:rFonts w:eastAsia="仿宋"/>
                <w:kern w:val="0"/>
                <w:sz w:val="24"/>
                <w:szCs w:val="24"/>
              </w:rPr>
            </w:pPr>
          </w:p>
        </w:tc>
        <w:tc>
          <w:tcPr>
            <w:tcW w:w="1995" w:type="dxa"/>
            <w:vAlign w:val="center"/>
          </w:tcPr>
          <w:p w14:paraId="06B7F725">
            <w:pPr>
              <w:jc w:val="center"/>
              <w:rPr>
                <w:rFonts w:eastAsia="仿宋"/>
                <w:kern w:val="0"/>
                <w:sz w:val="24"/>
                <w:szCs w:val="24"/>
              </w:rPr>
            </w:pPr>
            <w:r>
              <w:rPr>
                <w:rFonts w:hint="eastAsia" w:eastAsia="仿宋"/>
                <w:kern w:val="0"/>
                <w:sz w:val="24"/>
                <w:szCs w:val="24"/>
              </w:rPr>
              <w:t>天亿马信息技术</w:t>
            </w:r>
          </w:p>
        </w:tc>
        <w:tc>
          <w:tcPr>
            <w:tcW w:w="992" w:type="dxa"/>
            <w:vAlign w:val="center"/>
          </w:tcPr>
          <w:p w14:paraId="5A90FEF0">
            <w:pPr>
              <w:jc w:val="center"/>
              <w:rPr>
                <w:rFonts w:eastAsia="仿宋"/>
                <w:kern w:val="0"/>
                <w:sz w:val="24"/>
                <w:szCs w:val="24"/>
              </w:rPr>
            </w:pPr>
            <w:r>
              <w:rPr>
                <w:rFonts w:hint="eastAsia" w:eastAsia="仿宋"/>
                <w:kern w:val="0"/>
                <w:sz w:val="24"/>
                <w:szCs w:val="24"/>
              </w:rPr>
              <w:t>100%</w:t>
            </w:r>
          </w:p>
        </w:tc>
        <w:tc>
          <w:tcPr>
            <w:tcW w:w="1134" w:type="dxa"/>
            <w:vAlign w:val="center"/>
          </w:tcPr>
          <w:p w14:paraId="07911562">
            <w:pPr>
              <w:jc w:val="center"/>
              <w:rPr>
                <w:rFonts w:eastAsia="仿宋"/>
                <w:kern w:val="0"/>
                <w:sz w:val="24"/>
                <w:szCs w:val="24"/>
              </w:rPr>
            </w:pPr>
            <w:r>
              <w:rPr>
                <w:rFonts w:hint="eastAsia" w:eastAsia="仿宋"/>
                <w:kern w:val="0"/>
                <w:sz w:val="24"/>
                <w:szCs w:val="24"/>
              </w:rPr>
              <w:t>75.26%</w:t>
            </w:r>
          </w:p>
        </w:tc>
        <w:tc>
          <w:tcPr>
            <w:tcW w:w="1134" w:type="dxa"/>
            <w:vAlign w:val="center"/>
          </w:tcPr>
          <w:p w14:paraId="63EDFC0F">
            <w:pPr>
              <w:jc w:val="center"/>
              <w:rPr>
                <w:rFonts w:eastAsia="仿宋"/>
                <w:kern w:val="0"/>
                <w:sz w:val="24"/>
                <w:szCs w:val="24"/>
              </w:rPr>
            </w:pPr>
            <w:r>
              <w:rPr>
                <w:rFonts w:eastAsia="仿宋"/>
                <w:kern w:val="0"/>
                <w:sz w:val="24"/>
                <w:szCs w:val="24"/>
              </w:rPr>
              <w:t>7,027.43</w:t>
            </w:r>
          </w:p>
        </w:tc>
        <w:tc>
          <w:tcPr>
            <w:tcW w:w="1176" w:type="dxa"/>
            <w:vAlign w:val="center"/>
          </w:tcPr>
          <w:p w14:paraId="3BEBB2C7">
            <w:pPr>
              <w:jc w:val="center"/>
              <w:rPr>
                <w:rFonts w:eastAsia="仿宋"/>
                <w:kern w:val="0"/>
                <w:sz w:val="24"/>
                <w:szCs w:val="24"/>
              </w:rPr>
            </w:pPr>
            <w:r>
              <w:rPr>
                <w:rFonts w:hint="eastAsia" w:eastAsia="仿宋"/>
                <w:kern w:val="0"/>
                <w:sz w:val="24"/>
                <w:szCs w:val="24"/>
              </w:rPr>
              <w:t>20,000.00</w:t>
            </w:r>
          </w:p>
        </w:tc>
        <w:tc>
          <w:tcPr>
            <w:tcW w:w="1559" w:type="dxa"/>
            <w:shd w:val="clear" w:color="auto" w:fill="FFFFFF" w:themeFill="background1"/>
            <w:vAlign w:val="center"/>
          </w:tcPr>
          <w:p w14:paraId="5C364246">
            <w:pPr>
              <w:jc w:val="center"/>
              <w:rPr>
                <w:rFonts w:eastAsia="仿宋"/>
                <w:kern w:val="0"/>
                <w:sz w:val="24"/>
                <w:szCs w:val="24"/>
              </w:rPr>
            </w:pPr>
            <w:r>
              <w:rPr>
                <w:rFonts w:hint="eastAsia" w:eastAsia="仿宋"/>
                <w:kern w:val="0"/>
                <w:sz w:val="24"/>
                <w:szCs w:val="24"/>
              </w:rPr>
              <w:t>25.74%</w:t>
            </w:r>
          </w:p>
        </w:tc>
        <w:tc>
          <w:tcPr>
            <w:tcW w:w="1134" w:type="dxa"/>
            <w:vAlign w:val="center"/>
          </w:tcPr>
          <w:p w14:paraId="28996A4C">
            <w:pPr>
              <w:jc w:val="center"/>
              <w:rPr>
                <w:rFonts w:eastAsia="仿宋"/>
                <w:kern w:val="0"/>
                <w:sz w:val="24"/>
                <w:szCs w:val="24"/>
              </w:rPr>
            </w:pPr>
            <w:r>
              <w:rPr>
                <w:rFonts w:hint="eastAsia" w:eastAsia="仿宋"/>
                <w:kern w:val="0"/>
                <w:sz w:val="24"/>
                <w:szCs w:val="24"/>
              </w:rPr>
              <w:t>否</w:t>
            </w:r>
          </w:p>
        </w:tc>
      </w:tr>
      <w:tr w14:paraId="7B4CE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2" w:type="dxa"/>
            <w:vMerge w:val="continue"/>
          </w:tcPr>
          <w:p w14:paraId="428E7488">
            <w:pPr>
              <w:spacing w:before="156" w:beforeLines="50" w:line="360" w:lineRule="auto"/>
              <w:rPr>
                <w:rFonts w:eastAsia="仿宋"/>
                <w:kern w:val="0"/>
                <w:sz w:val="24"/>
                <w:szCs w:val="24"/>
              </w:rPr>
            </w:pPr>
          </w:p>
        </w:tc>
        <w:tc>
          <w:tcPr>
            <w:tcW w:w="1995" w:type="dxa"/>
            <w:vAlign w:val="center"/>
          </w:tcPr>
          <w:p w14:paraId="6E195DAB">
            <w:pPr>
              <w:jc w:val="center"/>
              <w:rPr>
                <w:rFonts w:eastAsia="仿宋"/>
                <w:kern w:val="0"/>
                <w:sz w:val="24"/>
                <w:szCs w:val="24"/>
              </w:rPr>
            </w:pPr>
            <w:r>
              <w:rPr>
                <w:rFonts w:hint="eastAsia" w:eastAsia="仿宋"/>
                <w:kern w:val="0"/>
                <w:sz w:val="24"/>
                <w:szCs w:val="24"/>
              </w:rPr>
              <w:t xml:space="preserve">天亿马信息科技 </w:t>
            </w:r>
          </w:p>
        </w:tc>
        <w:tc>
          <w:tcPr>
            <w:tcW w:w="992" w:type="dxa"/>
            <w:vAlign w:val="center"/>
          </w:tcPr>
          <w:p w14:paraId="5E2B6846">
            <w:pPr>
              <w:jc w:val="center"/>
              <w:rPr>
                <w:rFonts w:eastAsia="仿宋"/>
                <w:kern w:val="0"/>
                <w:sz w:val="24"/>
                <w:szCs w:val="24"/>
              </w:rPr>
            </w:pPr>
            <w:r>
              <w:rPr>
                <w:rFonts w:hint="eastAsia" w:eastAsia="仿宋"/>
                <w:kern w:val="0"/>
                <w:sz w:val="24"/>
                <w:szCs w:val="24"/>
              </w:rPr>
              <w:t>100%</w:t>
            </w:r>
          </w:p>
        </w:tc>
        <w:tc>
          <w:tcPr>
            <w:tcW w:w="1134" w:type="dxa"/>
            <w:vAlign w:val="center"/>
          </w:tcPr>
          <w:p w14:paraId="424C28B6">
            <w:pPr>
              <w:jc w:val="center"/>
              <w:rPr>
                <w:rFonts w:eastAsia="仿宋"/>
                <w:kern w:val="0"/>
                <w:sz w:val="24"/>
                <w:szCs w:val="24"/>
              </w:rPr>
            </w:pPr>
            <w:r>
              <w:rPr>
                <w:rFonts w:hint="eastAsia" w:eastAsia="仿宋"/>
                <w:kern w:val="0"/>
                <w:sz w:val="24"/>
                <w:szCs w:val="24"/>
              </w:rPr>
              <w:t>68.47%</w:t>
            </w:r>
          </w:p>
        </w:tc>
        <w:tc>
          <w:tcPr>
            <w:tcW w:w="1134" w:type="dxa"/>
            <w:vAlign w:val="center"/>
          </w:tcPr>
          <w:p w14:paraId="7EC29B71">
            <w:pPr>
              <w:jc w:val="center"/>
              <w:rPr>
                <w:rFonts w:eastAsia="仿宋"/>
                <w:kern w:val="0"/>
                <w:sz w:val="24"/>
                <w:szCs w:val="24"/>
              </w:rPr>
            </w:pPr>
            <w:r>
              <w:rPr>
                <w:rFonts w:hint="eastAsia" w:eastAsia="仿宋"/>
                <w:kern w:val="0"/>
                <w:sz w:val="24"/>
                <w:szCs w:val="24"/>
              </w:rPr>
              <w:t>1,800.00</w:t>
            </w:r>
          </w:p>
        </w:tc>
        <w:tc>
          <w:tcPr>
            <w:tcW w:w="1176" w:type="dxa"/>
            <w:vAlign w:val="center"/>
          </w:tcPr>
          <w:p w14:paraId="0AD22947">
            <w:pPr>
              <w:jc w:val="center"/>
              <w:rPr>
                <w:rFonts w:eastAsia="仿宋"/>
                <w:kern w:val="0"/>
                <w:sz w:val="24"/>
                <w:szCs w:val="24"/>
              </w:rPr>
            </w:pPr>
            <w:r>
              <w:rPr>
                <w:rFonts w:hint="eastAsia" w:eastAsia="仿宋"/>
                <w:kern w:val="0"/>
                <w:sz w:val="24"/>
                <w:szCs w:val="24"/>
              </w:rPr>
              <w:t>6,000.00</w:t>
            </w:r>
          </w:p>
        </w:tc>
        <w:tc>
          <w:tcPr>
            <w:tcW w:w="1559" w:type="dxa"/>
            <w:shd w:val="clear" w:color="auto" w:fill="FFFFFF" w:themeFill="background1"/>
            <w:vAlign w:val="center"/>
          </w:tcPr>
          <w:p w14:paraId="3B863992">
            <w:pPr>
              <w:jc w:val="center"/>
              <w:rPr>
                <w:rFonts w:eastAsia="仿宋"/>
                <w:kern w:val="0"/>
                <w:sz w:val="24"/>
                <w:szCs w:val="24"/>
              </w:rPr>
            </w:pPr>
            <w:r>
              <w:rPr>
                <w:rFonts w:hint="eastAsia" w:eastAsia="仿宋"/>
                <w:kern w:val="0"/>
                <w:sz w:val="24"/>
                <w:szCs w:val="24"/>
              </w:rPr>
              <w:t>7.72%</w:t>
            </w:r>
          </w:p>
        </w:tc>
        <w:tc>
          <w:tcPr>
            <w:tcW w:w="1134" w:type="dxa"/>
            <w:vAlign w:val="center"/>
          </w:tcPr>
          <w:p w14:paraId="275B7965">
            <w:pPr>
              <w:jc w:val="center"/>
              <w:rPr>
                <w:rFonts w:eastAsia="仿宋"/>
                <w:kern w:val="0"/>
                <w:sz w:val="24"/>
                <w:szCs w:val="24"/>
              </w:rPr>
            </w:pPr>
            <w:r>
              <w:rPr>
                <w:rFonts w:hint="eastAsia" w:eastAsia="仿宋"/>
                <w:kern w:val="0"/>
                <w:sz w:val="24"/>
                <w:szCs w:val="24"/>
              </w:rPr>
              <w:t>否</w:t>
            </w:r>
          </w:p>
        </w:tc>
      </w:tr>
      <w:tr w14:paraId="2AC77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82" w:type="dxa"/>
            <w:vMerge w:val="continue"/>
          </w:tcPr>
          <w:p w14:paraId="69F3D196">
            <w:pPr>
              <w:spacing w:before="156" w:beforeLines="50" w:line="360" w:lineRule="auto"/>
              <w:rPr>
                <w:rFonts w:eastAsia="仿宋"/>
                <w:kern w:val="0"/>
                <w:sz w:val="24"/>
                <w:szCs w:val="24"/>
              </w:rPr>
            </w:pPr>
          </w:p>
        </w:tc>
        <w:tc>
          <w:tcPr>
            <w:tcW w:w="1995" w:type="dxa"/>
            <w:vAlign w:val="center"/>
          </w:tcPr>
          <w:p w14:paraId="1642EEF2">
            <w:pPr>
              <w:jc w:val="center"/>
              <w:rPr>
                <w:rFonts w:eastAsia="仿宋"/>
                <w:kern w:val="0"/>
                <w:sz w:val="24"/>
                <w:szCs w:val="24"/>
              </w:rPr>
            </w:pPr>
            <w:r>
              <w:rPr>
                <w:rFonts w:hint="eastAsia" w:eastAsia="仿宋"/>
                <w:kern w:val="0"/>
                <w:sz w:val="24"/>
                <w:szCs w:val="24"/>
              </w:rPr>
              <w:t>上海天亿马智能</w:t>
            </w:r>
          </w:p>
        </w:tc>
        <w:tc>
          <w:tcPr>
            <w:tcW w:w="992" w:type="dxa"/>
            <w:vAlign w:val="center"/>
          </w:tcPr>
          <w:p w14:paraId="64A6B276">
            <w:pPr>
              <w:jc w:val="center"/>
              <w:rPr>
                <w:rFonts w:eastAsia="仿宋"/>
                <w:kern w:val="0"/>
                <w:sz w:val="24"/>
                <w:szCs w:val="24"/>
              </w:rPr>
            </w:pPr>
            <w:r>
              <w:rPr>
                <w:rFonts w:hint="eastAsia" w:eastAsia="仿宋"/>
                <w:kern w:val="0"/>
                <w:sz w:val="24"/>
                <w:szCs w:val="24"/>
              </w:rPr>
              <w:t>51%</w:t>
            </w:r>
          </w:p>
        </w:tc>
        <w:tc>
          <w:tcPr>
            <w:tcW w:w="1134" w:type="dxa"/>
            <w:vAlign w:val="center"/>
          </w:tcPr>
          <w:p w14:paraId="53A98B7C">
            <w:pPr>
              <w:jc w:val="center"/>
              <w:rPr>
                <w:rFonts w:eastAsia="仿宋"/>
                <w:kern w:val="0"/>
                <w:sz w:val="24"/>
                <w:szCs w:val="24"/>
              </w:rPr>
            </w:pPr>
            <w:r>
              <w:rPr>
                <w:rFonts w:hint="eastAsia" w:eastAsia="仿宋"/>
                <w:kern w:val="0"/>
                <w:sz w:val="24"/>
                <w:szCs w:val="24"/>
              </w:rPr>
              <w:t>-</w:t>
            </w:r>
          </w:p>
        </w:tc>
        <w:tc>
          <w:tcPr>
            <w:tcW w:w="1134" w:type="dxa"/>
            <w:vAlign w:val="center"/>
          </w:tcPr>
          <w:p w14:paraId="0EB72CD8">
            <w:pPr>
              <w:jc w:val="center"/>
              <w:rPr>
                <w:rFonts w:eastAsia="仿宋"/>
                <w:kern w:val="0"/>
                <w:sz w:val="24"/>
                <w:szCs w:val="24"/>
              </w:rPr>
            </w:pPr>
            <w:r>
              <w:rPr>
                <w:rFonts w:hint="eastAsia" w:eastAsia="仿宋"/>
                <w:kern w:val="0"/>
                <w:sz w:val="24"/>
                <w:szCs w:val="24"/>
              </w:rPr>
              <w:t>-</w:t>
            </w:r>
          </w:p>
        </w:tc>
        <w:tc>
          <w:tcPr>
            <w:tcW w:w="1176" w:type="dxa"/>
            <w:vAlign w:val="center"/>
          </w:tcPr>
          <w:p w14:paraId="5069711F">
            <w:pPr>
              <w:jc w:val="center"/>
              <w:rPr>
                <w:rFonts w:eastAsia="仿宋"/>
                <w:kern w:val="0"/>
                <w:sz w:val="24"/>
                <w:szCs w:val="24"/>
              </w:rPr>
            </w:pPr>
            <w:r>
              <w:rPr>
                <w:rFonts w:hint="eastAsia" w:eastAsia="仿宋"/>
                <w:kern w:val="0"/>
                <w:sz w:val="24"/>
                <w:szCs w:val="24"/>
              </w:rPr>
              <w:t>10,000.00</w:t>
            </w:r>
          </w:p>
        </w:tc>
        <w:tc>
          <w:tcPr>
            <w:tcW w:w="1559" w:type="dxa"/>
            <w:shd w:val="clear" w:color="auto" w:fill="FFFFFF" w:themeFill="background1"/>
            <w:vAlign w:val="center"/>
          </w:tcPr>
          <w:p w14:paraId="11766A28">
            <w:pPr>
              <w:jc w:val="center"/>
              <w:rPr>
                <w:rFonts w:eastAsia="仿宋"/>
                <w:kern w:val="0"/>
                <w:sz w:val="24"/>
                <w:szCs w:val="24"/>
              </w:rPr>
            </w:pPr>
            <w:r>
              <w:rPr>
                <w:rFonts w:hint="eastAsia" w:eastAsia="仿宋"/>
                <w:kern w:val="0"/>
                <w:sz w:val="24"/>
                <w:szCs w:val="24"/>
              </w:rPr>
              <w:t>12.87%</w:t>
            </w:r>
          </w:p>
        </w:tc>
        <w:tc>
          <w:tcPr>
            <w:tcW w:w="1134" w:type="dxa"/>
            <w:vAlign w:val="center"/>
          </w:tcPr>
          <w:p w14:paraId="291EDC47">
            <w:pPr>
              <w:jc w:val="center"/>
              <w:rPr>
                <w:rFonts w:eastAsia="仿宋"/>
                <w:kern w:val="0"/>
                <w:sz w:val="24"/>
                <w:szCs w:val="24"/>
              </w:rPr>
            </w:pPr>
            <w:r>
              <w:rPr>
                <w:rFonts w:hint="eastAsia" w:eastAsia="仿宋"/>
                <w:kern w:val="0"/>
                <w:sz w:val="24"/>
                <w:szCs w:val="24"/>
              </w:rPr>
              <w:t>否</w:t>
            </w:r>
          </w:p>
        </w:tc>
      </w:tr>
      <w:tr w14:paraId="6D2D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82" w:type="dxa"/>
            <w:vMerge w:val="continue"/>
          </w:tcPr>
          <w:p w14:paraId="4A47B79D">
            <w:pPr>
              <w:spacing w:before="156" w:beforeLines="50" w:line="360" w:lineRule="auto"/>
              <w:rPr>
                <w:rFonts w:eastAsia="仿宋"/>
                <w:kern w:val="0"/>
                <w:sz w:val="24"/>
                <w:szCs w:val="24"/>
              </w:rPr>
            </w:pPr>
          </w:p>
        </w:tc>
        <w:tc>
          <w:tcPr>
            <w:tcW w:w="1995" w:type="dxa"/>
            <w:vAlign w:val="center"/>
          </w:tcPr>
          <w:p w14:paraId="0F5EF084">
            <w:pPr>
              <w:jc w:val="center"/>
              <w:rPr>
                <w:rFonts w:eastAsia="仿宋"/>
                <w:kern w:val="0"/>
                <w:sz w:val="24"/>
                <w:szCs w:val="24"/>
              </w:rPr>
            </w:pPr>
            <w:r>
              <w:rPr>
                <w:rFonts w:hint="eastAsia" w:eastAsia="仿宋"/>
                <w:kern w:val="0"/>
                <w:sz w:val="24"/>
                <w:szCs w:val="24"/>
              </w:rPr>
              <w:t>香港天亿马</w:t>
            </w:r>
          </w:p>
        </w:tc>
        <w:tc>
          <w:tcPr>
            <w:tcW w:w="992" w:type="dxa"/>
            <w:vAlign w:val="center"/>
          </w:tcPr>
          <w:p w14:paraId="5B4470DF">
            <w:pPr>
              <w:jc w:val="center"/>
              <w:rPr>
                <w:rFonts w:eastAsia="仿宋"/>
                <w:kern w:val="0"/>
                <w:sz w:val="24"/>
                <w:szCs w:val="24"/>
              </w:rPr>
            </w:pPr>
            <w:r>
              <w:rPr>
                <w:rFonts w:hint="eastAsia" w:eastAsia="仿宋"/>
                <w:kern w:val="0"/>
                <w:sz w:val="24"/>
                <w:szCs w:val="24"/>
              </w:rPr>
              <w:t>100%</w:t>
            </w:r>
          </w:p>
        </w:tc>
        <w:tc>
          <w:tcPr>
            <w:tcW w:w="1134" w:type="dxa"/>
            <w:vAlign w:val="center"/>
          </w:tcPr>
          <w:p w14:paraId="208A5C8B">
            <w:pPr>
              <w:jc w:val="center"/>
              <w:rPr>
                <w:rFonts w:eastAsia="仿宋"/>
                <w:kern w:val="0"/>
                <w:sz w:val="24"/>
                <w:szCs w:val="24"/>
              </w:rPr>
            </w:pPr>
            <w:r>
              <w:rPr>
                <w:rFonts w:hint="eastAsia" w:eastAsia="仿宋"/>
                <w:kern w:val="0"/>
                <w:sz w:val="24"/>
                <w:szCs w:val="24"/>
              </w:rPr>
              <w:t>5.45%</w:t>
            </w:r>
          </w:p>
        </w:tc>
        <w:tc>
          <w:tcPr>
            <w:tcW w:w="1134" w:type="dxa"/>
            <w:vAlign w:val="center"/>
          </w:tcPr>
          <w:p w14:paraId="27803132">
            <w:pPr>
              <w:jc w:val="center"/>
              <w:rPr>
                <w:rFonts w:eastAsia="仿宋"/>
                <w:kern w:val="0"/>
                <w:sz w:val="24"/>
                <w:szCs w:val="24"/>
              </w:rPr>
            </w:pPr>
            <w:r>
              <w:rPr>
                <w:rFonts w:hint="eastAsia" w:eastAsia="仿宋"/>
                <w:kern w:val="0"/>
                <w:sz w:val="24"/>
                <w:szCs w:val="24"/>
              </w:rPr>
              <w:t>0</w:t>
            </w:r>
          </w:p>
        </w:tc>
        <w:tc>
          <w:tcPr>
            <w:tcW w:w="1176" w:type="dxa"/>
            <w:vAlign w:val="center"/>
          </w:tcPr>
          <w:p w14:paraId="0D7AB723">
            <w:pPr>
              <w:jc w:val="center"/>
              <w:rPr>
                <w:rFonts w:eastAsia="仿宋"/>
                <w:kern w:val="0"/>
                <w:sz w:val="24"/>
                <w:szCs w:val="24"/>
              </w:rPr>
            </w:pPr>
            <w:r>
              <w:rPr>
                <w:rFonts w:hint="eastAsia" w:eastAsia="仿宋"/>
                <w:kern w:val="0"/>
                <w:sz w:val="24"/>
                <w:szCs w:val="24"/>
              </w:rPr>
              <w:t>1,000.00</w:t>
            </w:r>
          </w:p>
        </w:tc>
        <w:tc>
          <w:tcPr>
            <w:tcW w:w="1559" w:type="dxa"/>
            <w:shd w:val="clear" w:color="auto" w:fill="FFFFFF" w:themeFill="background1"/>
            <w:vAlign w:val="center"/>
          </w:tcPr>
          <w:p w14:paraId="21BD44A3">
            <w:pPr>
              <w:jc w:val="center"/>
              <w:rPr>
                <w:rFonts w:eastAsia="仿宋"/>
                <w:kern w:val="0"/>
                <w:sz w:val="24"/>
                <w:szCs w:val="24"/>
              </w:rPr>
            </w:pPr>
            <w:r>
              <w:rPr>
                <w:rFonts w:hint="eastAsia" w:eastAsia="仿宋"/>
                <w:kern w:val="0"/>
                <w:sz w:val="24"/>
                <w:szCs w:val="24"/>
              </w:rPr>
              <w:t>1.29%</w:t>
            </w:r>
          </w:p>
        </w:tc>
        <w:tc>
          <w:tcPr>
            <w:tcW w:w="1134" w:type="dxa"/>
            <w:vAlign w:val="center"/>
          </w:tcPr>
          <w:p w14:paraId="6C066131">
            <w:pPr>
              <w:jc w:val="center"/>
              <w:rPr>
                <w:rFonts w:eastAsia="仿宋"/>
                <w:kern w:val="0"/>
                <w:sz w:val="24"/>
                <w:szCs w:val="24"/>
              </w:rPr>
            </w:pPr>
            <w:r>
              <w:rPr>
                <w:rFonts w:hint="eastAsia" w:eastAsia="仿宋"/>
                <w:kern w:val="0"/>
                <w:sz w:val="24"/>
                <w:szCs w:val="24"/>
              </w:rPr>
              <w:t>否</w:t>
            </w:r>
          </w:p>
        </w:tc>
      </w:tr>
      <w:tr w14:paraId="3AF68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82" w:type="dxa"/>
            <w:vMerge w:val="continue"/>
          </w:tcPr>
          <w:p w14:paraId="31ACDBFF">
            <w:pPr>
              <w:spacing w:before="156" w:beforeLines="50" w:line="360" w:lineRule="auto"/>
              <w:rPr>
                <w:rFonts w:eastAsia="仿宋"/>
                <w:kern w:val="0"/>
                <w:sz w:val="24"/>
                <w:szCs w:val="24"/>
              </w:rPr>
            </w:pPr>
          </w:p>
        </w:tc>
        <w:tc>
          <w:tcPr>
            <w:tcW w:w="1995" w:type="dxa"/>
            <w:vAlign w:val="center"/>
          </w:tcPr>
          <w:p w14:paraId="49BC4753">
            <w:pPr>
              <w:jc w:val="center"/>
              <w:rPr>
                <w:rFonts w:eastAsia="仿宋"/>
                <w:kern w:val="0"/>
                <w:sz w:val="24"/>
                <w:szCs w:val="24"/>
              </w:rPr>
            </w:pPr>
            <w:r>
              <w:rPr>
                <w:rFonts w:hint="eastAsia" w:eastAsia="仿宋"/>
                <w:kern w:val="0"/>
                <w:sz w:val="24"/>
                <w:szCs w:val="24"/>
              </w:rPr>
              <w:t>翼启数据</w:t>
            </w:r>
          </w:p>
        </w:tc>
        <w:tc>
          <w:tcPr>
            <w:tcW w:w="992" w:type="dxa"/>
            <w:vAlign w:val="center"/>
          </w:tcPr>
          <w:p w14:paraId="57092134">
            <w:pPr>
              <w:jc w:val="center"/>
              <w:rPr>
                <w:rFonts w:eastAsia="仿宋"/>
                <w:kern w:val="0"/>
                <w:sz w:val="24"/>
                <w:szCs w:val="24"/>
              </w:rPr>
            </w:pPr>
            <w:r>
              <w:rPr>
                <w:rFonts w:hint="eastAsia" w:eastAsia="仿宋"/>
                <w:kern w:val="0"/>
                <w:sz w:val="24"/>
                <w:szCs w:val="24"/>
              </w:rPr>
              <w:t>51%</w:t>
            </w:r>
          </w:p>
        </w:tc>
        <w:tc>
          <w:tcPr>
            <w:tcW w:w="1134" w:type="dxa"/>
            <w:vAlign w:val="center"/>
          </w:tcPr>
          <w:p w14:paraId="144BB0DE">
            <w:pPr>
              <w:jc w:val="center"/>
              <w:rPr>
                <w:rFonts w:eastAsia="仿宋"/>
                <w:kern w:val="0"/>
                <w:sz w:val="24"/>
                <w:szCs w:val="24"/>
              </w:rPr>
            </w:pPr>
            <w:r>
              <w:rPr>
                <w:rFonts w:hint="eastAsia" w:eastAsia="仿宋"/>
                <w:kern w:val="0"/>
                <w:sz w:val="24"/>
                <w:szCs w:val="24"/>
              </w:rPr>
              <w:t>45.46%</w:t>
            </w:r>
          </w:p>
        </w:tc>
        <w:tc>
          <w:tcPr>
            <w:tcW w:w="1134" w:type="dxa"/>
            <w:vAlign w:val="center"/>
          </w:tcPr>
          <w:p w14:paraId="36CCFA7C">
            <w:pPr>
              <w:jc w:val="center"/>
              <w:rPr>
                <w:rFonts w:eastAsia="仿宋"/>
                <w:kern w:val="0"/>
                <w:sz w:val="24"/>
                <w:szCs w:val="24"/>
              </w:rPr>
            </w:pPr>
            <w:r>
              <w:rPr>
                <w:rFonts w:hint="eastAsia" w:eastAsia="仿宋"/>
                <w:kern w:val="0"/>
                <w:sz w:val="24"/>
                <w:szCs w:val="24"/>
              </w:rPr>
              <w:t>0</w:t>
            </w:r>
          </w:p>
        </w:tc>
        <w:tc>
          <w:tcPr>
            <w:tcW w:w="1176" w:type="dxa"/>
            <w:vAlign w:val="center"/>
          </w:tcPr>
          <w:p w14:paraId="70B2259C">
            <w:pPr>
              <w:jc w:val="center"/>
              <w:rPr>
                <w:rFonts w:eastAsia="仿宋"/>
                <w:kern w:val="0"/>
                <w:sz w:val="24"/>
                <w:szCs w:val="24"/>
              </w:rPr>
            </w:pPr>
            <w:r>
              <w:rPr>
                <w:rFonts w:hint="eastAsia" w:eastAsia="仿宋"/>
                <w:kern w:val="0"/>
                <w:sz w:val="24"/>
                <w:szCs w:val="24"/>
              </w:rPr>
              <w:t>1,000.00</w:t>
            </w:r>
          </w:p>
        </w:tc>
        <w:tc>
          <w:tcPr>
            <w:tcW w:w="1559" w:type="dxa"/>
            <w:shd w:val="clear" w:color="auto" w:fill="FFFFFF" w:themeFill="background1"/>
            <w:vAlign w:val="center"/>
          </w:tcPr>
          <w:p w14:paraId="7D59C535">
            <w:pPr>
              <w:jc w:val="center"/>
              <w:rPr>
                <w:rFonts w:eastAsia="仿宋"/>
                <w:kern w:val="0"/>
                <w:sz w:val="24"/>
                <w:szCs w:val="24"/>
              </w:rPr>
            </w:pPr>
            <w:r>
              <w:rPr>
                <w:rFonts w:hint="eastAsia" w:eastAsia="仿宋"/>
                <w:kern w:val="0"/>
                <w:sz w:val="24"/>
                <w:szCs w:val="24"/>
              </w:rPr>
              <w:t>1.29%</w:t>
            </w:r>
          </w:p>
        </w:tc>
        <w:tc>
          <w:tcPr>
            <w:tcW w:w="1134" w:type="dxa"/>
            <w:vAlign w:val="center"/>
          </w:tcPr>
          <w:p w14:paraId="77EF860D">
            <w:pPr>
              <w:jc w:val="center"/>
              <w:rPr>
                <w:rFonts w:eastAsia="仿宋"/>
                <w:kern w:val="0"/>
                <w:sz w:val="24"/>
                <w:szCs w:val="24"/>
              </w:rPr>
            </w:pPr>
            <w:r>
              <w:rPr>
                <w:rFonts w:hint="eastAsia" w:eastAsia="仿宋"/>
                <w:kern w:val="0"/>
                <w:sz w:val="24"/>
                <w:szCs w:val="24"/>
              </w:rPr>
              <w:t>否</w:t>
            </w:r>
          </w:p>
        </w:tc>
      </w:tr>
    </w:tbl>
    <w:p w14:paraId="6DF6DBE7">
      <w:pPr>
        <w:ind w:firstLine="562" w:firstLineChars="200"/>
        <w:outlineLvl w:val="0"/>
        <w:rPr>
          <w:rFonts w:ascii="仿宋" w:hAnsi="仿宋" w:eastAsia="仿宋"/>
          <w:b/>
          <w:sz w:val="28"/>
          <w:szCs w:val="28"/>
        </w:rPr>
      </w:pPr>
      <w:r>
        <w:rPr>
          <w:rFonts w:hint="eastAsia" w:ascii="仿宋" w:hAnsi="仿宋" w:eastAsia="仿宋"/>
          <w:b/>
          <w:sz w:val="28"/>
          <w:szCs w:val="28"/>
        </w:rPr>
        <w:t>三、被担保人基本情况</w:t>
      </w:r>
    </w:p>
    <w:p w14:paraId="325F312B">
      <w:pPr>
        <w:spacing w:before="156" w:beforeLines="50" w:line="360" w:lineRule="auto"/>
        <w:ind w:firstLine="560" w:firstLineChars="200"/>
        <w:rPr>
          <w:rFonts w:ascii="仿宋" w:hAnsi="仿宋" w:eastAsia="仿宋"/>
          <w:sz w:val="28"/>
        </w:rPr>
      </w:pPr>
      <w:r>
        <w:rPr>
          <w:rFonts w:hint="eastAsia" w:ascii="仿宋" w:hAnsi="仿宋" w:eastAsia="仿宋"/>
          <w:sz w:val="28"/>
        </w:rPr>
        <w:t>（一）深圳市互联精英信息技术有限公司</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6854"/>
      </w:tblGrid>
      <w:tr w14:paraId="7235A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insideV w:val="nil"/>
            </w:tcBorders>
          </w:tcPr>
          <w:p w14:paraId="08EE0907">
            <w:pPr>
              <w:spacing w:before="0" w:after="0" w:line="240" w:lineRule="auto"/>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公司名称</w:t>
            </w:r>
          </w:p>
        </w:tc>
        <w:tc>
          <w:tcPr>
            <w:tcW w:w="6854" w:type="dxa"/>
            <w:tcBorders>
              <w:insideV w:val="nil"/>
            </w:tcBorders>
          </w:tcPr>
          <w:p w14:paraId="2EDD132E">
            <w:pPr>
              <w:spacing w:before="0" w:after="0" w:line="240" w:lineRule="auto"/>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深圳市互联精英信息技术有限公司</w:t>
            </w:r>
          </w:p>
        </w:tc>
      </w:tr>
      <w:tr w14:paraId="4FAF2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0FC95C23">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成立日期</w:t>
            </w:r>
          </w:p>
        </w:tc>
        <w:tc>
          <w:tcPr>
            <w:tcW w:w="6854" w:type="dxa"/>
            <w:shd w:val="clear" w:color="auto" w:fill="auto"/>
          </w:tcPr>
          <w:p w14:paraId="3AE0732C">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2009年7月14日</w:t>
            </w:r>
          </w:p>
        </w:tc>
      </w:tr>
      <w:tr w14:paraId="2DF2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0E1B7FBC">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注册地点</w:t>
            </w:r>
          </w:p>
        </w:tc>
        <w:tc>
          <w:tcPr>
            <w:tcW w:w="6854" w:type="dxa"/>
            <w:shd w:val="clear" w:color="auto" w:fill="auto"/>
          </w:tcPr>
          <w:p w14:paraId="50001355">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深圳市南山区沙河街道高发社区深云路二号侨城一号广场主楼2707</w:t>
            </w:r>
          </w:p>
        </w:tc>
      </w:tr>
      <w:tr w14:paraId="760E2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4A66522C">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法定代表人</w:t>
            </w:r>
          </w:p>
        </w:tc>
        <w:tc>
          <w:tcPr>
            <w:tcW w:w="6854" w:type="dxa"/>
            <w:shd w:val="clear" w:color="auto" w:fill="auto"/>
          </w:tcPr>
          <w:p w14:paraId="526B3647">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林明玲</w:t>
            </w:r>
          </w:p>
        </w:tc>
      </w:tr>
      <w:tr w14:paraId="5056A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1843B0A3">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注册资本</w:t>
            </w:r>
          </w:p>
        </w:tc>
        <w:tc>
          <w:tcPr>
            <w:tcW w:w="6854" w:type="dxa"/>
            <w:shd w:val="clear" w:color="auto" w:fill="auto"/>
          </w:tcPr>
          <w:p w14:paraId="77DC0FCA">
            <w:pPr>
              <w:rPr>
                <w:rFonts w:ascii="仿宋" w:hAnsi="仿宋" w:eastAsia="仿宋"/>
                <w:color w:val="000000" w:themeColor="text1" w:themeShade="BF"/>
                <w:kern w:val="0"/>
                <w:sz w:val="24"/>
              </w:rPr>
            </w:pPr>
            <w:r>
              <w:rPr>
                <w:rFonts w:ascii="仿宋" w:hAnsi="仿宋" w:eastAsia="仿宋"/>
                <w:color w:val="000000" w:themeColor="text1" w:themeShade="BF"/>
                <w:kern w:val="0"/>
                <w:sz w:val="24"/>
              </w:rPr>
              <w:t>5,39</w:t>
            </w:r>
            <w:r>
              <w:rPr>
                <w:rFonts w:hint="eastAsia" w:ascii="仿宋" w:hAnsi="仿宋" w:eastAsia="仿宋"/>
                <w:color w:val="000000" w:themeColor="text1" w:themeShade="BF"/>
                <w:kern w:val="0"/>
                <w:sz w:val="24"/>
              </w:rPr>
              <w:t>0.00万元</w:t>
            </w:r>
          </w:p>
        </w:tc>
      </w:tr>
      <w:tr w14:paraId="1957E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27B25E4F">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经营范围</w:t>
            </w:r>
          </w:p>
        </w:tc>
        <w:tc>
          <w:tcPr>
            <w:tcW w:w="6854" w:type="dxa"/>
            <w:shd w:val="clear" w:color="auto" w:fill="auto"/>
          </w:tcPr>
          <w:p w14:paraId="00D8D45F">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地理信息系统、遥感、全球定位系统、办公自动化软件的技术开发及相关技术咨询，自有技术成果转让；计算机软硬件及网络设备的技术开发与购销；机械设备、仪器仪表及零配件的技术开发、销售及其它国内贸易，从事货物及技术的进出口业务（法律、行政法规、国务院决定规定在登记前须经批准的项目除外）；从事广告业务。</w:t>
            </w:r>
          </w:p>
        </w:tc>
      </w:tr>
      <w:tr w14:paraId="576DD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68" w:type="dxa"/>
            <w:shd w:val="clear" w:color="auto" w:fill="auto"/>
          </w:tcPr>
          <w:p w14:paraId="5B74E265">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股权结构</w:t>
            </w:r>
          </w:p>
        </w:tc>
        <w:tc>
          <w:tcPr>
            <w:tcW w:w="6854" w:type="dxa"/>
            <w:shd w:val="clear" w:color="auto" w:fill="auto"/>
            <w:vAlign w:val="center"/>
          </w:tcPr>
          <w:p w14:paraId="2E1E31EB">
            <w:pPr>
              <w:jc w:val="left"/>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天亿马持股100%</w:t>
            </w:r>
          </w:p>
        </w:tc>
      </w:tr>
      <w:tr w14:paraId="6F3F1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2B1844A1">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是否为失信被执行人</w:t>
            </w:r>
          </w:p>
        </w:tc>
        <w:tc>
          <w:tcPr>
            <w:tcW w:w="6854" w:type="dxa"/>
            <w:shd w:val="clear" w:color="auto" w:fill="auto"/>
          </w:tcPr>
          <w:p w14:paraId="5D0DA350">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否</w:t>
            </w:r>
          </w:p>
        </w:tc>
      </w:tr>
    </w:tbl>
    <w:p w14:paraId="6183A2E6">
      <w:pPr>
        <w:spacing w:before="156" w:beforeLines="50" w:line="360" w:lineRule="auto"/>
        <w:ind w:firstLine="560" w:firstLineChars="200"/>
        <w:rPr>
          <w:rFonts w:ascii="仿宋" w:hAnsi="仿宋" w:eastAsia="仿宋"/>
          <w:sz w:val="28"/>
        </w:rPr>
      </w:pPr>
      <w:r>
        <w:rPr>
          <w:rFonts w:hint="eastAsia" w:ascii="仿宋" w:hAnsi="仿宋" w:eastAsia="仿宋"/>
          <w:sz w:val="28"/>
        </w:rPr>
        <w:t>最近一年又一期财务数据如下：</w:t>
      </w:r>
    </w:p>
    <w:p w14:paraId="120D3596">
      <w:pPr>
        <w:spacing w:before="156" w:beforeLines="50" w:line="360" w:lineRule="auto"/>
        <w:ind w:firstLine="480" w:firstLineChars="200"/>
        <w:jc w:val="right"/>
        <w:rPr>
          <w:rFonts w:ascii="仿宋" w:hAnsi="仿宋" w:eastAsia="仿宋"/>
          <w:sz w:val="24"/>
        </w:rPr>
      </w:pPr>
      <w:r>
        <w:rPr>
          <w:rFonts w:hint="eastAsia" w:ascii="仿宋" w:hAnsi="仿宋" w:eastAsia="仿宋"/>
          <w:sz w:val="24"/>
        </w:rPr>
        <w:t>单位：元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9"/>
        <w:gridCol w:w="3056"/>
        <w:gridCol w:w="2707"/>
      </w:tblGrid>
      <w:tr w14:paraId="0CDD6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759" w:type="dxa"/>
            <w:tcBorders>
              <w:insideV w:val="nil"/>
            </w:tcBorders>
            <w:shd w:val="clear" w:color="auto" w:fill="auto"/>
          </w:tcPr>
          <w:p w14:paraId="1FCD81C7">
            <w:pPr>
              <w:spacing w:before="0" w:after="0" w:line="240" w:lineRule="auto"/>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项目</w:t>
            </w:r>
          </w:p>
        </w:tc>
        <w:tc>
          <w:tcPr>
            <w:tcW w:w="3056" w:type="dxa"/>
            <w:tcBorders>
              <w:insideV w:val="nil"/>
            </w:tcBorders>
            <w:shd w:val="clear" w:color="auto" w:fill="auto"/>
          </w:tcPr>
          <w:p w14:paraId="29F8714E">
            <w:pPr>
              <w:spacing w:before="0" w:after="0" w:line="240" w:lineRule="auto"/>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2025年末/2025年</w:t>
            </w:r>
          </w:p>
          <w:p w14:paraId="3B1F9826">
            <w:pPr>
              <w:spacing w:before="0" w:after="0" w:line="240" w:lineRule="auto"/>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（经审计）</w:t>
            </w:r>
          </w:p>
        </w:tc>
        <w:tc>
          <w:tcPr>
            <w:tcW w:w="2707" w:type="dxa"/>
            <w:tcBorders>
              <w:insideV w:val="nil"/>
            </w:tcBorders>
            <w:shd w:val="clear" w:color="auto" w:fill="auto"/>
          </w:tcPr>
          <w:p w14:paraId="461CC957">
            <w:pPr>
              <w:spacing w:before="0" w:after="0" w:line="240" w:lineRule="auto"/>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2024年末/2024年</w:t>
            </w:r>
          </w:p>
          <w:p w14:paraId="5964D8C9">
            <w:pPr>
              <w:spacing w:before="0" w:after="0" w:line="240" w:lineRule="auto"/>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（经审计）</w:t>
            </w:r>
          </w:p>
        </w:tc>
      </w:tr>
      <w:tr w14:paraId="0E7A3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253CC53C">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资产总额</w:t>
            </w:r>
          </w:p>
        </w:tc>
        <w:tc>
          <w:tcPr>
            <w:tcW w:w="3056" w:type="dxa"/>
            <w:shd w:val="clear" w:color="auto" w:fill="auto"/>
            <w:vAlign w:val="center"/>
          </w:tcPr>
          <w:p w14:paraId="27675B73">
            <w:pPr>
              <w:widowControl/>
              <w:jc w:val="right"/>
              <w:textAlignment w:val="center"/>
              <w:rPr>
                <w:rFonts w:ascii="仿宋" w:hAnsi="仿宋" w:eastAsia="仿宋" w:cstheme="minorBidi"/>
                <w:color w:val="000000"/>
                <w:kern w:val="0"/>
                <w:sz w:val="20"/>
              </w:rPr>
            </w:pPr>
            <w:r>
              <w:rPr>
                <w:rFonts w:hint="eastAsia" w:ascii="仿宋" w:hAnsi="仿宋" w:eastAsia="仿宋" w:cs="仿宋"/>
                <w:color w:val="000000"/>
                <w:kern w:val="0"/>
                <w:sz w:val="20"/>
                <w:lang w:bidi="ar"/>
              </w:rPr>
              <w:t>171,310,131.70</w:t>
            </w:r>
          </w:p>
        </w:tc>
        <w:tc>
          <w:tcPr>
            <w:tcW w:w="2707" w:type="dxa"/>
            <w:shd w:val="clear" w:color="auto" w:fill="auto"/>
            <w:vAlign w:val="center"/>
          </w:tcPr>
          <w:p w14:paraId="432C1DA6">
            <w:pPr>
              <w:jc w:val="right"/>
              <w:rPr>
                <w:rFonts w:ascii="仿宋" w:hAnsi="仿宋" w:eastAsia="仿宋" w:cstheme="minorBidi"/>
                <w:color w:val="000000"/>
                <w:kern w:val="0"/>
                <w:sz w:val="20"/>
              </w:rPr>
            </w:pPr>
            <w:r>
              <w:rPr>
                <w:rFonts w:ascii="仿宋" w:hAnsi="仿宋" w:eastAsia="仿宋" w:cstheme="minorBidi"/>
                <w:color w:val="000000"/>
                <w:kern w:val="0"/>
                <w:sz w:val="20"/>
              </w:rPr>
              <w:t>157,965,362.23</w:t>
            </w:r>
          </w:p>
        </w:tc>
      </w:tr>
      <w:tr w14:paraId="2C5BA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02D37B1A">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负债总额</w:t>
            </w:r>
          </w:p>
        </w:tc>
        <w:tc>
          <w:tcPr>
            <w:tcW w:w="3056" w:type="dxa"/>
            <w:shd w:val="clear" w:color="auto" w:fill="auto"/>
          </w:tcPr>
          <w:p w14:paraId="06263FD5">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52,416,923.19</w:t>
            </w:r>
          </w:p>
        </w:tc>
        <w:tc>
          <w:tcPr>
            <w:tcW w:w="2707" w:type="dxa"/>
            <w:shd w:val="clear" w:color="auto" w:fill="auto"/>
            <w:vAlign w:val="center"/>
          </w:tcPr>
          <w:p w14:paraId="046B8861">
            <w:pPr>
              <w:jc w:val="right"/>
              <w:rPr>
                <w:rFonts w:ascii="仿宋" w:hAnsi="仿宋" w:eastAsia="仿宋" w:cstheme="minorBidi"/>
                <w:color w:val="000000"/>
                <w:kern w:val="0"/>
                <w:sz w:val="20"/>
              </w:rPr>
            </w:pPr>
            <w:r>
              <w:rPr>
                <w:rFonts w:ascii="仿宋" w:hAnsi="仿宋" w:eastAsia="仿宋" w:cstheme="minorBidi"/>
                <w:color w:val="000000"/>
                <w:kern w:val="0"/>
                <w:sz w:val="20"/>
              </w:rPr>
              <w:t>39,756,684.75</w:t>
            </w:r>
          </w:p>
        </w:tc>
      </w:tr>
      <w:tr w14:paraId="00B1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53E1499F">
            <w:pPr>
              <w:jc w:val="right"/>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其中：银行贷款</w:t>
            </w:r>
          </w:p>
        </w:tc>
        <w:tc>
          <w:tcPr>
            <w:tcW w:w="3056" w:type="dxa"/>
            <w:shd w:val="clear" w:color="auto" w:fill="auto"/>
          </w:tcPr>
          <w:p w14:paraId="04D24DBB">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w:t>
            </w:r>
          </w:p>
        </w:tc>
        <w:tc>
          <w:tcPr>
            <w:tcW w:w="2707" w:type="dxa"/>
            <w:shd w:val="clear" w:color="auto" w:fill="auto"/>
            <w:vAlign w:val="center"/>
          </w:tcPr>
          <w:p w14:paraId="12FCA0CE">
            <w:pPr>
              <w:jc w:val="right"/>
              <w:rPr>
                <w:rFonts w:ascii="仿宋" w:hAnsi="仿宋" w:eastAsia="仿宋" w:cstheme="minorBidi"/>
                <w:color w:val="000000"/>
                <w:kern w:val="0"/>
                <w:sz w:val="20"/>
              </w:rPr>
            </w:pPr>
            <w:r>
              <w:rPr>
                <w:rFonts w:hint="eastAsia" w:ascii="仿宋" w:hAnsi="仿宋" w:eastAsia="仿宋" w:cstheme="minorBidi"/>
                <w:color w:val="000000"/>
                <w:kern w:val="0"/>
                <w:sz w:val="20"/>
              </w:rPr>
              <w:t>0.00</w:t>
            </w:r>
          </w:p>
        </w:tc>
      </w:tr>
      <w:tr w14:paraId="7C889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3CA7F203">
            <w:pPr>
              <w:jc w:val="right"/>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流动负债总额</w:t>
            </w:r>
          </w:p>
        </w:tc>
        <w:tc>
          <w:tcPr>
            <w:tcW w:w="3056" w:type="dxa"/>
            <w:shd w:val="clear" w:color="auto" w:fill="auto"/>
          </w:tcPr>
          <w:p w14:paraId="11FC2001">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52,416,923.19</w:t>
            </w:r>
          </w:p>
        </w:tc>
        <w:tc>
          <w:tcPr>
            <w:tcW w:w="2707" w:type="dxa"/>
            <w:shd w:val="clear" w:color="auto" w:fill="auto"/>
            <w:vAlign w:val="center"/>
          </w:tcPr>
          <w:p w14:paraId="10648D2C">
            <w:pPr>
              <w:jc w:val="right"/>
              <w:rPr>
                <w:rFonts w:ascii="仿宋" w:hAnsi="仿宋" w:eastAsia="仿宋" w:cstheme="minorBidi"/>
                <w:color w:val="000000"/>
                <w:kern w:val="0"/>
                <w:sz w:val="20"/>
              </w:rPr>
            </w:pPr>
            <w:r>
              <w:rPr>
                <w:rFonts w:ascii="仿宋" w:hAnsi="仿宋" w:eastAsia="仿宋" w:cstheme="minorBidi"/>
                <w:color w:val="000000"/>
                <w:kern w:val="0"/>
                <w:sz w:val="20"/>
              </w:rPr>
              <w:t>39,756,684.75</w:t>
            </w:r>
          </w:p>
        </w:tc>
      </w:tr>
      <w:tr w14:paraId="20527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200BA97A">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净资产</w:t>
            </w:r>
          </w:p>
        </w:tc>
        <w:tc>
          <w:tcPr>
            <w:tcW w:w="3056" w:type="dxa"/>
            <w:shd w:val="clear" w:color="auto" w:fill="auto"/>
          </w:tcPr>
          <w:p w14:paraId="7A71692F">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118,893,208.51</w:t>
            </w:r>
          </w:p>
        </w:tc>
        <w:tc>
          <w:tcPr>
            <w:tcW w:w="2707" w:type="dxa"/>
            <w:shd w:val="clear" w:color="auto" w:fill="auto"/>
            <w:vAlign w:val="center"/>
          </w:tcPr>
          <w:p w14:paraId="6BDD354B">
            <w:pPr>
              <w:jc w:val="right"/>
              <w:rPr>
                <w:rFonts w:ascii="仿宋" w:hAnsi="仿宋" w:eastAsia="仿宋" w:cstheme="minorBidi"/>
                <w:color w:val="000000"/>
                <w:kern w:val="0"/>
                <w:sz w:val="20"/>
              </w:rPr>
            </w:pPr>
            <w:r>
              <w:rPr>
                <w:rFonts w:ascii="仿宋" w:hAnsi="仿宋" w:eastAsia="仿宋" w:cstheme="minorBidi"/>
                <w:color w:val="000000"/>
                <w:kern w:val="0"/>
                <w:sz w:val="20"/>
              </w:rPr>
              <w:t>118,208,677.48</w:t>
            </w:r>
          </w:p>
        </w:tc>
      </w:tr>
      <w:tr w14:paraId="03294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1790561D">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营业收入</w:t>
            </w:r>
          </w:p>
        </w:tc>
        <w:tc>
          <w:tcPr>
            <w:tcW w:w="3056" w:type="dxa"/>
            <w:shd w:val="clear" w:color="auto" w:fill="auto"/>
          </w:tcPr>
          <w:p w14:paraId="1744563A">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20,109,412.16</w:t>
            </w:r>
          </w:p>
        </w:tc>
        <w:tc>
          <w:tcPr>
            <w:tcW w:w="2707" w:type="dxa"/>
            <w:shd w:val="clear" w:color="auto" w:fill="auto"/>
            <w:vAlign w:val="center"/>
          </w:tcPr>
          <w:p w14:paraId="33ACB1AF">
            <w:pPr>
              <w:jc w:val="right"/>
              <w:rPr>
                <w:rFonts w:ascii="仿宋" w:hAnsi="仿宋" w:eastAsia="仿宋" w:cstheme="minorBidi"/>
                <w:color w:val="000000"/>
                <w:kern w:val="0"/>
                <w:sz w:val="20"/>
              </w:rPr>
            </w:pPr>
            <w:r>
              <w:rPr>
                <w:rFonts w:ascii="仿宋" w:hAnsi="仿宋" w:eastAsia="仿宋" w:cstheme="minorBidi"/>
                <w:color w:val="000000"/>
                <w:kern w:val="0"/>
                <w:sz w:val="20"/>
              </w:rPr>
              <w:t>3,418,541.59</w:t>
            </w:r>
          </w:p>
        </w:tc>
      </w:tr>
      <w:tr w14:paraId="26D88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626516B5">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利润总额</w:t>
            </w:r>
          </w:p>
        </w:tc>
        <w:tc>
          <w:tcPr>
            <w:tcW w:w="3056" w:type="dxa"/>
            <w:shd w:val="clear" w:color="auto" w:fill="auto"/>
          </w:tcPr>
          <w:p w14:paraId="5B25114B">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5,080.61</w:t>
            </w:r>
          </w:p>
        </w:tc>
        <w:tc>
          <w:tcPr>
            <w:tcW w:w="2707" w:type="dxa"/>
            <w:shd w:val="clear" w:color="auto" w:fill="auto"/>
            <w:vAlign w:val="center"/>
          </w:tcPr>
          <w:p w14:paraId="38155E89">
            <w:pPr>
              <w:jc w:val="right"/>
              <w:rPr>
                <w:rFonts w:ascii="仿宋" w:hAnsi="仿宋" w:eastAsia="仿宋" w:cstheme="minorBidi"/>
                <w:color w:val="000000"/>
                <w:kern w:val="0"/>
                <w:sz w:val="20"/>
              </w:rPr>
            </w:pPr>
            <w:r>
              <w:rPr>
                <w:rFonts w:hint="eastAsia" w:ascii="仿宋" w:hAnsi="仿宋" w:eastAsia="仿宋" w:cstheme="minorBidi"/>
                <w:color w:val="000000"/>
                <w:kern w:val="0"/>
                <w:sz w:val="20"/>
              </w:rPr>
              <w:t>-</w:t>
            </w:r>
            <w:r>
              <w:rPr>
                <w:rFonts w:ascii="仿宋" w:hAnsi="仿宋" w:eastAsia="仿宋" w:cstheme="minorBidi"/>
                <w:color w:val="000000"/>
                <w:kern w:val="0"/>
                <w:sz w:val="20"/>
              </w:rPr>
              <w:t>7,099,957.64</w:t>
            </w:r>
          </w:p>
        </w:tc>
      </w:tr>
      <w:tr w14:paraId="19026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5B4D438D">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净利润</w:t>
            </w:r>
          </w:p>
        </w:tc>
        <w:tc>
          <w:tcPr>
            <w:tcW w:w="3056" w:type="dxa"/>
            <w:shd w:val="clear" w:color="auto" w:fill="auto"/>
          </w:tcPr>
          <w:p w14:paraId="3E25579B">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564,122.53</w:t>
            </w:r>
          </w:p>
        </w:tc>
        <w:tc>
          <w:tcPr>
            <w:tcW w:w="2707" w:type="dxa"/>
            <w:shd w:val="clear" w:color="auto" w:fill="auto"/>
            <w:vAlign w:val="center"/>
          </w:tcPr>
          <w:p w14:paraId="399EB7EA">
            <w:pPr>
              <w:jc w:val="right"/>
              <w:rPr>
                <w:rFonts w:ascii="仿宋" w:hAnsi="仿宋" w:eastAsia="仿宋" w:cstheme="minorBidi"/>
                <w:color w:val="000000"/>
                <w:kern w:val="0"/>
                <w:sz w:val="20"/>
              </w:rPr>
            </w:pPr>
            <w:r>
              <w:rPr>
                <w:rFonts w:hint="eastAsia" w:ascii="仿宋" w:hAnsi="仿宋" w:eastAsia="仿宋" w:cstheme="minorBidi"/>
                <w:color w:val="000000"/>
                <w:kern w:val="0"/>
                <w:sz w:val="20"/>
              </w:rPr>
              <w:t>-</w:t>
            </w:r>
            <w:r>
              <w:rPr>
                <w:rFonts w:ascii="仿宋" w:hAnsi="仿宋" w:eastAsia="仿宋" w:cstheme="minorBidi"/>
                <w:color w:val="000000"/>
                <w:kern w:val="0"/>
                <w:sz w:val="20"/>
              </w:rPr>
              <w:t>5,727,193.66</w:t>
            </w:r>
          </w:p>
        </w:tc>
      </w:tr>
    </w:tbl>
    <w:p w14:paraId="0C4384EC">
      <w:pPr>
        <w:spacing w:before="156" w:beforeLines="50" w:line="360" w:lineRule="auto"/>
        <w:ind w:firstLine="560" w:firstLineChars="200"/>
        <w:rPr>
          <w:rFonts w:ascii="仿宋" w:hAnsi="仿宋" w:eastAsia="仿宋"/>
          <w:sz w:val="28"/>
        </w:rPr>
      </w:pPr>
      <w:r>
        <w:rPr>
          <w:rFonts w:hint="eastAsia" w:ascii="仿宋" w:hAnsi="仿宋" w:eastAsia="仿宋"/>
          <w:sz w:val="28"/>
        </w:rPr>
        <w:t>（二）天亿马信息技术有限公司</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6854"/>
      </w:tblGrid>
      <w:tr w14:paraId="0674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insideV w:val="nil"/>
            </w:tcBorders>
          </w:tcPr>
          <w:p w14:paraId="154EFF12">
            <w:pPr>
              <w:spacing w:before="0" w:after="0" w:line="240" w:lineRule="auto"/>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公司名称</w:t>
            </w:r>
          </w:p>
        </w:tc>
        <w:tc>
          <w:tcPr>
            <w:tcW w:w="6854" w:type="dxa"/>
            <w:tcBorders>
              <w:insideV w:val="nil"/>
            </w:tcBorders>
          </w:tcPr>
          <w:p w14:paraId="129C04E6">
            <w:pPr>
              <w:spacing w:before="0" w:after="0" w:line="240" w:lineRule="auto"/>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天亿马信息技术有限公司</w:t>
            </w:r>
          </w:p>
        </w:tc>
      </w:tr>
      <w:tr w14:paraId="2F4A0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41DAD507">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成立日期</w:t>
            </w:r>
          </w:p>
        </w:tc>
        <w:tc>
          <w:tcPr>
            <w:tcW w:w="6854" w:type="dxa"/>
            <w:shd w:val="clear" w:color="auto" w:fill="auto"/>
          </w:tcPr>
          <w:p w14:paraId="032B4D88">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2020年5月11日</w:t>
            </w:r>
          </w:p>
        </w:tc>
      </w:tr>
      <w:tr w14:paraId="1099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452EDDDB">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注册地点</w:t>
            </w:r>
          </w:p>
        </w:tc>
        <w:tc>
          <w:tcPr>
            <w:tcW w:w="6854" w:type="dxa"/>
            <w:shd w:val="clear" w:color="auto" w:fill="auto"/>
          </w:tcPr>
          <w:p w14:paraId="3201F825">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汕头市嵩山路南20号天澜国际大厦西塔2111-2112号房</w:t>
            </w:r>
          </w:p>
        </w:tc>
      </w:tr>
      <w:tr w14:paraId="586BF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6AA76D7E">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法定代表人</w:t>
            </w:r>
          </w:p>
        </w:tc>
        <w:tc>
          <w:tcPr>
            <w:tcW w:w="6854" w:type="dxa"/>
            <w:shd w:val="clear" w:color="auto" w:fill="auto"/>
          </w:tcPr>
          <w:p w14:paraId="34205BBB">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林明玲</w:t>
            </w:r>
          </w:p>
        </w:tc>
      </w:tr>
      <w:tr w14:paraId="40947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3FF330C2">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注册资本</w:t>
            </w:r>
          </w:p>
        </w:tc>
        <w:tc>
          <w:tcPr>
            <w:tcW w:w="6854" w:type="dxa"/>
            <w:shd w:val="clear" w:color="auto" w:fill="auto"/>
          </w:tcPr>
          <w:p w14:paraId="6FA24DED">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5,000.00万元</w:t>
            </w:r>
          </w:p>
        </w:tc>
      </w:tr>
      <w:tr w14:paraId="45919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1B166A9E">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经营范围</w:t>
            </w:r>
          </w:p>
        </w:tc>
        <w:tc>
          <w:tcPr>
            <w:tcW w:w="6854" w:type="dxa"/>
            <w:shd w:val="clear" w:color="auto" w:fill="auto"/>
          </w:tcPr>
          <w:p w14:paraId="4604E9FE">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信息系统集成服务;软件开发;地理信息加工处理;信息技术咨询服务;电子自动化工程安装服务;电子设备工程安装服务;计算机技术开发、技术服务;计算机网络系统工程服务;数据处理和存储服务;监控系统工程安装服务;智能化安装工程服务;楼宇设备自控系统工程服务;保安监控及防盗报警系统工程服务;智能卡系统工程服务;防雷工程专业施工;建筑物空调设备、通风设备系统安装服务;建筑物电力系统安装;通信线路和设备的安装;各种交通信号灯及系统安装;集成电路设计;安全技术防范系统设计、施工、维修;计算机房维护服务;计算机和辅助设备修理;其他办公设备维修；承接档案服务外包；销售：计算机及零配件、软件、通信设备、打字机、复印机、文字处理机及其他办公设备、汽车、摩托车及零配件、新能源汽车整车(依法须经批准的项目，经相关部门批准后方可开展经营活动)</w:t>
            </w:r>
          </w:p>
        </w:tc>
      </w:tr>
      <w:tr w14:paraId="03499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68" w:type="dxa"/>
            <w:shd w:val="clear" w:color="auto" w:fill="auto"/>
          </w:tcPr>
          <w:p w14:paraId="7C6B5A5C">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股权结构</w:t>
            </w:r>
          </w:p>
        </w:tc>
        <w:tc>
          <w:tcPr>
            <w:tcW w:w="6854" w:type="dxa"/>
            <w:shd w:val="clear" w:color="auto" w:fill="auto"/>
            <w:vAlign w:val="center"/>
          </w:tcPr>
          <w:p w14:paraId="3D766D3D">
            <w:pPr>
              <w:jc w:val="left"/>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天亿马持股100%</w:t>
            </w:r>
          </w:p>
        </w:tc>
      </w:tr>
      <w:tr w14:paraId="48777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38B4325D">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是否为失信被执行人</w:t>
            </w:r>
          </w:p>
        </w:tc>
        <w:tc>
          <w:tcPr>
            <w:tcW w:w="6854" w:type="dxa"/>
            <w:shd w:val="clear" w:color="auto" w:fill="auto"/>
            <w:vAlign w:val="center"/>
          </w:tcPr>
          <w:p w14:paraId="73FCE8AF">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否</w:t>
            </w:r>
          </w:p>
        </w:tc>
      </w:tr>
    </w:tbl>
    <w:p w14:paraId="2AF709D6">
      <w:pPr>
        <w:spacing w:before="156" w:beforeLines="50" w:line="360" w:lineRule="auto"/>
        <w:ind w:firstLine="560" w:firstLineChars="200"/>
        <w:rPr>
          <w:rFonts w:ascii="仿宋" w:hAnsi="仿宋" w:eastAsia="仿宋"/>
          <w:sz w:val="28"/>
        </w:rPr>
      </w:pPr>
      <w:r>
        <w:rPr>
          <w:rFonts w:hint="eastAsia" w:ascii="仿宋" w:hAnsi="仿宋" w:eastAsia="仿宋"/>
          <w:sz w:val="28"/>
        </w:rPr>
        <w:t>最近一年又一期财务数据如下：</w:t>
      </w:r>
    </w:p>
    <w:p w14:paraId="62411C6C">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单位：元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9"/>
        <w:gridCol w:w="3056"/>
        <w:gridCol w:w="2707"/>
      </w:tblGrid>
      <w:tr w14:paraId="6044E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759" w:type="dxa"/>
            <w:tcBorders>
              <w:insideV w:val="nil"/>
            </w:tcBorders>
            <w:shd w:val="clear" w:color="auto" w:fill="auto"/>
          </w:tcPr>
          <w:p w14:paraId="76EC5896">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项目</w:t>
            </w:r>
          </w:p>
        </w:tc>
        <w:tc>
          <w:tcPr>
            <w:tcW w:w="3056" w:type="dxa"/>
            <w:tcBorders>
              <w:insideV w:val="nil"/>
            </w:tcBorders>
            <w:shd w:val="clear" w:color="auto" w:fill="auto"/>
          </w:tcPr>
          <w:p w14:paraId="640F6E46">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2025年末/2025年</w:t>
            </w:r>
          </w:p>
          <w:p w14:paraId="3F064FF7">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（经审计）</w:t>
            </w:r>
          </w:p>
        </w:tc>
        <w:tc>
          <w:tcPr>
            <w:tcW w:w="2707" w:type="dxa"/>
            <w:tcBorders>
              <w:insideV w:val="nil"/>
            </w:tcBorders>
            <w:shd w:val="clear" w:color="auto" w:fill="auto"/>
          </w:tcPr>
          <w:p w14:paraId="70369D14">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2024年末/2024年</w:t>
            </w:r>
          </w:p>
          <w:p w14:paraId="7A350D1C">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（经审计）</w:t>
            </w:r>
          </w:p>
        </w:tc>
      </w:tr>
      <w:tr w14:paraId="3EEE4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4F515042">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资产总额</w:t>
            </w:r>
          </w:p>
        </w:tc>
        <w:tc>
          <w:tcPr>
            <w:tcW w:w="3056" w:type="dxa"/>
            <w:shd w:val="clear" w:color="auto" w:fill="auto"/>
            <w:vAlign w:val="center"/>
          </w:tcPr>
          <w:p w14:paraId="6504874B">
            <w:pPr>
              <w:widowControl/>
              <w:jc w:val="right"/>
              <w:textAlignment w:val="center"/>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267,091,368.15</w:t>
            </w:r>
          </w:p>
        </w:tc>
        <w:tc>
          <w:tcPr>
            <w:tcW w:w="2707" w:type="dxa"/>
            <w:shd w:val="clear" w:color="auto" w:fill="auto"/>
            <w:vAlign w:val="center"/>
          </w:tcPr>
          <w:p w14:paraId="538F63A3">
            <w:pPr>
              <w:jc w:val="right"/>
              <w:rPr>
                <w:rFonts w:ascii="仿宋" w:hAnsi="仿宋" w:eastAsia="仿宋" w:cstheme="minorBidi"/>
                <w:color w:val="000000"/>
                <w:kern w:val="0"/>
                <w:sz w:val="20"/>
              </w:rPr>
            </w:pPr>
            <w:r>
              <w:rPr>
                <w:rFonts w:ascii="仿宋" w:hAnsi="仿宋" w:eastAsia="仿宋" w:cstheme="minorBidi"/>
                <w:color w:val="000000"/>
                <w:kern w:val="0"/>
                <w:sz w:val="20"/>
              </w:rPr>
              <w:t>125,692,112.48</w:t>
            </w:r>
          </w:p>
        </w:tc>
      </w:tr>
      <w:tr w14:paraId="5F7BA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564ADFB0">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负债总额</w:t>
            </w:r>
          </w:p>
        </w:tc>
        <w:tc>
          <w:tcPr>
            <w:tcW w:w="3056" w:type="dxa"/>
            <w:shd w:val="clear" w:color="auto" w:fill="auto"/>
          </w:tcPr>
          <w:p w14:paraId="11743570">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201,008,605.26</w:t>
            </w:r>
          </w:p>
        </w:tc>
        <w:tc>
          <w:tcPr>
            <w:tcW w:w="2707" w:type="dxa"/>
            <w:shd w:val="clear" w:color="auto" w:fill="auto"/>
            <w:vAlign w:val="center"/>
          </w:tcPr>
          <w:p w14:paraId="3232BCA4">
            <w:pPr>
              <w:jc w:val="right"/>
              <w:rPr>
                <w:rFonts w:ascii="仿宋" w:hAnsi="仿宋" w:eastAsia="仿宋" w:cstheme="minorBidi"/>
                <w:color w:val="000000"/>
                <w:kern w:val="0"/>
                <w:sz w:val="20"/>
              </w:rPr>
            </w:pPr>
            <w:r>
              <w:rPr>
                <w:rFonts w:ascii="仿宋" w:hAnsi="仿宋" w:eastAsia="仿宋" w:cstheme="minorBidi"/>
                <w:color w:val="000000"/>
                <w:kern w:val="0"/>
                <w:sz w:val="20"/>
              </w:rPr>
              <w:t>69,727,447.24</w:t>
            </w:r>
          </w:p>
        </w:tc>
      </w:tr>
      <w:tr w14:paraId="5B001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25BC2F9E">
            <w:pPr>
              <w:jc w:val="right"/>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其中：银行贷款</w:t>
            </w:r>
          </w:p>
        </w:tc>
        <w:tc>
          <w:tcPr>
            <w:tcW w:w="3056" w:type="dxa"/>
            <w:shd w:val="clear" w:color="auto" w:fill="auto"/>
          </w:tcPr>
          <w:p w14:paraId="3F7B8C00">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57,297,875.51</w:t>
            </w:r>
          </w:p>
        </w:tc>
        <w:tc>
          <w:tcPr>
            <w:tcW w:w="2707" w:type="dxa"/>
            <w:shd w:val="clear" w:color="auto" w:fill="auto"/>
            <w:vAlign w:val="center"/>
          </w:tcPr>
          <w:p w14:paraId="01B6C068">
            <w:pPr>
              <w:jc w:val="right"/>
              <w:rPr>
                <w:rFonts w:ascii="仿宋" w:hAnsi="仿宋" w:eastAsia="仿宋" w:cstheme="minorBidi"/>
                <w:color w:val="000000"/>
                <w:kern w:val="0"/>
                <w:sz w:val="20"/>
              </w:rPr>
            </w:pPr>
            <w:r>
              <w:rPr>
                <w:rFonts w:ascii="仿宋" w:hAnsi="仿宋" w:eastAsia="仿宋" w:cstheme="minorBidi"/>
                <w:color w:val="000000"/>
                <w:kern w:val="0"/>
                <w:sz w:val="20"/>
              </w:rPr>
              <w:t>3,003,116.66</w:t>
            </w:r>
          </w:p>
        </w:tc>
      </w:tr>
      <w:tr w14:paraId="6EF20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2DBA6045">
            <w:pPr>
              <w:jc w:val="right"/>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流动负债总额</w:t>
            </w:r>
          </w:p>
        </w:tc>
        <w:tc>
          <w:tcPr>
            <w:tcW w:w="3056" w:type="dxa"/>
            <w:shd w:val="clear" w:color="auto" w:fill="auto"/>
          </w:tcPr>
          <w:p w14:paraId="620C0464">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157,750,524.14</w:t>
            </w:r>
          </w:p>
        </w:tc>
        <w:tc>
          <w:tcPr>
            <w:tcW w:w="2707" w:type="dxa"/>
            <w:shd w:val="clear" w:color="auto" w:fill="auto"/>
            <w:vAlign w:val="center"/>
          </w:tcPr>
          <w:p w14:paraId="02115B8E">
            <w:pPr>
              <w:jc w:val="right"/>
              <w:rPr>
                <w:rFonts w:ascii="仿宋" w:hAnsi="仿宋" w:eastAsia="仿宋" w:cstheme="minorBidi"/>
                <w:color w:val="000000"/>
                <w:kern w:val="0"/>
                <w:sz w:val="20"/>
              </w:rPr>
            </w:pPr>
            <w:r>
              <w:rPr>
                <w:rFonts w:ascii="仿宋" w:hAnsi="仿宋" w:eastAsia="仿宋" w:cstheme="minorBidi"/>
                <w:color w:val="000000"/>
                <w:kern w:val="0"/>
                <w:sz w:val="20"/>
              </w:rPr>
              <w:t>62,384,725.51</w:t>
            </w:r>
          </w:p>
        </w:tc>
      </w:tr>
      <w:tr w14:paraId="292CD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560E7E45">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净资产</w:t>
            </w:r>
          </w:p>
        </w:tc>
        <w:tc>
          <w:tcPr>
            <w:tcW w:w="3056" w:type="dxa"/>
            <w:shd w:val="clear" w:color="auto" w:fill="auto"/>
          </w:tcPr>
          <w:p w14:paraId="050F0C7D">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66,082,762.89</w:t>
            </w:r>
          </w:p>
        </w:tc>
        <w:tc>
          <w:tcPr>
            <w:tcW w:w="2707" w:type="dxa"/>
            <w:shd w:val="clear" w:color="auto" w:fill="auto"/>
            <w:vAlign w:val="center"/>
          </w:tcPr>
          <w:p w14:paraId="2D5ECEB5">
            <w:pPr>
              <w:jc w:val="right"/>
              <w:rPr>
                <w:rFonts w:ascii="仿宋" w:hAnsi="仿宋" w:eastAsia="仿宋" w:cstheme="minorBidi"/>
                <w:color w:val="000000"/>
                <w:kern w:val="0"/>
                <w:sz w:val="20"/>
              </w:rPr>
            </w:pPr>
            <w:r>
              <w:rPr>
                <w:rFonts w:ascii="仿宋" w:hAnsi="仿宋" w:eastAsia="仿宋" w:cstheme="minorBidi"/>
                <w:color w:val="000000"/>
                <w:kern w:val="0"/>
                <w:sz w:val="20"/>
              </w:rPr>
              <w:t>55,964,665.24</w:t>
            </w:r>
          </w:p>
        </w:tc>
      </w:tr>
      <w:tr w14:paraId="70C5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376F8887">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营业收入</w:t>
            </w:r>
          </w:p>
        </w:tc>
        <w:tc>
          <w:tcPr>
            <w:tcW w:w="3056" w:type="dxa"/>
            <w:shd w:val="clear" w:color="auto" w:fill="auto"/>
          </w:tcPr>
          <w:p w14:paraId="4CD58460">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131,760,955.65</w:t>
            </w:r>
          </w:p>
        </w:tc>
        <w:tc>
          <w:tcPr>
            <w:tcW w:w="2707" w:type="dxa"/>
            <w:shd w:val="clear" w:color="auto" w:fill="auto"/>
            <w:vAlign w:val="center"/>
          </w:tcPr>
          <w:p w14:paraId="36442ED7">
            <w:pPr>
              <w:jc w:val="right"/>
              <w:rPr>
                <w:rFonts w:ascii="仿宋" w:hAnsi="仿宋" w:eastAsia="仿宋" w:cstheme="minorBidi"/>
                <w:color w:val="000000"/>
                <w:kern w:val="0"/>
                <w:sz w:val="20"/>
              </w:rPr>
            </w:pPr>
            <w:r>
              <w:rPr>
                <w:rFonts w:ascii="仿宋" w:hAnsi="仿宋" w:eastAsia="仿宋" w:cstheme="minorBidi"/>
                <w:color w:val="000000"/>
                <w:kern w:val="0"/>
                <w:sz w:val="20"/>
              </w:rPr>
              <w:t>14,322,765.77</w:t>
            </w:r>
          </w:p>
        </w:tc>
      </w:tr>
      <w:tr w14:paraId="2FABC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6FFE904A">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利润总额</w:t>
            </w:r>
          </w:p>
        </w:tc>
        <w:tc>
          <w:tcPr>
            <w:tcW w:w="3056" w:type="dxa"/>
            <w:shd w:val="clear" w:color="auto" w:fill="auto"/>
          </w:tcPr>
          <w:p w14:paraId="13F2521C">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10,954,049.77</w:t>
            </w:r>
          </w:p>
        </w:tc>
        <w:tc>
          <w:tcPr>
            <w:tcW w:w="2707" w:type="dxa"/>
            <w:shd w:val="clear" w:color="auto" w:fill="auto"/>
            <w:vAlign w:val="center"/>
          </w:tcPr>
          <w:p w14:paraId="5244ACF3">
            <w:pPr>
              <w:jc w:val="right"/>
              <w:rPr>
                <w:rFonts w:ascii="仿宋" w:hAnsi="仿宋" w:eastAsia="仿宋" w:cstheme="minorBidi"/>
                <w:color w:val="000000"/>
                <w:kern w:val="0"/>
                <w:sz w:val="20"/>
              </w:rPr>
            </w:pPr>
            <w:r>
              <w:rPr>
                <w:rFonts w:ascii="仿宋" w:hAnsi="仿宋" w:eastAsia="仿宋" w:cstheme="minorBidi"/>
                <w:color w:val="000000"/>
                <w:kern w:val="0"/>
                <w:sz w:val="20"/>
              </w:rPr>
              <w:t>-4,684,714.61</w:t>
            </w:r>
          </w:p>
        </w:tc>
      </w:tr>
      <w:tr w14:paraId="52631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6C632025">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净利润</w:t>
            </w:r>
          </w:p>
        </w:tc>
        <w:tc>
          <w:tcPr>
            <w:tcW w:w="3056" w:type="dxa"/>
            <w:shd w:val="clear" w:color="auto" w:fill="auto"/>
          </w:tcPr>
          <w:p w14:paraId="31D5128B">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10,118,097.65</w:t>
            </w:r>
          </w:p>
        </w:tc>
        <w:tc>
          <w:tcPr>
            <w:tcW w:w="2707" w:type="dxa"/>
            <w:shd w:val="clear" w:color="auto" w:fill="auto"/>
            <w:vAlign w:val="center"/>
          </w:tcPr>
          <w:p w14:paraId="563535F0">
            <w:pPr>
              <w:jc w:val="right"/>
              <w:rPr>
                <w:rFonts w:ascii="仿宋" w:hAnsi="仿宋" w:eastAsia="仿宋" w:cstheme="minorBidi"/>
                <w:color w:val="000000"/>
                <w:kern w:val="0"/>
                <w:sz w:val="20"/>
              </w:rPr>
            </w:pPr>
            <w:r>
              <w:rPr>
                <w:rFonts w:ascii="仿宋" w:hAnsi="仿宋" w:eastAsia="仿宋" w:cstheme="minorBidi"/>
                <w:color w:val="000000"/>
                <w:kern w:val="0"/>
                <w:sz w:val="20"/>
              </w:rPr>
              <w:t>-4,689,320.97</w:t>
            </w:r>
          </w:p>
        </w:tc>
      </w:tr>
    </w:tbl>
    <w:p w14:paraId="3D9209E6">
      <w:pPr>
        <w:spacing w:before="156" w:beforeLines="50" w:line="360" w:lineRule="auto"/>
        <w:ind w:firstLine="560" w:firstLineChars="200"/>
        <w:rPr>
          <w:rFonts w:ascii="仿宋" w:hAnsi="仿宋" w:eastAsia="仿宋"/>
          <w:sz w:val="28"/>
        </w:rPr>
      </w:pPr>
      <w:r>
        <w:rPr>
          <w:rFonts w:hint="eastAsia" w:ascii="仿宋" w:hAnsi="仿宋" w:eastAsia="仿宋"/>
          <w:sz w:val="28"/>
        </w:rPr>
        <w:t>（三）广东天亿马信息科技有限公司</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6854"/>
      </w:tblGrid>
      <w:tr w14:paraId="55ABE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insideV w:val="nil"/>
            </w:tcBorders>
          </w:tcPr>
          <w:p w14:paraId="26927ECB">
            <w:pPr>
              <w:spacing w:before="0" w:after="0" w:line="240" w:lineRule="auto"/>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公司名称</w:t>
            </w:r>
          </w:p>
        </w:tc>
        <w:tc>
          <w:tcPr>
            <w:tcW w:w="6854" w:type="dxa"/>
            <w:tcBorders>
              <w:insideV w:val="nil"/>
            </w:tcBorders>
          </w:tcPr>
          <w:p w14:paraId="5D16FB19">
            <w:pPr>
              <w:spacing w:before="0" w:after="0" w:line="240" w:lineRule="auto"/>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广东天亿马信息科技有限公司</w:t>
            </w:r>
          </w:p>
        </w:tc>
      </w:tr>
      <w:tr w14:paraId="0155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3EE163B4">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成立日期</w:t>
            </w:r>
          </w:p>
        </w:tc>
        <w:tc>
          <w:tcPr>
            <w:tcW w:w="6854" w:type="dxa"/>
            <w:shd w:val="clear" w:color="auto" w:fill="auto"/>
          </w:tcPr>
          <w:p w14:paraId="67BAB8EB">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2020年06月08日</w:t>
            </w:r>
          </w:p>
        </w:tc>
      </w:tr>
      <w:tr w14:paraId="68EED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36465775">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注册地点</w:t>
            </w:r>
          </w:p>
        </w:tc>
        <w:tc>
          <w:tcPr>
            <w:tcW w:w="6854" w:type="dxa"/>
            <w:shd w:val="clear" w:color="auto" w:fill="auto"/>
          </w:tcPr>
          <w:p w14:paraId="4395E7EA">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广州市天河区天河北路365号之一3901-3904房（仅限办公）</w:t>
            </w:r>
          </w:p>
        </w:tc>
      </w:tr>
      <w:tr w14:paraId="4EA1D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2E57EE74">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法定代表人</w:t>
            </w:r>
          </w:p>
        </w:tc>
        <w:tc>
          <w:tcPr>
            <w:tcW w:w="6854" w:type="dxa"/>
            <w:shd w:val="clear" w:color="auto" w:fill="auto"/>
          </w:tcPr>
          <w:p w14:paraId="7E639D98">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林明玲</w:t>
            </w:r>
          </w:p>
        </w:tc>
      </w:tr>
      <w:tr w14:paraId="02DC9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32F617D7">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注册资本</w:t>
            </w:r>
          </w:p>
        </w:tc>
        <w:tc>
          <w:tcPr>
            <w:tcW w:w="6854" w:type="dxa"/>
            <w:shd w:val="clear" w:color="auto" w:fill="auto"/>
          </w:tcPr>
          <w:p w14:paraId="25FD5618">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1,000.00万元</w:t>
            </w:r>
          </w:p>
        </w:tc>
      </w:tr>
      <w:tr w14:paraId="7CAF1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63E7983A">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经营范围</w:t>
            </w:r>
          </w:p>
        </w:tc>
        <w:tc>
          <w:tcPr>
            <w:tcW w:w="6854" w:type="dxa"/>
            <w:shd w:val="clear" w:color="auto" w:fill="auto"/>
          </w:tcPr>
          <w:p w14:paraId="46C7DE7C">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信息系统集成服务；地理信息加工处理；信息技术咨询服务；电子自动化工程安装服务；电子设备工程安装服务；计算机技术开发、技术服务；计算机网络系统工程服务；数据处理和存储服务；监控系统工程安装服务；智能化安装工程服务；楼宇设备自控系统工程服务；保安监控及防盗报警系统工程服务；智能卡系统工程服务；建筑物空调设备、通风设备系统安装服务；建筑物电力系统安装；通信线路和设备的安装；各种交通信号灯及系统安装；集成电路设计；安全技术防范系统设计、施工、维修；计算机批发；计算机零配件批发；软件批发；计算机零售；计算机零配件零售；软件零售；通信设备零售；打字机、复印机、文字处理机零售；计算机房维护服务；计算机和辅助设备修理；其他办公设备维修；软件开发；防雷工程专业施工。</w:t>
            </w:r>
          </w:p>
        </w:tc>
      </w:tr>
      <w:tr w14:paraId="6E2FF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68" w:type="dxa"/>
            <w:shd w:val="clear" w:color="auto" w:fill="auto"/>
          </w:tcPr>
          <w:p w14:paraId="65144AE0">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股权结构</w:t>
            </w:r>
          </w:p>
        </w:tc>
        <w:tc>
          <w:tcPr>
            <w:tcW w:w="6854" w:type="dxa"/>
            <w:shd w:val="clear" w:color="auto" w:fill="auto"/>
            <w:vAlign w:val="center"/>
          </w:tcPr>
          <w:p w14:paraId="56895934">
            <w:pPr>
              <w:jc w:val="left"/>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天亿马持股100%</w:t>
            </w:r>
          </w:p>
        </w:tc>
      </w:tr>
      <w:tr w14:paraId="1366F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40AEF690">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是否为失信被执行人</w:t>
            </w:r>
          </w:p>
        </w:tc>
        <w:tc>
          <w:tcPr>
            <w:tcW w:w="6854" w:type="dxa"/>
            <w:shd w:val="clear" w:color="auto" w:fill="auto"/>
            <w:vAlign w:val="center"/>
          </w:tcPr>
          <w:p w14:paraId="1335D632">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否</w:t>
            </w:r>
          </w:p>
        </w:tc>
      </w:tr>
    </w:tbl>
    <w:p w14:paraId="6FBF0FD7">
      <w:pPr>
        <w:spacing w:before="156" w:beforeLines="50" w:line="360" w:lineRule="auto"/>
        <w:ind w:firstLine="560" w:firstLineChars="200"/>
        <w:rPr>
          <w:rFonts w:ascii="仿宋" w:hAnsi="仿宋" w:eastAsia="仿宋"/>
          <w:sz w:val="28"/>
        </w:rPr>
      </w:pPr>
      <w:r>
        <w:rPr>
          <w:rFonts w:hint="eastAsia" w:ascii="仿宋" w:hAnsi="仿宋" w:eastAsia="仿宋"/>
          <w:sz w:val="28"/>
        </w:rPr>
        <w:t>最近一年又一期财务数据如下：</w:t>
      </w:r>
    </w:p>
    <w:p w14:paraId="0FCFAB89">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单位：元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4"/>
        <w:gridCol w:w="2990"/>
        <w:gridCol w:w="2652"/>
      </w:tblGrid>
      <w:tr w14:paraId="6860B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664" w:type="dxa"/>
            <w:tcBorders>
              <w:insideV w:val="nil"/>
            </w:tcBorders>
            <w:shd w:val="clear" w:color="auto" w:fill="auto"/>
          </w:tcPr>
          <w:p w14:paraId="2CF46722">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项目</w:t>
            </w:r>
          </w:p>
        </w:tc>
        <w:tc>
          <w:tcPr>
            <w:tcW w:w="2990" w:type="dxa"/>
            <w:tcBorders>
              <w:insideV w:val="nil"/>
            </w:tcBorders>
            <w:shd w:val="clear" w:color="auto" w:fill="auto"/>
          </w:tcPr>
          <w:p w14:paraId="37255E51">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2025年末/2025年</w:t>
            </w:r>
          </w:p>
          <w:p w14:paraId="2FA01089">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（经审计）</w:t>
            </w:r>
          </w:p>
        </w:tc>
        <w:tc>
          <w:tcPr>
            <w:tcW w:w="2652" w:type="dxa"/>
            <w:tcBorders>
              <w:insideV w:val="nil"/>
            </w:tcBorders>
            <w:shd w:val="clear" w:color="auto" w:fill="auto"/>
          </w:tcPr>
          <w:p w14:paraId="2AA719B5">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2024年末/2024年</w:t>
            </w:r>
          </w:p>
          <w:p w14:paraId="67920899">
            <w:pPr>
              <w:spacing w:before="0" w:after="0" w:line="240" w:lineRule="auto"/>
              <w:ind w:firstLine="482"/>
              <w:jc w:val="center"/>
              <w:rPr>
                <w:rFonts w:ascii="仿宋" w:hAnsi="仿宋" w:eastAsia="仿宋"/>
                <w:b/>
                <w:bCs/>
                <w:color w:val="000000" w:themeColor="text1" w:themeShade="BF"/>
                <w:kern w:val="0"/>
                <w:sz w:val="24"/>
              </w:rPr>
            </w:pPr>
            <w:r>
              <w:rPr>
                <w:rFonts w:hint="eastAsia" w:ascii="仿宋" w:hAnsi="仿宋" w:eastAsia="仿宋"/>
                <w:b/>
                <w:bCs/>
                <w:color w:val="000000" w:themeColor="text1" w:themeShade="BF"/>
                <w:kern w:val="0"/>
                <w:sz w:val="24"/>
              </w:rPr>
              <w:t>（经审计）</w:t>
            </w:r>
          </w:p>
        </w:tc>
      </w:tr>
      <w:tr w14:paraId="65A62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61AF22F6">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资产总额</w:t>
            </w:r>
          </w:p>
        </w:tc>
        <w:tc>
          <w:tcPr>
            <w:tcW w:w="2990" w:type="dxa"/>
            <w:shd w:val="clear" w:color="auto" w:fill="auto"/>
            <w:vAlign w:val="center"/>
          </w:tcPr>
          <w:p w14:paraId="16DD345A">
            <w:pPr>
              <w:widowControl/>
              <w:jc w:val="right"/>
              <w:textAlignment w:val="center"/>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49,641,289.01</w:t>
            </w:r>
          </w:p>
        </w:tc>
        <w:tc>
          <w:tcPr>
            <w:tcW w:w="2652" w:type="dxa"/>
            <w:shd w:val="clear" w:color="auto" w:fill="auto"/>
            <w:vAlign w:val="center"/>
          </w:tcPr>
          <w:p w14:paraId="3F2E1346">
            <w:pPr>
              <w:jc w:val="right"/>
              <w:rPr>
                <w:rFonts w:ascii="仿宋" w:hAnsi="仿宋" w:eastAsia="仿宋" w:cstheme="minorBidi"/>
                <w:color w:val="000000"/>
                <w:kern w:val="0"/>
                <w:sz w:val="20"/>
              </w:rPr>
            </w:pPr>
            <w:r>
              <w:rPr>
                <w:rFonts w:ascii="仿宋" w:hAnsi="仿宋" w:eastAsia="仿宋" w:cstheme="minorBidi"/>
                <w:color w:val="000000"/>
                <w:kern w:val="0"/>
                <w:sz w:val="20"/>
              </w:rPr>
              <w:t>49,599,618.44</w:t>
            </w:r>
          </w:p>
        </w:tc>
      </w:tr>
      <w:tr w14:paraId="2EF1C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336DE8BC">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负债总额</w:t>
            </w:r>
          </w:p>
        </w:tc>
        <w:tc>
          <w:tcPr>
            <w:tcW w:w="2990" w:type="dxa"/>
            <w:shd w:val="clear" w:color="auto" w:fill="auto"/>
          </w:tcPr>
          <w:p w14:paraId="1A863E07">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33,987,748.59</w:t>
            </w:r>
          </w:p>
        </w:tc>
        <w:tc>
          <w:tcPr>
            <w:tcW w:w="2652" w:type="dxa"/>
            <w:shd w:val="clear" w:color="auto" w:fill="auto"/>
            <w:vAlign w:val="center"/>
          </w:tcPr>
          <w:p w14:paraId="2B066231">
            <w:pPr>
              <w:jc w:val="right"/>
              <w:rPr>
                <w:rFonts w:ascii="仿宋" w:hAnsi="仿宋" w:eastAsia="仿宋" w:cstheme="minorBidi"/>
                <w:color w:val="000000"/>
                <w:kern w:val="0"/>
                <w:sz w:val="20"/>
              </w:rPr>
            </w:pPr>
            <w:r>
              <w:rPr>
                <w:rFonts w:ascii="仿宋" w:hAnsi="仿宋" w:eastAsia="仿宋" w:cstheme="minorBidi"/>
                <w:color w:val="000000"/>
                <w:kern w:val="0"/>
                <w:sz w:val="20"/>
              </w:rPr>
              <w:t>33,933,528.33</w:t>
            </w:r>
          </w:p>
        </w:tc>
      </w:tr>
      <w:tr w14:paraId="002EB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0D99BEB1">
            <w:pPr>
              <w:jc w:val="right"/>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其中：银行贷款</w:t>
            </w:r>
          </w:p>
        </w:tc>
        <w:tc>
          <w:tcPr>
            <w:tcW w:w="2990" w:type="dxa"/>
            <w:shd w:val="clear" w:color="auto" w:fill="auto"/>
          </w:tcPr>
          <w:p w14:paraId="5E354DF0">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13,013,841.66</w:t>
            </w:r>
          </w:p>
        </w:tc>
        <w:tc>
          <w:tcPr>
            <w:tcW w:w="2652" w:type="dxa"/>
            <w:shd w:val="clear" w:color="auto" w:fill="auto"/>
            <w:vAlign w:val="center"/>
          </w:tcPr>
          <w:p w14:paraId="3DFBCE86">
            <w:pPr>
              <w:jc w:val="right"/>
              <w:rPr>
                <w:rFonts w:ascii="仿宋" w:hAnsi="仿宋" w:eastAsia="仿宋" w:cstheme="minorBidi"/>
                <w:color w:val="000000"/>
                <w:kern w:val="0"/>
                <w:sz w:val="20"/>
              </w:rPr>
            </w:pPr>
            <w:r>
              <w:rPr>
                <w:rFonts w:ascii="仿宋" w:hAnsi="仿宋" w:eastAsia="仿宋" w:cstheme="minorBidi"/>
                <w:color w:val="000000"/>
                <w:kern w:val="0"/>
                <w:sz w:val="20"/>
              </w:rPr>
              <w:t>10,009,930.55</w:t>
            </w:r>
          </w:p>
        </w:tc>
      </w:tr>
      <w:tr w14:paraId="39B4B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1B6728D0">
            <w:pPr>
              <w:jc w:val="right"/>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流动负债总额</w:t>
            </w:r>
          </w:p>
        </w:tc>
        <w:tc>
          <w:tcPr>
            <w:tcW w:w="2990" w:type="dxa"/>
            <w:shd w:val="clear" w:color="auto" w:fill="auto"/>
          </w:tcPr>
          <w:p w14:paraId="5F9571E7">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31,045,999.12</w:t>
            </w:r>
          </w:p>
        </w:tc>
        <w:tc>
          <w:tcPr>
            <w:tcW w:w="2652" w:type="dxa"/>
            <w:shd w:val="clear" w:color="auto" w:fill="auto"/>
            <w:vAlign w:val="center"/>
          </w:tcPr>
          <w:p w14:paraId="033F97F1">
            <w:pPr>
              <w:jc w:val="right"/>
              <w:rPr>
                <w:rFonts w:ascii="仿宋" w:hAnsi="仿宋" w:eastAsia="仿宋" w:cstheme="minorBidi"/>
                <w:color w:val="000000"/>
                <w:kern w:val="0"/>
                <w:sz w:val="20"/>
              </w:rPr>
            </w:pPr>
            <w:r>
              <w:rPr>
                <w:rFonts w:ascii="仿宋" w:hAnsi="仿宋" w:eastAsia="仿宋" w:cstheme="minorBidi"/>
                <w:color w:val="000000"/>
                <w:kern w:val="0"/>
                <w:sz w:val="20"/>
              </w:rPr>
              <w:t>33,776,379.87</w:t>
            </w:r>
          </w:p>
        </w:tc>
      </w:tr>
      <w:tr w14:paraId="27383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64DEE734">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净资产</w:t>
            </w:r>
          </w:p>
        </w:tc>
        <w:tc>
          <w:tcPr>
            <w:tcW w:w="2990" w:type="dxa"/>
            <w:shd w:val="clear" w:color="auto" w:fill="auto"/>
          </w:tcPr>
          <w:p w14:paraId="5658AE4D">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15,653,540.42</w:t>
            </w:r>
          </w:p>
        </w:tc>
        <w:tc>
          <w:tcPr>
            <w:tcW w:w="2652" w:type="dxa"/>
            <w:shd w:val="clear" w:color="auto" w:fill="auto"/>
            <w:vAlign w:val="center"/>
          </w:tcPr>
          <w:p w14:paraId="232395D8">
            <w:pPr>
              <w:jc w:val="right"/>
              <w:rPr>
                <w:rFonts w:ascii="仿宋" w:hAnsi="仿宋" w:eastAsia="仿宋" w:cstheme="minorBidi"/>
                <w:color w:val="000000"/>
                <w:kern w:val="0"/>
                <w:sz w:val="20"/>
              </w:rPr>
            </w:pPr>
            <w:r>
              <w:rPr>
                <w:rFonts w:ascii="仿宋" w:hAnsi="仿宋" w:eastAsia="仿宋" w:cstheme="minorBidi"/>
                <w:color w:val="000000"/>
                <w:kern w:val="0"/>
                <w:sz w:val="20"/>
              </w:rPr>
              <w:t>15,666,090.11</w:t>
            </w:r>
          </w:p>
        </w:tc>
      </w:tr>
      <w:tr w14:paraId="687A4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32F2F4FB">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营业收入</w:t>
            </w:r>
          </w:p>
        </w:tc>
        <w:tc>
          <w:tcPr>
            <w:tcW w:w="2990" w:type="dxa"/>
            <w:shd w:val="clear" w:color="auto" w:fill="auto"/>
          </w:tcPr>
          <w:p w14:paraId="2DAD21EB">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63,315,014.82</w:t>
            </w:r>
          </w:p>
        </w:tc>
        <w:tc>
          <w:tcPr>
            <w:tcW w:w="2652" w:type="dxa"/>
            <w:shd w:val="clear" w:color="auto" w:fill="auto"/>
            <w:vAlign w:val="center"/>
          </w:tcPr>
          <w:p w14:paraId="65FAFAF4">
            <w:pPr>
              <w:jc w:val="right"/>
              <w:rPr>
                <w:rFonts w:ascii="仿宋" w:hAnsi="仿宋" w:eastAsia="仿宋" w:cstheme="minorBidi"/>
                <w:color w:val="000000"/>
                <w:kern w:val="0"/>
                <w:sz w:val="20"/>
              </w:rPr>
            </w:pPr>
            <w:r>
              <w:rPr>
                <w:rFonts w:ascii="仿宋" w:hAnsi="仿宋" w:eastAsia="仿宋" w:cstheme="minorBidi"/>
                <w:color w:val="000000"/>
                <w:kern w:val="0"/>
                <w:sz w:val="20"/>
              </w:rPr>
              <w:t>87,037,974.92</w:t>
            </w:r>
          </w:p>
        </w:tc>
      </w:tr>
      <w:tr w14:paraId="55429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350A455F">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利润总额</w:t>
            </w:r>
          </w:p>
        </w:tc>
        <w:tc>
          <w:tcPr>
            <w:tcW w:w="2990" w:type="dxa"/>
            <w:shd w:val="clear" w:color="auto" w:fill="auto"/>
          </w:tcPr>
          <w:p w14:paraId="66142E8B">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-1,084,298.61</w:t>
            </w:r>
          </w:p>
        </w:tc>
        <w:tc>
          <w:tcPr>
            <w:tcW w:w="2652" w:type="dxa"/>
            <w:shd w:val="clear" w:color="auto" w:fill="auto"/>
            <w:vAlign w:val="center"/>
          </w:tcPr>
          <w:p w14:paraId="2F4A6CF4">
            <w:pPr>
              <w:jc w:val="right"/>
              <w:rPr>
                <w:rFonts w:ascii="仿宋" w:hAnsi="仿宋" w:eastAsia="仿宋" w:cstheme="minorBidi"/>
                <w:color w:val="000000"/>
                <w:kern w:val="0"/>
                <w:sz w:val="20"/>
              </w:rPr>
            </w:pPr>
            <w:r>
              <w:rPr>
                <w:rFonts w:ascii="仿宋" w:hAnsi="仿宋" w:eastAsia="仿宋" w:cstheme="minorBidi"/>
                <w:color w:val="000000"/>
                <w:kern w:val="0"/>
                <w:sz w:val="20"/>
              </w:rPr>
              <w:t>-806,041.01</w:t>
            </w:r>
          </w:p>
        </w:tc>
      </w:tr>
      <w:tr w14:paraId="5550E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64" w:type="dxa"/>
            <w:shd w:val="clear" w:color="auto" w:fill="auto"/>
          </w:tcPr>
          <w:p w14:paraId="771C63D2">
            <w:pPr>
              <w:jc w:val="cente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净利润</w:t>
            </w:r>
          </w:p>
        </w:tc>
        <w:tc>
          <w:tcPr>
            <w:tcW w:w="2990" w:type="dxa"/>
            <w:shd w:val="clear" w:color="auto" w:fill="auto"/>
          </w:tcPr>
          <w:p w14:paraId="172E689A">
            <w:pPr>
              <w:widowControl/>
              <w:jc w:val="right"/>
              <w:textAlignment w:val="top"/>
              <w:rPr>
                <w:rFonts w:ascii="仿宋" w:hAnsi="仿宋" w:eastAsia="仿宋" w:cstheme="minorBidi"/>
                <w:color w:val="000000"/>
                <w:kern w:val="0"/>
                <w:sz w:val="20"/>
                <w:szCs w:val="24"/>
              </w:rPr>
            </w:pPr>
            <w:r>
              <w:rPr>
                <w:rFonts w:hint="eastAsia" w:ascii="仿宋" w:hAnsi="仿宋" w:eastAsia="仿宋" w:cs="仿宋"/>
                <w:color w:val="000000"/>
                <w:kern w:val="0"/>
                <w:sz w:val="20"/>
                <w:lang w:bidi="ar"/>
              </w:rPr>
              <w:t>-899,453.24</w:t>
            </w:r>
          </w:p>
        </w:tc>
        <w:tc>
          <w:tcPr>
            <w:tcW w:w="2652" w:type="dxa"/>
            <w:shd w:val="clear" w:color="auto" w:fill="auto"/>
            <w:vAlign w:val="center"/>
          </w:tcPr>
          <w:p w14:paraId="6A6F926A">
            <w:pPr>
              <w:jc w:val="right"/>
              <w:rPr>
                <w:rFonts w:ascii="仿宋" w:hAnsi="仿宋" w:eastAsia="仿宋" w:cstheme="minorBidi"/>
                <w:color w:val="000000"/>
                <w:kern w:val="0"/>
                <w:sz w:val="20"/>
              </w:rPr>
            </w:pPr>
            <w:r>
              <w:rPr>
                <w:rFonts w:ascii="仿宋" w:hAnsi="仿宋" w:eastAsia="仿宋" w:cstheme="minorBidi"/>
                <w:color w:val="000000"/>
                <w:kern w:val="0"/>
                <w:sz w:val="20"/>
              </w:rPr>
              <w:t>-488,761.28</w:t>
            </w:r>
          </w:p>
        </w:tc>
      </w:tr>
    </w:tbl>
    <w:p w14:paraId="52439B8E">
      <w:pPr>
        <w:spacing w:before="156" w:beforeLines="50" w:line="360" w:lineRule="auto"/>
        <w:ind w:firstLine="560" w:firstLineChars="200"/>
        <w:rPr>
          <w:rFonts w:ascii="仿宋" w:hAnsi="仿宋" w:eastAsia="仿宋"/>
          <w:sz w:val="28"/>
        </w:rPr>
      </w:pPr>
      <w:r>
        <w:rPr>
          <w:rFonts w:hint="eastAsia" w:ascii="仿宋" w:hAnsi="仿宋" w:eastAsia="仿宋"/>
          <w:sz w:val="28"/>
        </w:rPr>
        <w:t xml:space="preserve">（四）上海天亿马人工智能科技有限公司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4"/>
        <w:gridCol w:w="6672"/>
      </w:tblGrid>
      <w:tr w14:paraId="1E8DB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tcBorders>
              <w:insideV w:val="nil"/>
            </w:tcBorders>
          </w:tcPr>
          <w:p w14:paraId="06B37DEA">
            <w:pPr>
              <w:spacing w:before="0" w:after="0" w:line="240" w:lineRule="auto"/>
              <w:rPr>
                <w:rFonts w:ascii="仿宋" w:hAnsi="仿宋" w:eastAsia="仿宋"/>
                <w:b/>
                <w:bCs w:val="0"/>
                <w:color w:val="000000" w:themeColor="text1" w:themeShade="BF"/>
                <w:kern w:val="0"/>
                <w:sz w:val="24"/>
              </w:rPr>
            </w:pPr>
            <w:r>
              <w:rPr>
                <w:rFonts w:hint="eastAsia" w:ascii="仿宋" w:hAnsi="仿宋" w:eastAsia="仿宋"/>
                <w:b w:val="0"/>
                <w:bCs/>
                <w:color w:val="000000" w:themeColor="text1" w:themeShade="BF"/>
                <w:kern w:val="0"/>
                <w:sz w:val="24"/>
              </w:rPr>
              <w:t>公司名称</w:t>
            </w:r>
          </w:p>
        </w:tc>
        <w:tc>
          <w:tcPr>
            <w:tcW w:w="6672" w:type="dxa"/>
            <w:tcBorders>
              <w:insideV w:val="nil"/>
            </w:tcBorders>
          </w:tcPr>
          <w:p w14:paraId="2EF23FFE">
            <w:pPr>
              <w:adjustRightInd w:val="0"/>
              <w:spacing w:before="0" w:after="0" w:line="240" w:lineRule="auto"/>
              <w:rPr>
                <w:rFonts w:ascii="仿宋" w:hAnsi="仿宋" w:eastAsia="仿宋"/>
                <w:b/>
                <w:bCs w:val="0"/>
                <w:color w:val="000000" w:themeColor="text1" w:themeShade="BF"/>
                <w:kern w:val="0"/>
                <w:sz w:val="24"/>
              </w:rPr>
            </w:pPr>
            <w:r>
              <w:rPr>
                <w:rFonts w:hint="eastAsia" w:ascii="仿宋" w:hAnsi="仿宋" w:eastAsia="仿宋"/>
                <w:b w:val="0"/>
                <w:bCs/>
                <w:color w:val="000000" w:themeColor="text1" w:themeShade="BF"/>
                <w:kern w:val="0"/>
                <w:sz w:val="24"/>
              </w:rPr>
              <w:t>上海天亿马人工智能科技有限公司</w:t>
            </w:r>
          </w:p>
        </w:tc>
      </w:tr>
      <w:tr w14:paraId="5708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shd w:val="clear" w:color="auto" w:fill="auto"/>
          </w:tcPr>
          <w:p w14:paraId="3F02FA3A">
            <w:pPr>
              <w:rPr>
                <w:rFonts w:ascii="仿宋" w:hAnsi="仿宋" w:eastAsia="仿宋"/>
                <w:b/>
                <w:bCs w:val="0"/>
                <w:color w:val="000000" w:themeColor="text1" w:themeShade="BF"/>
                <w:kern w:val="0"/>
                <w:sz w:val="24"/>
              </w:rPr>
            </w:pPr>
            <w:r>
              <w:rPr>
                <w:rFonts w:hint="eastAsia" w:ascii="仿宋" w:hAnsi="仿宋" w:eastAsia="仿宋"/>
                <w:b w:val="0"/>
                <w:bCs/>
                <w:color w:val="000000" w:themeColor="text1" w:themeShade="BF"/>
                <w:kern w:val="0"/>
                <w:sz w:val="24"/>
              </w:rPr>
              <w:t>成立日期</w:t>
            </w:r>
          </w:p>
        </w:tc>
        <w:tc>
          <w:tcPr>
            <w:tcW w:w="6672" w:type="dxa"/>
            <w:shd w:val="clear" w:color="auto" w:fill="auto"/>
          </w:tcPr>
          <w:p w14:paraId="7046611A">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2026年3月4日</w:t>
            </w:r>
          </w:p>
        </w:tc>
      </w:tr>
      <w:tr w14:paraId="5283D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shd w:val="clear" w:color="auto" w:fill="auto"/>
          </w:tcPr>
          <w:p w14:paraId="6DE9AED7">
            <w:pPr>
              <w:rPr>
                <w:rFonts w:ascii="仿宋" w:hAnsi="仿宋" w:eastAsia="仿宋"/>
                <w:b/>
                <w:bCs w:val="0"/>
                <w:color w:val="000000" w:themeColor="text1" w:themeShade="BF"/>
                <w:kern w:val="0"/>
                <w:sz w:val="24"/>
              </w:rPr>
            </w:pPr>
            <w:r>
              <w:rPr>
                <w:rFonts w:hint="eastAsia" w:ascii="仿宋" w:hAnsi="仿宋" w:eastAsia="仿宋"/>
                <w:b w:val="0"/>
                <w:bCs/>
                <w:color w:val="000000" w:themeColor="text1" w:themeShade="BF"/>
                <w:kern w:val="0"/>
                <w:sz w:val="24"/>
              </w:rPr>
              <w:t>注册地点</w:t>
            </w:r>
          </w:p>
        </w:tc>
        <w:tc>
          <w:tcPr>
            <w:tcW w:w="6672" w:type="dxa"/>
            <w:shd w:val="clear" w:color="auto" w:fill="auto"/>
          </w:tcPr>
          <w:p w14:paraId="38E55F3F">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上海市松江区鼎源路618弄1号29幢2层A202室</w:t>
            </w:r>
          </w:p>
        </w:tc>
      </w:tr>
      <w:tr w14:paraId="0EB4A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shd w:val="clear" w:color="auto" w:fill="auto"/>
          </w:tcPr>
          <w:p w14:paraId="2716179F">
            <w:pPr>
              <w:rPr>
                <w:rFonts w:ascii="仿宋" w:hAnsi="仿宋" w:eastAsia="仿宋"/>
                <w:b/>
                <w:bCs w:val="0"/>
                <w:color w:val="000000" w:themeColor="text1" w:themeShade="BF"/>
                <w:kern w:val="0"/>
                <w:sz w:val="24"/>
              </w:rPr>
            </w:pPr>
            <w:r>
              <w:rPr>
                <w:rFonts w:hint="eastAsia" w:ascii="仿宋" w:hAnsi="仿宋" w:eastAsia="仿宋"/>
                <w:b w:val="0"/>
                <w:bCs/>
                <w:color w:val="000000" w:themeColor="text1" w:themeShade="BF"/>
                <w:kern w:val="0"/>
                <w:sz w:val="24"/>
              </w:rPr>
              <w:t>法定代表人</w:t>
            </w:r>
          </w:p>
        </w:tc>
        <w:tc>
          <w:tcPr>
            <w:tcW w:w="6672" w:type="dxa"/>
            <w:shd w:val="clear" w:color="auto" w:fill="auto"/>
          </w:tcPr>
          <w:p w14:paraId="1594F62C">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林明玲</w:t>
            </w:r>
          </w:p>
        </w:tc>
      </w:tr>
      <w:tr w14:paraId="27275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shd w:val="clear" w:color="auto" w:fill="auto"/>
          </w:tcPr>
          <w:p w14:paraId="446E3EAF">
            <w:pPr>
              <w:rPr>
                <w:rFonts w:ascii="仿宋" w:hAnsi="仿宋" w:eastAsia="仿宋"/>
                <w:b/>
                <w:bCs w:val="0"/>
                <w:color w:val="000000" w:themeColor="text1" w:themeShade="BF"/>
                <w:kern w:val="0"/>
                <w:sz w:val="24"/>
              </w:rPr>
            </w:pPr>
            <w:r>
              <w:rPr>
                <w:rFonts w:hint="eastAsia" w:ascii="仿宋" w:hAnsi="仿宋" w:eastAsia="仿宋"/>
                <w:b w:val="0"/>
                <w:bCs/>
                <w:color w:val="000000" w:themeColor="text1" w:themeShade="BF"/>
                <w:kern w:val="0"/>
                <w:sz w:val="24"/>
              </w:rPr>
              <w:t>注册资本</w:t>
            </w:r>
          </w:p>
        </w:tc>
        <w:tc>
          <w:tcPr>
            <w:tcW w:w="6672" w:type="dxa"/>
            <w:shd w:val="clear" w:color="auto" w:fill="auto"/>
          </w:tcPr>
          <w:p w14:paraId="5467A4BA">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2,000.00万元</w:t>
            </w:r>
          </w:p>
        </w:tc>
      </w:tr>
      <w:tr w14:paraId="72C1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shd w:val="clear" w:color="auto" w:fill="auto"/>
          </w:tcPr>
          <w:p w14:paraId="2B0DB898">
            <w:pPr>
              <w:rPr>
                <w:rFonts w:ascii="仿宋" w:hAnsi="仿宋" w:eastAsia="仿宋"/>
                <w:b/>
                <w:bCs w:val="0"/>
                <w:color w:val="000000" w:themeColor="text1" w:themeShade="BF"/>
                <w:kern w:val="0"/>
                <w:sz w:val="24"/>
              </w:rPr>
            </w:pPr>
            <w:r>
              <w:rPr>
                <w:rFonts w:hint="eastAsia" w:ascii="仿宋" w:hAnsi="仿宋" w:eastAsia="仿宋"/>
                <w:b w:val="0"/>
                <w:bCs/>
                <w:color w:val="000000" w:themeColor="text1" w:themeShade="BF"/>
                <w:kern w:val="0"/>
                <w:sz w:val="24"/>
              </w:rPr>
              <w:t>经营范围</w:t>
            </w:r>
          </w:p>
        </w:tc>
        <w:tc>
          <w:tcPr>
            <w:tcW w:w="6672" w:type="dxa"/>
            <w:shd w:val="clear" w:color="auto" w:fill="auto"/>
          </w:tcPr>
          <w:p w14:paraId="4E73654F">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一般经营项目是：一般项目：技术服务、技术开发、技术咨询、技术交流、技术转让、技术推广；货物进出口；软件开发；专业设计服务；图文设计制作;计算机软硬件及辅助设备批发;</w:t>
            </w:r>
          </w:p>
          <w:p w14:paraId="076EC148">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租赁服务（不含许可类租赁服务）；数据处理服务；信息系统集成服务；普通机械设备安装服务；数据处理和存储支持服务；工业设计服务；工业工程设计服务；集成电</w:t>
            </w:r>
          </w:p>
          <w:p w14:paraId="0837AC72">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路设计；会议及展览服务（出国办展须经相关部门审批)；组织文化艺术交流活动；广告设计、代理；广告制作；广告发布；信息咨询服务（不含许可类信息咨询服</w:t>
            </w:r>
          </w:p>
          <w:p w14:paraId="7F8011AC">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务）；企业管理咨询；软件销售；教学专用仪器销售；电子测量仪器销售；绘图、计算及测量仪器制造；实验分析仪器销售；电工仪器仪表销售；智能仪器仪表销售；人</w:t>
            </w:r>
          </w:p>
          <w:p w14:paraId="5B1DD3AE">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工智能硬件销售；人工智能基础软件开发；人工智能应用软件开发；人工智能理论与算法软件开发；人工智能行业应用系统集成服务；人工智能公共数据平台；人工智能</w:t>
            </w:r>
          </w:p>
          <w:p w14:paraId="364CF18B">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通用应用系统；人工智能双创服务平台；人工智能基础资源与技术平台；人工智能公共服务平台技术咨询服务；智能机器人销售；工业机器人销售；特殊作业机器人制</w:t>
            </w:r>
          </w:p>
          <w:p w14:paraId="37548B3A">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造;服务消费机器人制造;工业机器人制造;智能机器人的研发。(除依法须经批准的项目外，凭营业执照依法自主开展经营活动)许可项目：建设工程施工;基础电信</w:t>
            </w:r>
          </w:p>
          <w:p w14:paraId="486F594A">
            <w:pPr>
              <w:adjustRightInd w:val="0"/>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业务；第一类增值电信业务；第二类增值电信业务。(依法须经批准的项目，经相关部门批准后方可开展经营活动，具体经营项目以相关部门批准文件或许可证件为准)</w:t>
            </w:r>
          </w:p>
        </w:tc>
      </w:tr>
      <w:tr w14:paraId="34095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shd w:val="clear" w:color="auto" w:fill="auto"/>
          </w:tcPr>
          <w:p w14:paraId="7A4C4B02">
            <w:pPr>
              <w:adjustRightInd w:val="0"/>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是否为失信被执行人</w:t>
            </w:r>
          </w:p>
        </w:tc>
        <w:tc>
          <w:tcPr>
            <w:tcW w:w="6672" w:type="dxa"/>
            <w:shd w:val="clear" w:color="auto" w:fill="auto"/>
          </w:tcPr>
          <w:p w14:paraId="5BE67AFE">
            <w:pPr>
              <w:adjustRightInd w:val="0"/>
              <w:rPr>
                <w:rFonts w:ascii="仿宋" w:hAnsi="仿宋" w:eastAsia="仿宋" w:cstheme="minorBidi"/>
                <w:color w:val="000000" w:themeColor="text1" w:themeShade="BF"/>
                <w:kern w:val="0"/>
                <w:sz w:val="24"/>
              </w:rPr>
            </w:pPr>
            <w:r>
              <w:rPr>
                <w:rFonts w:hint="eastAsia" w:ascii="仿宋" w:hAnsi="仿宋" w:eastAsia="仿宋" w:cstheme="minorBidi"/>
                <w:color w:val="000000" w:themeColor="text1" w:themeShade="BF"/>
                <w:kern w:val="0"/>
                <w:sz w:val="24"/>
              </w:rPr>
              <w:t>否</w:t>
            </w:r>
          </w:p>
        </w:tc>
      </w:tr>
    </w:tbl>
    <w:p w14:paraId="12948535">
      <w:pPr>
        <w:spacing w:before="156" w:beforeLines="50" w:line="360" w:lineRule="auto"/>
        <w:ind w:firstLine="560" w:firstLineChars="200"/>
        <w:rPr>
          <w:rFonts w:ascii="仿宋" w:hAnsi="仿宋" w:eastAsia="仿宋"/>
          <w:sz w:val="28"/>
        </w:rPr>
      </w:pPr>
      <w:r>
        <w:rPr>
          <w:rFonts w:hint="eastAsia" w:ascii="仿宋" w:hAnsi="仿宋" w:eastAsia="仿宋"/>
          <w:sz w:val="28"/>
        </w:rPr>
        <w:t>股权结构如下：</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96"/>
        <w:gridCol w:w="3161"/>
        <w:gridCol w:w="1565"/>
      </w:tblGrid>
      <w:tr w14:paraId="2F8DA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27" w:type="pct"/>
            <w:vAlign w:val="center"/>
          </w:tcPr>
          <w:p w14:paraId="66C6F654">
            <w:pPr>
              <w:jc w:val="center"/>
              <w:rPr>
                <w:rFonts w:ascii="仿宋" w:hAnsi="仿宋" w:eastAsia="仿宋"/>
                <w:kern w:val="0"/>
                <w:sz w:val="24"/>
                <w:szCs w:val="24"/>
              </w:rPr>
            </w:pPr>
            <w:r>
              <w:rPr>
                <w:rFonts w:hint="eastAsia" w:ascii="仿宋" w:hAnsi="仿宋" w:eastAsia="仿宋"/>
                <w:kern w:val="0"/>
                <w:sz w:val="24"/>
                <w:szCs w:val="24"/>
              </w:rPr>
              <w:t>股东名称</w:t>
            </w:r>
          </w:p>
        </w:tc>
        <w:tc>
          <w:tcPr>
            <w:tcW w:w="1854" w:type="pct"/>
            <w:vAlign w:val="center"/>
          </w:tcPr>
          <w:p w14:paraId="79E4D791">
            <w:pPr>
              <w:jc w:val="center"/>
              <w:rPr>
                <w:rFonts w:ascii="仿宋" w:hAnsi="仿宋" w:eastAsia="仿宋"/>
                <w:kern w:val="0"/>
                <w:sz w:val="24"/>
                <w:szCs w:val="24"/>
              </w:rPr>
            </w:pPr>
            <w:r>
              <w:rPr>
                <w:rFonts w:hint="eastAsia" w:ascii="仿宋" w:hAnsi="仿宋" w:eastAsia="仿宋"/>
                <w:kern w:val="0"/>
                <w:sz w:val="24"/>
                <w:szCs w:val="24"/>
              </w:rPr>
              <w:t>认缴注册额（万元）</w:t>
            </w:r>
          </w:p>
        </w:tc>
        <w:tc>
          <w:tcPr>
            <w:tcW w:w="918" w:type="pct"/>
            <w:vAlign w:val="center"/>
          </w:tcPr>
          <w:p w14:paraId="5B2EDAD2">
            <w:pPr>
              <w:jc w:val="center"/>
              <w:rPr>
                <w:rFonts w:ascii="仿宋" w:hAnsi="仿宋" w:eastAsia="仿宋"/>
                <w:kern w:val="0"/>
                <w:sz w:val="24"/>
                <w:szCs w:val="24"/>
              </w:rPr>
            </w:pPr>
            <w:r>
              <w:rPr>
                <w:rFonts w:hint="eastAsia" w:ascii="仿宋" w:hAnsi="仿宋" w:eastAsia="仿宋"/>
                <w:kern w:val="0"/>
                <w:sz w:val="24"/>
                <w:szCs w:val="24"/>
              </w:rPr>
              <w:t>持股比例</w:t>
            </w:r>
          </w:p>
        </w:tc>
      </w:tr>
      <w:tr w14:paraId="5DB5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27" w:type="pct"/>
            <w:vAlign w:val="center"/>
          </w:tcPr>
          <w:p w14:paraId="678AC430">
            <w:pPr>
              <w:jc w:val="center"/>
              <w:rPr>
                <w:rFonts w:ascii="仿宋" w:hAnsi="仿宋" w:eastAsia="仿宋"/>
                <w:kern w:val="0"/>
                <w:sz w:val="24"/>
                <w:szCs w:val="24"/>
              </w:rPr>
            </w:pPr>
            <w:r>
              <w:rPr>
                <w:rFonts w:hint="eastAsia" w:ascii="仿宋" w:hAnsi="仿宋" w:eastAsia="仿宋"/>
                <w:kern w:val="0"/>
                <w:sz w:val="24"/>
                <w:szCs w:val="24"/>
              </w:rPr>
              <w:t>广东天亿马信息产业股份有限公司</w:t>
            </w:r>
          </w:p>
        </w:tc>
        <w:tc>
          <w:tcPr>
            <w:tcW w:w="1854" w:type="pct"/>
            <w:vAlign w:val="center"/>
          </w:tcPr>
          <w:p w14:paraId="51954844">
            <w:pPr>
              <w:jc w:val="center"/>
              <w:rPr>
                <w:rFonts w:ascii="仿宋" w:hAnsi="仿宋" w:eastAsia="仿宋"/>
                <w:kern w:val="0"/>
                <w:sz w:val="24"/>
                <w:szCs w:val="24"/>
              </w:rPr>
            </w:pPr>
            <w:r>
              <w:rPr>
                <w:rFonts w:hint="eastAsia" w:ascii="仿宋" w:hAnsi="仿宋" w:eastAsia="仿宋"/>
                <w:kern w:val="0"/>
                <w:sz w:val="24"/>
                <w:szCs w:val="24"/>
              </w:rPr>
              <w:t>1,020.00</w:t>
            </w:r>
          </w:p>
        </w:tc>
        <w:tc>
          <w:tcPr>
            <w:tcW w:w="918" w:type="pct"/>
            <w:vAlign w:val="center"/>
          </w:tcPr>
          <w:p w14:paraId="670248F2">
            <w:pPr>
              <w:jc w:val="center"/>
              <w:rPr>
                <w:rFonts w:ascii="仿宋" w:hAnsi="仿宋" w:eastAsia="仿宋"/>
                <w:kern w:val="0"/>
                <w:sz w:val="24"/>
                <w:szCs w:val="24"/>
              </w:rPr>
            </w:pPr>
            <w:r>
              <w:rPr>
                <w:rFonts w:hint="eastAsia" w:ascii="仿宋" w:hAnsi="仿宋" w:eastAsia="仿宋"/>
                <w:kern w:val="0"/>
                <w:sz w:val="24"/>
                <w:szCs w:val="24"/>
              </w:rPr>
              <w:t>51%</w:t>
            </w:r>
          </w:p>
        </w:tc>
      </w:tr>
      <w:tr w14:paraId="0C6CF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27" w:type="pct"/>
            <w:vAlign w:val="center"/>
          </w:tcPr>
          <w:p w14:paraId="0ED18852">
            <w:pPr>
              <w:jc w:val="center"/>
              <w:rPr>
                <w:rFonts w:ascii="仿宋" w:hAnsi="仿宋" w:eastAsia="仿宋"/>
                <w:kern w:val="0"/>
                <w:sz w:val="24"/>
                <w:szCs w:val="24"/>
              </w:rPr>
            </w:pPr>
            <w:r>
              <w:rPr>
                <w:rFonts w:hint="eastAsia" w:ascii="仿宋" w:hAnsi="仿宋" w:eastAsia="仿宋"/>
                <w:kern w:val="0"/>
                <w:sz w:val="24"/>
                <w:szCs w:val="24"/>
              </w:rPr>
              <w:t>李德</w:t>
            </w:r>
          </w:p>
        </w:tc>
        <w:tc>
          <w:tcPr>
            <w:tcW w:w="1854" w:type="pct"/>
            <w:vAlign w:val="center"/>
          </w:tcPr>
          <w:p w14:paraId="17677CF2">
            <w:pPr>
              <w:jc w:val="center"/>
              <w:rPr>
                <w:rFonts w:ascii="仿宋" w:hAnsi="仿宋" w:eastAsia="仿宋"/>
                <w:kern w:val="0"/>
                <w:sz w:val="24"/>
                <w:szCs w:val="24"/>
              </w:rPr>
            </w:pPr>
            <w:r>
              <w:rPr>
                <w:rFonts w:hint="eastAsia" w:ascii="仿宋" w:hAnsi="仿宋" w:eastAsia="仿宋"/>
                <w:kern w:val="0"/>
                <w:sz w:val="24"/>
                <w:szCs w:val="24"/>
              </w:rPr>
              <w:t>980.00</w:t>
            </w:r>
          </w:p>
        </w:tc>
        <w:tc>
          <w:tcPr>
            <w:tcW w:w="918" w:type="pct"/>
            <w:vAlign w:val="center"/>
          </w:tcPr>
          <w:p w14:paraId="78310A81">
            <w:pPr>
              <w:jc w:val="center"/>
              <w:rPr>
                <w:rFonts w:ascii="仿宋" w:hAnsi="仿宋" w:eastAsia="仿宋"/>
                <w:kern w:val="0"/>
                <w:sz w:val="24"/>
                <w:szCs w:val="24"/>
              </w:rPr>
            </w:pPr>
            <w:r>
              <w:rPr>
                <w:rFonts w:hint="eastAsia" w:ascii="仿宋" w:hAnsi="仿宋" w:eastAsia="仿宋"/>
                <w:kern w:val="0"/>
                <w:sz w:val="24"/>
                <w:szCs w:val="24"/>
              </w:rPr>
              <w:t>49%</w:t>
            </w:r>
          </w:p>
        </w:tc>
      </w:tr>
    </w:tbl>
    <w:p w14:paraId="2230100E">
      <w:pPr>
        <w:spacing w:before="156" w:beforeLines="50" w:line="360" w:lineRule="auto"/>
        <w:ind w:firstLine="560" w:firstLineChars="200"/>
        <w:rPr>
          <w:rFonts w:ascii="仿宋" w:hAnsi="仿宋" w:eastAsia="仿宋"/>
          <w:sz w:val="28"/>
        </w:rPr>
      </w:pPr>
      <w:r>
        <w:rPr>
          <w:rFonts w:hint="eastAsia" w:ascii="仿宋" w:hAnsi="仿宋" w:eastAsia="仿宋"/>
          <w:sz w:val="28"/>
        </w:rPr>
        <w:t>上海天亿马智能为新设立的控股子公司，暂无一年又一期财务数据。</w:t>
      </w:r>
    </w:p>
    <w:p w14:paraId="4D1757DC">
      <w:pPr>
        <w:spacing w:before="156" w:beforeLines="50" w:line="360" w:lineRule="auto"/>
        <w:ind w:firstLine="560" w:firstLineChars="200"/>
        <w:rPr>
          <w:rFonts w:ascii="仿宋" w:hAnsi="仿宋" w:eastAsia="仿宋"/>
          <w:sz w:val="28"/>
        </w:rPr>
      </w:pPr>
      <w:r>
        <w:rPr>
          <w:rFonts w:hint="eastAsia" w:ascii="仿宋" w:hAnsi="仿宋" w:eastAsia="仿宋"/>
          <w:sz w:val="28"/>
        </w:rPr>
        <w:t>（五）天亿马（香港）信息产业有限公司</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6854"/>
      </w:tblGrid>
      <w:tr w14:paraId="20BA6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insideV w:val="nil"/>
            </w:tcBorders>
          </w:tcPr>
          <w:p w14:paraId="139271C9">
            <w:pPr>
              <w:spacing w:before="0" w:after="0" w:line="240" w:lineRule="auto"/>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公司名称</w:t>
            </w:r>
          </w:p>
        </w:tc>
        <w:tc>
          <w:tcPr>
            <w:tcW w:w="6854" w:type="dxa"/>
            <w:tcBorders>
              <w:insideV w:val="nil"/>
            </w:tcBorders>
          </w:tcPr>
          <w:p w14:paraId="7423E94F">
            <w:pPr>
              <w:spacing w:before="0" w:after="0" w:line="240" w:lineRule="auto"/>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天亿马（香港）信息产业有限公司</w:t>
            </w:r>
          </w:p>
        </w:tc>
      </w:tr>
      <w:tr w14:paraId="4A7E7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2AC8FA58">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成立日期</w:t>
            </w:r>
          </w:p>
        </w:tc>
        <w:tc>
          <w:tcPr>
            <w:tcW w:w="6854" w:type="dxa"/>
            <w:shd w:val="clear" w:color="auto" w:fill="auto"/>
          </w:tcPr>
          <w:p w14:paraId="7B38BB83">
            <w:pPr>
              <w:rPr>
                <w:rFonts w:ascii="仿宋" w:hAnsi="仿宋" w:eastAsia="仿宋" w:cstheme="minorBidi"/>
                <w:color w:val="000000" w:themeColor="text1" w:themeShade="BF"/>
                <w:kern w:val="0"/>
                <w:sz w:val="24"/>
              </w:rPr>
            </w:pPr>
            <w:r>
              <w:rPr>
                <w:rFonts w:ascii="仿宋" w:hAnsi="仿宋" w:eastAsia="仿宋"/>
                <w:color w:val="000000" w:themeColor="text1" w:themeShade="BF"/>
                <w:sz w:val="24"/>
                <w:szCs w:val="24"/>
              </w:rPr>
              <w:t>2013-03-07</w:t>
            </w:r>
          </w:p>
        </w:tc>
      </w:tr>
      <w:tr w14:paraId="290BD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71A5AE99">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注册地点</w:t>
            </w:r>
          </w:p>
        </w:tc>
        <w:tc>
          <w:tcPr>
            <w:tcW w:w="6854" w:type="dxa"/>
            <w:shd w:val="clear" w:color="auto" w:fill="auto"/>
          </w:tcPr>
          <w:p w14:paraId="356C625E">
            <w:pPr>
              <w:rPr>
                <w:rFonts w:ascii="仿宋" w:hAnsi="仿宋" w:eastAsia="仿宋"/>
                <w:color w:val="000000"/>
                <w:sz w:val="24"/>
                <w:szCs w:val="24"/>
              </w:rPr>
            </w:pPr>
            <w:r>
              <w:rPr>
                <w:rFonts w:hint="eastAsia" w:ascii="仿宋" w:hAnsi="仿宋" w:eastAsia="仿宋"/>
                <w:color w:val="000000"/>
                <w:sz w:val="24"/>
                <w:szCs w:val="24"/>
              </w:rPr>
              <w:t>NO.2-309 2/F CHUNGKING EXPRESSNOS.36 NATHAN ROAD TSIM SHA</w:t>
            </w:r>
          </w:p>
          <w:p w14:paraId="7A569F0A">
            <w:pPr>
              <w:rPr>
                <w:rFonts w:ascii="仿宋" w:hAnsi="仿宋" w:eastAsia="仿宋" w:cstheme="minorBidi"/>
                <w:color w:val="000000" w:themeColor="text1" w:themeShade="BF"/>
                <w:kern w:val="0"/>
                <w:sz w:val="24"/>
              </w:rPr>
            </w:pPr>
            <w:r>
              <w:rPr>
                <w:rFonts w:hint="eastAsia" w:ascii="仿宋" w:hAnsi="仿宋" w:eastAsia="仿宋"/>
                <w:color w:val="000000"/>
                <w:sz w:val="24"/>
                <w:szCs w:val="24"/>
              </w:rPr>
              <w:t>TSUI HK</w:t>
            </w:r>
          </w:p>
        </w:tc>
      </w:tr>
      <w:tr w14:paraId="32FCB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697685D6">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注册资本</w:t>
            </w:r>
          </w:p>
        </w:tc>
        <w:tc>
          <w:tcPr>
            <w:tcW w:w="6854" w:type="dxa"/>
            <w:shd w:val="clear" w:color="auto" w:fill="auto"/>
          </w:tcPr>
          <w:p w14:paraId="02F959F5">
            <w:pPr>
              <w:rPr>
                <w:rFonts w:ascii="仿宋" w:hAnsi="仿宋" w:eastAsia="仿宋" w:cstheme="minorBidi"/>
                <w:color w:val="000000" w:themeColor="text1" w:themeShade="BF"/>
                <w:kern w:val="0"/>
                <w:sz w:val="24"/>
              </w:rPr>
            </w:pPr>
            <w:r>
              <w:rPr>
                <w:rFonts w:hint="eastAsia" w:ascii="仿宋" w:hAnsi="仿宋" w:eastAsia="仿宋"/>
                <w:color w:val="000000" w:themeColor="text1" w:themeShade="BF"/>
                <w:sz w:val="24"/>
                <w:szCs w:val="24"/>
              </w:rPr>
              <w:t>1港元</w:t>
            </w:r>
          </w:p>
        </w:tc>
      </w:tr>
      <w:tr w14:paraId="540AF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253C4402">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经营范围</w:t>
            </w:r>
          </w:p>
        </w:tc>
        <w:tc>
          <w:tcPr>
            <w:tcW w:w="6854" w:type="dxa"/>
            <w:shd w:val="clear" w:color="auto" w:fill="auto"/>
          </w:tcPr>
          <w:p w14:paraId="1409B900">
            <w:pPr>
              <w:rPr>
                <w:rFonts w:ascii="仿宋" w:hAnsi="仿宋" w:eastAsia="仿宋" w:cstheme="minorBidi"/>
                <w:color w:val="000000" w:themeColor="text1" w:themeShade="BF"/>
                <w:kern w:val="0"/>
                <w:sz w:val="24"/>
              </w:rPr>
            </w:pPr>
            <w:r>
              <w:rPr>
                <w:rFonts w:hint="eastAsia" w:ascii="仿宋" w:hAnsi="仿宋" w:eastAsia="仿宋"/>
                <w:color w:val="000000" w:themeColor="text1" w:themeShade="BF"/>
                <w:sz w:val="24"/>
                <w:szCs w:val="24"/>
              </w:rPr>
              <w:t>信息系统运维服务</w:t>
            </w:r>
          </w:p>
        </w:tc>
      </w:tr>
      <w:tr w14:paraId="72D85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3361FA55">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是否为失信被执行人</w:t>
            </w:r>
          </w:p>
        </w:tc>
        <w:tc>
          <w:tcPr>
            <w:tcW w:w="6854" w:type="dxa"/>
            <w:shd w:val="clear" w:color="auto" w:fill="auto"/>
            <w:vAlign w:val="center"/>
          </w:tcPr>
          <w:p w14:paraId="50CD663F">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否</w:t>
            </w:r>
          </w:p>
        </w:tc>
      </w:tr>
    </w:tbl>
    <w:p w14:paraId="4CD5CFD6">
      <w:pPr>
        <w:spacing w:before="156" w:beforeLines="50" w:line="360" w:lineRule="auto"/>
        <w:ind w:firstLine="560" w:firstLineChars="200"/>
        <w:rPr>
          <w:rFonts w:ascii="仿宋" w:hAnsi="仿宋" w:eastAsia="仿宋"/>
          <w:sz w:val="28"/>
        </w:rPr>
      </w:pPr>
      <w:r>
        <w:rPr>
          <w:rFonts w:hint="eastAsia" w:ascii="仿宋" w:hAnsi="仿宋" w:eastAsia="仿宋"/>
          <w:sz w:val="28"/>
        </w:rPr>
        <w:t>股权结构如下：</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96"/>
        <w:gridCol w:w="3161"/>
        <w:gridCol w:w="1565"/>
      </w:tblGrid>
      <w:tr w14:paraId="55363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27" w:type="pct"/>
            <w:vAlign w:val="center"/>
          </w:tcPr>
          <w:p w14:paraId="41931C2F">
            <w:pPr>
              <w:jc w:val="center"/>
              <w:rPr>
                <w:rFonts w:ascii="仿宋" w:hAnsi="仿宋" w:eastAsia="仿宋"/>
                <w:kern w:val="0"/>
                <w:sz w:val="24"/>
                <w:szCs w:val="24"/>
              </w:rPr>
            </w:pPr>
            <w:r>
              <w:rPr>
                <w:rFonts w:hint="eastAsia" w:ascii="仿宋" w:hAnsi="仿宋" w:eastAsia="仿宋"/>
                <w:kern w:val="0"/>
                <w:sz w:val="24"/>
                <w:szCs w:val="24"/>
              </w:rPr>
              <w:t>股东名称</w:t>
            </w:r>
          </w:p>
        </w:tc>
        <w:tc>
          <w:tcPr>
            <w:tcW w:w="1854" w:type="pct"/>
            <w:vAlign w:val="center"/>
          </w:tcPr>
          <w:p w14:paraId="43AD0FF0">
            <w:pPr>
              <w:jc w:val="center"/>
              <w:rPr>
                <w:rFonts w:ascii="仿宋" w:hAnsi="仿宋" w:eastAsia="仿宋"/>
                <w:kern w:val="0"/>
                <w:sz w:val="24"/>
                <w:szCs w:val="24"/>
              </w:rPr>
            </w:pPr>
            <w:r>
              <w:rPr>
                <w:rFonts w:hint="eastAsia" w:ascii="仿宋" w:hAnsi="仿宋" w:eastAsia="仿宋"/>
                <w:kern w:val="0"/>
                <w:sz w:val="24"/>
                <w:szCs w:val="24"/>
              </w:rPr>
              <w:t>认缴注册额</w:t>
            </w:r>
          </w:p>
        </w:tc>
        <w:tc>
          <w:tcPr>
            <w:tcW w:w="918" w:type="pct"/>
            <w:vAlign w:val="center"/>
          </w:tcPr>
          <w:p w14:paraId="6149545C">
            <w:pPr>
              <w:jc w:val="center"/>
              <w:rPr>
                <w:rFonts w:ascii="仿宋" w:hAnsi="仿宋" w:eastAsia="仿宋"/>
                <w:kern w:val="0"/>
                <w:sz w:val="24"/>
                <w:szCs w:val="24"/>
              </w:rPr>
            </w:pPr>
            <w:r>
              <w:rPr>
                <w:rFonts w:hint="eastAsia" w:ascii="仿宋" w:hAnsi="仿宋" w:eastAsia="仿宋"/>
                <w:kern w:val="0"/>
                <w:sz w:val="24"/>
                <w:szCs w:val="24"/>
              </w:rPr>
              <w:t>持股比例</w:t>
            </w:r>
          </w:p>
        </w:tc>
      </w:tr>
      <w:tr w14:paraId="66FC0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27" w:type="pct"/>
            <w:vAlign w:val="center"/>
          </w:tcPr>
          <w:p w14:paraId="1BC34D89">
            <w:pPr>
              <w:jc w:val="center"/>
              <w:rPr>
                <w:rFonts w:ascii="仿宋" w:hAnsi="仿宋" w:eastAsia="仿宋"/>
                <w:kern w:val="0"/>
                <w:sz w:val="24"/>
                <w:szCs w:val="24"/>
              </w:rPr>
            </w:pPr>
            <w:r>
              <w:rPr>
                <w:rFonts w:hint="eastAsia" w:ascii="仿宋" w:hAnsi="仿宋" w:eastAsia="仿宋"/>
                <w:kern w:val="0"/>
                <w:sz w:val="24"/>
                <w:szCs w:val="24"/>
              </w:rPr>
              <w:t>广东天亿马信息产业有限公司</w:t>
            </w:r>
          </w:p>
        </w:tc>
        <w:tc>
          <w:tcPr>
            <w:tcW w:w="1854" w:type="pct"/>
            <w:vAlign w:val="center"/>
          </w:tcPr>
          <w:p w14:paraId="2E8253F1">
            <w:pPr>
              <w:jc w:val="center"/>
              <w:rPr>
                <w:rFonts w:ascii="仿宋" w:hAnsi="仿宋" w:eastAsia="仿宋"/>
                <w:kern w:val="0"/>
                <w:sz w:val="24"/>
                <w:szCs w:val="24"/>
              </w:rPr>
            </w:pPr>
            <w:r>
              <w:rPr>
                <w:rFonts w:hint="eastAsia" w:ascii="仿宋" w:hAnsi="仿宋" w:eastAsia="仿宋"/>
                <w:color w:val="000000" w:themeColor="text1" w:themeShade="BF"/>
                <w:sz w:val="24"/>
                <w:szCs w:val="24"/>
              </w:rPr>
              <w:t>1港元</w:t>
            </w:r>
          </w:p>
        </w:tc>
        <w:tc>
          <w:tcPr>
            <w:tcW w:w="918" w:type="pct"/>
            <w:vAlign w:val="center"/>
          </w:tcPr>
          <w:p w14:paraId="58DB0FDA">
            <w:pPr>
              <w:jc w:val="center"/>
              <w:rPr>
                <w:rFonts w:ascii="仿宋" w:hAnsi="仿宋" w:eastAsia="仿宋"/>
                <w:kern w:val="0"/>
                <w:sz w:val="24"/>
                <w:szCs w:val="24"/>
              </w:rPr>
            </w:pPr>
            <w:r>
              <w:rPr>
                <w:rFonts w:hint="eastAsia" w:ascii="仿宋" w:hAnsi="仿宋" w:eastAsia="仿宋"/>
                <w:color w:val="000000" w:themeColor="text1" w:themeShade="BF"/>
                <w:sz w:val="24"/>
                <w:szCs w:val="24"/>
              </w:rPr>
              <w:t>100%</w:t>
            </w:r>
          </w:p>
        </w:tc>
      </w:tr>
    </w:tbl>
    <w:p w14:paraId="472F8054">
      <w:pPr>
        <w:spacing w:before="156" w:beforeLines="50" w:line="360" w:lineRule="auto"/>
        <w:ind w:firstLine="560" w:firstLineChars="200"/>
        <w:rPr>
          <w:rFonts w:ascii="仿宋" w:hAnsi="仿宋" w:eastAsia="仿宋"/>
          <w:sz w:val="28"/>
        </w:rPr>
      </w:pPr>
      <w:r>
        <w:rPr>
          <w:rFonts w:hint="eastAsia" w:ascii="仿宋" w:hAnsi="仿宋" w:eastAsia="仿宋"/>
          <w:sz w:val="28"/>
        </w:rPr>
        <w:t>最近一年又一期财务数据如下：</w:t>
      </w:r>
    </w:p>
    <w:p w14:paraId="045AEE56">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单位：元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9"/>
        <w:gridCol w:w="3056"/>
        <w:gridCol w:w="2707"/>
      </w:tblGrid>
      <w:tr w14:paraId="64152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759" w:type="dxa"/>
            <w:tcBorders>
              <w:insideV w:val="nil"/>
            </w:tcBorders>
            <w:shd w:val="clear" w:color="auto" w:fill="auto"/>
          </w:tcPr>
          <w:p w14:paraId="2F760839">
            <w:pPr>
              <w:spacing w:before="0" w:after="0" w:line="240" w:lineRule="auto"/>
              <w:ind w:firstLine="482"/>
              <w:jc w:val="center"/>
              <w:rPr>
                <w:rFonts w:eastAsia="仿宋"/>
                <w:b w:val="0"/>
                <w:bCs w:val="0"/>
                <w:color w:val="000000" w:themeColor="text1" w:themeShade="BF"/>
                <w:kern w:val="0"/>
                <w:sz w:val="24"/>
              </w:rPr>
            </w:pPr>
            <w:r>
              <w:rPr>
                <w:rFonts w:eastAsia="仿宋"/>
                <w:b/>
                <w:bCs/>
                <w:color w:val="000000" w:themeColor="text1" w:themeShade="BF"/>
                <w:kern w:val="0"/>
                <w:sz w:val="24"/>
              </w:rPr>
              <w:t>项目</w:t>
            </w:r>
          </w:p>
        </w:tc>
        <w:tc>
          <w:tcPr>
            <w:tcW w:w="3056" w:type="dxa"/>
            <w:tcBorders>
              <w:insideV w:val="nil"/>
            </w:tcBorders>
            <w:shd w:val="clear" w:color="auto" w:fill="auto"/>
          </w:tcPr>
          <w:p w14:paraId="5E264846">
            <w:pPr>
              <w:spacing w:before="0" w:after="0" w:line="240" w:lineRule="auto"/>
              <w:ind w:firstLine="482"/>
              <w:jc w:val="center"/>
              <w:rPr>
                <w:rFonts w:eastAsia="仿宋"/>
                <w:b w:val="0"/>
                <w:bCs w:val="0"/>
                <w:color w:val="000000" w:themeColor="text1" w:themeShade="BF"/>
                <w:kern w:val="0"/>
                <w:sz w:val="24"/>
              </w:rPr>
            </w:pPr>
            <w:r>
              <w:rPr>
                <w:rFonts w:eastAsia="仿宋"/>
                <w:b/>
                <w:bCs/>
                <w:color w:val="000000" w:themeColor="text1" w:themeShade="BF"/>
                <w:kern w:val="0"/>
                <w:sz w:val="24"/>
              </w:rPr>
              <w:t>202</w:t>
            </w:r>
            <w:r>
              <w:rPr>
                <w:rFonts w:hint="eastAsia" w:eastAsia="仿宋"/>
                <w:b/>
                <w:bCs/>
                <w:color w:val="000000" w:themeColor="text1" w:themeShade="BF"/>
                <w:kern w:val="0"/>
                <w:sz w:val="24"/>
              </w:rPr>
              <w:t>5</w:t>
            </w:r>
            <w:r>
              <w:rPr>
                <w:rFonts w:eastAsia="仿宋"/>
                <w:b/>
                <w:bCs/>
                <w:color w:val="000000" w:themeColor="text1" w:themeShade="BF"/>
                <w:kern w:val="0"/>
                <w:sz w:val="24"/>
              </w:rPr>
              <w:t>年末/202</w:t>
            </w:r>
            <w:r>
              <w:rPr>
                <w:rFonts w:hint="eastAsia" w:eastAsia="仿宋"/>
                <w:b/>
                <w:bCs/>
                <w:color w:val="000000" w:themeColor="text1" w:themeShade="BF"/>
                <w:kern w:val="0"/>
                <w:sz w:val="24"/>
              </w:rPr>
              <w:t>5</w:t>
            </w:r>
            <w:r>
              <w:rPr>
                <w:rFonts w:eastAsia="仿宋"/>
                <w:b/>
                <w:bCs/>
                <w:color w:val="000000" w:themeColor="text1" w:themeShade="BF"/>
                <w:kern w:val="0"/>
                <w:sz w:val="24"/>
              </w:rPr>
              <w:t>年</w:t>
            </w:r>
          </w:p>
          <w:p w14:paraId="7DAF8FE6">
            <w:pPr>
              <w:spacing w:before="0" w:after="0" w:line="240" w:lineRule="auto"/>
              <w:ind w:firstLine="482"/>
              <w:jc w:val="center"/>
              <w:rPr>
                <w:rFonts w:eastAsia="仿宋"/>
                <w:b w:val="0"/>
                <w:bCs w:val="0"/>
                <w:color w:val="000000" w:themeColor="text1" w:themeShade="BF"/>
                <w:kern w:val="0"/>
                <w:sz w:val="24"/>
              </w:rPr>
            </w:pPr>
            <w:r>
              <w:rPr>
                <w:rFonts w:eastAsia="仿宋"/>
                <w:b/>
                <w:bCs/>
                <w:color w:val="000000" w:themeColor="text1" w:themeShade="BF"/>
                <w:kern w:val="0"/>
                <w:sz w:val="24"/>
              </w:rPr>
              <w:t>（经审计）</w:t>
            </w:r>
          </w:p>
        </w:tc>
        <w:tc>
          <w:tcPr>
            <w:tcW w:w="2707" w:type="dxa"/>
            <w:tcBorders>
              <w:insideV w:val="nil"/>
            </w:tcBorders>
            <w:shd w:val="clear" w:color="auto" w:fill="auto"/>
          </w:tcPr>
          <w:p w14:paraId="53306F07">
            <w:pPr>
              <w:spacing w:before="0" w:after="0" w:line="240" w:lineRule="auto"/>
              <w:ind w:firstLine="482"/>
              <w:jc w:val="center"/>
              <w:rPr>
                <w:rFonts w:eastAsia="仿宋"/>
                <w:b w:val="0"/>
                <w:bCs w:val="0"/>
                <w:color w:val="000000" w:themeColor="text1" w:themeShade="BF"/>
                <w:kern w:val="0"/>
                <w:sz w:val="24"/>
              </w:rPr>
            </w:pPr>
            <w:r>
              <w:rPr>
                <w:rFonts w:eastAsia="仿宋"/>
                <w:b/>
                <w:bCs/>
                <w:color w:val="000000" w:themeColor="text1" w:themeShade="BF"/>
                <w:kern w:val="0"/>
                <w:sz w:val="24"/>
              </w:rPr>
              <w:t>2024年末/2024年</w:t>
            </w:r>
          </w:p>
          <w:p w14:paraId="04203EC8">
            <w:pPr>
              <w:spacing w:before="0" w:after="0" w:line="240" w:lineRule="auto"/>
              <w:ind w:firstLine="482"/>
              <w:jc w:val="center"/>
              <w:rPr>
                <w:rFonts w:eastAsia="仿宋"/>
                <w:b/>
                <w:bCs w:val="0"/>
                <w:color w:val="000000" w:themeColor="text1" w:themeShade="BF"/>
                <w:kern w:val="0"/>
                <w:sz w:val="24"/>
              </w:rPr>
            </w:pPr>
            <w:r>
              <w:rPr>
                <w:rFonts w:eastAsia="仿宋"/>
                <w:b/>
                <w:bCs/>
                <w:color w:val="000000" w:themeColor="text1" w:themeShade="BF"/>
                <w:kern w:val="0"/>
                <w:sz w:val="24"/>
              </w:rPr>
              <w:t>（经审计）</w:t>
            </w:r>
          </w:p>
        </w:tc>
      </w:tr>
      <w:tr w14:paraId="18B3D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1B6ABCF3">
            <w:pPr>
              <w:jc w:val="center"/>
              <w:rPr>
                <w:rFonts w:eastAsia="仿宋"/>
                <w:b/>
                <w:bCs w:val="0"/>
                <w:color w:val="000000" w:themeColor="text1" w:themeShade="BF"/>
                <w:kern w:val="0"/>
                <w:sz w:val="24"/>
              </w:rPr>
            </w:pPr>
            <w:r>
              <w:rPr>
                <w:rFonts w:eastAsia="仿宋"/>
                <w:b w:val="0"/>
                <w:bCs/>
                <w:color w:val="000000" w:themeColor="text1" w:themeShade="BF"/>
                <w:kern w:val="0"/>
                <w:sz w:val="24"/>
              </w:rPr>
              <w:t>资产总额</w:t>
            </w:r>
          </w:p>
        </w:tc>
        <w:tc>
          <w:tcPr>
            <w:tcW w:w="3056" w:type="dxa"/>
            <w:shd w:val="clear" w:color="auto" w:fill="auto"/>
            <w:vAlign w:val="center"/>
          </w:tcPr>
          <w:p w14:paraId="68DF791C">
            <w:pPr>
              <w:widowControl/>
              <w:jc w:val="right"/>
              <w:textAlignment w:val="center"/>
              <w:rPr>
                <w:rFonts w:eastAsia="仿宋"/>
                <w:color w:val="000000"/>
                <w:kern w:val="0"/>
                <w:sz w:val="20"/>
                <w:szCs w:val="24"/>
              </w:rPr>
            </w:pPr>
            <w:r>
              <w:rPr>
                <w:color w:val="000000"/>
                <w:kern w:val="0"/>
                <w:sz w:val="20"/>
                <w:lang w:bidi="ar"/>
              </w:rPr>
              <w:t>3,342,916.13</w:t>
            </w:r>
          </w:p>
        </w:tc>
        <w:tc>
          <w:tcPr>
            <w:tcW w:w="2707" w:type="dxa"/>
            <w:shd w:val="clear" w:color="auto" w:fill="auto"/>
            <w:vAlign w:val="center"/>
          </w:tcPr>
          <w:p w14:paraId="60362846">
            <w:pPr>
              <w:widowControl/>
              <w:jc w:val="right"/>
              <w:textAlignment w:val="top"/>
              <w:rPr>
                <w:color w:val="000000"/>
                <w:kern w:val="0"/>
                <w:sz w:val="20"/>
                <w:lang w:bidi="ar"/>
              </w:rPr>
            </w:pPr>
            <w:r>
              <w:rPr>
                <w:rFonts w:hint="eastAsia"/>
                <w:color w:val="000000"/>
                <w:kern w:val="0"/>
                <w:sz w:val="20"/>
                <w:lang w:bidi="ar"/>
              </w:rPr>
              <w:t>3,448,308.41</w:t>
            </w:r>
          </w:p>
        </w:tc>
      </w:tr>
      <w:tr w14:paraId="3C740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47584DF0">
            <w:pPr>
              <w:jc w:val="center"/>
              <w:rPr>
                <w:rFonts w:eastAsia="仿宋"/>
                <w:b/>
                <w:bCs w:val="0"/>
                <w:color w:val="000000" w:themeColor="text1" w:themeShade="BF"/>
                <w:kern w:val="0"/>
                <w:sz w:val="24"/>
              </w:rPr>
            </w:pPr>
            <w:r>
              <w:rPr>
                <w:rFonts w:eastAsia="仿宋"/>
                <w:b w:val="0"/>
                <w:bCs/>
                <w:color w:val="000000" w:themeColor="text1" w:themeShade="BF"/>
                <w:kern w:val="0"/>
                <w:sz w:val="24"/>
              </w:rPr>
              <w:t>负债总额</w:t>
            </w:r>
          </w:p>
        </w:tc>
        <w:tc>
          <w:tcPr>
            <w:tcW w:w="3056" w:type="dxa"/>
            <w:shd w:val="clear" w:color="auto" w:fill="auto"/>
          </w:tcPr>
          <w:p w14:paraId="21B2C2E9">
            <w:pPr>
              <w:widowControl/>
              <w:jc w:val="right"/>
              <w:textAlignment w:val="top"/>
              <w:rPr>
                <w:rFonts w:eastAsia="仿宋"/>
                <w:color w:val="000000"/>
                <w:kern w:val="0"/>
                <w:sz w:val="20"/>
                <w:szCs w:val="24"/>
              </w:rPr>
            </w:pPr>
            <w:r>
              <w:rPr>
                <w:color w:val="000000"/>
                <w:kern w:val="0"/>
                <w:sz w:val="20"/>
                <w:lang w:bidi="ar"/>
              </w:rPr>
              <w:t>182,121.67</w:t>
            </w:r>
          </w:p>
        </w:tc>
        <w:tc>
          <w:tcPr>
            <w:tcW w:w="2707" w:type="dxa"/>
            <w:shd w:val="clear" w:color="auto" w:fill="auto"/>
          </w:tcPr>
          <w:p w14:paraId="61EC2C80">
            <w:pPr>
              <w:widowControl/>
              <w:jc w:val="right"/>
              <w:textAlignment w:val="top"/>
              <w:rPr>
                <w:color w:val="000000"/>
                <w:kern w:val="0"/>
                <w:sz w:val="20"/>
                <w:lang w:bidi="ar"/>
              </w:rPr>
            </w:pPr>
            <w:r>
              <w:rPr>
                <w:color w:val="000000"/>
                <w:kern w:val="0"/>
                <w:sz w:val="20"/>
                <w:lang w:bidi="ar"/>
              </w:rPr>
              <w:t>-</w:t>
            </w:r>
          </w:p>
        </w:tc>
      </w:tr>
      <w:tr w14:paraId="175E2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4AF3E279">
            <w:pPr>
              <w:jc w:val="right"/>
              <w:rPr>
                <w:rFonts w:eastAsia="仿宋"/>
                <w:b/>
                <w:bCs w:val="0"/>
                <w:color w:val="000000" w:themeColor="text1" w:themeShade="BF"/>
                <w:kern w:val="0"/>
                <w:sz w:val="24"/>
              </w:rPr>
            </w:pPr>
            <w:r>
              <w:rPr>
                <w:rFonts w:eastAsia="仿宋"/>
                <w:b w:val="0"/>
                <w:bCs/>
                <w:color w:val="000000" w:themeColor="text1" w:themeShade="BF"/>
                <w:kern w:val="0"/>
                <w:sz w:val="24"/>
              </w:rPr>
              <w:t>其中：银行贷款</w:t>
            </w:r>
          </w:p>
        </w:tc>
        <w:tc>
          <w:tcPr>
            <w:tcW w:w="3056" w:type="dxa"/>
            <w:shd w:val="clear" w:color="auto" w:fill="auto"/>
          </w:tcPr>
          <w:p w14:paraId="0944235D">
            <w:pPr>
              <w:widowControl/>
              <w:jc w:val="right"/>
              <w:textAlignment w:val="top"/>
              <w:rPr>
                <w:rFonts w:eastAsia="仿宋"/>
                <w:color w:val="000000"/>
                <w:kern w:val="0"/>
                <w:sz w:val="20"/>
                <w:szCs w:val="24"/>
              </w:rPr>
            </w:pPr>
            <w:r>
              <w:rPr>
                <w:color w:val="000000"/>
                <w:kern w:val="0"/>
                <w:sz w:val="20"/>
                <w:lang w:bidi="ar"/>
              </w:rPr>
              <w:t>-</w:t>
            </w:r>
          </w:p>
        </w:tc>
        <w:tc>
          <w:tcPr>
            <w:tcW w:w="2707" w:type="dxa"/>
            <w:shd w:val="clear" w:color="auto" w:fill="auto"/>
          </w:tcPr>
          <w:p w14:paraId="160D4D60">
            <w:pPr>
              <w:widowControl/>
              <w:jc w:val="right"/>
              <w:textAlignment w:val="top"/>
              <w:rPr>
                <w:color w:val="000000"/>
                <w:kern w:val="0"/>
                <w:sz w:val="20"/>
                <w:lang w:bidi="ar"/>
              </w:rPr>
            </w:pPr>
            <w:r>
              <w:rPr>
                <w:color w:val="000000"/>
                <w:kern w:val="0"/>
                <w:sz w:val="20"/>
                <w:lang w:bidi="ar"/>
              </w:rPr>
              <w:t>-</w:t>
            </w:r>
          </w:p>
        </w:tc>
      </w:tr>
      <w:tr w14:paraId="4DD6C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11A1BD4A">
            <w:pPr>
              <w:jc w:val="right"/>
              <w:rPr>
                <w:rFonts w:eastAsia="仿宋"/>
                <w:b/>
                <w:bCs w:val="0"/>
                <w:color w:val="000000" w:themeColor="text1" w:themeShade="BF"/>
                <w:kern w:val="0"/>
                <w:sz w:val="24"/>
              </w:rPr>
            </w:pPr>
            <w:r>
              <w:rPr>
                <w:rFonts w:eastAsia="仿宋"/>
                <w:b w:val="0"/>
                <w:bCs/>
                <w:color w:val="000000" w:themeColor="text1" w:themeShade="BF"/>
                <w:kern w:val="0"/>
                <w:sz w:val="24"/>
              </w:rPr>
              <w:t>流动负债总额</w:t>
            </w:r>
          </w:p>
        </w:tc>
        <w:tc>
          <w:tcPr>
            <w:tcW w:w="3056" w:type="dxa"/>
            <w:shd w:val="clear" w:color="auto" w:fill="auto"/>
          </w:tcPr>
          <w:p w14:paraId="04E77409">
            <w:pPr>
              <w:widowControl/>
              <w:jc w:val="right"/>
              <w:textAlignment w:val="top"/>
              <w:rPr>
                <w:rFonts w:eastAsia="仿宋"/>
                <w:color w:val="000000"/>
                <w:kern w:val="0"/>
                <w:sz w:val="20"/>
                <w:szCs w:val="24"/>
              </w:rPr>
            </w:pPr>
            <w:r>
              <w:rPr>
                <w:color w:val="000000"/>
                <w:kern w:val="0"/>
                <w:sz w:val="20"/>
                <w:lang w:bidi="ar"/>
              </w:rPr>
              <w:t>182,121.67</w:t>
            </w:r>
          </w:p>
        </w:tc>
        <w:tc>
          <w:tcPr>
            <w:tcW w:w="2707" w:type="dxa"/>
            <w:shd w:val="clear" w:color="auto" w:fill="auto"/>
          </w:tcPr>
          <w:p w14:paraId="3E5B40EE">
            <w:pPr>
              <w:widowControl/>
              <w:jc w:val="right"/>
              <w:textAlignment w:val="top"/>
              <w:rPr>
                <w:color w:val="000000"/>
                <w:kern w:val="0"/>
                <w:sz w:val="20"/>
                <w:lang w:bidi="ar"/>
              </w:rPr>
            </w:pPr>
            <w:r>
              <w:rPr>
                <w:color w:val="000000"/>
                <w:kern w:val="0"/>
                <w:sz w:val="20"/>
                <w:lang w:bidi="ar"/>
              </w:rPr>
              <w:t>-</w:t>
            </w:r>
          </w:p>
        </w:tc>
      </w:tr>
      <w:tr w14:paraId="46AEC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43552E39">
            <w:pPr>
              <w:jc w:val="center"/>
              <w:rPr>
                <w:rFonts w:eastAsia="仿宋"/>
                <w:b/>
                <w:bCs w:val="0"/>
                <w:color w:val="000000" w:themeColor="text1" w:themeShade="BF"/>
                <w:kern w:val="0"/>
                <w:sz w:val="24"/>
              </w:rPr>
            </w:pPr>
            <w:r>
              <w:rPr>
                <w:rFonts w:eastAsia="仿宋"/>
                <w:b w:val="0"/>
                <w:bCs/>
                <w:color w:val="000000" w:themeColor="text1" w:themeShade="BF"/>
                <w:kern w:val="0"/>
                <w:sz w:val="24"/>
              </w:rPr>
              <w:t>净资产</w:t>
            </w:r>
          </w:p>
        </w:tc>
        <w:tc>
          <w:tcPr>
            <w:tcW w:w="3056" w:type="dxa"/>
            <w:shd w:val="clear" w:color="auto" w:fill="auto"/>
          </w:tcPr>
          <w:p w14:paraId="35DB1321">
            <w:pPr>
              <w:widowControl/>
              <w:jc w:val="right"/>
              <w:textAlignment w:val="top"/>
              <w:rPr>
                <w:rFonts w:eastAsia="仿宋"/>
                <w:color w:val="000000"/>
                <w:kern w:val="0"/>
                <w:sz w:val="20"/>
                <w:szCs w:val="24"/>
              </w:rPr>
            </w:pPr>
            <w:r>
              <w:rPr>
                <w:color w:val="000000"/>
                <w:kern w:val="0"/>
                <w:sz w:val="20"/>
                <w:lang w:bidi="ar"/>
              </w:rPr>
              <w:t>3,160,794.46</w:t>
            </w:r>
          </w:p>
        </w:tc>
        <w:tc>
          <w:tcPr>
            <w:tcW w:w="2707" w:type="dxa"/>
            <w:shd w:val="clear" w:color="auto" w:fill="auto"/>
            <w:vAlign w:val="center"/>
          </w:tcPr>
          <w:p w14:paraId="3079AB56">
            <w:pPr>
              <w:widowControl/>
              <w:jc w:val="right"/>
              <w:textAlignment w:val="top"/>
              <w:rPr>
                <w:color w:val="000000"/>
                <w:kern w:val="0"/>
                <w:sz w:val="20"/>
                <w:lang w:bidi="ar"/>
              </w:rPr>
            </w:pPr>
            <w:r>
              <w:rPr>
                <w:rFonts w:hint="eastAsia"/>
                <w:color w:val="000000"/>
                <w:kern w:val="0"/>
                <w:sz w:val="20"/>
                <w:lang w:bidi="ar"/>
              </w:rPr>
              <w:t>3,448,308.41</w:t>
            </w:r>
          </w:p>
        </w:tc>
      </w:tr>
      <w:tr w14:paraId="3580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3B131C43">
            <w:pPr>
              <w:jc w:val="center"/>
              <w:rPr>
                <w:rFonts w:eastAsia="仿宋"/>
                <w:b/>
                <w:bCs w:val="0"/>
                <w:color w:val="000000" w:themeColor="text1" w:themeShade="BF"/>
                <w:kern w:val="0"/>
                <w:sz w:val="24"/>
              </w:rPr>
            </w:pPr>
            <w:r>
              <w:rPr>
                <w:rFonts w:eastAsia="仿宋"/>
                <w:b w:val="0"/>
                <w:bCs/>
                <w:color w:val="000000" w:themeColor="text1" w:themeShade="BF"/>
                <w:kern w:val="0"/>
                <w:sz w:val="24"/>
              </w:rPr>
              <w:t>营业收入</w:t>
            </w:r>
          </w:p>
        </w:tc>
        <w:tc>
          <w:tcPr>
            <w:tcW w:w="3056" w:type="dxa"/>
            <w:shd w:val="clear" w:color="auto" w:fill="auto"/>
          </w:tcPr>
          <w:p w14:paraId="67300576">
            <w:pPr>
              <w:widowControl/>
              <w:jc w:val="right"/>
              <w:textAlignment w:val="top"/>
              <w:rPr>
                <w:rFonts w:eastAsia="仿宋"/>
                <w:color w:val="000000"/>
                <w:kern w:val="0"/>
                <w:sz w:val="20"/>
                <w:szCs w:val="24"/>
              </w:rPr>
            </w:pPr>
            <w:r>
              <w:rPr>
                <w:color w:val="000000"/>
                <w:kern w:val="0"/>
                <w:sz w:val="20"/>
                <w:lang w:bidi="ar"/>
              </w:rPr>
              <w:t>204,913.71</w:t>
            </w:r>
          </w:p>
        </w:tc>
        <w:tc>
          <w:tcPr>
            <w:tcW w:w="2707" w:type="dxa"/>
            <w:shd w:val="clear" w:color="auto" w:fill="auto"/>
            <w:vAlign w:val="center"/>
          </w:tcPr>
          <w:p w14:paraId="384E78E1">
            <w:pPr>
              <w:widowControl/>
              <w:jc w:val="right"/>
              <w:textAlignment w:val="top"/>
              <w:rPr>
                <w:color w:val="000000"/>
                <w:kern w:val="0"/>
                <w:sz w:val="20"/>
                <w:lang w:bidi="ar"/>
              </w:rPr>
            </w:pPr>
            <w:r>
              <w:rPr>
                <w:rFonts w:hint="eastAsia"/>
                <w:color w:val="000000"/>
                <w:kern w:val="0"/>
                <w:sz w:val="20"/>
                <w:lang w:bidi="ar"/>
              </w:rPr>
              <w:t>692,174.41</w:t>
            </w:r>
          </w:p>
        </w:tc>
      </w:tr>
      <w:tr w14:paraId="1BF8A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0D0AAF82">
            <w:pPr>
              <w:jc w:val="center"/>
              <w:rPr>
                <w:rFonts w:eastAsia="仿宋"/>
                <w:b/>
                <w:bCs w:val="0"/>
                <w:color w:val="000000" w:themeColor="text1" w:themeShade="BF"/>
                <w:kern w:val="0"/>
                <w:sz w:val="24"/>
              </w:rPr>
            </w:pPr>
            <w:r>
              <w:rPr>
                <w:rFonts w:eastAsia="仿宋"/>
                <w:b w:val="0"/>
                <w:bCs/>
                <w:color w:val="000000" w:themeColor="text1" w:themeShade="BF"/>
                <w:kern w:val="0"/>
                <w:sz w:val="24"/>
              </w:rPr>
              <w:t>利润总额</w:t>
            </w:r>
          </w:p>
        </w:tc>
        <w:tc>
          <w:tcPr>
            <w:tcW w:w="3056" w:type="dxa"/>
            <w:shd w:val="clear" w:color="auto" w:fill="auto"/>
          </w:tcPr>
          <w:p w14:paraId="6DFBB87C">
            <w:pPr>
              <w:widowControl/>
              <w:jc w:val="right"/>
              <w:textAlignment w:val="top"/>
              <w:rPr>
                <w:rFonts w:eastAsia="仿宋"/>
                <w:color w:val="000000"/>
                <w:kern w:val="0"/>
                <w:sz w:val="20"/>
                <w:szCs w:val="24"/>
              </w:rPr>
            </w:pPr>
            <w:r>
              <w:rPr>
                <w:color w:val="000000"/>
                <w:kern w:val="0"/>
                <w:sz w:val="20"/>
                <w:lang w:bidi="ar"/>
              </w:rPr>
              <w:t>-198,690.75</w:t>
            </w:r>
          </w:p>
        </w:tc>
        <w:tc>
          <w:tcPr>
            <w:tcW w:w="2707" w:type="dxa"/>
            <w:shd w:val="clear" w:color="auto" w:fill="auto"/>
            <w:vAlign w:val="center"/>
          </w:tcPr>
          <w:p w14:paraId="6CE157F8">
            <w:pPr>
              <w:widowControl/>
              <w:jc w:val="right"/>
              <w:textAlignment w:val="top"/>
              <w:rPr>
                <w:color w:val="000000"/>
                <w:kern w:val="0"/>
                <w:sz w:val="20"/>
                <w:lang w:bidi="ar"/>
              </w:rPr>
            </w:pPr>
            <w:r>
              <w:rPr>
                <w:rFonts w:hint="eastAsia"/>
                <w:color w:val="000000"/>
                <w:kern w:val="0"/>
                <w:sz w:val="20"/>
                <w:lang w:bidi="ar"/>
              </w:rPr>
              <w:t>322,275.18</w:t>
            </w:r>
          </w:p>
        </w:tc>
      </w:tr>
      <w:tr w14:paraId="70440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2D20FB1F">
            <w:pPr>
              <w:jc w:val="center"/>
              <w:rPr>
                <w:rFonts w:eastAsia="仿宋"/>
                <w:b/>
                <w:bCs w:val="0"/>
                <w:color w:val="000000" w:themeColor="text1" w:themeShade="BF"/>
                <w:kern w:val="0"/>
                <w:sz w:val="24"/>
              </w:rPr>
            </w:pPr>
            <w:r>
              <w:rPr>
                <w:rFonts w:eastAsia="仿宋"/>
                <w:b w:val="0"/>
                <w:bCs/>
                <w:color w:val="000000" w:themeColor="text1" w:themeShade="BF"/>
                <w:kern w:val="0"/>
                <w:sz w:val="24"/>
              </w:rPr>
              <w:t>净利润</w:t>
            </w:r>
          </w:p>
        </w:tc>
        <w:tc>
          <w:tcPr>
            <w:tcW w:w="3056" w:type="dxa"/>
            <w:shd w:val="clear" w:color="auto" w:fill="auto"/>
          </w:tcPr>
          <w:p w14:paraId="654EAE06">
            <w:pPr>
              <w:widowControl/>
              <w:jc w:val="right"/>
              <w:textAlignment w:val="top"/>
              <w:rPr>
                <w:rFonts w:eastAsia="仿宋"/>
                <w:color w:val="000000"/>
                <w:kern w:val="0"/>
                <w:sz w:val="20"/>
                <w:szCs w:val="24"/>
              </w:rPr>
            </w:pPr>
            <w:r>
              <w:rPr>
                <w:color w:val="000000"/>
                <w:kern w:val="0"/>
                <w:sz w:val="20"/>
                <w:lang w:bidi="ar"/>
              </w:rPr>
              <w:t>-205,097.37</w:t>
            </w:r>
          </w:p>
        </w:tc>
        <w:tc>
          <w:tcPr>
            <w:tcW w:w="2707" w:type="dxa"/>
            <w:shd w:val="clear" w:color="auto" w:fill="auto"/>
            <w:vAlign w:val="center"/>
          </w:tcPr>
          <w:p w14:paraId="16770D40">
            <w:pPr>
              <w:widowControl/>
              <w:jc w:val="right"/>
              <w:textAlignment w:val="top"/>
              <w:rPr>
                <w:color w:val="000000"/>
                <w:kern w:val="0"/>
                <w:sz w:val="20"/>
                <w:lang w:bidi="ar"/>
              </w:rPr>
            </w:pPr>
            <w:r>
              <w:rPr>
                <w:rFonts w:hint="eastAsia"/>
                <w:color w:val="000000"/>
                <w:kern w:val="0"/>
                <w:sz w:val="20"/>
                <w:lang w:bidi="ar"/>
              </w:rPr>
              <w:t>348,381.69</w:t>
            </w:r>
          </w:p>
        </w:tc>
      </w:tr>
    </w:tbl>
    <w:p w14:paraId="70EA99AE">
      <w:pPr>
        <w:spacing w:before="156" w:beforeLines="50" w:line="360" w:lineRule="auto"/>
        <w:ind w:firstLine="560" w:firstLineChars="200"/>
        <w:rPr>
          <w:rFonts w:ascii="仿宋" w:hAnsi="仿宋" w:eastAsia="仿宋"/>
          <w:sz w:val="28"/>
        </w:rPr>
      </w:pPr>
      <w:r>
        <w:rPr>
          <w:rFonts w:hint="eastAsia" w:ascii="仿宋" w:hAnsi="仿宋" w:eastAsia="仿宋"/>
          <w:sz w:val="28"/>
        </w:rPr>
        <w:t>（六）广东翼启数据产业有限公司</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6854"/>
      </w:tblGrid>
      <w:tr w14:paraId="7AD2E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Borders>
              <w:insideV w:val="nil"/>
            </w:tcBorders>
          </w:tcPr>
          <w:p w14:paraId="2FDA9560">
            <w:pPr>
              <w:spacing w:before="0" w:after="0" w:line="240" w:lineRule="auto"/>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公司名称</w:t>
            </w:r>
          </w:p>
        </w:tc>
        <w:tc>
          <w:tcPr>
            <w:tcW w:w="6854" w:type="dxa"/>
            <w:tcBorders>
              <w:insideV w:val="nil"/>
            </w:tcBorders>
          </w:tcPr>
          <w:p w14:paraId="7EC7AC1A">
            <w:pPr>
              <w:spacing w:before="0" w:after="0" w:line="240" w:lineRule="auto"/>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广东翼启数据产业有限公司</w:t>
            </w:r>
          </w:p>
        </w:tc>
      </w:tr>
      <w:tr w14:paraId="7BA58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27C61687">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成立日期</w:t>
            </w:r>
          </w:p>
        </w:tc>
        <w:tc>
          <w:tcPr>
            <w:tcW w:w="6854" w:type="dxa"/>
            <w:shd w:val="clear" w:color="auto" w:fill="auto"/>
          </w:tcPr>
          <w:p w14:paraId="390FDC56">
            <w:pPr>
              <w:rPr>
                <w:rFonts w:ascii="仿宋" w:hAnsi="仿宋" w:eastAsia="仿宋" w:cstheme="minorBidi"/>
                <w:color w:val="000000" w:themeColor="text1" w:themeShade="BF"/>
                <w:kern w:val="0"/>
                <w:sz w:val="24"/>
              </w:rPr>
            </w:pPr>
            <w:r>
              <w:rPr>
                <w:rFonts w:hint="eastAsia" w:ascii="仿宋" w:hAnsi="仿宋" w:eastAsia="仿宋" w:cstheme="minorBidi"/>
                <w:color w:val="000000" w:themeColor="text1" w:themeShade="BF"/>
                <w:kern w:val="0"/>
                <w:sz w:val="24"/>
              </w:rPr>
              <w:t>2015-01-20</w:t>
            </w:r>
          </w:p>
        </w:tc>
      </w:tr>
      <w:tr w14:paraId="151C7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581958F2">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注册地点</w:t>
            </w:r>
          </w:p>
        </w:tc>
        <w:tc>
          <w:tcPr>
            <w:tcW w:w="6854" w:type="dxa"/>
            <w:shd w:val="clear" w:color="auto" w:fill="auto"/>
          </w:tcPr>
          <w:p w14:paraId="54574ED7">
            <w:pPr>
              <w:rPr>
                <w:rFonts w:ascii="仿宋" w:hAnsi="仿宋" w:eastAsia="仿宋" w:cstheme="minorBidi"/>
                <w:color w:val="000000" w:themeColor="text1" w:themeShade="BF"/>
                <w:kern w:val="0"/>
                <w:sz w:val="24"/>
              </w:rPr>
            </w:pPr>
            <w:r>
              <w:rPr>
                <w:rFonts w:hint="eastAsia" w:ascii="仿宋" w:hAnsi="仿宋" w:eastAsia="仿宋" w:cstheme="minorBidi"/>
                <w:color w:val="000000" w:themeColor="text1" w:themeShade="BF"/>
                <w:kern w:val="0"/>
                <w:sz w:val="24"/>
              </w:rPr>
              <w:t>汕头高新区科技东路7号1101房之1108单元</w:t>
            </w:r>
          </w:p>
        </w:tc>
      </w:tr>
      <w:tr w14:paraId="57903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45574EED">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法定代表人</w:t>
            </w:r>
          </w:p>
        </w:tc>
        <w:tc>
          <w:tcPr>
            <w:tcW w:w="6854" w:type="dxa"/>
            <w:shd w:val="clear" w:color="auto" w:fill="auto"/>
          </w:tcPr>
          <w:p w14:paraId="59D3638B">
            <w:pPr>
              <w:rPr>
                <w:rFonts w:ascii="仿宋" w:hAnsi="仿宋" w:eastAsia="仿宋" w:cstheme="minorBidi"/>
                <w:color w:val="000000" w:themeColor="text1" w:themeShade="BF"/>
                <w:kern w:val="0"/>
                <w:sz w:val="24"/>
              </w:rPr>
            </w:pPr>
            <w:r>
              <w:rPr>
                <w:rFonts w:hint="eastAsia" w:ascii="仿宋" w:hAnsi="仿宋" w:eastAsia="仿宋" w:cstheme="minorBidi"/>
                <w:color w:val="000000" w:themeColor="text1" w:themeShade="BF"/>
                <w:kern w:val="0"/>
                <w:sz w:val="24"/>
              </w:rPr>
              <w:t>林明玲</w:t>
            </w:r>
          </w:p>
        </w:tc>
      </w:tr>
      <w:tr w14:paraId="31A37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58EEA3C4">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注册资本</w:t>
            </w:r>
          </w:p>
        </w:tc>
        <w:tc>
          <w:tcPr>
            <w:tcW w:w="6854" w:type="dxa"/>
            <w:shd w:val="clear" w:color="auto" w:fill="auto"/>
          </w:tcPr>
          <w:p w14:paraId="222DE07F">
            <w:pPr>
              <w:rPr>
                <w:rFonts w:ascii="仿宋" w:hAnsi="仿宋" w:eastAsia="微软雅黑" w:cstheme="minorBidi"/>
                <w:color w:val="000000" w:themeColor="text1" w:themeShade="BF"/>
                <w:kern w:val="0"/>
                <w:sz w:val="24"/>
              </w:rPr>
            </w:pPr>
            <w:r>
              <w:rPr>
                <w:rFonts w:hint="eastAsia" w:ascii="仿宋" w:hAnsi="仿宋" w:eastAsia="仿宋" w:cstheme="minorBidi"/>
                <w:color w:val="000000" w:themeColor="text1" w:themeShade="BF"/>
                <w:kern w:val="0"/>
                <w:sz w:val="24"/>
              </w:rPr>
              <w:t>1250万元</w:t>
            </w:r>
          </w:p>
        </w:tc>
      </w:tr>
      <w:tr w14:paraId="56DBD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04AACA2C">
            <w:pPr>
              <w:rPr>
                <w:rFonts w:ascii="仿宋" w:hAnsi="仿宋" w:eastAsia="仿宋" w:cstheme="minorBidi"/>
                <w:b/>
                <w:bCs w:val="0"/>
                <w:color w:val="000000" w:themeColor="text1" w:themeShade="BF"/>
                <w:kern w:val="0"/>
                <w:sz w:val="24"/>
              </w:rPr>
            </w:pPr>
            <w:r>
              <w:rPr>
                <w:rFonts w:hint="eastAsia" w:ascii="仿宋" w:hAnsi="仿宋" w:eastAsia="仿宋" w:cstheme="minorBidi"/>
                <w:b w:val="0"/>
                <w:bCs/>
                <w:color w:val="000000" w:themeColor="text1" w:themeShade="BF"/>
                <w:kern w:val="0"/>
                <w:sz w:val="24"/>
              </w:rPr>
              <w:t>经营范围</w:t>
            </w:r>
          </w:p>
        </w:tc>
        <w:tc>
          <w:tcPr>
            <w:tcW w:w="6854" w:type="dxa"/>
            <w:shd w:val="clear" w:color="auto" w:fill="auto"/>
          </w:tcPr>
          <w:p w14:paraId="58DB73B3">
            <w:pPr>
              <w:rPr>
                <w:rFonts w:ascii="仿宋" w:hAnsi="仿宋" w:eastAsia="仿宋" w:cstheme="minorBidi"/>
                <w:color w:val="000000" w:themeColor="text1" w:themeShade="BF"/>
                <w:kern w:val="0"/>
                <w:sz w:val="24"/>
              </w:rPr>
            </w:pPr>
            <w:r>
              <w:rPr>
                <w:rFonts w:hint="eastAsia" w:ascii="仿宋" w:hAnsi="仿宋" w:eastAsia="仿宋" w:cstheme="minorBidi"/>
                <w:color w:val="000000" w:themeColor="text1" w:themeShade="BF"/>
                <w:kern w:val="0"/>
                <w:sz w:val="24"/>
              </w:rPr>
              <w:t>技术服务、技术开发、技术咨询、技术交流、技术转让、技术推广；大数据服务；信息系统集成服务；软件开发；数字技术服务；数据处理服务；云计算装备技术服务；数据处理和存储支持服务；地理遥感信息服务；信息技术咨询服务；科技中介服务；互联网数据服务；安全技术防范系统设计施工服务；计算机系统服务；网络技术服务；信息系统运行维护服务；工业互联网数据服务；数字创意产品展览展示服务；人工智能行业应用系统集成服务；人工智能公共服务平台技术咨询服务；人工智能理论与算法软件开发；人工智能公共数据平台；人工智能基础资源与技术平台；人工智能应用软件开发；业务培训（不含教育培训、职业技能培训等需取得许可的培训）；承接档案服务外包；电子产品销售；安防设备销售；云计算设备销售；通信设备销售；网络设备销售；软件销售；信息安全设备销售；计算器设备销售；计算机软硬件及辅助设备零售。（依法须经批准的项目，经相关部门批准后方可开展经营活动）</w:t>
            </w:r>
          </w:p>
        </w:tc>
      </w:tr>
      <w:tr w14:paraId="49C04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tcPr>
          <w:p w14:paraId="309AC62F">
            <w:pPr>
              <w:rPr>
                <w:rFonts w:ascii="仿宋" w:hAnsi="仿宋" w:eastAsia="仿宋"/>
                <w:b w:val="0"/>
                <w:bCs/>
                <w:color w:val="000000" w:themeColor="text1" w:themeShade="BF"/>
                <w:kern w:val="0"/>
                <w:sz w:val="24"/>
              </w:rPr>
            </w:pPr>
            <w:r>
              <w:rPr>
                <w:rFonts w:hint="eastAsia" w:ascii="仿宋" w:hAnsi="仿宋" w:eastAsia="仿宋"/>
                <w:b w:val="0"/>
                <w:bCs/>
                <w:color w:val="000000" w:themeColor="text1" w:themeShade="BF"/>
                <w:kern w:val="0"/>
                <w:sz w:val="24"/>
              </w:rPr>
              <w:t>是否为失信被执行人</w:t>
            </w:r>
          </w:p>
        </w:tc>
        <w:tc>
          <w:tcPr>
            <w:tcW w:w="6854" w:type="dxa"/>
            <w:shd w:val="clear" w:color="auto" w:fill="auto"/>
            <w:vAlign w:val="center"/>
          </w:tcPr>
          <w:p w14:paraId="20405A16">
            <w:pPr>
              <w:rPr>
                <w:rFonts w:ascii="仿宋" w:hAnsi="仿宋" w:eastAsia="仿宋"/>
                <w:color w:val="000000" w:themeColor="text1" w:themeShade="BF"/>
                <w:kern w:val="0"/>
                <w:sz w:val="24"/>
              </w:rPr>
            </w:pPr>
            <w:r>
              <w:rPr>
                <w:rFonts w:hint="eastAsia" w:ascii="仿宋" w:hAnsi="仿宋" w:eastAsia="仿宋"/>
                <w:color w:val="000000" w:themeColor="text1" w:themeShade="BF"/>
                <w:kern w:val="0"/>
                <w:sz w:val="24"/>
              </w:rPr>
              <w:t>否</w:t>
            </w:r>
          </w:p>
        </w:tc>
      </w:tr>
    </w:tbl>
    <w:p w14:paraId="3E75AB3E">
      <w:pPr>
        <w:spacing w:before="156" w:beforeLines="50" w:line="360" w:lineRule="auto"/>
        <w:ind w:firstLine="560" w:firstLineChars="200"/>
        <w:rPr>
          <w:rFonts w:ascii="仿宋" w:hAnsi="仿宋" w:eastAsia="仿宋"/>
          <w:sz w:val="28"/>
        </w:rPr>
      </w:pPr>
      <w:r>
        <w:rPr>
          <w:rFonts w:hint="eastAsia" w:ascii="仿宋" w:hAnsi="仿宋" w:eastAsia="仿宋"/>
          <w:sz w:val="28"/>
        </w:rPr>
        <w:t>股权结构如下：</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91"/>
        <w:gridCol w:w="2866"/>
        <w:gridCol w:w="1565"/>
      </w:tblGrid>
      <w:tr w14:paraId="677D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0" w:type="pct"/>
            <w:vAlign w:val="center"/>
          </w:tcPr>
          <w:p w14:paraId="2922245A">
            <w:pPr>
              <w:jc w:val="center"/>
              <w:rPr>
                <w:rFonts w:eastAsia="仿宋"/>
                <w:kern w:val="0"/>
                <w:sz w:val="24"/>
                <w:szCs w:val="24"/>
              </w:rPr>
            </w:pPr>
            <w:r>
              <w:rPr>
                <w:rFonts w:eastAsia="仿宋"/>
                <w:kern w:val="0"/>
                <w:sz w:val="24"/>
                <w:szCs w:val="24"/>
              </w:rPr>
              <w:t>股东名称</w:t>
            </w:r>
          </w:p>
        </w:tc>
        <w:tc>
          <w:tcPr>
            <w:tcW w:w="1681" w:type="pct"/>
            <w:vAlign w:val="center"/>
          </w:tcPr>
          <w:p w14:paraId="39BEEEE9">
            <w:pPr>
              <w:jc w:val="center"/>
              <w:rPr>
                <w:rFonts w:eastAsia="仿宋"/>
                <w:kern w:val="0"/>
                <w:sz w:val="24"/>
                <w:szCs w:val="24"/>
              </w:rPr>
            </w:pPr>
            <w:r>
              <w:rPr>
                <w:rFonts w:eastAsia="仿宋"/>
                <w:kern w:val="0"/>
                <w:sz w:val="24"/>
                <w:szCs w:val="24"/>
              </w:rPr>
              <w:t>认缴注册额（万元）</w:t>
            </w:r>
          </w:p>
        </w:tc>
        <w:tc>
          <w:tcPr>
            <w:tcW w:w="918" w:type="pct"/>
            <w:vAlign w:val="center"/>
          </w:tcPr>
          <w:p w14:paraId="64FC32E8">
            <w:pPr>
              <w:jc w:val="center"/>
              <w:rPr>
                <w:rFonts w:eastAsia="仿宋"/>
                <w:kern w:val="0"/>
                <w:sz w:val="24"/>
                <w:szCs w:val="24"/>
              </w:rPr>
            </w:pPr>
            <w:r>
              <w:rPr>
                <w:rFonts w:eastAsia="仿宋"/>
                <w:kern w:val="0"/>
                <w:sz w:val="24"/>
                <w:szCs w:val="24"/>
              </w:rPr>
              <w:t>持股比例</w:t>
            </w:r>
          </w:p>
        </w:tc>
      </w:tr>
      <w:tr w14:paraId="1CDE8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0" w:type="pct"/>
            <w:vAlign w:val="center"/>
          </w:tcPr>
          <w:p w14:paraId="6E636B9F">
            <w:pPr>
              <w:jc w:val="center"/>
              <w:rPr>
                <w:rFonts w:eastAsia="仿宋"/>
                <w:kern w:val="0"/>
                <w:sz w:val="24"/>
                <w:szCs w:val="24"/>
              </w:rPr>
            </w:pPr>
            <w:r>
              <w:rPr>
                <w:rFonts w:eastAsia="仿宋"/>
                <w:kern w:val="0"/>
                <w:sz w:val="24"/>
                <w:szCs w:val="24"/>
              </w:rPr>
              <w:t>深圳市互联精英信息技术有限公司</w:t>
            </w:r>
          </w:p>
        </w:tc>
        <w:tc>
          <w:tcPr>
            <w:tcW w:w="1681" w:type="pct"/>
            <w:vAlign w:val="center"/>
          </w:tcPr>
          <w:p w14:paraId="05E95541">
            <w:pPr>
              <w:jc w:val="center"/>
              <w:rPr>
                <w:rFonts w:eastAsia="仿宋"/>
                <w:kern w:val="0"/>
                <w:sz w:val="24"/>
                <w:szCs w:val="24"/>
              </w:rPr>
            </w:pPr>
            <w:r>
              <w:rPr>
                <w:rFonts w:eastAsia="仿宋"/>
                <w:color w:val="333333"/>
                <w:sz w:val="24"/>
                <w:szCs w:val="24"/>
                <w:shd w:val="clear" w:color="auto" w:fill="FFFFFF"/>
              </w:rPr>
              <w:t>637.5</w:t>
            </w:r>
          </w:p>
        </w:tc>
        <w:tc>
          <w:tcPr>
            <w:tcW w:w="918" w:type="pct"/>
            <w:vAlign w:val="center"/>
          </w:tcPr>
          <w:p w14:paraId="11A4F4F9">
            <w:pPr>
              <w:jc w:val="center"/>
              <w:rPr>
                <w:rFonts w:eastAsia="仿宋"/>
                <w:kern w:val="0"/>
                <w:sz w:val="24"/>
                <w:szCs w:val="24"/>
              </w:rPr>
            </w:pPr>
            <w:r>
              <w:rPr>
                <w:rFonts w:eastAsia="仿宋"/>
                <w:color w:val="333333"/>
                <w:sz w:val="24"/>
                <w:szCs w:val="24"/>
                <w:shd w:val="clear" w:color="auto" w:fill="FFFFFF"/>
              </w:rPr>
              <w:t>51.00%</w:t>
            </w:r>
          </w:p>
        </w:tc>
      </w:tr>
      <w:tr w14:paraId="6667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0" w:type="pct"/>
            <w:vAlign w:val="center"/>
          </w:tcPr>
          <w:p w14:paraId="42480A61">
            <w:pPr>
              <w:jc w:val="center"/>
              <w:rPr>
                <w:rFonts w:eastAsia="仿宋"/>
                <w:kern w:val="0"/>
                <w:sz w:val="24"/>
                <w:szCs w:val="24"/>
              </w:rPr>
            </w:pPr>
            <w:r>
              <w:rPr>
                <w:rFonts w:eastAsia="仿宋"/>
                <w:kern w:val="0"/>
                <w:sz w:val="24"/>
                <w:szCs w:val="24"/>
              </w:rPr>
              <w:t>汕头市天启软件技术服务有限公司</w:t>
            </w:r>
          </w:p>
        </w:tc>
        <w:tc>
          <w:tcPr>
            <w:tcW w:w="1681" w:type="pct"/>
            <w:vAlign w:val="center"/>
          </w:tcPr>
          <w:p w14:paraId="7AE2F9D6">
            <w:pPr>
              <w:jc w:val="center"/>
              <w:rPr>
                <w:rFonts w:eastAsia="仿宋"/>
                <w:kern w:val="0"/>
                <w:sz w:val="24"/>
                <w:szCs w:val="24"/>
              </w:rPr>
            </w:pPr>
            <w:r>
              <w:rPr>
                <w:rFonts w:eastAsia="仿宋"/>
                <w:color w:val="333333"/>
                <w:sz w:val="24"/>
                <w:szCs w:val="24"/>
                <w:shd w:val="clear" w:color="auto" w:fill="FFFFFF"/>
              </w:rPr>
              <w:t>365</w:t>
            </w:r>
          </w:p>
        </w:tc>
        <w:tc>
          <w:tcPr>
            <w:tcW w:w="918" w:type="pct"/>
            <w:vAlign w:val="center"/>
          </w:tcPr>
          <w:p w14:paraId="26158292">
            <w:pPr>
              <w:jc w:val="center"/>
              <w:rPr>
                <w:rFonts w:eastAsia="仿宋"/>
                <w:kern w:val="0"/>
                <w:sz w:val="24"/>
                <w:szCs w:val="24"/>
              </w:rPr>
            </w:pPr>
            <w:r>
              <w:rPr>
                <w:rFonts w:eastAsia="仿宋"/>
                <w:kern w:val="0"/>
                <w:sz w:val="24"/>
                <w:szCs w:val="24"/>
              </w:rPr>
              <w:t>29.20%</w:t>
            </w:r>
          </w:p>
        </w:tc>
      </w:tr>
      <w:tr w14:paraId="598D8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0" w:type="pct"/>
            <w:vAlign w:val="center"/>
          </w:tcPr>
          <w:p w14:paraId="07B5B324">
            <w:pPr>
              <w:jc w:val="center"/>
              <w:rPr>
                <w:rFonts w:eastAsia="仿宋"/>
                <w:kern w:val="0"/>
                <w:sz w:val="24"/>
                <w:szCs w:val="24"/>
              </w:rPr>
            </w:pPr>
            <w:r>
              <w:rPr>
                <w:rFonts w:eastAsia="仿宋"/>
                <w:kern w:val="0"/>
                <w:sz w:val="24"/>
                <w:szCs w:val="24"/>
              </w:rPr>
              <w:t>广东龙和数智软件科技有限公司</w:t>
            </w:r>
          </w:p>
        </w:tc>
        <w:tc>
          <w:tcPr>
            <w:tcW w:w="1681" w:type="pct"/>
            <w:vAlign w:val="center"/>
          </w:tcPr>
          <w:p w14:paraId="199B8470">
            <w:pPr>
              <w:jc w:val="center"/>
              <w:rPr>
                <w:rFonts w:eastAsia="仿宋"/>
                <w:kern w:val="0"/>
                <w:sz w:val="24"/>
                <w:szCs w:val="24"/>
              </w:rPr>
            </w:pPr>
            <w:r>
              <w:rPr>
                <w:rFonts w:eastAsia="仿宋"/>
                <w:kern w:val="0"/>
                <w:sz w:val="24"/>
                <w:szCs w:val="24"/>
              </w:rPr>
              <w:t>125</w:t>
            </w:r>
          </w:p>
        </w:tc>
        <w:tc>
          <w:tcPr>
            <w:tcW w:w="918" w:type="pct"/>
            <w:vAlign w:val="center"/>
          </w:tcPr>
          <w:p w14:paraId="28C7A7CA">
            <w:pPr>
              <w:jc w:val="center"/>
              <w:rPr>
                <w:rFonts w:eastAsia="仿宋"/>
                <w:kern w:val="0"/>
                <w:sz w:val="24"/>
                <w:szCs w:val="24"/>
              </w:rPr>
            </w:pPr>
            <w:r>
              <w:rPr>
                <w:rFonts w:eastAsia="仿宋"/>
                <w:color w:val="333333"/>
                <w:sz w:val="24"/>
                <w:szCs w:val="24"/>
                <w:shd w:val="clear" w:color="auto" w:fill="FFFFFF"/>
              </w:rPr>
              <w:t>10.00%</w:t>
            </w:r>
          </w:p>
        </w:tc>
      </w:tr>
      <w:tr w14:paraId="2B25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0" w:type="pct"/>
            <w:vAlign w:val="center"/>
          </w:tcPr>
          <w:p w14:paraId="00B9D5B2">
            <w:pPr>
              <w:jc w:val="center"/>
              <w:rPr>
                <w:rFonts w:eastAsia="仿宋"/>
                <w:kern w:val="0"/>
                <w:sz w:val="24"/>
                <w:szCs w:val="24"/>
              </w:rPr>
            </w:pPr>
            <w:r>
              <w:rPr>
                <w:rFonts w:eastAsia="仿宋"/>
                <w:kern w:val="0"/>
                <w:sz w:val="24"/>
                <w:szCs w:val="24"/>
              </w:rPr>
              <w:t>汕头市翼送软件有限公司</w:t>
            </w:r>
          </w:p>
        </w:tc>
        <w:tc>
          <w:tcPr>
            <w:tcW w:w="1681" w:type="pct"/>
            <w:vAlign w:val="center"/>
          </w:tcPr>
          <w:p w14:paraId="0538EA4E">
            <w:pPr>
              <w:jc w:val="center"/>
              <w:rPr>
                <w:rFonts w:eastAsia="仿宋"/>
                <w:kern w:val="0"/>
                <w:sz w:val="24"/>
                <w:szCs w:val="24"/>
              </w:rPr>
            </w:pPr>
            <w:r>
              <w:rPr>
                <w:rFonts w:eastAsia="仿宋"/>
                <w:kern w:val="0"/>
                <w:sz w:val="24"/>
                <w:szCs w:val="24"/>
              </w:rPr>
              <w:t>62.5</w:t>
            </w:r>
          </w:p>
        </w:tc>
        <w:tc>
          <w:tcPr>
            <w:tcW w:w="918" w:type="pct"/>
            <w:vAlign w:val="center"/>
          </w:tcPr>
          <w:p w14:paraId="4CA4A522">
            <w:pPr>
              <w:jc w:val="center"/>
              <w:rPr>
                <w:rFonts w:eastAsia="仿宋"/>
                <w:kern w:val="0"/>
                <w:sz w:val="24"/>
                <w:szCs w:val="24"/>
              </w:rPr>
            </w:pPr>
            <w:r>
              <w:rPr>
                <w:rFonts w:eastAsia="仿宋"/>
                <w:kern w:val="0"/>
                <w:sz w:val="24"/>
                <w:szCs w:val="24"/>
              </w:rPr>
              <w:t>5.00%</w:t>
            </w:r>
          </w:p>
        </w:tc>
      </w:tr>
      <w:tr w14:paraId="4F979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400" w:type="pct"/>
            <w:vAlign w:val="center"/>
          </w:tcPr>
          <w:p w14:paraId="575FAABA">
            <w:pPr>
              <w:jc w:val="center"/>
              <w:rPr>
                <w:rFonts w:eastAsia="仿宋"/>
                <w:kern w:val="0"/>
                <w:sz w:val="24"/>
                <w:szCs w:val="24"/>
              </w:rPr>
            </w:pPr>
            <w:r>
              <w:rPr>
                <w:rFonts w:eastAsia="仿宋"/>
                <w:kern w:val="0"/>
                <w:sz w:val="24"/>
                <w:szCs w:val="24"/>
              </w:rPr>
              <w:t>林树生</w:t>
            </w:r>
          </w:p>
        </w:tc>
        <w:tc>
          <w:tcPr>
            <w:tcW w:w="1681" w:type="pct"/>
            <w:vAlign w:val="center"/>
          </w:tcPr>
          <w:p w14:paraId="33C65705">
            <w:pPr>
              <w:jc w:val="center"/>
              <w:rPr>
                <w:rFonts w:eastAsia="仿宋"/>
                <w:kern w:val="0"/>
                <w:sz w:val="24"/>
                <w:szCs w:val="24"/>
              </w:rPr>
            </w:pPr>
            <w:r>
              <w:rPr>
                <w:rFonts w:eastAsia="仿宋"/>
                <w:kern w:val="0"/>
                <w:sz w:val="24"/>
                <w:szCs w:val="24"/>
              </w:rPr>
              <w:t>60</w:t>
            </w:r>
          </w:p>
        </w:tc>
        <w:tc>
          <w:tcPr>
            <w:tcW w:w="918" w:type="pct"/>
            <w:vAlign w:val="center"/>
          </w:tcPr>
          <w:p w14:paraId="67A62000">
            <w:pPr>
              <w:jc w:val="center"/>
              <w:rPr>
                <w:rFonts w:eastAsia="仿宋"/>
                <w:kern w:val="0"/>
                <w:sz w:val="24"/>
                <w:szCs w:val="24"/>
              </w:rPr>
            </w:pPr>
            <w:r>
              <w:rPr>
                <w:rFonts w:eastAsia="仿宋"/>
                <w:kern w:val="0"/>
                <w:sz w:val="24"/>
                <w:szCs w:val="24"/>
              </w:rPr>
              <w:t>4.80%</w:t>
            </w:r>
          </w:p>
        </w:tc>
      </w:tr>
    </w:tbl>
    <w:p w14:paraId="41BCFAC5">
      <w:pPr>
        <w:spacing w:before="156" w:beforeLines="50" w:line="360" w:lineRule="auto"/>
        <w:ind w:firstLine="560" w:firstLineChars="200"/>
        <w:rPr>
          <w:rFonts w:ascii="仿宋" w:hAnsi="仿宋" w:eastAsia="仿宋"/>
          <w:sz w:val="28"/>
        </w:rPr>
      </w:pPr>
      <w:r>
        <w:rPr>
          <w:rFonts w:hint="eastAsia" w:ascii="仿宋" w:hAnsi="仿宋" w:eastAsia="仿宋"/>
          <w:sz w:val="28"/>
        </w:rPr>
        <w:t>最近一年又一期财务数据如下：</w:t>
      </w:r>
    </w:p>
    <w:p w14:paraId="56C3159D">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单位：元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9"/>
        <w:gridCol w:w="3056"/>
        <w:gridCol w:w="2707"/>
      </w:tblGrid>
      <w:tr w14:paraId="66EB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759" w:type="dxa"/>
            <w:tcBorders>
              <w:insideV w:val="nil"/>
            </w:tcBorders>
            <w:shd w:val="clear" w:color="auto" w:fill="auto"/>
          </w:tcPr>
          <w:p w14:paraId="66FFFDB9">
            <w:pPr>
              <w:keepNext w:val="0"/>
              <w:keepLines w:val="0"/>
              <w:pageBreakBefore w:val="0"/>
              <w:kinsoku/>
              <w:wordWrap/>
              <w:overflowPunct/>
              <w:topLinePunct w:val="0"/>
              <w:autoSpaceDE/>
              <w:autoSpaceDN/>
              <w:bidi w:val="0"/>
              <w:adjustRightInd/>
              <w:snapToGrid/>
              <w:spacing w:before="0" w:after="0" w:line="240" w:lineRule="auto"/>
              <w:ind w:firstLine="0"/>
              <w:jc w:val="center"/>
              <w:rPr>
                <w:rFonts w:eastAsia="仿宋"/>
                <w:b w:val="0"/>
                <w:bCs w:val="0"/>
                <w:color w:val="000000" w:themeColor="text1" w:themeShade="BF"/>
                <w:kern w:val="0"/>
                <w:sz w:val="24"/>
              </w:rPr>
            </w:pPr>
            <w:r>
              <w:rPr>
                <w:rFonts w:eastAsia="仿宋"/>
                <w:b/>
                <w:bCs/>
                <w:color w:val="000000" w:themeColor="text1" w:themeShade="BF"/>
                <w:kern w:val="0"/>
                <w:sz w:val="24"/>
              </w:rPr>
              <w:t>项目</w:t>
            </w:r>
          </w:p>
        </w:tc>
        <w:tc>
          <w:tcPr>
            <w:tcW w:w="3056" w:type="dxa"/>
            <w:tcBorders>
              <w:insideV w:val="nil"/>
            </w:tcBorders>
            <w:shd w:val="clear" w:color="auto" w:fill="auto"/>
          </w:tcPr>
          <w:p w14:paraId="198B5BA4">
            <w:pPr>
              <w:keepNext w:val="0"/>
              <w:keepLines w:val="0"/>
              <w:pageBreakBefore w:val="0"/>
              <w:kinsoku/>
              <w:wordWrap/>
              <w:overflowPunct/>
              <w:topLinePunct w:val="0"/>
              <w:autoSpaceDE/>
              <w:autoSpaceDN/>
              <w:bidi w:val="0"/>
              <w:adjustRightInd/>
              <w:snapToGrid/>
              <w:spacing w:before="0" w:after="0" w:line="240" w:lineRule="auto"/>
              <w:ind w:firstLine="0"/>
              <w:jc w:val="center"/>
              <w:rPr>
                <w:rFonts w:eastAsia="仿宋"/>
                <w:b w:val="0"/>
                <w:bCs w:val="0"/>
                <w:color w:val="000000" w:themeColor="text1" w:themeShade="BF"/>
                <w:kern w:val="0"/>
                <w:sz w:val="24"/>
              </w:rPr>
            </w:pPr>
            <w:r>
              <w:rPr>
                <w:rFonts w:eastAsia="仿宋"/>
                <w:b/>
                <w:bCs/>
                <w:color w:val="000000" w:themeColor="text1" w:themeShade="BF"/>
                <w:kern w:val="0"/>
                <w:sz w:val="24"/>
              </w:rPr>
              <w:t>202</w:t>
            </w:r>
            <w:r>
              <w:rPr>
                <w:rFonts w:hint="eastAsia" w:eastAsia="仿宋"/>
                <w:b/>
                <w:bCs/>
                <w:color w:val="000000" w:themeColor="text1" w:themeShade="BF"/>
                <w:kern w:val="0"/>
                <w:sz w:val="24"/>
              </w:rPr>
              <w:t>5</w:t>
            </w:r>
            <w:r>
              <w:rPr>
                <w:rFonts w:eastAsia="仿宋"/>
                <w:b/>
                <w:bCs/>
                <w:color w:val="000000" w:themeColor="text1" w:themeShade="BF"/>
                <w:kern w:val="0"/>
                <w:sz w:val="24"/>
              </w:rPr>
              <w:t>年末/202</w:t>
            </w:r>
            <w:r>
              <w:rPr>
                <w:rFonts w:hint="eastAsia" w:eastAsia="仿宋"/>
                <w:b/>
                <w:bCs/>
                <w:color w:val="000000" w:themeColor="text1" w:themeShade="BF"/>
                <w:kern w:val="0"/>
                <w:sz w:val="24"/>
              </w:rPr>
              <w:t>5</w:t>
            </w:r>
            <w:r>
              <w:rPr>
                <w:rFonts w:eastAsia="仿宋"/>
                <w:b/>
                <w:bCs/>
                <w:color w:val="000000" w:themeColor="text1" w:themeShade="BF"/>
                <w:kern w:val="0"/>
                <w:sz w:val="24"/>
              </w:rPr>
              <w:t>年</w:t>
            </w:r>
          </w:p>
          <w:p w14:paraId="245133CD">
            <w:pPr>
              <w:keepNext w:val="0"/>
              <w:keepLines w:val="0"/>
              <w:pageBreakBefore w:val="0"/>
              <w:kinsoku/>
              <w:wordWrap/>
              <w:overflowPunct/>
              <w:topLinePunct w:val="0"/>
              <w:autoSpaceDE/>
              <w:autoSpaceDN/>
              <w:bidi w:val="0"/>
              <w:adjustRightInd/>
              <w:snapToGrid/>
              <w:spacing w:before="0" w:after="0" w:line="240" w:lineRule="auto"/>
              <w:ind w:firstLine="0"/>
              <w:jc w:val="center"/>
              <w:rPr>
                <w:rFonts w:eastAsia="仿宋"/>
                <w:b w:val="0"/>
                <w:bCs w:val="0"/>
                <w:color w:val="000000" w:themeColor="text1" w:themeShade="BF"/>
                <w:kern w:val="0"/>
                <w:sz w:val="24"/>
              </w:rPr>
            </w:pPr>
            <w:r>
              <w:rPr>
                <w:rFonts w:eastAsia="仿宋"/>
                <w:b/>
                <w:bCs/>
                <w:color w:val="000000" w:themeColor="text1" w:themeShade="BF"/>
                <w:kern w:val="0"/>
                <w:sz w:val="24"/>
              </w:rPr>
              <w:t>（经审计）</w:t>
            </w:r>
          </w:p>
        </w:tc>
        <w:tc>
          <w:tcPr>
            <w:tcW w:w="2707" w:type="dxa"/>
            <w:tcBorders>
              <w:insideV w:val="nil"/>
            </w:tcBorders>
            <w:shd w:val="clear" w:color="auto" w:fill="auto"/>
          </w:tcPr>
          <w:p w14:paraId="65FFC025">
            <w:pPr>
              <w:keepNext w:val="0"/>
              <w:keepLines w:val="0"/>
              <w:pageBreakBefore w:val="0"/>
              <w:kinsoku/>
              <w:wordWrap/>
              <w:overflowPunct/>
              <w:topLinePunct w:val="0"/>
              <w:autoSpaceDE/>
              <w:autoSpaceDN/>
              <w:bidi w:val="0"/>
              <w:adjustRightInd/>
              <w:snapToGrid/>
              <w:spacing w:before="0" w:after="0" w:line="240" w:lineRule="auto"/>
              <w:ind w:firstLine="0"/>
              <w:jc w:val="center"/>
              <w:rPr>
                <w:rFonts w:eastAsia="仿宋"/>
                <w:b w:val="0"/>
                <w:bCs w:val="0"/>
                <w:color w:val="000000" w:themeColor="text1" w:themeShade="BF"/>
                <w:kern w:val="0"/>
                <w:sz w:val="24"/>
              </w:rPr>
            </w:pPr>
            <w:r>
              <w:rPr>
                <w:rFonts w:eastAsia="仿宋"/>
                <w:b/>
                <w:bCs/>
                <w:color w:val="000000" w:themeColor="text1" w:themeShade="BF"/>
                <w:kern w:val="0"/>
                <w:sz w:val="24"/>
              </w:rPr>
              <w:t>2024年末/2024年</w:t>
            </w:r>
          </w:p>
          <w:p w14:paraId="680D94D5">
            <w:pPr>
              <w:keepNext w:val="0"/>
              <w:keepLines w:val="0"/>
              <w:pageBreakBefore w:val="0"/>
              <w:kinsoku/>
              <w:wordWrap/>
              <w:overflowPunct/>
              <w:topLinePunct w:val="0"/>
              <w:autoSpaceDE/>
              <w:autoSpaceDN/>
              <w:bidi w:val="0"/>
              <w:adjustRightInd/>
              <w:snapToGrid/>
              <w:spacing w:before="0" w:after="0" w:line="240" w:lineRule="auto"/>
              <w:ind w:firstLine="0"/>
              <w:jc w:val="center"/>
              <w:rPr>
                <w:rFonts w:eastAsia="仿宋"/>
                <w:b/>
                <w:bCs w:val="0"/>
                <w:color w:val="000000" w:themeColor="text1" w:themeShade="BF"/>
                <w:kern w:val="0"/>
                <w:sz w:val="24"/>
              </w:rPr>
            </w:pPr>
            <w:r>
              <w:rPr>
                <w:rFonts w:eastAsia="仿宋"/>
                <w:b/>
                <w:bCs/>
                <w:color w:val="000000" w:themeColor="text1" w:themeShade="BF"/>
                <w:kern w:val="0"/>
                <w:sz w:val="24"/>
              </w:rPr>
              <w:t>（经审计）</w:t>
            </w:r>
          </w:p>
        </w:tc>
      </w:tr>
      <w:tr w14:paraId="77A73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4A3329B2">
            <w:pPr>
              <w:keepNext w:val="0"/>
              <w:keepLines w:val="0"/>
              <w:pageBreakBefore w:val="0"/>
              <w:kinsoku/>
              <w:wordWrap/>
              <w:overflowPunct/>
              <w:topLinePunct w:val="0"/>
              <w:autoSpaceDE/>
              <w:autoSpaceDN/>
              <w:bidi w:val="0"/>
              <w:adjustRightInd/>
              <w:snapToGrid/>
              <w:ind w:firstLine="0"/>
              <w:jc w:val="center"/>
              <w:rPr>
                <w:rFonts w:eastAsia="仿宋"/>
                <w:b/>
                <w:bCs w:val="0"/>
                <w:color w:val="000000" w:themeColor="text1" w:themeShade="BF"/>
                <w:kern w:val="0"/>
                <w:sz w:val="24"/>
              </w:rPr>
            </w:pPr>
            <w:r>
              <w:rPr>
                <w:rFonts w:eastAsia="仿宋"/>
                <w:b w:val="0"/>
                <w:bCs/>
                <w:color w:val="000000" w:themeColor="text1" w:themeShade="BF"/>
                <w:kern w:val="0"/>
                <w:sz w:val="24"/>
              </w:rPr>
              <w:t>资产总额</w:t>
            </w:r>
          </w:p>
        </w:tc>
        <w:tc>
          <w:tcPr>
            <w:tcW w:w="3056" w:type="dxa"/>
            <w:shd w:val="clear" w:color="auto" w:fill="auto"/>
            <w:vAlign w:val="center"/>
          </w:tcPr>
          <w:p w14:paraId="79BB34EC">
            <w:pPr>
              <w:keepNext w:val="0"/>
              <w:keepLines w:val="0"/>
              <w:pageBreakBefore w:val="0"/>
              <w:widowControl/>
              <w:kinsoku/>
              <w:wordWrap/>
              <w:overflowPunct/>
              <w:topLinePunct w:val="0"/>
              <w:autoSpaceDE/>
              <w:autoSpaceDN/>
              <w:bidi w:val="0"/>
              <w:adjustRightInd/>
              <w:snapToGrid/>
              <w:ind w:firstLine="0"/>
              <w:jc w:val="right"/>
              <w:textAlignment w:val="center"/>
              <w:rPr>
                <w:rFonts w:eastAsia="仿宋"/>
                <w:color w:val="000000"/>
                <w:kern w:val="0"/>
                <w:sz w:val="20"/>
                <w:szCs w:val="24"/>
              </w:rPr>
            </w:pPr>
            <w:r>
              <w:rPr>
                <w:color w:val="000000"/>
                <w:kern w:val="0"/>
                <w:sz w:val="20"/>
                <w:lang w:bidi="ar"/>
              </w:rPr>
              <w:t xml:space="preserve"> 19,804,320.71 </w:t>
            </w:r>
          </w:p>
        </w:tc>
        <w:tc>
          <w:tcPr>
            <w:tcW w:w="2707" w:type="dxa"/>
            <w:shd w:val="clear" w:color="auto" w:fill="auto"/>
            <w:vAlign w:val="center"/>
          </w:tcPr>
          <w:p w14:paraId="677F103C">
            <w:pPr>
              <w:keepNext w:val="0"/>
              <w:keepLines w:val="0"/>
              <w:pageBreakBefore w:val="0"/>
              <w:widowControl/>
              <w:kinsoku/>
              <w:wordWrap/>
              <w:overflowPunct/>
              <w:topLinePunct w:val="0"/>
              <w:autoSpaceDE/>
              <w:autoSpaceDN/>
              <w:bidi w:val="0"/>
              <w:adjustRightInd/>
              <w:snapToGrid/>
              <w:ind w:firstLine="0"/>
              <w:jc w:val="right"/>
              <w:textAlignment w:val="center"/>
              <w:rPr>
                <w:rFonts w:eastAsia="仿宋"/>
                <w:color w:val="000000"/>
                <w:kern w:val="0"/>
                <w:sz w:val="20"/>
              </w:rPr>
            </w:pPr>
            <w:r>
              <w:rPr>
                <w:color w:val="000000"/>
                <w:kern w:val="0"/>
                <w:sz w:val="20"/>
                <w:lang w:bidi="ar"/>
              </w:rPr>
              <w:t xml:space="preserve"> 18,701,506.74 </w:t>
            </w:r>
          </w:p>
        </w:tc>
      </w:tr>
      <w:tr w14:paraId="3817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401A512B">
            <w:pPr>
              <w:keepNext w:val="0"/>
              <w:keepLines w:val="0"/>
              <w:pageBreakBefore w:val="0"/>
              <w:kinsoku/>
              <w:wordWrap/>
              <w:overflowPunct/>
              <w:topLinePunct w:val="0"/>
              <w:autoSpaceDE/>
              <w:autoSpaceDN/>
              <w:bidi w:val="0"/>
              <w:adjustRightInd/>
              <w:snapToGrid/>
              <w:ind w:firstLine="0"/>
              <w:jc w:val="center"/>
              <w:rPr>
                <w:rFonts w:eastAsia="仿宋"/>
                <w:b/>
                <w:bCs w:val="0"/>
                <w:color w:val="000000" w:themeColor="text1" w:themeShade="BF"/>
                <w:kern w:val="0"/>
                <w:sz w:val="24"/>
              </w:rPr>
            </w:pPr>
            <w:r>
              <w:rPr>
                <w:rFonts w:eastAsia="仿宋"/>
                <w:b w:val="0"/>
                <w:bCs/>
                <w:color w:val="000000" w:themeColor="text1" w:themeShade="BF"/>
                <w:kern w:val="0"/>
                <w:sz w:val="24"/>
              </w:rPr>
              <w:t>负债总额</w:t>
            </w:r>
          </w:p>
        </w:tc>
        <w:tc>
          <w:tcPr>
            <w:tcW w:w="3056" w:type="dxa"/>
            <w:shd w:val="clear" w:color="auto" w:fill="auto"/>
          </w:tcPr>
          <w:p w14:paraId="6ACB3901">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szCs w:val="24"/>
              </w:rPr>
            </w:pPr>
            <w:r>
              <w:rPr>
                <w:color w:val="000000"/>
                <w:kern w:val="0"/>
                <w:sz w:val="20"/>
                <w:lang w:bidi="ar"/>
              </w:rPr>
              <w:t xml:space="preserve"> 9,002,648.51 </w:t>
            </w:r>
          </w:p>
        </w:tc>
        <w:tc>
          <w:tcPr>
            <w:tcW w:w="2707" w:type="dxa"/>
            <w:shd w:val="clear" w:color="auto" w:fill="auto"/>
          </w:tcPr>
          <w:p w14:paraId="533C9F2F">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rPr>
            </w:pPr>
            <w:r>
              <w:rPr>
                <w:color w:val="000000"/>
                <w:kern w:val="0"/>
                <w:sz w:val="20"/>
                <w:lang w:bidi="ar"/>
              </w:rPr>
              <w:t xml:space="preserve"> 8,541,730.44 </w:t>
            </w:r>
          </w:p>
        </w:tc>
      </w:tr>
      <w:tr w14:paraId="1A577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3838832F">
            <w:pPr>
              <w:keepNext w:val="0"/>
              <w:keepLines w:val="0"/>
              <w:pageBreakBefore w:val="0"/>
              <w:kinsoku/>
              <w:wordWrap/>
              <w:overflowPunct/>
              <w:topLinePunct w:val="0"/>
              <w:autoSpaceDE/>
              <w:autoSpaceDN/>
              <w:bidi w:val="0"/>
              <w:adjustRightInd/>
              <w:snapToGrid/>
              <w:ind w:firstLine="0"/>
              <w:jc w:val="right"/>
              <w:rPr>
                <w:rFonts w:eastAsia="仿宋"/>
                <w:b/>
                <w:bCs w:val="0"/>
                <w:color w:val="000000" w:themeColor="text1" w:themeShade="BF"/>
                <w:kern w:val="0"/>
                <w:sz w:val="24"/>
              </w:rPr>
            </w:pPr>
            <w:r>
              <w:rPr>
                <w:rFonts w:eastAsia="仿宋"/>
                <w:b w:val="0"/>
                <w:bCs/>
                <w:color w:val="000000" w:themeColor="text1" w:themeShade="BF"/>
                <w:kern w:val="0"/>
                <w:sz w:val="24"/>
              </w:rPr>
              <w:t>其中：银行贷款</w:t>
            </w:r>
          </w:p>
        </w:tc>
        <w:tc>
          <w:tcPr>
            <w:tcW w:w="3056" w:type="dxa"/>
            <w:shd w:val="clear" w:color="auto" w:fill="auto"/>
          </w:tcPr>
          <w:p w14:paraId="174F1234">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szCs w:val="24"/>
              </w:rPr>
            </w:pPr>
            <w:r>
              <w:rPr>
                <w:color w:val="000000"/>
                <w:kern w:val="0"/>
                <w:sz w:val="20"/>
                <w:lang w:bidi="ar"/>
              </w:rPr>
              <w:t xml:space="preserve"> - </w:t>
            </w:r>
          </w:p>
        </w:tc>
        <w:tc>
          <w:tcPr>
            <w:tcW w:w="2707" w:type="dxa"/>
            <w:shd w:val="clear" w:color="auto" w:fill="auto"/>
          </w:tcPr>
          <w:p w14:paraId="7D60958D">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rPr>
            </w:pPr>
            <w:r>
              <w:rPr>
                <w:color w:val="000000"/>
                <w:kern w:val="0"/>
                <w:sz w:val="20"/>
                <w:lang w:bidi="ar"/>
              </w:rPr>
              <w:t xml:space="preserve"> - </w:t>
            </w:r>
          </w:p>
        </w:tc>
      </w:tr>
      <w:tr w14:paraId="087F6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28C14AC3">
            <w:pPr>
              <w:keepNext w:val="0"/>
              <w:keepLines w:val="0"/>
              <w:pageBreakBefore w:val="0"/>
              <w:kinsoku/>
              <w:wordWrap/>
              <w:overflowPunct/>
              <w:topLinePunct w:val="0"/>
              <w:autoSpaceDE/>
              <w:autoSpaceDN/>
              <w:bidi w:val="0"/>
              <w:adjustRightInd/>
              <w:snapToGrid/>
              <w:ind w:firstLine="0"/>
              <w:jc w:val="right"/>
              <w:rPr>
                <w:rFonts w:eastAsia="仿宋"/>
                <w:b/>
                <w:bCs w:val="0"/>
                <w:color w:val="000000" w:themeColor="text1" w:themeShade="BF"/>
                <w:kern w:val="0"/>
                <w:sz w:val="24"/>
              </w:rPr>
            </w:pPr>
            <w:r>
              <w:rPr>
                <w:rFonts w:eastAsia="仿宋"/>
                <w:b w:val="0"/>
                <w:bCs/>
                <w:color w:val="000000" w:themeColor="text1" w:themeShade="BF"/>
                <w:kern w:val="0"/>
                <w:sz w:val="24"/>
              </w:rPr>
              <w:t>流动负债总额</w:t>
            </w:r>
          </w:p>
        </w:tc>
        <w:tc>
          <w:tcPr>
            <w:tcW w:w="3056" w:type="dxa"/>
            <w:shd w:val="clear" w:color="auto" w:fill="auto"/>
          </w:tcPr>
          <w:p w14:paraId="69F451A8">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szCs w:val="24"/>
              </w:rPr>
            </w:pPr>
            <w:r>
              <w:rPr>
                <w:color w:val="000000"/>
                <w:kern w:val="0"/>
                <w:sz w:val="20"/>
                <w:lang w:bidi="ar"/>
              </w:rPr>
              <w:t xml:space="preserve"> 9,002,648.51 </w:t>
            </w:r>
          </w:p>
        </w:tc>
        <w:tc>
          <w:tcPr>
            <w:tcW w:w="2707" w:type="dxa"/>
            <w:shd w:val="clear" w:color="auto" w:fill="auto"/>
          </w:tcPr>
          <w:p w14:paraId="5E19CD60">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rPr>
            </w:pPr>
            <w:r>
              <w:rPr>
                <w:color w:val="000000"/>
                <w:kern w:val="0"/>
                <w:sz w:val="20"/>
                <w:lang w:bidi="ar"/>
              </w:rPr>
              <w:t xml:space="preserve"> 8,541,730.44 </w:t>
            </w:r>
          </w:p>
        </w:tc>
      </w:tr>
      <w:tr w14:paraId="79136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452D497C">
            <w:pPr>
              <w:keepNext w:val="0"/>
              <w:keepLines w:val="0"/>
              <w:pageBreakBefore w:val="0"/>
              <w:kinsoku/>
              <w:wordWrap/>
              <w:overflowPunct/>
              <w:topLinePunct w:val="0"/>
              <w:autoSpaceDE/>
              <w:autoSpaceDN/>
              <w:bidi w:val="0"/>
              <w:adjustRightInd/>
              <w:snapToGrid/>
              <w:ind w:firstLine="0"/>
              <w:jc w:val="center"/>
              <w:rPr>
                <w:rFonts w:eastAsia="仿宋"/>
                <w:b/>
                <w:bCs w:val="0"/>
                <w:color w:val="000000" w:themeColor="text1" w:themeShade="BF"/>
                <w:kern w:val="0"/>
                <w:sz w:val="24"/>
              </w:rPr>
            </w:pPr>
            <w:r>
              <w:rPr>
                <w:rFonts w:eastAsia="仿宋"/>
                <w:b w:val="0"/>
                <w:bCs/>
                <w:color w:val="000000" w:themeColor="text1" w:themeShade="BF"/>
                <w:kern w:val="0"/>
                <w:sz w:val="24"/>
              </w:rPr>
              <w:t>净资产</w:t>
            </w:r>
          </w:p>
        </w:tc>
        <w:tc>
          <w:tcPr>
            <w:tcW w:w="3056" w:type="dxa"/>
            <w:shd w:val="clear" w:color="auto" w:fill="auto"/>
          </w:tcPr>
          <w:p w14:paraId="53C11F70">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szCs w:val="24"/>
              </w:rPr>
            </w:pPr>
            <w:r>
              <w:rPr>
                <w:color w:val="000000"/>
                <w:kern w:val="0"/>
                <w:sz w:val="20"/>
                <w:lang w:bidi="ar"/>
              </w:rPr>
              <w:t xml:space="preserve"> 10,801,672.20 </w:t>
            </w:r>
          </w:p>
        </w:tc>
        <w:tc>
          <w:tcPr>
            <w:tcW w:w="2707" w:type="dxa"/>
            <w:shd w:val="clear" w:color="auto" w:fill="auto"/>
          </w:tcPr>
          <w:p w14:paraId="31922A94">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rPr>
            </w:pPr>
            <w:r>
              <w:rPr>
                <w:color w:val="000000"/>
                <w:kern w:val="0"/>
                <w:sz w:val="20"/>
                <w:lang w:bidi="ar"/>
              </w:rPr>
              <w:t xml:space="preserve"> 10,159,776.30 </w:t>
            </w:r>
          </w:p>
        </w:tc>
      </w:tr>
      <w:tr w14:paraId="0DEE2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1ED08A4C">
            <w:pPr>
              <w:keepNext w:val="0"/>
              <w:keepLines w:val="0"/>
              <w:pageBreakBefore w:val="0"/>
              <w:kinsoku/>
              <w:wordWrap/>
              <w:overflowPunct/>
              <w:topLinePunct w:val="0"/>
              <w:autoSpaceDE/>
              <w:autoSpaceDN/>
              <w:bidi w:val="0"/>
              <w:adjustRightInd/>
              <w:snapToGrid/>
              <w:ind w:firstLine="0"/>
              <w:jc w:val="center"/>
              <w:rPr>
                <w:rFonts w:eastAsia="仿宋"/>
                <w:b/>
                <w:bCs w:val="0"/>
                <w:color w:val="000000" w:themeColor="text1" w:themeShade="BF"/>
                <w:kern w:val="0"/>
                <w:sz w:val="24"/>
              </w:rPr>
            </w:pPr>
            <w:r>
              <w:rPr>
                <w:rFonts w:eastAsia="仿宋"/>
                <w:b w:val="0"/>
                <w:bCs/>
                <w:color w:val="000000" w:themeColor="text1" w:themeShade="BF"/>
                <w:kern w:val="0"/>
                <w:sz w:val="24"/>
              </w:rPr>
              <w:t>营业收入</w:t>
            </w:r>
          </w:p>
        </w:tc>
        <w:tc>
          <w:tcPr>
            <w:tcW w:w="3056" w:type="dxa"/>
            <w:shd w:val="clear" w:color="auto" w:fill="auto"/>
          </w:tcPr>
          <w:p w14:paraId="1B7CC817">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szCs w:val="24"/>
              </w:rPr>
            </w:pPr>
            <w:r>
              <w:rPr>
                <w:color w:val="000000"/>
                <w:kern w:val="0"/>
                <w:sz w:val="20"/>
                <w:lang w:bidi="ar"/>
              </w:rPr>
              <w:t xml:space="preserve"> 9,294,669.87 </w:t>
            </w:r>
          </w:p>
        </w:tc>
        <w:tc>
          <w:tcPr>
            <w:tcW w:w="2707" w:type="dxa"/>
            <w:shd w:val="clear" w:color="auto" w:fill="auto"/>
          </w:tcPr>
          <w:p w14:paraId="6609CB03">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rPr>
            </w:pPr>
            <w:r>
              <w:rPr>
                <w:color w:val="000000"/>
                <w:kern w:val="0"/>
                <w:sz w:val="20"/>
                <w:lang w:bidi="ar"/>
              </w:rPr>
              <w:t xml:space="preserve"> 12,148,992.33 </w:t>
            </w:r>
          </w:p>
        </w:tc>
      </w:tr>
      <w:tr w14:paraId="4F7A6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769A5DFE">
            <w:pPr>
              <w:keepNext w:val="0"/>
              <w:keepLines w:val="0"/>
              <w:pageBreakBefore w:val="0"/>
              <w:kinsoku/>
              <w:wordWrap/>
              <w:overflowPunct/>
              <w:topLinePunct w:val="0"/>
              <w:autoSpaceDE/>
              <w:autoSpaceDN/>
              <w:bidi w:val="0"/>
              <w:adjustRightInd/>
              <w:snapToGrid/>
              <w:ind w:firstLine="0"/>
              <w:jc w:val="center"/>
              <w:rPr>
                <w:rFonts w:eastAsia="仿宋"/>
                <w:b/>
                <w:bCs w:val="0"/>
                <w:color w:val="000000" w:themeColor="text1" w:themeShade="BF"/>
                <w:kern w:val="0"/>
                <w:sz w:val="24"/>
              </w:rPr>
            </w:pPr>
            <w:r>
              <w:rPr>
                <w:rFonts w:eastAsia="仿宋"/>
                <w:b w:val="0"/>
                <w:bCs/>
                <w:color w:val="000000" w:themeColor="text1" w:themeShade="BF"/>
                <w:kern w:val="0"/>
                <w:sz w:val="24"/>
              </w:rPr>
              <w:t>利润总额</w:t>
            </w:r>
          </w:p>
        </w:tc>
        <w:tc>
          <w:tcPr>
            <w:tcW w:w="3056" w:type="dxa"/>
            <w:shd w:val="clear" w:color="auto" w:fill="auto"/>
          </w:tcPr>
          <w:p w14:paraId="71821476">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szCs w:val="24"/>
              </w:rPr>
            </w:pPr>
            <w:r>
              <w:rPr>
                <w:color w:val="000000"/>
                <w:kern w:val="0"/>
                <w:sz w:val="20"/>
                <w:lang w:bidi="ar"/>
              </w:rPr>
              <w:t xml:space="preserve"> 365,571.20 </w:t>
            </w:r>
          </w:p>
        </w:tc>
        <w:tc>
          <w:tcPr>
            <w:tcW w:w="2707" w:type="dxa"/>
            <w:shd w:val="clear" w:color="auto" w:fill="auto"/>
          </w:tcPr>
          <w:p w14:paraId="1C53E6D3">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rPr>
            </w:pPr>
            <w:r>
              <w:rPr>
                <w:color w:val="000000"/>
                <w:kern w:val="0"/>
                <w:sz w:val="20"/>
                <w:lang w:bidi="ar"/>
              </w:rPr>
              <w:t xml:space="preserve"> 1,982,803.10 </w:t>
            </w:r>
          </w:p>
        </w:tc>
      </w:tr>
      <w:tr w14:paraId="1C6CE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759" w:type="dxa"/>
            <w:shd w:val="clear" w:color="auto" w:fill="auto"/>
          </w:tcPr>
          <w:p w14:paraId="66E644B8">
            <w:pPr>
              <w:keepNext w:val="0"/>
              <w:keepLines w:val="0"/>
              <w:pageBreakBefore w:val="0"/>
              <w:kinsoku/>
              <w:wordWrap/>
              <w:overflowPunct/>
              <w:topLinePunct w:val="0"/>
              <w:autoSpaceDE/>
              <w:autoSpaceDN/>
              <w:bidi w:val="0"/>
              <w:adjustRightInd/>
              <w:snapToGrid/>
              <w:ind w:firstLine="0"/>
              <w:jc w:val="center"/>
              <w:rPr>
                <w:rFonts w:eastAsia="仿宋"/>
                <w:b/>
                <w:bCs w:val="0"/>
                <w:color w:val="000000" w:themeColor="text1" w:themeShade="BF"/>
                <w:kern w:val="0"/>
                <w:sz w:val="24"/>
              </w:rPr>
            </w:pPr>
            <w:r>
              <w:rPr>
                <w:rFonts w:eastAsia="仿宋"/>
                <w:b w:val="0"/>
                <w:bCs/>
                <w:color w:val="000000" w:themeColor="text1" w:themeShade="BF"/>
                <w:kern w:val="0"/>
                <w:sz w:val="24"/>
              </w:rPr>
              <w:t>净利润</w:t>
            </w:r>
          </w:p>
        </w:tc>
        <w:tc>
          <w:tcPr>
            <w:tcW w:w="3056" w:type="dxa"/>
            <w:shd w:val="clear" w:color="auto" w:fill="auto"/>
          </w:tcPr>
          <w:p w14:paraId="3901B2B3">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szCs w:val="24"/>
              </w:rPr>
            </w:pPr>
            <w:r>
              <w:rPr>
                <w:color w:val="000000"/>
                <w:kern w:val="0"/>
                <w:sz w:val="20"/>
                <w:lang w:bidi="ar"/>
              </w:rPr>
              <w:t xml:space="preserve"> 413,291.15 </w:t>
            </w:r>
          </w:p>
        </w:tc>
        <w:tc>
          <w:tcPr>
            <w:tcW w:w="2707" w:type="dxa"/>
            <w:shd w:val="clear" w:color="auto" w:fill="auto"/>
          </w:tcPr>
          <w:p w14:paraId="2C727AC8">
            <w:pPr>
              <w:keepNext w:val="0"/>
              <w:keepLines w:val="0"/>
              <w:pageBreakBefore w:val="0"/>
              <w:widowControl/>
              <w:kinsoku/>
              <w:wordWrap/>
              <w:overflowPunct/>
              <w:topLinePunct w:val="0"/>
              <w:autoSpaceDE/>
              <w:autoSpaceDN/>
              <w:bidi w:val="0"/>
              <w:adjustRightInd/>
              <w:snapToGrid/>
              <w:ind w:firstLine="0"/>
              <w:jc w:val="right"/>
              <w:textAlignment w:val="top"/>
              <w:rPr>
                <w:rFonts w:eastAsia="仿宋"/>
                <w:color w:val="000000"/>
                <w:kern w:val="0"/>
                <w:sz w:val="20"/>
              </w:rPr>
            </w:pPr>
            <w:r>
              <w:rPr>
                <w:color w:val="000000"/>
                <w:kern w:val="0"/>
                <w:sz w:val="20"/>
                <w:lang w:bidi="ar"/>
              </w:rPr>
              <w:t xml:space="preserve"> 2,164,773.69 </w:t>
            </w:r>
          </w:p>
        </w:tc>
      </w:tr>
    </w:tbl>
    <w:p w14:paraId="25A40695">
      <w:pPr>
        <w:ind w:firstLine="562" w:firstLineChars="200"/>
        <w:outlineLvl w:val="0"/>
        <w:rPr>
          <w:rFonts w:ascii="仿宋" w:hAnsi="仿宋" w:eastAsia="仿宋"/>
          <w:b/>
          <w:sz w:val="28"/>
          <w:szCs w:val="28"/>
        </w:rPr>
      </w:pPr>
      <w:r>
        <w:rPr>
          <w:rFonts w:hint="eastAsia" w:ascii="仿宋" w:hAnsi="仿宋" w:eastAsia="仿宋"/>
          <w:b/>
          <w:sz w:val="28"/>
          <w:szCs w:val="28"/>
        </w:rPr>
        <w:t>四、担保协议的主要内容</w:t>
      </w:r>
    </w:p>
    <w:p w14:paraId="209D3B00">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公司及各子公司目前尚未签订相关授信及担保协议，上述计划授信及担保总额仅为拟申请的融资额度和拟提供的担保额度，具体借款及担保金额尚需金融机构审核同意，以实际签署的合同为准。</w:t>
      </w:r>
    </w:p>
    <w:p w14:paraId="4AED43AB">
      <w:pPr>
        <w:ind w:firstLine="562" w:firstLineChars="200"/>
        <w:outlineLvl w:val="0"/>
        <w:rPr>
          <w:rFonts w:ascii="仿宋" w:hAnsi="仿宋" w:eastAsia="仿宋"/>
          <w:b/>
          <w:sz w:val="28"/>
          <w:szCs w:val="28"/>
        </w:rPr>
      </w:pPr>
      <w:r>
        <w:rPr>
          <w:rFonts w:hint="eastAsia" w:ascii="仿宋" w:hAnsi="仿宋" w:eastAsia="仿宋"/>
          <w:b/>
          <w:sz w:val="28"/>
          <w:szCs w:val="28"/>
        </w:rPr>
        <w:t>五、审议程序</w:t>
      </w:r>
    </w:p>
    <w:p w14:paraId="48F8AB80">
      <w:pPr>
        <w:ind w:firstLine="560" w:firstLineChars="200"/>
        <w:rPr>
          <w:rFonts w:ascii="仿宋" w:hAnsi="仿宋" w:eastAsia="仿宋"/>
          <w:sz w:val="28"/>
        </w:rPr>
      </w:pPr>
      <w:r>
        <w:rPr>
          <w:rFonts w:hint="eastAsia" w:ascii="仿宋" w:hAnsi="仿宋" w:eastAsia="仿宋"/>
          <w:sz w:val="28"/>
        </w:rPr>
        <w:t>（一）独立董事专门会议审议情况</w:t>
      </w:r>
    </w:p>
    <w:p w14:paraId="2A7F6E08">
      <w:pPr>
        <w:spacing w:before="156" w:beforeLines="50" w:after="156" w:afterLines="50" w:line="360" w:lineRule="auto"/>
        <w:ind w:firstLine="560" w:firstLineChars="200"/>
        <w:rPr>
          <w:rFonts w:ascii="仿宋" w:hAnsi="仿宋" w:eastAsia="仿宋"/>
          <w:sz w:val="28"/>
        </w:rPr>
      </w:pPr>
      <w:r>
        <w:rPr>
          <w:rFonts w:hint="eastAsia" w:ascii="仿宋" w:hAnsi="仿宋" w:eastAsia="仿宋"/>
          <w:sz w:val="28"/>
        </w:rPr>
        <w:t>公司独立董事于2026年3月29日召开第四届董事会第二次独立董事专门会议，审议通过了《关于子公司拟申请融资并由公司为其提供担保的议案》。</w:t>
      </w:r>
    </w:p>
    <w:p w14:paraId="519885E7">
      <w:pPr>
        <w:spacing w:before="156" w:beforeLines="50" w:after="156" w:afterLines="50" w:line="360" w:lineRule="auto"/>
        <w:ind w:firstLine="560" w:firstLineChars="200"/>
        <w:rPr>
          <w:rFonts w:ascii="仿宋" w:hAnsi="仿宋" w:eastAsia="仿宋"/>
          <w:sz w:val="28"/>
        </w:rPr>
      </w:pPr>
      <w:r>
        <w:rPr>
          <w:rFonts w:hint="eastAsia" w:ascii="仿宋" w:hAnsi="仿宋" w:eastAsia="仿宋"/>
          <w:sz w:val="28"/>
        </w:rPr>
        <w:t>（二）董事会审计委员会审议情况</w:t>
      </w:r>
    </w:p>
    <w:p w14:paraId="18E85713">
      <w:pPr>
        <w:spacing w:before="156" w:beforeLines="50" w:after="156" w:afterLines="50" w:line="360" w:lineRule="auto"/>
        <w:ind w:firstLine="560" w:firstLineChars="200"/>
        <w:rPr>
          <w:rFonts w:ascii="仿宋" w:hAnsi="仿宋" w:eastAsia="仿宋"/>
          <w:sz w:val="28"/>
        </w:rPr>
      </w:pPr>
      <w:r>
        <w:rPr>
          <w:rFonts w:hint="eastAsia" w:ascii="仿宋" w:hAnsi="仿宋" w:eastAsia="仿宋"/>
          <w:sz w:val="28"/>
        </w:rPr>
        <w:t>公司董事会审计委员会于2026年3月29日召开第四届董事会审计委员会第六次会议，以3票同意、0票反对、0票弃权审议通过了《关于子公司拟申请融资并由公司为其提供担保的议案》，并同意提交至董事会审议。</w:t>
      </w:r>
    </w:p>
    <w:p w14:paraId="45A3CE36">
      <w:pPr>
        <w:spacing w:before="156" w:beforeLines="50" w:after="156" w:afterLines="50" w:line="360" w:lineRule="auto"/>
        <w:ind w:firstLine="560" w:firstLineChars="200"/>
        <w:rPr>
          <w:rFonts w:ascii="仿宋" w:hAnsi="仿宋" w:eastAsia="仿宋"/>
          <w:sz w:val="28"/>
        </w:rPr>
      </w:pPr>
      <w:r>
        <w:rPr>
          <w:rFonts w:hint="eastAsia" w:ascii="仿宋" w:hAnsi="仿宋" w:eastAsia="仿宋"/>
          <w:sz w:val="28"/>
        </w:rPr>
        <w:t>（三）董事会会议审议情况</w:t>
      </w:r>
    </w:p>
    <w:p w14:paraId="7B125E71">
      <w:pPr>
        <w:spacing w:before="156" w:beforeLines="50" w:after="156" w:afterLines="50" w:line="360" w:lineRule="auto"/>
        <w:ind w:firstLine="560" w:firstLineChars="200"/>
        <w:rPr>
          <w:rFonts w:ascii="仿宋" w:hAnsi="仿宋" w:eastAsia="仿宋"/>
          <w:sz w:val="28"/>
        </w:rPr>
      </w:pPr>
      <w:r>
        <w:rPr>
          <w:rFonts w:hint="eastAsia" w:ascii="仿宋" w:hAnsi="仿宋" w:eastAsia="仿宋"/>
          <w:sz w:val="28"/>
        </w:rPr>
        <w:t>公司董事会于2026年3月30日召开第四届董事会第五次会议，以8票同意、0票反对、0票弃权审议通过了《关于子公司拟申请融资并由公司为其提供担保的议案》。</w:t>
      </w:r>
    </w:p>
    <w:p w14:paraId="0B49DAB4">
      <w:pPr>
        <w:ind w:firstLine="560" w:firstLineChars="200"/>
        <w:rPr>
          <w:rFonts w:ascii="仿宋" w:hAnsi="仿宋" w:eastAsia="仿宋"/>
          <w:sz w:val="28"/>
          <w:szCs w:val="28"/>
        </w:rPr>
      </w:pPr>
      <w:r>
        <w:rPr>
          <w:rFonts w:hint="eastAsia" w:ascii="仿宋" w:hAnsi="仿宋" w:eastAsia="仿宋"/>
          <w:sz w:val="28"/>
          <w:szCs w:val="28"/>
        </w:rPr>
        <w:t>董事会认为：“本次担保是为了满足公司控股子公司日常经营和业务发展的需要。上述子公司目前具有较好的盈利能力和良好的偿债能力，担保风险可控。因此，董事会同意子公司向</w:t>
      </w:r>
      <w:r>
        <w:rPr>
          <w:rFonts w:hint="eastAsia" w:ascii="仿宋" w:hAnsi="仿宋" w:eastAsia="仿宋"/>
          <w:sz w:val="28"/>
        </w:rPr>
        <w:t>银行等金融机构申</w:t>
      </w:r>
      <w:r>
        <w:rPr>
          <w:rFonts w:hint="eastAsia" w:ascii="仿宋" w:hAnsi="仿宋" w:eastAsia="仿宋"/>
          <w:sz w:val="28"/>
          <w:szCs w:val="28"/>
        </w:rPr>
        <w:t>请总额度不超过40,000.00万元的综合授信额度，并由</w:t>
      </w:r>
      <w:r>
        <w:rPr>
          <w:rFonts w:hint="eastAsia" w:ascii="仿宋" w:hAnsi="仿宋" w:eastAsia="仿宋"/>
          <w:sz w:val="28"/>
        </w:rPr>
        <w:t>公司为实际贷款提供担保</w:t>
      </w:r>
      <w:r>
        <w:rPr>
          <w:rFonts w:hint="eastAsia" w:ascii="仿宋" w:hAnsi="仿宋" w:eastAsia="仿宋"/>
          <w:sz w:val="28"/>
          <w:szCs w:val="28"/>
        </w:rPr>
        <w:t>。”</w:t>
      </w:r>
    </w:p>
    <w:p w14:paraId="29613AC4">
      <w:pPr>
        <w:ind w:firstLine="562" w:firstLineChars="200"/>
        <w:outlineLvl w:val="0"/>
        <w:rPr>
          <w:rFonts w:ascii="仿宋" w:hAnsi="仿宋" w:eastAsia="仿宋"/>
          <w:b/>
          <w:sz w:val="28"/>
          <w:szCs w:val="28"/>
        </w:rPr>
      </w:pPr>
      <w:r>
        <w:rPr>
          <w:rFonts w:hint="eastAsia" w:ascii="仿宋" w:hAnsi="仿宋" w:eastAsia="仿宋"/>
          <w:b/>
          <w:sz w:val="28"/>
          <w:szCs w:val="28"/>
        </w:rPr>
        <w:t>六、累计对外担保数量及逾期担保的数量</w:t>
      </w:r>
    </w:p>
    <w:p w14:paraId="12183F82">
      <w:pPr>
        <w:spacing w:line="5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本次担保金额不超过人民币40,000.00万元。包括本次担保，公司目前已审批的在有效期的对子公司的担保额度合计为人民币68,000.00万元，合计约占公司2025年度经审计净资产87.51%。</w:t>
      </w:r>
    </w:p>
    <w:p w14:paraId="47490A96">
      <w:pPr>
        <w:spacing w:line="5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截至本公告日，公司对子公司担保的人民币余额为</w:t>
      </w:r>
      <w:r>
        <w:rPr>
          <w:rFonts w:ascii="仿宋" w:hAnsi="仿宋" w:eastAsia="仿宋"/>
          <w:color w:val="000000"/>
          <w:sz w:val="28"/>
          <w:szCs w:val="28"/>
        </w:rPr>
        <w:t>17,088.05</w:t>
      </w:r>
      <w:r>
        <w:rPr>
          <w:rFonts w:hint="eastAsia" w:ascii="仿宋" w:hAnsi="仿宋" w:eastAsia="仿宋"/>
          <w:color w:val="000000"/>
          <w:sz w:val="28"/>
          <w:szCs w:val="28"/>
        </w:rPr>
        <w:t>万元，合计约占公司2025年度经审计净资产21.99</w:t>
      </w:r>
      <w:bookmarkStart w:id="0" w:name="_GoBack"/>
      <w:bookmarkEnd w:id="0"/>
      <w:r>
        <w:rPr>
          <w:rFonts w:hint="eastAsia" w:ascii="仿宋" w:hAnsi="仿宋" w:eastAsia="仿宋"/>
          <w:color w:val="000000"/>
          <w:sz w:val="28"/>
          <w:szCs w:val="28"/>
        </w:rPr>
        <w:t>%，均系公司对合并报表范围内子公司的担保，不存在对合并报表范围外单位提供担保的情况。</w:t>
      </w:r>
    </w:p>
    <w:p w14:paraId="5827E459">
      <w:pPr>
        <w:spacing w:line="5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截至本公告日，公司不存在逾期担保和涉及诉讼的担保，亦无为控股股东、实际控制人及其关联方提供担保的情形。</w:t>
      </w:r>
    </w:p>
    <w:p w14:paraId="0D700B98">
      <w:pPr>
        <w:ind w:firstLine="562" w:firstLineChars="200"/>
        <w:outlineLvl w:val="0"/>
        <w:rPr>
          <w:rFonts w:ascii="仿宋" w:hAnsi="仿宋" w:eastAsia="仿宋"/>
          <w:b/>
          <w:sz w:val="28"/>
          <w:szCs w:val="28"/>
        </w:rPr>
      </w:pPr>
      <w:r>
        <w:rPr>
          <w:rFonts w:hint="eastAsia" w:ascii="仿宋" w:hAnsi="仿宋" w:eastAsia="仿宋"/>
          <w:b/>
          <w:sz w:val="28"/>
          <w:szCs w:val="28"/>
        </w:rPr>
        <w:t>七、备查文件</w:t>
      </w:r>
    </w:p>
    <w:p w14:paraId="62A25114">
      <w:pPr>
        <w:spacing w:line="360" w:lineRule="auto"/>
        <w:ind w:firstLine="560" w:firstLineChars="200"/>
        <w:rPr>
          <w:rFonts w:ascii="仿宋" w:hAnsi="仿宋" w:eastAsia="仿宋"/>
          <w:sz w:val="28"/>
          <w:szCs w:val="28"/>
        </w:rPr>
      </w:pPr>
      <w:r>
        <w:rPr>
          <w:rFonts w:hint="eastAsia" w:ascii="仿宋" w:hAnsi="仿宋" w:eastAsia="仿宋"/>
          <w:sz w:val="28"/>
          <w:szCs w:val="28"/>
        </w:rPr>
        <w:t>（一）《广东天亿马信息产业股份有限公司第四届董事会第五次会议决议》；</w:t>
      </w:r>
    </w:p>
    <w:p w14:paraId="0343E915">
      <w:pPr>
        <w:spacing w:line="360" w:lineRule="auto"/>
        <w:ind w:firstLine="560" w:firstLineChars="200"/>
        <w:rPr>
          <w:rFonts w:ascii="仿宋" w:hAnsi="仿宋" w:eastAsia="仿宋"/>
          <w:sz w:val="28"/>
        </w:rPr>
      </w:pPr>
      <w:r>
        <w:rPr>
          <w:rFonts w:hint="eastAsia" w:ascii="仿宋" w:hAnsi="仿宋" w:eastAsia="仿宋"/>
          <w:sz w:val="28"/>
          <w:szCs w:val="28"/>
        </w:rPr>
        <w:t>（二）《广东天亿马信息产业股份有限公司</w:t>
      </w:r>
      <w:r>
        <w:rPr>
          <w:rFonts w:hint="eastAsia" w:ascii="仿宋" w:hAnsi="仿宋" w:eastAsia="仿宋"/>
          <w:color w:val="000000"/>
          <w:sz w:val="28"/>
          <w:szCs w:val="28"/>
        </w:rPr>
        <w:t>第四届董事会第二次独立董事专门会议决议</w:t>
      </w:r>
      <w:r>
        <w:rPr>
          <w:rFonts w:hint="eastAsia" w:ascii="仿宋" w:hAnsi="仿宋" w:eastAsia="仿宋"/>
          <w:sz w:val="28"/>
          <w:szCs w:val="28"/>
        </w:rPr>
        <w:t>》</w:t>
      </w:r>
      <w:r>
        <w:rPr>
          <w:rFonts w:hint="eastAsia" w:ascii="仿宋" w:hAnsi="仿宋" w:eastAsia="仿宋"/>
          <w:sz w:val="28"/>
        </w:rPr>
        <w:t>；</w:t>
      </w:r>
    </w:p>
    <w:p w14:paraId="2EA6BF1E">
      <w:pPr>
        <w:spacing w:line="360" w:lineRule="auto"/>
        <w:ind w:firstLine="560" w:firstLineChars="200"/>
        <w:rPr>
          <w:rFonts w:ascii="仿宋" w:hAnsi="仿宋" w:eastAsia="仿宋"/>
          <w:sz w:val="28"/>
        </w:rPr>
      </w:pPr>
      <w:r>
        <w:rPr>
          <w:rFonts w:hint="eastAsia" w:ascii="仿宋" w:hAnsi="仿宋" w:eastAsia="仿宋"/>
          <w:sz w:val="28"/>
          <w:szCs w:val="28"/>
        </w:rPr>
        <w:t>（三）《广东天亿马信息产业股份有限公司</w:t>
      </w:r>
      <w:r>
        <w:rPr>
          <w:rFonts w:hint="eastAsia" w:ascii="仿宋" w:hAnsi="仿宋" w:eastAsia="仿宋"/>
          <w:color w:val="000000"/>
          <w:sz w:val="28"/>
          <w:szCs w:val="28"/>
        </w:rPr>
        <w:t>第四届董事会审计委员会第六次会议决议</w:t>
      </w:r>
      <w:r>
        <w:rPr>
          <w:rFonts w:hint="eastAsia" w:ascii="仿宋" w:hAnsi="仿宋" w:eastAsia="仿宋"/>
          <w:sz w:val="28"/>
          <w:szCs w:val="28"/>
        </w:rPr>
        <w:t>》</w:t>
      </w:r>
      <w:r>
        <w:rPr>
          <w:rFonts w:hint="eastAsia" w:ascii="仿宋" w:hAnsi="仿宋" w:eastAsia="仿宋"/>
          <w:sz w:val="28"/>
        </w:rPr>
        <w:t>。</w:t>
      </w:r>
    </w:p>
    <w:p w14:paraId="7628B426">
      <w:pPr>
        <w:spacing w:line="360" w:lineRule="auto"/>
        <w:ind w:firstLine="560" w:firstLineChars="200"/>
        <w:rPr>
          <w:rFonts w:ascii="仿宋" w:hAnsi="仿宋" w:eastAsia="仿宋"/>
          <w:sz w:val="28"/>
          <w:szCs w:val="28"/>
        </w:rPr>
      </w:pPr>
      <w:r>
        <w:rPr>
          <w:rFonts w:hint="eastAsia" w:ascii="仿宋" w:hAnsi="仿宋" w:eastAsia="仿宋"/>
          <w:sz w:val="28"/>
          <w:szCs w:val="28"/>
        </w:rPr>
        <w:t>特此公告。</w:t>
      </w:r>
    </w:p>
    <w:p w14:paraId="1294017B">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广东天亿马信息产业股份有限公司</w:t>
      </w:r>
    </w:p>
    <w:p w14:paraId="53097FE8">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董事会</w:t>
      </w:r>
    </w:p>
    <w:p w14:paraId="4A253630">
      <w:pPr>
        <w:spacing w:line="360" w:lineRule="auto"/>
        <w:ind w:firstLine="560" w:firstLineChars="200"/>
        <w:jc w:val="right"/>
      </w:pPr>
      <w:r>
        <w:rPr>
          <w:rFonts w:hint="eastAsia" w:ascii="仿宋" w:hAnsi="仿宋" w:eastAsia="仿宋"/>
          <w:sz w:val="28"/>
          <w:szCs w:val="28"/>
        </w:rPr>
        <w:t>2026年3月31日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1DC"/>
    <w:rsid w:val="00017360"/>
    <w:rsid w:val="00040DC0"/>
    <w:rsid w:val="00046A4A"/>
    <w:rsid w:val="00050ADE"/>
    <w:rsid w:val="000657BB"/>
    <w:rsid w:val="00067D67"/>
    <w:rsid w:val="00074D55"/>
    <w:rsid w:val="00077283"/>
    <w:rsid w:val="00080207"/>
    <w:rsid w:val="00096AE3"/>
    <w:rsid w:val="000B5F0C"/>
    <w:rsid w:val="000D00DC"/>
    <w:rsid w:val="000F320A"/>
    <w:rsid w:val="001319FC"/>
    <w:rsid w:val="001348A4"/>
    <w:rsid w:val="00146DA1"/>
    <w:rsid w:val="0015262E"/>
    <w:rsid w:val="001622F5"/>
    <w:rsid w:val="00164B5D"/>
    <w:rsid w:val="001A575D"/>
    <w:rsid w:val="001D698D"/>
    <w:rsid w:val="001F51EE"/>
    <w:rsid w:val="002228FE"/>
    <w:rsid w:val="002277A9"/>
    <w:rsid w:val="002377DF"/>
    <w:rsid w:val="00241581"/>
    <w:rsid w:val="0024514B"/>
    <w:rsid w:val="002705F3"/>
    <w:rsid w:val="002707B5"/>
    <w:rsid w:val="0027534F"/>
    <w:rsid w:val="002B3CEB"/>
    <w:rsid w:val="002C3BFB"/>
    <w:rsid w:val="002F1EF0"/>
    <w:rsid w:val="002F60DF"/>
    <w:rsid w:val="00307732"/>
    <w:rsid w:val="00332BF2"/>
    <w:rsid w:val="00361C45"/>
    <w:rsid w:val="00385ACC"/>
    <w:rsid w:val="0039089A"/>
    <w:rsid w:val="00392AEC"/>
    <w:rsid w:val="00394321"/>
    <w:rsid w:val="003A0012"/>
    <w:rsid w:val="003B5D49"/>
    <w:rsid w:val="003E0BCE"/>
    <w:rsid w:val="003F6AB6"/>
    <w:rsid w:val="0040591F"/>
    <w:rsid w:val="004270B0"/>
    <w:rsid w:val="00431F8D"/>
    <w:rsid w:val="00444001"/>
    <w:rsid w:val="00445A7F"/>
    <w:rsid w:val="004470C5"/>
    <w:rsid w:val="004604E0"/>
    <w:rsid w:val="00463EC1"/>
    <w:rsid w:val="00476BD5"/>
    <w:rsid w:val="004942CC"/>
    <w:rsid w:val="004A3AA8"/>
    <w:rsid w:val="004B608A"/>
    <w:rsid w:val="004E07A4"/>
    <w:rsid w:val="004E0D0E"/>
    <w:rsid w:val="004E17EE"/>
    <w:rsid w:val="004E35F3"/>
    <w:rsid w:val="005153CF"/>
    <w:rsid w:val="005466BD"/>
    <w:rsid w:val="005614F5"/>
    <w:rsid w:val="00582503"/>
    <w:rsid w:val="005858EF"/>
    <w:rsid w:val="005C745A"/>
    <w:rsid w:val="00604400"/>
    <w:rsid w:val="00616141"/>
    <w:rsid w:val="00623B28"/>
    <w:rsid w:val="00635310"/>
    <w:rsid w:val="006550EE"/>
    <w:rsid w:val="00665AD2"/>
    <w:rsid w:val="006806CB"/>
    <w:rsid w:val="006934B5"/>
    <w:rsid w:val="00695A2F"/>
    <w:rsid w:val="006A1531"/>
    <w:rsid w:val="006A63D2"/>
    <w:rsid w:val="006C7BD5"/>
    <w:rsid w:val="006D2657"/>
    <w:rsid w:val="006F2AAB"/>
    <w:rsid w:val="00703C21"/>
    <w:rsid w:val="007050F9"/>
    <w:rsid w:val="007141CF"/>
    <w:rsid w:val="0074584A"/>
    <w:rsid w:val="00746B92"/>
    <w:rsid w:val="00753B22"/>
    <w:rsid w:val="00757CAD"/>
    <w:rsid w:val="007671E6"/>
    <w:rsid w:val="007711EA"/>
    <w:rsid w:val="007B6292"/>
    <w:rsid w:val="007C0E03"/>
    <w:rsid w:val="007C641E"/>
    <w:rsid w:val="00804487"/>
    <w:rsid w:val="00825BD1"/>
    <w:rsid w:val="00853055"/>
    <w:rsid w:val="00855830"/>
    <w:rsid w:val="00886BCD"/>
    <w:rsid w:val="00896371"/>
    <w:rsid w:val="008B05BA"/>
    <w:rsid w:val="008B5614"/>
    <w:rsid w:val="008E3E1F"/>
    <w:rsid w:val="008F39A0"/>
    <w:rsid w:val="009049F3"/>
    <w:rsid w:val="00963B1C"/>
    <w:rsid w:val="00966C5A"/>
    <w:rsid w:val="009A371E"/>
    <w:rsid w:val="009A6F9C"/>
    <w:rsid w:val="009B519D"/>
    <w:rsid w:val="009C12B0"/>
    <w:rsid w:val="009D590C"/>
    <w:rsid w:val="009E2F06"/>
    <w:rsid w:val="009E6089"/>
    <w:rsid w:val="009F4271"/>
    <w:rsid w:val="00A27B7A"/>
    <w:rsid w:val="00A33E6B"/>
    <w:rsid w:val="00A43FAC"/>
    <w:rsid w:val="00A5207B"/>
    <w:rsid w:val="00A65995"/>
    <w:rsid w:val="00A72619"/>
    <w:rsid w:val="00A778DD"/>
    <w:rsid w:val="00AA01DC"/>
    <w:rsid w:val="00AA0574"/>
    <w:rsid w:val="00AA3D85"/>
    <w:rsid w:val="00AB2F72"/>
    <w:rsid w:val="00AB4BE2"/>
    <w:rsid w:val="00AB529A"/>
    <w:rsid w:val="00AB79F3"/>
    <w:rsid w:val="00AC182A"/>
    <w:rsid w:val="00AC7E0C"/>
    <w:rsid w:val="00AE4E88"/>
    <w:rsid w:val="00AF284A"/>
    <w:rsid w:val="00AF28FA"/>
    <w:rsid w:val="00AF4C6A"/>
    <w:rsid w:val="00AF60F2"/>
    <w:rsid w:val="00B52B51"/>
    <w:rsid w:val="00B53C12"/>
    <w:rsid w:val="00B54574"/>
    <w:rsid w:val="00B61A85"/>
    <w:rsid w:val="00B64899"/>
    <w:rsid w:val="00B658FD"/>
    <w:rsid w:val="00B70EC1"/>
    <w:rsid w:val="00B72504"/>
    <w:rsid w:val="00B72D7F"/>
    <w:rsid w:val="00BC5B4F"/>
    <w:rsid w:val="00BE24E8"/>
    <w:rsid w:val="00BE6085"/>
    <w:rsid w:val="00C019E8"/>
    <w:rsid w:val="00C04225"/>
    <w:rsid w:val="00C24E94"/>
    <w:rsid w:val="00C66C6F"/>
    <w:rsid w:val="00CB16CF"/>
    <w:rsid w:val="00CB2117"/>
    <w:rsid w:val="00CC724F"/>
    <w:rsid w:val="00CD2B34"/>
    <w:rsid w:val="00CF72AA"/>
    <w:rsid w:val="00D001A4"/>
    <w:rsid w:val="00D0320B"/>
    <w:rsid w:val="00D2388A"/>
    <w:rsid w:val="00D4031D"/>
    <w:rsid w:val="00D57DE3"/>
    <w:rsid w:val="00D70B89"/>
    <w:rsid w:val="00D722AE"/>
    <w:rsid w:val="00D8355F"/>
    <w:rsid w:val="00D924C6"/>
    <w:rsid w:val="00D975EE"/>
    <w:rsid w:val="00E2099D"/>
    <w:rsid w:val="00E23ADD"/>
    <w:rsid w:val="00E24433"/>
    <w:rsid w:val="00E3500B"/>
    <w:rsid w:val="00E403AB"/>
    <w:rsid w:val="00E47E0C"/>
    <w:rsid w:val="00E56616"/>
    <w:rsid w:val="00E70F34"/>
    <w:rsid w:val="00E73A2B"/>
    <w:rsid w:val="00E859C4"/>
    <w:rsid w:val="00EB0C57"/>
    <w:rsid w:val="00ED3C5F"/>
    <w:rsid w:val="00EF0D53"/>
    <w:rsid w:val="00EF553E"/>
    <w:rsid w:val="00EF764D"/>
    <w:rsid w:val="00F53ED5"/>
    <w:rsid w:val="00FA2D2F"/>
    <w:rsid w:val="00FB51E5"/>
    <w:rsid w:val="00FE44AE"/>
    <w:rsid w:val="010F3B4F"/>
    <w:rsid w:val="018F02E0"/>
    <w:rsid w:val="021E7977"/>
    <w:rsid w:val="02C1356F"/>
    <w:rsid w:val="03BE614D"/>
    <w:rsid w:val="048712D9"/>
    <w:rsid w:val="050339CA"/>
    <w:rsid w:val="06C947A0"/>
    <w:rsid w:val="07464042"/>
    <w:rsid w:val="07C66F31"/>
    <w:rsid w:val="084F46AC"/>
    <w:rsid w:val="09A24CDB"/>
    <w:rsid w:val="0B354DEC"/>
    <w:rsid w:val="0B815649"/>
    <w:rsid w:val="0DA73361"/>
    <w:rsid w:val="0E876762"/>
    <w:rsid w:val="0F3375A2"/>
    <w:rsid w:val="0F7B02F4"/>
    <w:rsid w:val="0FED2356"/>
    <w:rsid w:val="106135BC"/>
    <w:rsid w:val="109571C0"/>
    <w:rsid w:val="110A66FB"/>
    <w:rsid w:val="11C67EB9"/>
    <w:rsid w:val="137B5074"/>
    <w:rsid w:val="13C22CA3"/>
    <w:rsid w:val="14AA20B4"/>
    <w:rsid w:val="154716B1"/>
    <w:rsid w:val="155630CB"/>
    <w:rsid w:val="15765A17"/>
    <w:rsid w:val="15EF3AF7"/>
    <w:rsid w:val="162B31A7"/>
    <w:rsid w:val="18EC3056"/>
    <w:rsid w:val="195A686C"/>
    <w:rsid w:val="1A437EA3"/>
    <w:rsid w:val="1A7A42D7"/>
    <w:rsid w:val="1BC238EC"/>
    <w:rsid w:val="1CBA6C0D"/>
    <w:rsid w:val="1D2A2828"/>
    <w:rsid w:val="1D547061"/>
    <w:rsid w:val="1D631052"/>
    <w:rsid w:val="1DEA20AE"/>
    <w:rsid w:val="1E5D6F6E"/>
    <w:rsid w:val="1ED85A70"/>
    <w:rsid w:val="1F327BCE"/>
    <w:rsid w:val="1FB97752"/>
    <w:rsid w:val="22181FFD"/>
    <w:rsid w:val="22D02F26"/>
    <w:rsid w:val="2519649B"/>
    <w:rsid w:val="25480F3B"/>
    <w:rsid w:val="259455FA"/>
    <w:rsid w:val="269404CF"/>
    <w:rsid w:val="279B2689"/>
    <w:rsid w:val="27D74A6C"/>
    <w:rsid w:val="28167A58"/>
    <w:rsid w:val="291476A5"/>
    <w:rsid w:val="2A752F2D"/>
    <w:rsid w:val="2BEA77B5"/>
    <w:rsid w:val="2C2E598B"/>
    <w:rsid w:val="2D660F0B"/>
    <w:rsid w:val="2F0F43EF"/>
    <w:rsid w:val="307F5D4C"/>
    <w:rsid w:val="3148336F"/>
    <w:rsid w:val="31A67308"/>
    <w:rsid w:val="31BF532C"/>
    <w:rsid w:val="31D75713"/>
    <w:rsid w:val="323112C7"/>
    <w:rsid w:val="325504BF"/>
    <w:rsid w:val="32935ADE"/>
    <w:rsid w:val="32C959A4"/>
    <w:rsid w:val="33CF0D98"/>
    <w:rsid w:val="341E2A0F"/>
    <w:rsid w:val="34E70363"/>
    <w:rsid w:val="350902DA"/>
    <w:rsid w:val="353D61D5"/>
    <w:rsid w:val="370228F1"/>
    <w:rsid w:val="37A8535D"/>
    <w:rsid w:val="38855EC9"/>
    <w:rsid w:val="38BE13DB"/>
    <w:rsid w:val="39525442"/>
    <w:rsid w:val="39696FD5"/>
    <w:rsid w:val="39A1380C"/>
    <w:rsid w:val="39B42EA8"/>
    <w:rsid w:val="3A0A2948"/>
    <w:rsid w:val="3A125E82"/>
    <w:rsid w:val="3AC802EF"/>
    <w:rsid w:val="3B023EFF"/>
    <w:rsid w:val="3BCF1058"/>
    <w:rsid w:val="3C1C08F2"/>
    <w:rsid w:val="3CA170B0"/>
    <w:rsid w:val="3CEE591F"/>
    <w:rsid w:val="3E9D6B8C"/>
    <w:rsid w:val="3EB47508"/>
    <w:rsid w:val="3F5758B3"/>
    <w:rsid w:val="3FFC5807"/>
    <w:rsid w:val="4021297B"/>
    <w:rsid w:val="40B03CFF"/>
    <w:rsid w:val="41326E0A"/>
    <w:rsid w:val="41642659"/>
    <w:rsid w:val="420E3CDA"/>
    <w:rsid w:val="42932E0A"/>
    <w:rsid w:val="42D85A72"/>
    <w:rsid w:val="43170066"/>
    <w:rsid w:val="434F5D06"/>
    <w:rsid w:val="441A7E0D"/>
    <w:rsid w:val="44290050"/>
    <w:rsid w:val="44654E01"/>
    <w:rsid w:val="44D51F86"/>
    <w:rsid w:val="45BC4EF4"/>
    <w:rsid w:val="462E101C"/>
    <w:rsid w:val="46EE10DD"/>
    <w:rsid w:val="47CB1D3B"/>
    <w:rsid w:val="481334F1"/>
    <w:rsid w:val="483E7E42"/>
    <w:rsid w:val="486139CD"/>
    <w:rsid w:val="48687777"/>
    <w:rsid w:val="48831CF9"/>
    <w:rsid w:val="48C75818"/>
    <w:rsid w:val="49325BF9"/>
    <w:rsid w:val="4A1270F2"/>
    <w:rsid w:val="4A1B043B"/>
    <w:rsid w:val="4A6060AE"/>
    <w:rsid w:val="4AF173EE"/>
    <w:rsid w:val="4B296D88"/>
    <w:rsid w:val="4C7D5CAE"/>
    <w:rsid w:val="4CBA35E0"/>
    <w:rsid w:val="4D386DDE"/>
    <w:rsid w:val="4EB710E1"/>
    <w:rsid w:val="4F14190C"/>
    <w:rsid w:val="50463D38"/>
    <w:rsid w:val="508B122D"/>
    <w:rsid w:val="50CE6F9F"/>
    <w:rsid w:val="51EB4B97"/>
    <w:rsid w:val="522A7D30"/>
    <w:rsid w:val="524D6516"/>
    <w:rsid w:val="52F2383B"/>
    <w:rsid w:val="53F02939"/>
    <w:rsid w:val="53FB308C"/>
    <w:rsid w:val="54B126F3"/>
    <w:rsid w:val="54B4023E"/>
    <w:rsid w:val="54B814E6"/>
    <w:rsid w:val="550B72FE"/>
    <w:rsid w:val="56861332"/>
    <w:rsid w:val="57B819BF"/>
    <w:rsid w:val="585B234B"/>
    <w:rsid w:val="588D31CF"/>
    <w:rsid w:val="5AD2661F"/>
    <w:rsid w:val="5C116DC0"/>
    <w:rsid w:val="5D052392"/>
    <w:rsid w:val="5D2F104B"/>
    <w:rsid w:val="5DD748DD"/>
    <w:rsid w:val="5F335DCF"/>
    <w:rsid w:val="5FB700E8"/>
    <w:rsid w:val="600E67C7"/>
    <w:rsid w:val="603C28E6"/>
    <w:rsid w:val="61666DBA"/>
    <w:rsid w:val="62693C55"/>
    <w:rsid w:val="62953CBA"/>
    <w:rsid w:val="63B71AEA"/>
    <w:rsid w:val="65C60144"/>
    <w:rsid w:val="65FF6A0B"/>
    <w:rsid w:val="667D306E"/>
    <w:rsid w:val="676818B7"/>
    <w:rsid w:val="67AA4045"/>
    <w:rsid w:val="68680A3E"/>
    <w:rsid w:val="68DC3034"/>
    <w:rsid w:val="692733BF"/>
    <w:rsid w:val="69AA1A66"/>
    <w:rsid w:val="6AF93C50"/>
    <w:rsid w:val="6B5D66AE"/>
    <w:rsid w:val="6BF1771F"/>
    <w:rsid w:val="6C55074B"/>
    <w:rsid w:val="6F5B73A8"/>
    <w:rsid w:val="6F685621"/>
    <w:rsid w:val="6FEA0792"/>
    <w:rsid w:val="6FEE2012"/>
    <w:rsid w:val="70DA4CC5"/>
    <w:rsid w:val="713640A3"/>
    <w:rsid w:val="71FD5B6A"/>
    <w:rsid w:val="7212448D"/>
    <w:rsid w:val="723170A6"/>
    <w:rsid w:val="726F2B8F"/>
    <w:rsid w:val="72914998"/>
    <w:rsid w:val="729624A5"/>
    <w:rsid w:val="748756D3"/>
    <w:rsid w:val="74B9247B"/>
    <w:rsid w:val="757E014E"/>
    <w:rsid w:val="761958C7"/>
    <w:rsid w:val="76DA32A9"/>
    <w:rsid w:val="77F41F1D"/>
    <w:rsid w:val="780F46E8"/>
    <w:rsid w:val="783458C3"/>
    <w:rsid w:val="78485FF0"/>
    <w:rsid w:val="78994A9D"/>
    <w:rsid w:val="7A7B08FF"/>
    <w:rsid w:val="7AA82DC9"/>
    <w:rsid w:val="7AE27356"/>
    <w:rsid w:val="7B234AF2"/>
    <w:rsid w:val="7B707D38"/>
    <w:rsid w:val="7C7C39B5"/>
    <w:rsid w:val="7E506FBB"/>
    <w:rsid w:val="7EDC3936"/>
    <w:rsid w:val="7F6D27E0"/>
    <w:rsid w:val="7FEA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autoRedefine/>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7"/>
    <w:unhideWhenUsed/>
    <w:qFormat/>
    <w:uiPriority w:val="99"/>
    <w:pPr>
      <w:tabs>
        <w:tab w:val="center" w:pos="4153"/>
        <w:tab w:val="right" w:pos="8306"/>
      </w:tabs>
      <w:snapToGrid w:val="0"/>
      <w:jc w:val="left"/>
    </w:pPr>
    <w:rPr>
      <w:sz w:val="18"/>
      <w:szCs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9"/>
    <w:semiHidden/>
    <w:unhideWhenUsed/>
    <w:qFormat/>
    <w:uiPriority w:val="99"/>
    <w:rPr>
      <w:b/>
      <w:bCs/>
    </w:rPr>
  </w:style>
  <w:style w:type="table" w:styleId="8">
    <w:name w:val="Table Grid"/>
    <w:basedOn w:val="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
    <w:name w:val="Light Shading"/>
    <w:basedOn w:val="7"/>
    <w:autoRedefine/>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character" w:styleId="11">
    <w:name w:val="Emphasis"/>
    <w:basedOn w:val="10"/>
    <w:qFormat/>
    <w:uiPriority w:val="20"/>
    <w:rPr>
      <w:i/>
    </w:rPr>
  </w:style>
  <w:style w:type="character" w:styleId="12">
    <w:name w:val="Hyperlink"/>
    <w:basedOn w:val="10"/>
    <w:semiHidden/>
    <w:unhideWhenUsed/>
    <w:qFormat/>
    <w:uiPriority w:val="99"/>
    <w:rPr>
      <w:color w:val="0000FF"/>
      <w:u w:val="single"/>
    </w:rPr>
  </w:style>
  <w:style w:type="character" w:styleId="13">
    <w:name w:val="annotation reference"/>
    <w:basedOn w:val="10"/>
    <w:semiHidden/>
    <w:unhideWhenUsed/>
    <w:qFormat/>
    <w:uiPriority w:val="99"/>
    <w:rPr>
      <w:sz w:val="21"/>
      <w:szCs w:val="21"/>
    </w:rPr>
  </w:style>
  <w:style w:type="character" w:customStyle="1" w:styleId="14">
    <w:name w:val="批注文字 Char"/>
    <w:basedOn w:val="10"/>
    <w:link w:val="2"/>
    <w:semiHidden/>
    <w:qFormat/>
    <w:uiPriority w:val="99"/>
    <w:rPr>
      <w:rFonts w:ascii="Times New Roman" w:hAnsi="Times New Roman" w:eastAsia="宋体" w:cs="Times New Roman"/>
      <w:szCs w:val="20"/>
    </w:rPr>
  </w:style>
  <w:style w:type="character" w:customStyle="1" w:styleId="15">
    <w:name w:val="批注框文本 Char"/>
    <w:basedOn w:val="10"/>
    <w:link w:val="3"/>
    <w:semiHidden/>
    <w:qFormat/>
    <w:uiPriority w:val="99"/>
    <w:rPr>
      <w:rFonts w:ascii="Times New Roman" w:hAnsi="Times New Roman" w:eastAsia="宋体" w:cs="Times New Roman"/>
      <w:sz w:val="18"/>
      <w:szCs w:val="18"/>
    </w:rPr>
  </w:style>
  <w:style w:type="character" w:customStyle="1" w:styleId="16">
    <w:name w:val="页眉 Char"/>
    <w:basedOn w:val="10"/>
    <w:link w:val="5"/>
    <w:qFormat/>
    <w:uiPriority w:val="99"/>
    <w:rPr>
      <w:rFonts w:ascii="Times New Roman" w:hAnsi="Times New Roman" w:eastAsia="宋体" w:cs="Times New Roman"/>
      <w:sz w:val="18"/>
      <w:szCs w:val="18"/>
    </w:rPr>
  </w:style>
  <w:style w:type="character" w:customStyle="1" w:styleId="17">
    <w:name w:val="页脚 Char"/>
    <w:basedOn w:val="10"/>
    <w:link w:val="4"/>
    <w:qFormat/>
    <w:uiPriority w:val="99"/>
    <w:rPr>
      <w:rFonts w:ascii="Times New Roman" w:hAnsi="Times New Roman" w:eastAsia="宋体" w:cs="Times New Roman"/>
      <w:sz w:val="18"/>
      <w:szCs w:val="18"/>
    </w:rPr>
  </w:style>
  <w:style w:type="paragraph" w:customStyle="1" w:styleId="18">
    <w:name w:val="修订1"/>
    <w:hidden/>
    <w:semiHidden/>
    <w:qFormat/>
    <w:uiPriority w:val="99"/>
    <w:rPr>
      <w:rFonts w:ascii="Times New Roman" w:hAnsi="Times New Roman" w:eastAsia="宋体" w:cs="Times New Roman"/>
      <w:kern w:val="2"/>
      <w:sz w:val="21"/>
      <w:lang w:val="en-US" w:eastAsia="zh-CN" w:bidi="ar-SA"/>
    </w:rPr>
  </w:style>
  <w:style w:type="character" w:customStyle="1" w:styleId="19">
    <w:name w:val="批注主题 Char"/>
    <w:basedOn w:val="14"/>
    <w:link w:val="6"/>
    <w:semiHidden/>
    <w:qFormat/>
    <w:uiPriority w:val="99"/>
    <w:rPr>
      <w:rFonts w:ascii="Times New Roman" w:hAnsi="Times New Roman" w:eastAsia="宋体" w:cs="Times New Roman"/>
      <w:b/>
      <w:bCs/>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3.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A534CC53-8810-4E0B-9F18-82AD7FF89BC6}">
  <ds:schemaRefs/>
</ds:datastoreItem>
</file>

<file path=customXml/itemProps2.xml><?xml version="1.0" encoding="utf-8"?>
<ds:datastoreItem xmlns:ds="http://schemas.openxmlformats.org/officeDocument/2006/customXml" ds:itemID="{E923106F-BBB9-4BFA-B681-4FADDB80A5C3}">
  <ds:schemaRefs/>
</ds:datastoreItem>
</file>

<file path=customXml/itemProps3.xml><?xml version="1.0" encoding="utf-8"?>
<ds:datastoreItem xmlns:ds="http://schemas.openxmlformats.org/officeDocument/2006/customXml" ds:itemID="{D72ADFAE-904F-4DE5-9C8B-EFA439FB0A8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1820</Words>
  <Characters>2235</Characters>
  <Lines>474</Lines>
  <Paragraphs>398</Paragraphs>
  <TotalTime>0</TotalTime>
  <ScaleCrop>false</ScaleCrop>
  <LinksUpToDate>false</LinksUpToDate>
  <CharactersWithSpaces>2247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2025-04-21T03:04:00Z</dcterms:created>
  <dc:creator>hsq</dc:creator>
  <cp:lastModifiedBy>黄舒倩</cp:lastModifiedBy>
  <dcterms:modified xsi:type="dcterms:W3CDTF">2026-03-30T09:18:24Z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B58102AFCE0241BBA667696569BE1077_13</vt:lpwstr>
  </property>
</Properties>
</file>