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72AF63" w14:textId="77777777" w:rsidR="00820F18" w:rsidRDefault="00166FCA">
      <w:pPr>
        <w:autoSpaceDE w:val="0"/>
        <w:autoSpaceDN w:val="0"/>
        <w:adjustRightInd w:val="0"/>
        <w:spacing w:line="360" w:lineRule="auto"/>
        <w:jc w:val="center"/>
        <w:rPr>
          <w:rFonts w:ascii="黑体" w:eastAsia="黑体" w:hAnsi="黑体"/>
          <w:sz w:val="36"/>
          <w:szCs w:val="36"/>
        </w:rPr>
      </w:pPr>
      <w:r>
        <w:rPr>
          <w:rFonts w:ascii="仿宋" w:eastAsia="仿宋" w:hAnsi="仿宋" w:hint="eastAsia"/>
          <w:color w:val="000000"/>
          <w:sz w:val="28"/>
        </w:rPr>
        <w:t>证券代码：301178     证券简称：天亿马     公告编号：2026-019</w:t>
      </w:r>
      <w:r>
        <w:rPr>
          <w:rFonts w:ascii="黑体" w:eastAsia="黑体" w:hAnsi="黑体" w:hint="eastAsia"/>
          <w:sz w:val="36"/>
          <w:szCs w:val="36"/>
        </w:rPr>
        <w:t>广东天亿马信息产业股份有限公司</w:t>
      </w:r>
    </w:p>
    <w:p w14:paraId="77A2F110" w14:textId="77777777" w:rsidR="00820F18" w:rsidRDefault="00166FCA" w:rsidP="009E29D8">
      <w:pPr>
        <w:spacing w:afterLines="100" w:after="312"/>
        <w:ind w:firstLine="720"/>
        <w:jc w:val="center"/>
        <w:rPr>
          <w:rFonts w:ascii="黑体" w:eastAsia="黑体" w:hAnsi="黑体"/>
          <w:sz w:val="36"/>
          <w:szCs w:val="36"/>
        </w:rPr>
      </w:pPr>
      <w:r>
        <w:rPr>
          <w:rFonts w:ascii="黑体" w:eastAsia="黑体" w:hAnsi="黑体" w:hint="eastAsia"/>
          <w:sz w:val="36"/>
          <w:szCs w:val="36"/>
        </w:rPr>
        <w:t>关于2025年度计提资产减值准备的公告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820F18" w14:paraId="145EE445"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0A19AF13" w14:textId="77777777" w:rsidR="00820F18" w:rsidRDefault="00166FCA">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5E11709B" w14:textId="77777777" w:rsidR="00820F18" w:rsidRDefault="00820F18"/>
    <w:p w14:paraId="077F3DE0" w14:textId="77777777" w:rsidR="00820F18" w:rsidRDefault="00166FCA">
      <w:pPr>
        <w:ind w:firstLineChars="200" w:firstLine="560"/>
        <w:rPr>
          <w:rFonts w:ascii="仿宋" w:eastAsia="仿宋" w:hAnsi="仿宋"/>
          <w:sz w:val="28"/>
          <w:szCs w:val="28"/>
        </w:rPr>
      </w:pPr>
      <w:r>
        <w:rPr>
          <w:rFonts w:ascii="仿宋" w:eastAsia="仿宋" w:hAnsi="仿宋" w:hint="eastAsia"/>
          <w:sz w:val="28"/>
          <w:szCs w:val="28"/>
        </w:rPr>
        <w:t>为真实、客观地反映广东天亿马信息产业股份有限公司（以下简称“公司”），公司根据《企业会计准则》及深圳证券交易所等相关规定，对2025年度合并财务报表范围内相关资产计提资产减值准备。该事项经公司2026年3月30日召开的第四届董事会第五次会议审议通过。现将有关情况公告如下：</w:t>
      </w:r>
    </w:p>
    <w:p w14:paraId="5E97651F" w14:textId="77777777" w:rsidR="00820F18" w:rsidRDefault="00166FCA">
      <w:pPr>
        <w:ind w:firstLineChars="200" w:firstLine="562"/>
        <w:outlineLvl w:val="0"/>
        <w:rPr>
          <w:rFonts w:ascii="仿宋" w:eastAsia="仿宋" w:hAnsi="仿宋"/>
          <w:b/>
          <w:sz w:val="28"/>
          <w:szCs w:val="28"/>
        </w:rPr>
      </w:pPr>
      <w:r>
        <w:rPr>
          <w:rFonts w:ascii="仿宋" w:eastAsia="仿宋" w:hAnsi="仿宋" w:hint="eastAsia"/>
          <w:b/>
          <w:sz w:val="28"/>
          <w:szCs w:val="28"/>
        </w:rPr>
        <w:t>一、本次计提资产减值准备情况概述</w:t>
      </w:r>
    </w:p>
    <w:p w14:paraId="11C2533F"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依据《企业会计准则》及公司会计政策相关规定，本着谨慎性原则，公司对合并报表范围内的2025年末应收账款、其他应收款、存货、固定资产、长期股权投资、无形资产等资产进行了减值测试，判断存在可能发生减值的迹象，确定了需计提资产减值准备的资产项目，基于谨慎性原则，公司对可能发生减值损失的相关资产计提减值准备。本次计提2025年度各项信用减值损失和资产减值损失共计32,545,061.27元，具体情况如下：</w:t>
      </w:r>
    </w:p>
    <w:p w14:paraId="6CC8A1FE" w14:textId="77777777" w:rsidR="00820F18" w:rsidRDefault="00166FCA">
      <w:pPr>
        <w:spacing w:line="360" w:lineRule="auto"/>
        <w:ind w:firstLineChars="200" w:firstLine="560"/>
        <w:jc w:val="right"/>
        <w:rPr>
          <w:rFonts w:ascii="仿宋" w:eastAsia="仿宋" w:hAnsi="仿宋"/>
          <w:sz w:val="28"/>
          <w:szCs w:val="28"/>
        </w:rPr>
      </w:pPr>
      <w:r>
        <w:rPr>
          <w:rFonts w:ascii="仿宋" w:eastAsia="仿宋" w:hAnsi="仿宋"/>
          <w:sz w:val="28"/>
          <w:szCs w:val="28"/>
        </w:rPr>
        <w:t>单位：元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9"/>
        <w:gridCol w:w="2165"/>
        <w:gridCol w:w="2168"/>
      </w:tblGrid>
      <w:tr w:rsidR="00820F18" w14:paraId="18CD5CD4" w14:textId="77777777">
        <w:trPr>
          <w:cantSplit/>
          <w:trHeight w:val="574"/>
          <w:tblHeader/>
        </w:trPr>
        <w:tc>
          <w:tcPr>
            <w:tcW w:w="2457" w:type="pct"/>
            <w:tcBorders>
              <w:top w:val="single" w:sz="4" w:space="0" w:color="auto"/>
              <w:left w:val="single" w:sz="4" w:space="0" w:color="auto"/>
              <w:bottom w:val="single" w:sz="4" w:space="0" w:color="auto"/>
              <w:right w:val="single" w:sz="4" w:space="0" w:color="auto"/>
            </w:tcBorders>
            <w:shd w:val="clear" w:color="auto" w:fill="E0E0E0"/>
            <w:vAlign w:val="center"/>
          </w:tcPr>
          <w:p w14:paraId="249D8615" w14:textId="77777777" w:rsidR="00820F18" w:rsidRDefault="00166FCA" w:rsidP="009E29D8">
            <w:pPr>
              <w:adjustRightInd w:val="0"/>
              <w:ind w:firstLine="482"/>
              <w:jc w:val="center"/>
              <w:rPr>
                <w:rFonts w:ascii="仿宋" w:eastAsia="仿宋" w:hAnsi="仿宋"/>
                <w:b/>
                <w:color w:val="000000"/>
                <w:sz w:val="24"/>
                <w:szCs w:val="24"/>
              </w:rPr>
            </w:pPr>
            <w:r>
              <w:rPr>
                <w:rFonts w:ascii="仿宋" w:eastAsia="仿宋" w:hAnsi="仿宋" w:hint="eastAsia"/>
                <w:b/>
                <w:color w:val="000000"/>
                <w:sz w:val="24"/>
                <w:szCs w:val="24"/>
              </w:rPr>
              <w:t>资产减值</w:t>
            </w:r>
            <w:r>
              <w:rPr>
                <w:rFonts w:ascii="仿宋" w:eastAsia="仿宋" w:hAnsi="仿宋"/>
                <w:b/>
                <w:color w:val="000000"/>
                <w:sz w:val="24"/>
                <w:szCs w:val="24"/>
              </w:rPr>
              <w:t>项目</w:t>
            </w:r>
          </w:p>
        </w:tc>
        <w:tc>
          <w:tcPr>
            <w:tcW w:w="1270" w:type="pct"/>
            <w:tcBorders>
              <w:top w:val="single" w:sz="4" w:space="0" w:color="auto"/>
              <w:left w:val="single" w:sz="4" w:space="0" w:color="auto"/>
              <w:bottom w:val="single" w:sz="4" w:space="0" w:color="auto"/>
              <w:right w:val="single" w:sz="4" w:space="0" w:color="auto"/>
            </w:tcBorders>
            <w:shd w:val="clear" w:color="auto" w:fill="E0E0E0"/>
            <w:vAlign w:val="center"/>
          </w:tcPr>
          <w:p w14:paraId="037C55DF" w14:textId="77777777" w:rsidR="00820F18" w:rsidRDefault="00166FCA" w:rsidP="009E29D8">
            <w:pPr>
              <w:adjustRightInd w:val="0"/>
              <w:ind w:firstLine="482"/>
              <w:jc w:val="center"/>
              <w:rPr>
                <w:rFonts w:ascii="仿宋" w:eastAsia="仿宋" w:hAnsi="仿宋"/>
                <w:b/>
                <w:color w:val="000000"/>
                <w:sz w:val="24"/>
                <w:szCs w:val="24"/>
              </w:rPr>
            </w:pPr>
            <w:r>
              <w:rPr>
                <w:rFonts w:ascii="仿宋" w:eastAsia="仿宋" w:hAnsi="仿宋" w:hint="eastAsia"/>
                <w:b/>
                <w:color w:val="000000"/>
                <w:sz w:val="24"/>
                <w:szCs w:val="24"/>
              </w:rPr>
              <w:t>本期发生额</w:t>
            </w:r>
          </w:p>
        </w:tc>
        <w:tc>
          <w:tcPr>
            <w:tcW w:w="1272" w:type="pct"/>
            <w:tcBorders>
              <w:top w:val="single" w:sz="4" w:space="0" w:color="auto"/>
              <w:left w:val="single" w:sz="4" w:space="0" w:color="auto"/>
              <w:bottom w:val="single" w:sz="4" w:space="0" w:color="auto"/>
              <w:right w:val="single" w:sz="4" w:space="0" w:color="auto"/>
            </w:tcBorders>
            <w:shd w:val="clear" w:color="auto" w:fill="E0E0E0"/>
            <w:vAlign w:val="center"/>
          </w:tcPr>
          <w:p w14:paraId="4F5CB98B" w14:textId="77777777" w:rsidR="00820F18" w:rsidRDefault="00166FCA" w:rsidP="009E29D8">
            <w:pPr>
              <w:adjustRightInd w:val="0"/>
              <w:ind w:firstLine="482"/>
              <w:jc w:val="center"/>
              <w:rPr>
                <w:rFonts w:ascii="仿宋" w:eastAsia="仿宋" w:hAnsi="仿宋"/>
                <w:b/>
                <w:color w:val="000000"/>
                <w:sz w:val="24"/>
                <w:szCs w:val="24"/>
              </w:rPr>
            </w:pPr>
            <w:r>
              <w:rPr>
                <w:rFonts w:ascii="仿宋" w:eastAsia="仿宋" w:hAnsi="仿宋" w:hint="eastAsia"/>
                <w:b/>
                <w:color w:val="000000"/>
                <w:sz w:val="24"/>
                <w:szCs w:val="24"/>
              </w:rPr>
              <w:t>上期发生额</w:t>
            </w:r>
          </w:p>
        </w:tc>
      </w:tr>
      <w:tr w:rsidR="00820F18" w14:paraId="714D234B" w14:textId="77777777">
        <w:trPr>
          <w:cantSplit/>
          <w:trHeight w:val="554"/>
        </w:trPr>
        <w:tc>
          <w:tcPr>
            <w:tcW w:w="2457" w:type="pct"/>
            <w:tcBorders>
              <w:top w:val="single" w:sz="4" w:space="0" w:color="auto"/>
              <w:left w:val="single" w:sz="4" w:space="0" w:color="auto"/>
              <w:bottom w:val="single" w:sz="4" w:space="0" w:color="auto"/>
              <w:right w:val="single" w:sz="4" w:space="0" w:color="auto"/>
            </w:tcBorders>
            <w:vAlign w:val="center"/>
          </w:tcPr>
          <w:p w14:paraId="2C5DA9B1" w14:textId="77777777" w:rsidR="00820F18" w:rsidRDefault="00166FCA" w:rsidP="009E29D8">
            <w:pPr>
              <w:ind w:firstLine="482"/>
              <w:jc w:val="left"/>
              <w:rPr>
                <w:rFonts w:ascii="仿宋" w:eastAsia="仿宋" w:hAnsi="仿宋"/>
                <w:b/>
                <w:color w:val="000000"/>
                <w:sz w:val="24"/>
              </w:rPr>
            </w:pPr>
            <w:r>
              <w:rPr>
                <w:rFonts w:ascii="仿宋" w:eastAsia="仿宋" w:hAnsi="仿宋" w:hint="eastAsia"/>
                <w:b/>
                <w:color w:val="000000"/>
                <w:sz w:val="24"/>
              </w:rPr>
              <w:t>一、资产减值损失</w:t>
            </w:r>
          </w:p>
        </w:tc>
        <w:tc>
          <w:tcPr>
            <w:tcW w:w="1270" w:type="pct"/>
            <w:tcBorders>
              <w:top w:val="single" w:sz="4" w:space="0" w:color="auto"/>
              <w:left w:val="single" w:sz="4" w:space="0" w:color="auto"/>
              <w:bottom w:val="single" w:sz="4" w:space="0" w:color="auto"/>
              <w:right w:val="single" w:sz="4" w:space="0" w:color="auto"/>
            </w:tcBorders>
            <w:vAlign w:val="center"/>
          </w:tcPr>
          <w:p w14:paraId="41D6EE8C" w14:textId="668F1FFE" w:rsidR="00820F18" w:rsidRPr="003847CE" w:rsidRDefault="00166FCA" w:rsidP="00115A94">
            <w:pPr>
              <w:overflowPunct w:val="0"/>
              <w:adjustRightInd w:val="0"/>
              <w:snapToGrid w:val="0"/>
              <w:jc w:val="right"/>
              <w:rPr>
                <w:rFonts w:eastAsiaTheme="minorEastAsia"/>
                <w:b/>
                <w:kern w:val="0"/>
                <w:szCs w:val="21"/>
              </w:rPr>
            </w:pPr>
            <w:r w:rsidRPr="003847CE">
              <w:rPr>
                <w:rFonts w:eastAsiaTheme="minorEastAsia"/>
                <w:b/>
                <w:kern w:val="0"/>
                <w:szCs w:val="21"/>
              </w:rPr>
              <w:t>842,298.72</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5B720922" w14:textId="77777777" w:rsidR="00820F18" w:rsidRPr="003847CE" w:rsidRDefault="00166FCA">
            <w:pPr>
              <w:overflowPunct w:val="0"/>
              <w:adjustRightInd w:val="0"/>
              <w:snapToGrid w:val="0"/>
              <w:ind w:firstLine="562"/>
              <w:jc w:val="right"/>
              <w:rPr>
                <w:rFonts w:eastAsiaTheme="minorEastAsia"/>
                <w:b/>
                <w:kern w:val="0"/>
                <w:szCs w:val="21"/>
              </w:rPr>
            </w:pPr>
            <w:r w:rsidRPr="003847CE">
              <w:rPr>
                <w:rFonts w:eastAsiaTheme="minorEastAsia"/>
                <w:b/>
                <w:kern w:val="0"/>
                <w:szCs w:val="21"/>
              </w:rPr>
              <w:fldChar w:fldCharType="begin"/>
            </w:r>
            <w:r w:rsidRPr="003847CE">
              <w:rPr>
                <w:rFonts w:eastAsiaTheme="minorEastAsia"/>
                <w:b/>
                <w:kern w:val="0"/>
                <w:szCs w:val="21"/>
              </w:rPr>
              <w:instrText xml:space="preserve"> =SUM(ABOVE) </w:instrText>
            </w:r>
            <w:r w:rsidRPr="003847CE">
              <w:rPr>
                <w:rFonts w:eastAsiaTheme="minorEastAsia"/>
                <w:b/>
                <w:kern w:val="0"/>
                <w:szCs w:val="21"/>
              </w:rPr>
              <w:fldChar w:fldCharType="separate"/>
            </w:r>
            <w:r w:rsidRPr="003847CE">
              <w:rPr>
                <w:rFonts w:eastAsiaTheme="minorEastAsia"/>
                <w:b/>
                <w:kern w:val="0"/>
                <w:szCs w:val="21"/>
              </w:rPr>
              <w:t>-3,648,261.03</w:t>
            </w:r>
            <w:r w:rsidRPr="003847CE">
              <w:rPr>
                <w:rFonts w:eastAsiaTheme="minorEastAsia"/>
                <w:b/>
                <w:kern w:val="0"/>
                <w:szCs w:val="21"/>
              </w:rPr>
              <w:fldChar w:fldCharType="end"/>
            </w:r>
          </w:p>
        </w:tc>
      </w:tr>
      <w:tr w:rsidR="00820F18" w14:paraId="01383804" w14:textId="77777777">
        <w:trPr>
          <w:cantSplit/>
          <w:trHeight w:val="554"/>
        </w:trPr>
        <w:tc>
          <w:tcPr>
            <w:tcW w:w="2457" w:type="pct"/>
            <w:tcBorders>
              <w:top w:val="single" w:sz="4" w:space="0" w:color="auto"/>
              <w:left w:val="single" w:sz="4" w:space="0" w:color="auto"/>
              <w:bottom w:val="single" w:sz="4" w:space="0" w:color="auto"/>
              <w:right w:val="single" w:sz="4" w:space="0" w:color="auto"/>
            </w:tcBorders>
            <w:vAlign w:val="center"/>
          </w:tcPr>
          <w:p w14:paraId="6806B6EA" w14:textId="77777777" w:rsidR="00820F18" w:rsidRDefault="00166FCA">
            <w:pPr>
              <w:ind w:firstLine="480"/>
              <w:jc w:val="left"/>
              <w:rPr>
                <w:rFonts w:ascii="仿宋" w:eastAsia="仿宋" w:hAnsi="仿宋"/>
                <w:color w:val="000000"/>
                <w:sz w:val="24"/>
              </w:rPr>
            </w:pPr>
            <w:r>
              <w:rPr>
                <w:rFonts w:ascii="仿宋" w:eastAsia="仿宋" w:hAnsi="仿宋" w:hint="eastAsia"/>
                <w:color w:val="000000"/>
                <w:sz w:val="24"/>
              </w:rPr>
              <w:t>其中：存货跌价损失</w:t>
            </w:r>
          </w:p>
        </w:tc>
        <w:tc>
          <w:tcPr>
            <w:tcW w:w="1270" w:type="pct"/>
            <w:tcBorders>
              <w:top w:val="single" w:sz="4" w:space="0" w:color="auto"/>
              <w:left w:val="single" w:sz="4" w:space="0" w:color="auto"/>
              <w:bottom w:val="single" w:sz="4" w:space="0" w:color="auto"/>
              <w:right w:val="single" w:sz="4" w:space="0" w:color="auto"/>
            </w:tcBorders>
            <w:vAlign w:val="center"/>
          </w:tcPr>
          <w:p w14:paraId="6390CA50" w14:textId="1BCB30DD" w:rsidR="00820F18" w:rsidRPr="003847CE" w:rsidRDefault="00166FCA" w:rsidP="00115A94">
            <w:pPr>
              <w:overflowPunct w:val="0"/>
              <w:adjustRightInd w:val="0"/>
              <w:snapToGrid w:val="0"/>
              <w:jc w:val="right"/>
              <w:rPr>
                <w:rFonts w:eastAsiaTheme="minorEastAsia"/>
                <w:kern w:val="0"/>
                <w:szCs w:val="21"/>
              </w:rPr>
            </w:pPr>
            <w:r w:rsidRPr="003847CE">
              <w:rPr>
                <w:rFonts w:eastAsiaTheme="minorEastAsia"/>
                <w:kern w:val="0"/>
                <w:szCs w:val="21"/>
              </w:rPr>
              <w:t>-193,496.26</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41542832" w14:textId="77777777" w:rsidR="00820F18" w:rsidRPr="003847CE" w:rsidRDefault="00166FCA">
            <w:pPr>
              <w:overflowPunct w:val="0"/>
              <w:adjustRightInd w:val="0"/>
              <w:snapToGrid w:val="0"/>
              <w:jc w:val="right"/>
              <w:rPr>
                <w:rFonts w:eastAsiaTheme="minorEastAsia"/>
                <w:kern w:val="0"/>
                <w:szCs w:val="21"/>
              </w:rPr>
            </w:pPr>
            <w:r w:rsidRPr="003847CE">
              <w:rPr>
                <w:rFonts w:eastAsiaTheme="minorEastAsia"/>
                <w:kern w:val="0"/>
                <w:szCs w:val="21"/>
              </w:rPr>
              <w:t>-316,971.40</w:t>
            </w:r>
          </w:p>
        </w:tc>
      </w:tr>
      <w:tr w:rsidR="00820F18" w14:paraId="22872DC4" w14:textId="77777777">
        <w:trPr>
          <w:cantSplit/>
          <w:trHeight w:val="554"/>
        </w:trPr>
        <w:tc>
          <w:tcPr>
            <w:tcW w:w="2457" w:type="pct"/>
            <w:tcBorders>
              <w:top w:val="single" w:sz="4" w:space="0" w:color="auto"/>
              <w:left w:val="single" w:sz="4" w:space="0" w:color="auto"/>
              <w:bottom w:val="single" w:sz="4" w:space="0" w:color="auto"/>
              <w:right w:val="single" w:sz="4" w:space="0" w:color="auto"/>
            </w:tcBorders>
            <w:vAlign w:val="center"/>
          </w:tcPr>
          <w:p w14:paraId="3780609D" w14:textId="77777777" w:rsidR="00820F18" w:rsidRDefault="00166FCA">
            <w:pPr>
              <w:ind w:firstLineChars="300" w:firstLine="720"/>
              <w:jc w:val="left"/>
              <w:rPr>
                <w:rFonts w:ascii="仿宋" w:eastAsia="仿宋" w:hAnsi="仿宋"/>
                <w:color w:val="000000"/>
                <w:sz w:val="24"/>
              </w:rPr>
            </w:pPr>
            <w:r>
              <w:rPr>
                <w:rFonts w:ascii="仿宋" w:eastAsia="仿宋" w:hAnsi="仿宋" w:hint="eastAsia"/>
                <w:color w:val="000000"/>
                <w:sz w:val="24"/>
              </w:rPr>
              <w:lastRenderedPageBreak/>
              <w:t>合同资产减值损失</w:t>
            </w:r>
          </w:p>
        </w:tc>
        <w:tc>
          <w:tcPr>
            <w:tcW w:w="1270" w:type="pct"/>
            <w:tcBorders>
              <w:top w:val="single" w:sz="4" w:space="0" w:color="auto"/>
              <w:left w:val="single" w:sz="4" w:space="0" w:color="auto"/>
              <w:bottom w:val="single" w:sz="4" w:space="0" w:color="auto"/>
              <w:right w:val="single" w:sz="4" w:space="0" w:color="auto"/>
            </w:tcBorders>
            <w:vAlign w:val="center"/>
          </w:tcPr>
          <w:p w14:paraId="0FBD57EB" w14:textId="5D1E3CBD" w:rsidR="00820F18" w:rsidRPr="003847CE" w:rsidRDefault="00166FCA" w:rsidP="00115A94">
            <w:pPr>
              <w:overflowPunct w:val="0"/>
              <w:adjustRightInd w:val="0"/>
              <w:snapToGrid w:val="0"/>
              <w:jc w:val="right"/>
              <w:rPr>
                <w:rFonts w:eastAsiaTheme="minorEastAsia"/>
                <w:kern w:val="0"/>
                <w:szCs w:val="21"/>
              </w:rPr>
            </w:pPr>
            <w:r w:rsidRPr="003847CE">
              <w:rPr>
                <w:rFonts w:eastAsiaTheme="minorEastAsia"/>
                <w:kern w:val="0"/>
                <w:szCs w:val="21"/>
              </w:rPr>
              <w:t>1,035,794.98</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1C244D59" w14:textId="77777777" w:rsidR="00820F18" w:rsidRPr="003847CE" w:rsidRDefault="00166FCA">
            <w:pPr>
              <w:overflowPunct w:val="0"/>
              <w:adjustRightInd w:val="0"/>
              <w:snapToGrid w:val="0"/>
              <w:jc w:val="right"/>
              <w:rPr>
                <w:rFonts w:eastAsiaTheme="minorEastAsia"/>
                <w:kern w:val="0"/>
                <w:szCs w:val="21"/>
              </w:rPr>
            </w:pPr>
            <w:r w:rsidRPr="003847CE">
              <w:rPr>
                <w:rFonts w:eastAsiaTheme="minorEastAsia"/>
                <w:kern w:val="0"/>
                <w:szCs w:val="21"/>
              </w:rPr>
              <w:t>-409,797.77</w:t>
            </w:r>
          </w:p>
        </w:tc>
      </w:tr>
      <w:tr w:rsidR="00820F18" w14:paraId="601DDECC" w14:textId="77777777">
        <w:trPr>
          <w:cantSplit/>
          <w:trHeight w:val="554"/>
        </w:trPr>
        <w:tc>
          <w:tcPr>
            <w:tcW w:w="2457" w:type="pct"/>
            <w:tcBorders>
              <w:top w:val="single" w:sz="4" w:space="0" w:color="auto"/>
              <w:left w:val="single" w:sz="4" w:space="0" w:color="auto"/>
              <w:bottom w:val="single" w:sz="4" w:space="0" w:color="auto"/>
              <w:right w:val="single" w:sz="4" w:space="0" w:color="auto"/>
            </w:tcBorders>
            <w:vAlign w:val="center"/>
          </w:tcPr>
          <w:p w14:paraId="39E4B975" w14:textId="77777777" w:rsidR="00820F18" w:rsidRDefault="00166FCA">
            <w:pPr>
              <w:ind w:firstLineChars="300" w:firstLine="720"/>
              <w:jc w:val="left"/>
              <w:rPr>
                <w:rFonts w:ascii="仿宋" w:eastAsia="仿宋" w:hAnsi="仿宋"/>
                <w:color w:val="000000"/>
                <w:sz w:val="24"/>
              </w:rPr>
            </w:pPr>
            <w:r>
              <w:rPr>
                <w:rFonts w:ascii="仿宋" w:eastAsia="仿宋" w:hAnsi="仿宋" w:hint="eastAsia"/>
                <w:color w:val="000000"/>
                <w:sz w:val="24"/>
              </w:rPr>
              <w:t>商誉减值损失</w:t>
            </w:r>
          </w:p>
        </w:tc>
        <w:tc>
          <w:tcPr>
            <w:tcW w:w="1270" w:type="pct"/>
            <w:tcBorders>
              <w:top w:val="single" w:sz="4" w:space="0" w:color="auto"/>
              <w:left w:val="single" w:sz="4" w:space="0" w:color="auto"/>
              <w:bottom w:val="single" w:sz="4" w:space="0" w:color="auto"/>
              <w:right w:val="single" w:sz="4" w:space="0" w:color="auto"/>
            </w:tcBorders>
            <w:vAlign w:val="center"/>
          </w:tcPr>
          <w:p w14:paraId="29F4D7B1" w14:textId="545EE373" w:rsidR="00820F18" w:rsidRPr="003847CE" w:rsidRDefault="00835B3C" w:rsidP="00115A94">
            <w:pPr>
              <w:overflowPunct w:val="0"/>
              <w:adjustRightInd w:val="0"/>
              <w:snapToGrid w:val="0"/>
              <w:jc w:val="right"/>
              <w:rPr>
                <w:rFonts w:eastAsiaTheme="minorEastAsia"/>
                <w:kern w:val="0"/>
                <w:szCs w:val="21"/>
              </w:rPr>
            </w:pPr>
            <w:r>
              <w:rPr>
                <w:rFonts w:eastAsiaTheme="minorEastAsia" w:hint="eastAsia"/>
                <w:kern w:val="0"/>
                <w:szCs w:val="21"/>
              </w:rPr>
              <w:t>-</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11C68943" w14:textId="77777777" w:rsidR="00820F18" w:rsidRPr="003847CE" w:rsidRDefault="00166FCA">
            <w:pPr>
              <w:overflowPunct w:val="0"/>
              <w:adjustRightInd w:val="0"/>
              <w:snapToGrid w:val="0"/>
              <w:jc w:val="right"/>
              <w:rPr>
                <w:rFonts w:eastAsiaTheme="minorEastAsia"/>
                <w:kern w:val="0"/>
                <w:szCs w:val="21"/>
              </w:rPr>
            </w:pPr>
            <w:r w:rsidRPr="003847CE">
              <w:rPr>
                <w:rFonts w:eastAsiaTheme="minorEastAsia"/>
                <w:kern w:val="0"/>
                <w:szCs w:val="21"/>
              </w:rPr>
              <w:t>-2,921,491.86</w:t>
            </w:r>
          </w:p>
        </w:tc>
      </w:tr>
      <w:tr w:rsidR="00820F18" w14:paraId="4F552993" w14:textId="77777777">
        <w:trPr>
          <w:cantSplit/>
          <w:trHeight w:val="557"/>
        </w:trPr>
        <w:tc>
          <w:tcPr>
            <w:tcW w:w="2457" w:type="pct"/>
            <w:tcBorders>
              <w:top w:val="single" w:sz="4" w:space="0" w:color="auto"/>
              <w:left w:val="single" w:sz="4" w:space="0" w:color="auto"/>
              <w:bottom w:val="single" w:sz="4" w:space="0" w:color="auto"/>
              <w:right w:val="single" w:sz="4" w:space="0" w:color="auto"/>
            </w:tcBorders>
            <w:vAlign w:val="center"/>
          </w:tcPr>
          <w:p w14:paraId="1B242426" w14:textId="77777777" w:rsidR="00820F18" w:rsidRDefault="00166FCA" w:rsidP="009E29D8">
            <w:pPr>
              <w:widowControl/>
              <w:ind w:firstLine="482"/>
              <w:rPr>
                <w:rFonts w:ascii="仿宋" w:eastAsia="仿宋" w:hAnsi="仿宋" w:cs="宋体"/>
                <w:b/>
                <w:color w:val="000000"/>
                <w:kern w:val="0"/>
                <w:sz w:val="24"/>
              </w:rPr>
            </w:pPr>
            <w:r>
              <w:rPr>
                <w:rFonts w:ascii="仿宋" w:eastAsia="仿宋" w:hAnsi="仿宋" w:cs="宋体" w:hint="eastAsia"/>
                <w:b/>
                <w:color w:val="000000"/>
                <w:kern w:val="0"/>
                <w:sz w:val="24"/>
              </w:rPr>
              <w:t>二、信用减值损失</w:t>
            </w:r>
          </w:p>
        </w:tc>
        <w:tc>
          <w:tcPr>
            <w:tcW w:w="1270" w:type="pct"/>
            <w:tcBorders>
              <w:top w:val="single" w:sz="4" w:space="0" w:color="auto"/>
              <w:left w:val="single" w:sz="4" w:space="0" w:color="auto"/>
              <w:bottom w:val="single" w:sz="4" w:space="0" w:color="auto"/>
              <w:right w:val="single" w:sz="4" w:space="0" w:color="auto"/>
            </w:tcBorders>
            <w:vAlign w:val="center"/>
          </w:tcPr>
          <w:p w14:paraId="50E194FA" w14:textId="77777777" w:rsidR="00820F18" w:rsidRPr="003847CE" w:rsidRDefault="00166FCA" w:rsidP="00115A94">
            <w:pPr>
              <w:overflowPunct w:val="0"/>
              <w:adjustRightInd w:val="0"/>
              <w:snapToGrid w:val="0"/>
              <w:jc w:val="right"/>
              <w:rPr>
                <w:rFonts w:eastAsiaTheme="minorEastAsia"/>
                <w:b/>
                <w:kern w:val="0"/>
                <w:szCs w:val="21"/>
              </w:rPr>
            </w:pPr>
            <w:r w:rsidRPr="003847CE">
              <w:rPr>
                <w:b/>
                <w:bCs/>
                <w:color w:val="000000"/>
                <w:kern w:val="0"/>
                <w:szCs w:val="21"/>
                <w:lang w:bidi="ar"/>
              </w:rPr>
              <w:t>-33,387,359.99</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2AE88F67" w14:textId="77777777" w:rsidR="00820F18" w:rsidRPr="003847CE" w:rsidRDefault="00166FCA">
            <w:pPr>
              <w:overflowPunct w:val="0"/>
              <w:adjustRightInd w:val="0"/>
              <w:snapToGrid w:val="0"/>
              <w:ind w:firstLine="562"/>
              <w:jc w:val="right"/>
              <w:rPr>
                <w:rFonts w:eastAsiaTheme="minorEastAsia"/>
                <w:b/>
                <w:kern w:val="0"/>
                <w:szCs w:val="21"/>
              </w:rPr>
            </w:pPr>
            <w:r w:rsidRPr="003847CE">
              <w:rPr>
                <w:rFonts w:eastAsiaTheme="minorEastAsia"/>
                <w:b/>
                <w:kern w:val="0"/>
                <w:szCs w:val="21"/>
              </w:rPr>
              <w:fldChar w:fldCharType="begin"/>
            </w:r>
            <w:r w:rsidRPr="003847CE">
              <w:rPr>
                <w:rFonts w:eastAsiaTheme="minorEastAsia"/>
                <w:b/>
                <w:kern w:val="0"/>
                <w:szCs w:val="21"/>
              </w:rPr>
              <w:instrText xml:space="preserve"> =SUM(ABOVE) </w:instrText>
            </w:r>
            <w:r w:rsidRPr="003847CE">
              <w:rPr>
                <w:rFonts w:eastAsiaTheme="minorEastAsia"/>
                <w:b/>
                <w:kern w:val="0"/>
                <w:szCs w:val="21"/>
              </w:rPr>
              <w:fldChar w:fldCharType="separate"/>
            </w:r>
            <w:r w:rsidRPr="003847CE">
              <w:rPr>
                <w:rFonts w:eastAsiaTheme="minorEastAsia"/>
                <w:b/>
                <w:kern w:val="0"/>
                <w:szCs w:val="21"/>
              </w:rPr>
              <w:t>-21,461,693.75</w:t>
            </w:r>
            <w:r w:rsidRPr="003847CE">
              <w:rPr>
                <w:rFonts w:eastAsiaTheme="minorEastAsia"/>
                <w:b/>
                <w:kern w:val="0"/>
                <w:szCs w:val="21"/>
              </w:rPr>
              <w:fldChar w:fldCharType="end"/>
            </w:r>
          </w:p>
        </w:tc>
      </w:tr>
      <w:tr w:rsidR="00820F18" w14:paraId="7AB74FD9" w14:textId="77777777">
        <w:trPr>
          <w:cantSplit/>
          <w:trHeight w:val="558"/>
        </w:trPr>
        <w:tc>
          <w:tcPr>
            <w:tcW w:w="2457" w:type="pct"/>
            <w:tcBorders>
              <w:top w:val="single" w:sz="4" w:space="0" w:color="auto"/>
              <w:left w:val="single" w:sz="4" w:space="0" w:color="auto"/>
              <w:bottom w:val="single" w:sz="4" w:space="0" w:color="auto"/>
              <w:right w:val="single" w:sz="4" w:space="0" w:color="auto"/>
            </w:tcBorders>
            <w:vAlign w:val="center"/>
          </w:tcPr>
          <w:p w14:paraId="1FAA1245" w14:textId="77777777" w:rsidR="00820F18" w:rsidRDefault="00166FCA">
            <w:pPr>
              <w:widowControl/>
              <w:ind w:firstLine="480"/>
              <w:rPr>
                <w:rFonts w:ascii="仿宋" w:eastAsia="仿宋" w:hAnsi="仿宋" w:cs="宋体"/>
                <w:color w:val="000000"/>
                <w:kern w:val="0"/>
                <w:sz w:val="24"/>
              </w:rPr>
            </w:pPr>
            <w:r>
              <w:rPr>
                <w:rFonts w:ascii="仿宋" w:eastAsia="仿宋" w:hAnsi="仿宋" w:hint="eastAsia"/>
                <w:color w:val="000000"/>
                <w:sz w:val="24"/>
              </w:rPr>
              <w:t>其中：应收账款坏账损失</w:t>
            </w:r>
          </w:p>
        </w:tc>
        <w:tc>
          <w:tcPr>
            <w:tcW w:w="1270" w:type="pct"/>
            <w:tcBorders>
              <w:top w:val="single" w:sz="4" w:space="0" w:color="auto"/>
              <w:left w:val="single" w:sz="4" w:space="0" w:color="auto"/>
              <w:bottom w:val="single" w:sz="4" w:space="0" w:color="auto"/>
              <w:right w:val="single" w:sz="4" w:space="0" w:color="auto"/>
            </w:tcBorders>
            <w:vAlign w:val="center"/>
          </w:tcPr>
          <w:p w14:paraId="02E366D7" w14:textId="6C0D102D" w:rsidR="00820F18" w:rsidRPr="003847CE" w:rsidRDefault="00166FCA" w:rsidP="00115A94">
            <w:pPr>
              <w:overflowPunct w:val="0"/>
              <w:adjustRightInd w:val="0"/>
              <w:snapToGrid w:val="0"/>
              <w:jc w:val="right"/>
              <w:rPr>
                <w:rFonts w:eastAsiaTheme="minorEastAsia"/>
                <w:kern w:val="0"/>
                <w:szCs w:val="21"/>
              </w:rPr>
            </w:pPr>
            <w:r w:rsidRPr="003847CE">
              <w:rPr>
                <w:color w:val="000000"/>
                <w:kern w:val="0"/>
                <w:szCs w:val="21"/>
                <w:lang w:bidi="ar"/>
              </w:rPr>
              <w:t>-31,911,857.20</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37089CAE" w14:textId="77777777" w:rsidR="00820F18" w:rsidRPr="003847CE" w:rsidRDefault="00166FCA">
            <w:pPr>
              <w:overflowPunct w:val="0"/>
              <w:adjustRightInd w:val="0"/>
              <w:snapToGrid w:val="0"/>
              <w:jc w:val="right"/>
              <w:rPr>
                <w:rFonts w:eastAsiaTheme="minorEastAsia"/>
                <w:kern w:val="0"/>
                <w:szCs w:val="21"/>
              </w:rPr>
            </w:pPr>
            <w:r w:rsidRPr="003847CE">
              <w:rPr>
                <w:rFonts w:eastAsiaTheme="minorEastAsia"/>
                <w:kern w:val="0"/>
                <w:szCs w:val="21"/>
              </w:rPr>
              <w:t>-17,378,236.83</w:t>
            </w:r>
          </w:p>
        </w:tc>
      </w:tr>
      <w:tr w:rsidR="00820F18" w14:paraId="74F23E34" w14:textId="77777777">
        <w:trPr>
          <w:cantSplit/>
          <w:trHeight w:val="558"/>
        </w:trPr>
        <w:tc>
          <w:tcPr>
            <w:tcW w:w="2457" w:type="pct"/>
            <w:tcBorders>
              <w:top w:val="single" w:sz="4" w:space="0" w:color="auto"/>
              <w:left w:val="single" w:sz="4" w:space="0" w:color="auto"/>
              <w:bottom w:val="single" w:sz="4" w:space="0" w:color="auto"/>
              <w:right w:val="single" w:sz="4" w:space="0" w:color="auto"/>
            </w:tcBorders>
            <w:shd w:val="clear" w:color="auto" w:fill="auto"/>
            <w:vAlign w:val="center"/>
          </w:tcPr>
          <w:p w14:paraId="133CC6AF" w14:textId="77777777" w:rsidR="00820F18" w:rsidRDefault="00166FCA">
            <w:pPr>
              <w:widowControl/>
              <w:ind w:firstLineChars="300" w:firstLine="720"/>
              <w:rPr>
                <w:rFonts w:asciiTheme="minorEastAsia" w:eastAsiaTheme="minorEastAsia" w:hAnsiTheme="minorEastAsia" w:cs="Arial"/>
                <w:kern w:val="0"/>
                <w:szCs w:val="21"/>
              </w:rPr>
            </w:pPr>
            <w:r>
              <w:rPr>
                <w:rFonts w:ascii="仿宋" w:eastAsia="仿宋" w:hAnsi="仿宋" w:hint="eastAsia"/>
                <w:color w:val="000000"/>
                <w:sz w:val="24"/>
              </w:rPr>
              <w:t>应收票据坏账损失</w:t>
            </w:r>
          </w:p>
        </w:tc>
        <w:tc>
          <w:tcPr>
            <w:tcW w:w="1270" w:type="pct"/>
            <w:tcBorders>
              <w:top w:val="single" w:sz="4" w:space="0" w:color="auto"/>
              <w:left w:val="single" w:sz="4" w:space="0" w:color="auto"/>
              <w:bottom w:val="single" w:sz="4" w:space="0" w:color="auto"/>
              <w:right w:val="single" w:sz="4" w:space="0" w:color="auto"/>
            </w:tcBorders>
            <w:shd w:val="clear" w:color="auto" w:fill="auto"/>
            <w:vAlign w:val="bottom"/>
          </w:tcPr>
          <w:p w14:paraId="02710D5A" w14:textId="4C326F4E" w:rsidR="00820F18" w:rsidRPr="003847CE" w:rsidRDefault="00166FCA" w:rsidP="00115A94">
            <w:pPr>
              <w:widowControl/>
              <w:jc w:val="right"/>
              <w:textAlignment w:val="bottom"/>
              <w:rPr>
                <w:rFonts w:eastAsiaTheme="minorEastAsia"/>
                <w:kern w:val="0"/>
                <w:szCs w:val="21"/>
              </w:rPr>
            </w:pPr>
            <w:r w:rsidRPr="003847CE">
              <w:rPr>
                <w:color w:val="000000"/>
                <w:kern w:val="0"/>
                <w:szCs w:val="21"/>
                <w:lang w:bidi="ar"/>
              </w:rPr>
              <w:t xml:space="preserve">-36,000.00 </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77DA4CA7" w14:textId="5748892B" w:rsidR="00820F18" w:rsidRPr="003847CE" w:rsidRDefault="00835B3C">
            <w:pPr>
              <w:overflowPunct w:val="0"/>
              <w:adjustRightInd w:val="0"/>
              <w:snapToGrid w:val="0"/>
              <w:jc w:val="right"/>
              <w:rPr>
                <w:rFonts w:eastAsiaTheme="minorEastAsia"/>
                <w:kern w:val="0"/>
                <w:szCs w:val="21"/>
              </w:rPr>
            </w:pPr>
            <w:r>
              <w:rPr>
                <w:rFonts w:eastAsiaTheme="minorEastAsia" w:hint="eastAsia"/>
                <w:kern w:val="0"/>
                <w:szCs w:val="21"/>
              </w:rPr>
              <w:t>-</w:t>
            </w:r>
            <w:bookmarkStart w:id="0" w:name="_GoBack"/>
            <w:bookmarkEnd w:id="0"/>
          </w:p>
        </w:tc>
      </w:tr>
      <w:tr w:rsidR="00820F18" w14:paraId="6F214DCD" w14:textId="77777777">
        <w:trPr>
          <w:cantSplit/>
          <w:trHeight w:val="558"/>
        </w:trPr>
        <w:tc>
          <w:tcPr>
            <w:tcW w:w="2457" w:type="pct"/>
            <w:tcBorders>
              <w:top w:val="single" w:sz="4" w:space="0" w:color="auto"/>
              <w:left w:val="single" w:sz="4" w:space="0" w:color="auto"/>
              <w:bottom w:val="single" w:sz="4" w:space="0" w:color="auto"/>
              <w:right w:val="single" w:sz="4" w:space="0" w:color="auto"/>
            </w:tcBorders>
            <w:vAlign w:val="center"/>
          </w:tcPr>
          <w:p w14:paraId="6A4D0BC7" w14:textId="77777777" w:rsidR="00820F18" w:rsidRDefault="00166FCA">
            <w:pPr>
              <w:widowControl/>
              <w:ind w:firstLineChars="300" w:firstLine="720"/>
              <w:rPr>
                <w:rFonts w:ascii="仿宋" w:eastAsia="仿宋" w:hAnsi="仿宋"/>
                <w:color w:val="000000"/>
                <w:sz w:val="24"/>
              </w:rPr>
            </w:pPr>
            <w:r>
              <w:rPr>
                <w:rFonts w:ascii="仿宋" w:eastAsia="仿宋" w:hAnsi="仿宋" w:hint="eastAsia"/>
                <w:color w:val="000000"/>
                <w:sz w:val="24"/>
              </w:rPr>
              <w:t>其他应收款坏账损失</w:t>
            </w:r>
          </w:p>
        </w:tc>
        <w:tc>
          <w:tcPr>
            <w:tcW w:w="1270" w:type="pct"/>
            <w:tcBorders>
              <w:top w:val="single" w:sz="4" w:space="0" w:color="auto"/>
              <w:left w:val="single" w:sz="4" w:space="0" w:color="auto"/>
              <w:bottom w:val="single" w:sz="4" w:space="0" w:color="auto"/>
              <w:right w:val="single" w:sz="4" w:space="0" w:color="auto"/>
            </w:tcBorders>
            <w:vAlign w:val="center"/>
          </w:tcPr>
          <w:p w14:paraId="3D9E025F" w14:textId="45E4DED3" w:rsidR="00820F18" w:rsidRPr="003847CE" w:rsidRDefault="00166FCA" w:rsidP="00115A94">
            <w:pPr>
              <w:overflowPunct w:val="0"/>
              <w:adjustRightInd w:val="0"/>
              <w:snapToGrid w:val="0"/>
              <w:jc w:val="right"/>
              <w:rPr>
                <w:rFonts w:eastAsiaTheme="minorEastAsia"/>
                <w:kern w:val="0"/>
                <w:szCs w:val="21"/>
              </w:rPr>
            </w:pPr>
            <w:r w:rsidRPr="003847CE">
              <w:rPr>
                <w:color w:val="000000"/>
                <w:kern w:val="0"/>
                <w:szCs w:val="21"/>
                <w:lang w:bidi="ar"/>
              </w:rPr>
              <w:t xml:space="preserve">-707,944.48 </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5A291FDA" w14:textId="77777777" w:rsidR="00820F18" w:rsidRPr="003847CE" w:rsidRDefault="00166FCA">
            <w:pPr>
              <w:overflowPunct w:val="0"/>
              <w:adjustRightInd w:val="0"/>
              <w:snapToGrid w:val="0"/>
              <w:jc w:val="right"/>
              <w:rPr>
                <w:rFonts w:eastAsiaTheme="minorEastAsia"/>
                <w:kern w:val="0"/>
                <w:szCs w:val="21"/>
              </w:rPr>
            </w:pPr>
            <w:r w:rsidRPr="003847CE">
              <w:rPr>
                <w:rFonts w:eastAsiaTheme="minorEastAsia"/>
                <w:kern w:val="0"/>
                <w:szCs w:val="21"/>
              </w:rPr>
              <w:t>-96,673.85</w:t>
            </w:r>
          </w:p>
        </w:tc>
      </w:tr>
      <w:tr w:rsidR="00820F18" w14:paraId="6277AC49" w14:textId="77777777">
        <w:trPr>
          <w:cantSplit/>
          <w:trHeight w:val="558"/>
        </w:trPr>
        <w:tc>
          <w:tcPr>
            <w:tcW w:w="2457" w:type="pct"/>
            <w:tcBorders>
              <w:top w:val="single" w:sz="4" w:space="0" w:color="auto"/>
              <w:left w:val="single" w:sz="4" w:space="0" w:color="auto"/>
              <w:bottom w:val="single" w:sz="4" w:space="0" w:color="auto"/>
              <w:right w:val="single" w:sz="4" w:space="0" w:color="auto"/>
            </w:tcBorders>
            <w:vAlign w:val="center"/>
          </w:tcPr>
          <w:p w14:paraId="5A346AAF" w14:textId="77777777" w:rsidR="00820F18" w:rsidRDefault="00166FCA">
            <w:pPr>
              <w:widowControl/>
              <w:ind w:firstLineChars="300" w:firstLine="720"/>
              <w:rPr>
                <w:rFonts w:ascii="仿宋" w:eastAsia="仿宋" w:hAnsi="仿宋"/>
                <w:color w:val="000000"/>
                <w:sz w:val="24"/>
              </w:rPr>
            </w:pPr>
            <w:r>
              <w:rPr>
                <w:rFonts w:ascii="仿宋" w:eastAsia="仿宋" w:hAnsi="仿宋" w:hint="eastAsia"/>
                <w:color w:val="000000"/>
                <w:sz w:val="24"/>
              </w:rPr>
              <w:t>长期应收款坏账损失</w:t>
            </w:r>
          </w:p>
        </w:tc>
        <w:tc>
          <w:tcPr>
            <w:tcW w:w="1270" w:type="pct"/>
            <w:tcBorders>
              <w:top w:val="single" w:sz="4" w:space="0" w:color="auto"/>
              <w:left w:val="single" w:sz="4" w:space="0" w:color="auto"/>
              <w:bottom w:val="single" w:sz="4" w:space="0" w:color="auto"/>
              <w:right w:val="single" w:sz="4" w:space="0" w:color="auto"/>
            </w:tcBorders>
            <w:vAlign w:val="center"/>
          </w:tcPr>
          <w:p w14:paraId="5EA2D933" w14:textId="7845162C" w:rsidR="00820F18" w:rsidRPr="003847CE" w:rsidRDefault="00166FCA" w:rsidP="00115A94">
            <w:pPr>
              <w:overflowPunct w:val="0"/>
              <w:adjustRightInd w:val="0"/>
              <w:snapToGrid w:val="0"/>
              <w:jc w:val="right"/>
              <w:rPr>
                <w:rFonts w:eastAsiaTheme="minorEastAsia"/>
                <w:kern w:val="0"/>
                <w:szCs w:val="21"/>
              </w:rPr>
            </w:pPr>
            <w:r w:rsidRPr="003847CE">
              <w:rPr>
                <w:color w:val="000000"/>
                <w:kern w:val="0"/>
                <w:szCs w:val="21"/>
                <w:lang w:bidi="ar"/>
              </w:rPr>
              <w:t>-731,558.31</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47186FB6" w14:textId="77777777" w:rsidR="00820F18" w:rsidRPr="003847CE" w:rsidRDefault="00166FCA">
            <w:pPr>
              <w:overflowPunct w:val="0"/>
              <w:adjustRightInd w:val="0"/>
              <w:snapToGrid w:val="0"/>
              <w:jc w:val="right"/>
              <w:rPr>
                <w:rFonts w:eastAsiaTheme="minorEastAsia"/>
                <w:kern w:val="0"/>
                <w:szCs w:val="21"/>
              </w:rPr>
            </w:pPr>
            <w:r w:rsidRPr="003847CE">
              <w:rPr>
                <w:rFonts w:eastAsiaTheme="minorEastAsia"/>
                <w:kern w:val="0"/>
                <w:szCs w:val="21"/>
              </w:rPr>
              <w:t>-3,986,783.07</w:t>
            </w:r>
          </w:p>
        </w:tc>
      </w:tr>
      <w:tr w:rsidR="00820F18" w14:paraId="14A71ADD" w14:textId="77777777">
        <w:trPr>
          <w:cantSplit/>
          <w:trHeight w:val="545"/>
        </w:trPr>
        <w:tc>
          <w:tcPr>
            <w:tcW w:w="2457" w:type="pct"/>
            <w:tcBorders>
              <w:top w:val="single" w:sz="4" w:space="0" w:color="auto"/>
              <w:left w:val="single" w:sz="4" w:space="0" w:color="auto"/>
              <w:bottom w:val="single" w:sz="4" w:space="0" w:color="auto"/>
              <w:right w:val="single" w:sz="4" w:space="0" w:color="auto"/>
            </w:tcBorders>
            <w:vAlign w:val="center"/>
          </w:tcPr>
          <w:p w14:paraId="7339D56A" w14:textId="77777777" w:rsidR="00820F18" w:rsidRDefault="00166FCA" w:rsidP="009E29D8">
            <w:pPr>
              <w:ind w:firstLine="482"/>
              <w:jc w:val="left"/>
              <w:rPr>
                <w:rFonts w:ascii="仿宋" w:eastAsia="仿宋" w:hAnsi="仿宋"/>
                <w:b/>
                <w:color w:val="000000"/>
                <w:sz w:val="24"/>
                <w:szCs w:val="24"/>
              </w:rPr>
            </w:pPr>
            <w:r>
              <w:rPr>
                <w:rFonts w:ascii="仿宋" w:eastAsia="仿宋" w:hAnsi="仿宋" w:hint="eastAsia"/>
                <w:b/>
                <w:color w:val="000000"/>
                <w:sz w:val="24"/>
                <w:szCs w:val="24"/>
              </w:rPr>
              <w:t>合计</w:t>
            </w:r>
          </w:p>
        </w:tc>
        <w:tc>
          <w:tcPr>
            <w:tcW w:w="1270" w:type="pct"/>
            <w:tcBorders>
              <w:top w:val="single" w:sz="4" w:space="0" w:color="auto"/>
              <w:left w:val="single" w:sz="4" w:space="0" w:color="auto"/>
              <w:bottom w:val="single" w:sz="4" w:space="0" w:color="auto"/>
              <w:right w:val="single" w:sz="4" w:space="0" w:color="auto"/>
            </w:tcBorders>
            <w:vAlign w:val="center"/>
          </w:tcPr>
          <w:p w14:paraId="08A954EC" w14:textId="77777777" w:rsidR="00820F18" w:rsidRPr="003847CE" w:rsidRDefault="00166FCA" w:rsidP="00115A94">
            <w:pPr>
              <w:jc w:val="right"/>
              <w:rPr>
                <w:b/>
                <w:color w:val="000000"/>
                <w:szCs w:val="21"/>
              </w:rPr>
            </w:pPr>
            <w:r w:rsidRPr="003847CE">
              <w:rPr>
                <w:b/>
                <w:bCs/>
                <w:color w:val="000000"/>
                <w:kern w:val="0"/>
                <w:szCs w:val="21"/>
                <w:lang w:bidi="ar"/>
              </w:rPr>
              <w:t>-32,545,061.27</w:t>
            </w:r>
          </w:p>
        </w:tc>
        <w:tc>
          <w:tcPr>
            <w:tcW w:w="1272" w:type="pct"/>
            <w:tcBorders>
              <w:top w:val="single" w:sz="4" w:space="0" w:color="auto"/>
              <w:left w:val="single" w:sz="4" w:space="0" w:color="auto"/>
              <w:bottom w:val="single" w:sz="4" w:space="0" w:color="auto"/>
              <w:right w:val="single" w:sz="4" w:space="0" w:color="auto"/>
            </w:tcBorders>
            <w:shd w:val="clear" w:color="auto" w:fill="auto"/>
            <w:vAlign w:val="center"/>
          </w:tcPr>
          <w:p w14:paraId="138A7BA6" w14:textId="77777777" w:rsidR="00820F18" w:rsidRPr="003847CE" w:rsidRDefault="00166FCA" w:rsidP="009E29D8">
            <w:pPr>
              <w:ind w:firstLine="562"/>
              <w:jc w:val="right"/>
              <w:rPr>
                <w:b/>
                <w:color w:val="000000"/>
                <w:szCs w:val="21"/>
              </w:rPr>
            </w:pPr>
            <w:r w:rsidRPr="003847CE">
              <w:rPr>
                <w:b/>
                <w:color w:val="000000"/>
                <w:szCs w:val="21"/>
              </w:rPr>
              <w:t>-25,109,954.78</w:t>
            </w:r>
          </w:p>
        </w:tc>
      </w:tr>
    </w:tbl>
    <w:p w14:paraId="0C3B402E" w14:textId="77777777" w:rsidR="00820F18" w:rsidRDefault="00166FCA">
      <w:pPr>
        <w:ind w:firstLineChars="200" w:firstLine="562"/>
        <w:outlineLvl w:val="0"/>
        <w:rPr>
          <w:rFonts w:ascii="仿宋" w:eastAsia="仿宋" w:hAnsi="仿宋"/>
          <w:b/>
          <w:sz w:val="28"/>
          <w:szCs w:val="28"/>
        </w:rPr>
      </w:pPr>
      <w:r>
        <w:rPr>
          <w:rFonts w:ascii="仿宋" w:eastAsia="仿宋" w:hAnsi="仿宋" w:hint="eastAsia"/>
          <w:b/>
          <w:sz w:val="28"/>
          <w:szCs w:val="28"/>
        </w:rPr>
        <w:t>二、本次计提资产减值准备对公司的影响</w:t>
      </w:r>
    </w:p>
    <w:p w14:paraId="0EB401CD"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本次计提的资产减值准备将减少公司2025年度利润总额32,545,061.27元，相应减少报告期期末资产净值，对经营现金流无影响。本次计提资产减值准备已经中审亚太会计师事务所（特殊普通合伙）审计确认。</w:t>
      </w:r>
    </w:p>
    <w:p w14:paraId="645D832E" w14:textId="77777777" w:rsidR="00820F18" w:rsidRDefault="00166FCA">
      <w:pPr>
        <w:ind w:firstLineChars="200" w:firstLine="562"/>
        <w:outlineLvl w:val="0"/>
        <w:rPr>
          <w:rFonts w:ascii="仿宋" w:eastAsia="仿宋" w:hAnsi="仿宋"/>
          <w:b/>
          <w:sz w:val="28"/>
          <w:szCs w:val="28"/>
        </w:rPr>
      </w:pPr>
      <w:r>
        <w:rPr>
          <w:rFonts w:ascii="仿宋" w:eastAsia="仿宋" w:hAnsi="仿宋" w:hint="eastAsia"/>
          <w:b/>
          <w:sz w:val="28"/>
          <w:szCs w:val="28"/>
        </w:rPr>
        <w:t>三、本次计提资产减值准备的确认标准及计提方法</w:t>
      </w:r>
    </w:p>
    <w:p w14:paraId="4DB36AAF"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根据《企业会计准则》和公司会计政策，公司对资产分类计提减值准备，具体确认标准及计提方法的相关会计政策、会计估计详见公司同日披露于巨潮资讯网（www.cninfo.com.cn）的《广东天亿马信息产业股份有限公司2025年年度报告》（公告编号：2026-020）其中财务报告附注内容。</w:t>
      </w:r>
    </w:p>
    <w:p w14:paraId="2B4C237D" w14:textId="77777777" w:rsidR="00820F18" w:rsidRDefault="00166FCA">
      <w:pPr>
        <w:spacing w:line="360" w:lineRule="auto"/>
        <w:ind w:firstLineChars="200" w:firstLine="562"/>
        <w:rPr>
          <w:rFonts w:ascii="仿宋" w:eastAsia="仿宋" w:hAnsi="仿宋"/>
          <w:b/>
          <w:sz w:val="28"/>
          <w:szCs w:val="28"/>
        </w:rPr>
      </w:pPr>
      <w:r>
        <w:rPr>
          <w:rFonts w:ascii="仿宋" w:eastAsia="仿宋" w:hAnsi="仿宋" w:hint="eastAsia"/>
          <w:b/>
          <w:sz w:val="28"/>
          <w:szCs w:val="28"/>
        </w:rPr>
        <w:t>四、审议程序</w:t>
      </w:r>
    </w:p>
    <w:p w14:paraId="46836278"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（一）审计委审议情况</w:t>
      </w:r>
    </w:p>
    <w:p w14:paraId="451DB54A"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公司董事会审计委员会于2026年3月29日召开第四届董事会审</w:t>
      </w:r>
      <w:r>
        <w:rPr>
          <w:rFonts w:ascii="仿宋" w:eastAsia="仿宋" w:hAnsi="仿宋" w:hint="eastAsia"/>
          <w:sz w:val="28"/>
          <w:szCs w:val="28"/>
        </w:rPr>
        <w:lastRenderedPageBreak/>
        <w:t>计委员会第六次会议决议，以3票同意、0票弃权、0票反对审议通过了《关于2025年度计提资产减值准备的议案》。</w:t>
      </w:r>
    </w:p>
    <w:p w14:paraId="558D5DCA"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（二）董事会审议情况</w:t>
      </w:r>
    </w:p>
    <w:p w14:paraId="61BFFBBE"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公司董事会于2026年3月30日召开第四届董事会第五次会议以8票同意、0票弃权、0票反对审议通过了《关于2025年度计提资产减值准备的议案》。</w:t>
      </w:r>
    </w:p>
    <w:p w14:paraId="207C7EAC"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董事会认为：“本次公司计提资产减值准备符合《企业会计准则》和公司会计政策的相关规定，体现了会计谨慎性原则，符合公司实际情况，不存在损害公司及股东利益的情形。”</w:t>
      </w:r>
    </w:p>
    <w:p w14:paraId="783D6225" w14:textId="77777777" w:rsidR="00820F18" w:rsidRDefault="00166FCA">
      <w:pPr>
        <w:spacing w:line="360" w:lineRule="auto"/>
        <w:ind w:firstLineChars="200" w:firstLine="562"/>
        <w:rPr>
          <w:rFonts w:ascii="仿宋" w:eastAsia="仿宋" w:hAnsi="仿宋"/>
          <w:b/>
          <w:sz w:val="28"/>
          <w:szCs w:val="28"/>
        </w:rPr>
      </w:pPr>
      <w:r>
        <w:rPr>
          <w:rFonts w:ascii="仿宋" w:eastAsia="仿宋" w:hAnsi="仿宋" w:hint="eastAsia"/>
          <w:b/>
          <w:sz w:val="28"/>
          <w:szCs w:val="28"/>
        </w:rPr>
        <w:t>五、其他说明</w:t>
      </w:r>
    </w:p>
    <w:p w14:paraId="5C833DA0" w14:textId="77777777" w:rsidR="00820F18" w:rsidRDefault="00166FCA">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本次计提资产减值准备已经中审亚太会计师事务所（特殊普通合伙）审计确认。</w:t>
      </w:r>
    </w:p>
    <w:p w14:paraId="69C82E58" w14:textId="77777777" w:rsidR="00820F18" w:rsidRDefault="00166FCA">
      <w:pPr>
        <w:spacing w:line="360" w:lineRule="auto"/>
        <w:ind w:firstLineChars="200" w:firstLine="562"/>
        <w:rPr>
          <w:rFonts w:ascii="仿宋" w:eastAsia="仿宋" w:hAnsi="仿宋"/>
          <w:b/>
          <w:sz w:val="28"/>
          <w:szCs w:val="28"/>
        </w:rPr>
      </w:pPr>
      <w:r>
        <w:rPr>
          <w:rFonts w:ascii="仿宋" w:eastAsia="仿宋" w:hAnsi="仿宋" w:hint="eastAsia"/>
          <w:b/>
          <w:sz w:val="28"/>
          <w:szCs w:val="28"/>
        </w:rPr>
        <w:t>六、备查文件</w:t>
      </w:r>
    </w:p>
    <w:p w14:paraId="6B5BE1AB"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（一）《广东天亿马信息产业股份有限公司第四届董事会第五次会议决议》；</w:t>
      </w:r>
    </w:p>
    <w:p w14:paraId="15212EAD" w14:textId="77777777" w:rsidR="00820F18" w:rsidRDefault="00166FCA">
      <w:pPr>
        <w:spacing w:line="360" w:lineRule="auto"/>
        <w:ind w:firstLineChars="200" w:firstLine="560"/>
        <w:rPr>
          <w:rFonts w:ascii="仿宋" w:eastAsia="仿宋" w:hAnsi="仿宋"/>
          <w:sz w:val="28"/>
          <w:szCs w:val="28"/>
        </w:rPr>
      </w:pPr>
      <w:r>
        <w:rPr>
          <w:rFonts w:ascii="仿宋" w:eastAsia="仿宋" w:hAnsi="仿宋" w:hint="eastAsia"/>
          <w:sz w:val="28"/>
          <w:szCs w:val="28"/>
        </w:rPr>
        <w:t>（二）《广东天亿马信息产业股份有限公司第四届董事会审计委员会第六次会议决议》；</w:t>
      </w:r>
    </w:p>
    <w:p w14:paraId="31D09B18" w14:textId="77777777" w:rsidR="00820F18" w:rsidRPr="009E29D8" w:rsidRDefault="00166FCA">
      <w:pPr>
        <w:spacing w:line="360" w:lineRule="auto"/>
        <w:ind w:firstLineChars="200" w:firstLine="560"/>
        <w:rPr>
          <w:rFonts w:ascii="仿宋" w:eastAsia="仿宋" w:hAnsi="仿宋"/>
          <w:sz w:val="28"/>
          <w:szCs w:val="28"/>
        </w:rPr>
      </w:pPr>
      <w:r w:rsidRPr="009E29D8">
        <w:rPr>
          <w:rFonts w:ascii="仿宋" w:eastAsia="仿宋" w:hAnsi="仿宋" w:hint="eastAsia"/>
          <w:sz w:val="28"/>
          <w:szCs w:val="28"/>
        </w:rPr>
        <w:t>（三）北京合佳资产评估有限公司出具的包含商誉资产组可收回金额的资产评估报告书。</w:t>
      </w:r>
    </w:p>
    <w:p w14:paraId="2858103C" w14:textId="77777777" w:rsidR="00820F18" w:rsidRDefault="00166FCA">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14:paraId="417B35F8" w14:textId="77777777" w:rsidR="00820F18" w:rsidRDefault="00166FCA">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董事会</w:t>
      </w:r>
    </w:p>
    <w:p w14:paraId="08BAD1F6" w14:textId="77777777" w:rsidR="00820F18" w:rsidRDefault="00166FCA">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2026年3月31日</w:t>
      </w:r>
    </w:p>
    <w:sectPr w:rsidR="00820F1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3D2939"/>
    <w:rsid w:val="000034CE"/>
    <w:rsid w:val="00003832"/>
    <w:rsid w:val="0003140B"/>
    <w:rsid w:val="00055FFB"/>
    <w:rsid w:val="00056BFA"/>
    <w:rsid w:val="00056E41"/>
    <w:rsid w:val="0007303A"/>
    <w:rsid w:val="00093087"/>
    <w:rsid w:val="00094E64"/>
    <w:rsid w:val="000A2A73"/>
    <w:rsid w:val="000A3CB6"/>
    <w:rsid w:val="000A63B8"/>
    <w:rsid w:val="000B7379"/>
    <w:rsid w:val="000D5377"/>
    <w:rsid w:val="00115A94"/>
    <w:rsid w:val="00145558"/>
    <w:rsid w:val="0015209B"/>
    <w:rsid w:val="00162ACF"/>
    <w:rsid w:val="00166FCA"/>
    <w:rsid w:val="00197451"/>
    <w:rsid w:val="001A4820"/>
    <w:rsid w:val="001C5FC5"/>
    <w:rsid w:val="001D675A"/>
    <w:rsid w:val="001E0E59"/>
    <w:rsid w:val="001E6766"/>
    <w:rsid w:val="00212153"/>
    <w:rsid w:val="00225E0B"/>
    <w:rsid w:val="0023099D"/>
    <w:rsid w:val="00246AE4"/>
    <w:rsid w:val="00252C04"/>
    <w:rsid w:val="00254CA6"/>
    <w:rsid w:val="00271A4B"/>
    <w:rsid w:val="00294261"/>
    <w:rsid w:val="002A684B"/>
    <w:rsid w:val="002D6D8B"/>
    <w:rsid w:val="002E7B64"/>
    <w:rsid w:val="002F083F"/>
    <w:rsid w:val="003000C8"/>
    <w:rsid w:val="003024D4"/>
    <w:rsid w:val="00326DC8"/>
    <w:rsid w:val="0035064F"/>
    <w:rsid w:val="003525CD"/>
    <w:rsid w:val="00354176"/>
    <w:rsid w:val="003549F5"/>
    <w:rsid w:val="003626E1"/>
    <w:rsid w:val="00376E81"/>
    <w:rsid w:val="00381BD1"/>
    <w:rsid w:val="003847CE"/>
    <w:rsid w:val="003927AF"/>
    <w:rsid w:val="003C6AB4"/>
    <w:rsid w:val="003D2939"/>
    <w:rsid w:val="003E4961"/>
    <w:rsid w:val="00494EA5"/>
    <w:rsid w:val="00497BC8"/>
    <w:rsid w:val="004A35AF"/>
    <w:rsid w:val="004B3A99"/>
    <w:rsid w:val="004C4B40"/>
    <w:rsid w:val="004C586C"/>
    <w:rsid w:val="004D2DF9"/>
    <w:rsid w:val="004E58F1"/>
    <w:rsid w:val="00503413"/>
    <w:rsid w:val="0053440A"/>
    <w:rsid w:val="00567B6F"/>
    <w:rsid w:val="005837A8"/>
    <w:rsid w:val="005839A1"/>
    <w:rsid w:val="00584681"/>
    <w:rsid w:val="005A67D1"/>
    <w:rsid w:val="005B1230"/>
    <w:rsid w:val="005D1492"/>
    <w:rsid w:val="005D5CB5"/>
    <w:rsid w:val="005E25B1"/>
    <w:rsid w:val="0061286A"/>
    <w:rsid w:val="00626CCF"/>
    <w:rsid w:val="00656556"/>
    <w:rsid w:val="00657536"/>
    <w:rsid w:val="00671319"/>
    <w:rsid w:val="00676FA2"/>
    <w:rsid w:val="00683EFB"/>
    <w:rsid w:val="00693C67"/>
    <w:rsid w:val="006C7BCC"/>
    <w:rsid w:val="006D18CF"/>
    <w:rsid w:val="007055BD"/>
    <w:rsid w:val="007626DA"/>
    <w:rsid w:val="007670A3"/>
    <w:rsid w:val="00775EA3"/>
    <w:rsid w:val="00794805"/>
    <w:rsid w:val="007A21A1"/>
    <w:rsid w:val="007C2034"/>
    <w:rsid w:val="007D1A2D"/>
    <w:rsid w:val="007D46F2"/>
    <w:rsid w:val="007F0DB0"/>
    <w:rsid w:val="00804724"/>
    <w:rsid w:val="008100BE"/>
    <w:rsid w:val="00815AEF"/>
    <w:rsid w:val="00820F18"/>
    <w:rsid w:val="00824F11"/>
    <w:rsid w:val="0082711B"/>
    <w:rsid w:val="00835B3C"/>
    <w:rsid w:val="00840BA1"/>
    <w:rsid w:val="0084126A"/>
    <w:rsid w:val="008663E8"/>
    <w:rsid w:val="008A0288"/>
    <w:rsid w:val="008C05F7"/>
    <w:rsid w:val="008C7D62"/>
    <w:rsid w:val="008E2F60"/>
    <w:rsid w:val="008F18D2"/>
    <w:rsid w:val="0090524E"/>
    <w:rsid w:val="00906045"/>
    <w:rsid w:val="00906989"/>
    <w:rsid w:val="00913815"/>
    <w:rsid w:val="009163F7"/>
    <w:rsid w:val="009236A8"/>
    <w:rsid w:val="00934373"/>
    <w:rsid w:val="00935F87"/>
    <w:rsid w:val="00943668"/>
    <w:rsid w:val="0096046E"/>
    <w:rsid w:val="00965CDE"/>
    <w:rsid w:val="00975FC5"/>
    <w:rsid w:val="00983015"/>
    <w:rsid w:val="00985E45"/>
    <w:rsid w:val="00997724"/>
    <w:rsid w:val="009C1861"/>
    <w:rsid w:val="009D5716"/>
    <w:rsid w:val="009D57F2"/>
    <w:rsid w:val="009E00D6"/>
    <w:rsid w:val="009E29D8"/>
    <w:rsid w:val="009E59CA"/>
    <w:rsid w:val="009E604F"/>
    <w:rsid w:val="009E6BF0"/>
    <w:rsid w:val="00A14427"/>
    <w:rsid w:val="00A33ABE"/>
    <w:rsid w:val="00A54D5F"/>
    <w:rsid w:val="00A562B4"/>
    <w:rsid w:val="00A619A1"/>
    <w:rsid w:val="00A62BEF"/>
    <w:rsid w:val="00A85197"/>
    <w:rsid w:val="00AC53DA"/>
    <w:rsid w:val="00AD3926"/>
    <w:rsid w:val="00B251EE"/>
    <w:rsid w:val="00B37B72"/>
    <w:rsid w:val="00B64C2E"/>
    <w:rsid w:val="00B73B25"/>
    <w:rsid w:val="00B83E04"/>
    <w:rsid w:val="00B85D7B"/>
    <w:rsid w:val="00BA7F26"/>
    <w:rsid w:val="00BB04CD"/>
    <w:rsid w:val="00BD0DF0"/>
    <w:rsid w:val="00BD20D2"/>
    <w:rsid w:val="00BF7B5A"/>
    <w:rsid w:val="00C03627"/>
    <w:rsid w:val="00C07BD1"/>
    <w:rsid w:val="00C1431C"/>
    <w:rsid w:val="00C17F67"/>
    <w:rsid w:val="00C50BF1"/>
    <w:rsid w:val="00C621C7"/>
    <w:rsid w:val="00C742C1"/>
    <w:rsid w:val="00C90042"/>
    <w:rsid w:val="00CB462A"/>
    <w:rsid w:val="00CB72E8"/>
    <w:rsid w:val="00CC44D2"/>
    <w:rsid w:val="00CC724F"/>
    <w:rsid w:val="00CE4676"/>
    <w:rsid w:val="00CF78AC"/>
    <w:rsid w:val="00D02E0A"/>
    <w:rsid w:val="00D157DC"/>
    <w:rsid w:val="00D15D5C"/>
    <w:rsid w:val="00D30363"/>
    <w:rsid w:val="00D473D5"/>
    <w:rsid w:val="00D554A4"/>
    <w:rsid w:val="00D728F0"/>
    <w:rsid w:val="00D9345E"/>
    <w:rsid w:val="00DB16A4"/>
    <w:rsid w:val="00DC583A"/>
    <w:rsid w:val="00DE2041"/>
    <w:rsid w:val="00DE7DA6"/>
    <w:rsid w:val="00E2099D"/>
    <w:rsid w:val="00E22053"/>
    <w:rsid w:val="00E41B0D"/>
    <w:rsid w:val="00E53FE6"/>
    <w:rsid w:val="00E83969"/>
    <w:rsid w:val="00E86B60"/>
    <w:rsid w:val="00E94959"/>
    <w:rsid w:val="00EE2F67"/>
    <w:rsid w:val="00EE6EDC"/>
    <w:rsid w:val="00F05995"/>
    <w:rsid w:val="00F139B5"/>
    <w:rsid w:val="00F32106"/>
    <w:rsid w:val="00F4063C"/>
    <w:rsid w:val="00FB4ACE"/>
    <w:rsid w:val="00FB5352"/>
    <w:rsid w:val="00FC74A1"/>
    <w:rsid w:val="00FD4FBF"/>
    <w:rsid w:val="01A7146D"/>
    <w:rsid w:val="075524D7"/>
    <w:rsid w:val="081128A2"/>
    <w:rsid w:val="081D1247"/>
    <w:rsid w:val="107100BF"/>
    <w:rsid w:val="10765998"/>
    <w:rsid w:val="113F222E"/>
    <w:rsid w:val="11A958FA"/>
    <w:rsid w:val="14DC174A"/>
    <w:rsid w:val="217D46AD"/>
    <w:rsid w:val="22791318"/>
    <w:rsid w:val="27192CC7"/>
    <w:rsid w:val="2B6C7A10"/>
    <w:rsid w:val="2D134EBC"/>
    <w:rsid w:val="2E97355C"/>
    <w:rsid w:val="2F4A2072"/>
    <w:rsid w:val="3225110E"/>
    <w:rsid w:val="32E91BA2"/>
    <w:rsid w:val="35A87AF3"/>
    <w:rsid w:val="3A1219DE"/>
    <w:rsid w:val="3A7D5CFB"/>
    <w:rsid w:val="3AAA1C17"/>
    <w:rsid w:val="3C864115"/>
    <w:rsid w:val="3E570308"/>
    <w:rsid w:val="3ECA19EE"/>
    <w:rsid w:val="41166258"/>
    <w:rsid w:val="448B75E0"/>
    <w:rsid w:val="480F1EC9"/>
    <w:rsid w:val="48194880"/>
    <w:rsid w:val="499C29EF"/>
    <w:rsid w:val="49C26B7C"/>
    <w:rsid w:val="4BE07B8E"/>
    <w:rsid w:val="4D185106"/>
    <w:rsid w:val="4FC652ED"/>
    <w:rsid w:val="51AB479B"/>
    <w:rsid w:val="54D1276A"/>
    <w:rsid w:val="589A5311"/>
    <w:rsid w:val="590D1897"/>
    <w:rsid w:val="5B587575"/>
    <w:rsid w:val="5C71213D"/>
    <w:rsid w:val="5D0E5BDE"/>
    <w:rsid w:val="5D1D4073"/>
    <w:rsid w:val="5EE5554F"/>
    <w:rsid w:val="61785D1C"/>
    <w:rsid w:val="632438E3"/>
    <w:rsid w:val="633640E0"/>
    <w:rsid w:val="654876F3"/>
    <w:rsid w:val="660C63EF"/>
    <w:rsid w:val="664A237C"/>
    <w:rsid w:val="68810835"/>
    <w:rsid w:val="69E462AD"/>
    <w:rsid w:val="71BB5EDC"/>
    <w:rsid w:val="733E6DC5"/>
    <w:rsid w:val="73FA4018"/>
    <w:rsid w:val="752A2237"/>
    <w:rsid w:val="760A11E0"/>
    <w:rsid w:val="792B5959"/>
    <w:rsid w:val="79D71831"/>
    <w:rsid w:val="7AD61FD9"/>
    <w:rsid w:val="7B4428FF"/>
    <w:rsid w:val="7C5F7DAC"/>
    <w:rsid w:val="7C851A9C"/>
    <w:rsid w:val="7D6E474B"/>
    <w:rsid w:val="7D836850"/>
    <w:rsid w:val="7F016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6E4CC-8D42-4704-988C-88BC1896A01C}">
  <ds:schemaRefs>
    <ds:schemaRef ds:uri="http://www.yonyou.com/relation"/>
  </ds:schemaRefs>
</ds:datastoreItem>
</file>

<file path=customXml/itemProps2.xml><?xml version="1.0" encoding="utf-8"?>
<ds:datastoreItem xmlns:ds="http://schemas.openxmlformats.org/officeDocument/2006/customXml" ds:itemID="{30620E2A-9493-443F-BE67-425D59A682F5}">
  <ds:schemaRefs>
    <ds:schemaRef ds:uri="http://www.yonyou.com/datasource"/>
  </ds:schemaRefs>
</ds:datastoreItem>
</file>

<file path=customXml/itemProps3.xml><?xml version="1.0" encoding="utf-8"?>
<ds:datastoreItem xmlns:ds="http://schemas.openxmlformats.org/officeDocument/2006/customXml" ds:itemID="{92EDE0F8-066B-4EE6-BC7B-B6DC979E3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794</Words>
  <Characters>835</Characters>
  <Application>Microsoft Office Word</Application>
  <DocSecurity>0</DocSecurity>
  <Lines>119</Lines>
  <Paragraphs>95</Paragraphs>
  <ScaleCrop>false</ScaleCrop>
  <Company>Microsoft</Company>
  <LinksUpToDate>false</LinksUpToDate>
  <CharactersWithSpaces>1534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158</cp:revision>
  <cp:lastPrinted>2023-07-05T02:33:00Z</cp:lastPrinted>
  <dcterms:created xsi:type="dcterms:W3CDTF">2022-04-20T01:42:00Z</dcterms:created>
  <dcterms:modified xsi:type="dcterms:W3CDTF">2026-03-29T07:46:00Z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214832211</vt:i4>
  </property>
  <property fmtid="{D5CDD505-2E9C-101B-9397-08002B2CF9AE}" pid="3" name="KSOProductBuildVer">
    <vt:lpwstr>2052-12.1.0.25225</vt:lpwstr>
  </property>
  <property fmtid="{D5CDD505-2E9C-101B-9397-08002B2CF9AE}" pid="4" name="ICV">
    <vt:lpwstr>DB679B57EC374431934CCAD4B123AA1D_13</vt:lpwstr>
  </property>
  <property fmtid="{D5CDD505-2E9C-101B-9397-08002B2CF9AE}" pid="5" name="KSOTemplateDocerSaveRecord">
    <vt:lpwstr>eyJoZGlkIjoiYjc3NTVmODk5OWI4YTU0YmU5MTlhYzJjMjBkNzFlNmEiLCJ1c2VySWQiOiIyNDMwNTgyMjAifQ==</vt:lpwstr>
  </property>
</Properties>
</file>