
<file path=[Content_Types].xml><?xml version="1.0" encoding="utf-8"?>
<Types xmlns="http://schemas.openxmlformats.org/package/2006/content-types">
  <Default Extension="bin" ContentType="application/vnd.openxmlformats-officedocument.oleObject"/>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20B54" w:rsidRDefault="00733C9E">
      <w:pPr>
        <w:spacing w:before="2400" w:line="773" w:lineRule="exact"/>
        <w:jc w:val="center"/>
        <w:rPr>
          <w:b/>
          <w:bCs/>
          <w:sz w:val="36"/>
          <w:szCs w:val="36"/>
        </w:rPr>
      </w:pPr>
      <w:r>
        <w:rPr>
          <w:b/>
          <w:bCs/>
          <w:sz w:val="36"/>
          <w:szCs w:val="36"/>
        </w:rPr>
        <w:t>广东天亿马信息产业股份有限公司</w:t>
      </w:r>
    </w:p>
    <w:p w:rsidR="00E20B54" w:rsidRDefault="00733C9E">
      <w:pPr>
        <w:spacing w:before="1000" w:line="240" w:lineRule="exact"/>
        <w:jc w:val="center"/>
        <w:rPr>
          <w:b/>
          <w:bCs/>
          <w:sz w:val="32"/>
          <w:szCs w:val="32"/>
        </w:rPr>
      </w:pPr>
      <w:r>
        <w:rPr>
          <w:b/>
          <w:bCs/>
          <w:sz w:val="32"/>
          <w:szCs w:val="32"/>
        </w:rPr>
        <w:t>2025</w:t>
      </w:r>
      <w:r>
        <w:rPr>
          <w:b/>
          <w:bCs/>
          <w:sz w:val="32"/>
          <w:szCs w:val="32"/>
        </w:rPr>
        <w:t>年年度报告</w:t>
      </w:r>
      <w:r w:rsidR="008D43AF" w:rsidRPr="008D43AF">
        <w:rPr>
          <w:b/>
          <w:bCs/>
          <w:sz w:val="32"/>
          <w:szCs w:val="32"/>
        </w:rPr>
        <w:object w:dxaOrig="8925" w:dyaOrig="1263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46.25pt;height:631.25pt" o:ole="">
            <v:imagedata r:id="rId8" o:title=""/>
          </v:shape>
          <o:OLEObject Type="Embed" ProgID="Acrobat.Document.DC" ShapeID="_x0000_i1025" DrawAspect="Content" ObjectID="_1838286944" r:id="rId9"/>
        </w:object>
      </w:r>
    </w:p>
    <w:p w:rsidR="00E20B54" w:rsidRDefault="00733C9E">
      <w:pPr>
        <w:spacing w:before="1000" w:line="240" w:lineRule="exact"/>
        <w:jc w:val="center"/>
        <w:rPr>
          <w:b/>
          <w:bCs/>
          <w:szCs w:val="21"/>
        </w:rPr>
      </w:pPr>
      <w:r>
        <w:rPr>
          <w:b/>
          <w:bCs/>
          <w:szCs w:val="21"/>
        </w:rPr>
        <w:t>2026-020</w:t>
      </w:r>
    </w:p>
    <w:p w:rsidR="00E20B54" w:rsidRDefault="00E20B54">
      <w:pPr>
        <w:spacing w:before="1000" w:after="1000" w:line="0" w:lineRule="atLeast"/>
        <w:jc w:val="center"/>
      </w:pPr>
    </w:p>
    <w:p w:rsidR="00E20B54" w:rsidRDefault="00733C9E">
      <w:pPr>
        <w:jc w:val="center"/>
      </w:pPr>
      <w:r>
        <w:rPr>
          <w:noProof/>
        </w:rPr>
        <w:drawing>
          <wp:inline distT="0" distB="0" distL="0" distR="0">
            <wp:extent cx="2851150" cy="1604010"/>
            <wp:effectExtent l="0" t="0" r="6350" b="15240"/>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pic:cNvPicPr>
                      <a:picLocks noChangeAspect="1"/>
                    </pic:cNvPicPr>
                  </pic:nvPicPr>
                  <pic:blipFill>
                    <a:blip r:embed="rId10" cstate="print"/>
                    <a:stretch>
                      <a:fillRect/>
                    </a:stretch>
                  </pic:blipFill>
                  <pic:spPr>
                    <a:xfrm>
                      <a:off x="0" y="0"/>
                      <a:ext cx="2877539" cy="1619190"/>
                    </a:xfrm>
                    <a:prstGeom prst="rect">
                      <a:avLst/>
                    </a:prstGeom>
                  </pic:spPr>
                </pic:pic>
              </a:graphicData>
            </a:graphic>
          </wp:inline>
        </w:drawing>
      </w:r>
    </w:p>
    <w:p w:rsidR="00E20B54" w:rsidRDefault="00E20B54">
      <w:pPr>
        <w:spacing w:before="400" w:line="320" w:lineRule="exact"/>
        <w:jc w:val="center"/>
        <w:rPr>
          <w:b/>
          <w:bCs/>
          <w:sz w:val="32"/>
          <w:szCs w:val="32"/>
        </w:rPr>
      </w:pPr>
    </w:p>
    <w:p w:rsidR="00E20B54" w:rsidRDefault="00E20B54">
      <w:pPr>
        <w:spacing w:before="400" w:line="320" w:lineRule="exact"/>
        <w:jc w:val="center"/>
        <w:rPr>
          <w:b/>
          <w:bCs/>
          <w:sz w:val="32"/>
          <w:szCs w:val="32"/>
        </w:rPr>
      </w:pPr>
    </w:p>
    <w:p w:rsidR="00E20B54" w:rsidRDefault="00E20B54">
      <w:pPr>
        <w:spacing w:before="400" w:line="320" w:lineRule="exact"/>
        <w:jc w:val="center"/>
        <w:rPr>
          <w:b/>
          <w:bCs/>
          <w:sz w:val="32"/>
          <w:szCs w:val="32"/>
        </w:rPr>
      </w:pPr>
    </w:p>
    <w:p w:rsidR="00E20B54" w:rsidRDefault="00733C9E" w:rsidP="00D6703E">
      <w:pPr>
        <w:spacing w:before="400" w:line="320" w:lineRule="exact"/>
        <w:jc w:val="center"/>
      </w:pPr>
      <w:r>
        <w:rPr>
          <w:b/>
          <w:bCs/>
          <w:sz w:val="32"/>
          <w:szCs w:val="32"/>
        </w:rPr>
        <w:t>2026</w:t>
      </w:r>
      <w:r>
        <w:rPr>
          <w:b/>
          <w:bCs/>
          <w:sz w:val="32"/>
          <w:szCs w:val="32"/>
        </w:rPr>
        <w:t>年</w:t>
      </w:r>
      <w:r>
        <w:rPr>
          <w:b/>
          <w:bCs/>
          <w:sz w:val="32"/>
          <w:szCs w:val="32"/>
        </w:rPr>
        <w:t>03</w:t>
      </w:r>
      <w:r>
        <w:rPr>
          <w:b/>
          <w:bCs/>
          <w:sz w:val="32"/>
          <w:szCs w:val="32"/>
        </w:rPr>
        <w:t>月</w:t>
      </w:r>
      <w:r>
        <w:br w:type="page"/>
      </w:r>
    </w:p>
    <w:p w:rsidR="00E20B54" w:rsidRDefault="00733C9E">
      <w:pPr>
        <w:spacing w:before="1000" w:after="40" w:line="440" w:lineRule="exact"/>
        <w:jc w:val="center"/>
        <w:rPr>
          <w:b/>
          <w:bCs/>
          <w:sz w:val="44"/>
          <w:szCs w:val="44"/>
        </w:rPr>
      </w:pPr>
      <w:r>
        <w:rPr>
          <w:b/>
          <w:bCs/>
          <w:sz w:val="44"/>
          <w:szCs w:val="44"/>
        </w:rPr>
        <w:lastRenderedPageBreak/>
        <w:t>2025</w:t>
      </w:r>
      <w:r>
        <w:rPr>
          <w:b/>
          <w:bCs/>
          <w:sz w:val="44"/>
          <w:szCs w:val="44"/>
        </w:rPr>
        <w:t>年年度报告</w:t>
      </w:r>
    </w:p>
    <w:p w:rsidR="00E20B54" w:rsidRDefault="00733C9E">
      <w:pPr>
        <w:pStyle w:val="headingh1"/>
        <w:spacing w:before="340" w:after="330" w:line="773" w:lineRule="exact"/>
        <w:jc w:val="center"/>
        <w:rPr>
          <w:b/>
          <w:bCs/>
          <w:sz w:val="32"/>
          <w:szCs w:val="32"/>
        </w:rPr>
      </w:pPr>
      <w:bookmarkStart w:id="0" w:name="_Toc988889"/>
      <w:r>
        <w:rPr>
          <w:b/>
          <w:bCs/>
          <w:sz w:val="32"/>
          <w:szCs w:val="32"/>
        </w:rPr>
        <w:t>第一节</w:t>
      </w:r>
      <w:r>
        <w:rPr>
          <w:b/>
          <w:bCs/>
          <w:sz w:val="32"/>
          <w:szCs w:val="32"/>
        </w:rPr>
        <w:t xml:space="preserve"> </w:t>
      </w:r>
      <w:r>
        <w:rPr>
          <w:b/>
          <w:bCs/>
          <w:sz w:val="32"/>
          <w:szCs w:val="32"/>
        </w:rPr>
        <w:t>重要提示、目录和释义</w:t>
      </w:r>
      <w:bookmarkEnd w:id="0"/>
    </w:p>
    <w:p w:rsidR="00E20B54" w:rsidRDefault="00733C9E">
      <w:pPr>
        <w:spacing w:before="40" w:after="40" w:line="560" w:lineRule="exact"/>
        <w:ind w:firstLineChars="200" w:firstLine="560"/>
        <w:jc w:val="both"/>
        <w:rPr>
          <w:sz w:val="28"/>
          <w:szCs w:val="28"/>
        </w:rPr>
      </w:pPr>
      <w:r>
        <w:rPr>
          <w:sz w:val="28"/>
          <w:szCs w:val="28"/>
        </w:rPr>
        <w:t>公司董事会及董事、高级管理人员保证年度报告内容的真实、准确、完整，不存在虚假记载、误导性陈述或者重大遗漏，并承担个别和连带的法律责任。</w:t>
      </w:r>
    </w:p>
    <w:p w:rsidR="00E20B54" w:rsidRDefault="00733C9E">
      <w:pPr>
        <w:spacing w:line="560" w:lineRule="exact"/>
        <w:ind w:firstLineChars="200" w:firstLine="560"/>
        <w:jc w:val="both"/>
        <w:rPr>
          <w:sz w:val="28"/>
          <w:szCs w:val="28"/>
        </w:rPr>
      </w:pPr>
      <w:r>
        <w:rPr>
          <w:sz w:val="28"/>
          <w:szCs w:val="28"/>
        </w:rPr>
        <w:t>公司负责人林明玲、主管会计工作负责人陈焕盛及会计机构负责人</w:t>
      </w:r>
      <w:r>
        <w:rPr>
          <w:sz w:val="28"/>
          <w:szCs w:val="28"/>
        </w:rPr>
        <w:t>(</w:t>
      </w:r>
      <w:r>
        <w:rPr>
          <w:sz w:val="28"/>
          <w:szCs w:val="28"/>
        </w:rPr>
        <w:t>会计主管人员</w:t>
      </w:r>
      <w:r>
        <w:rPr>
          <w:sz w:val="28"/>
          <w:szCs w:val="28"/>
        </w:rPr>
        <w:t>)</w:t>
      </w:r>
      <w:r>
        <w:rPr>
          <w:sz w:val="28"/>
          <w:szCs w:val="28"/>
        </w:rPr>
        <w:t>赖宏伟声明：保证本年度报告中财务报告的真实、准确、完整。</w:t>
      </w:r>
    </w:p>
    <w:p w:rsidR="00E20B54" w:rsidRDefault="00733C9E">
      <w:pPr>
        <w:spacing w:line="560" w:lineRule="exact"/>
        <w:ind w:firstLineChars="200" w:firstLine="560"/>
        <w:jc w:val="both"/>
        <w:rPr>
          <w:sz w:val="28"/>
          <w:szCs w:val="28"/>
        </w:rPr>
      </w:pPr>
      <w:r>
        <w:rPr>
          <w:sz w:val="28"/>
          <w:szCs w:val="28"/>
        </w:rPr>
        <w:t>所有董事均已出席了审议本报告的董事会会议。</w:t>
      </w:r>
    </w:p>
    <w:p w:rsidR="00E20B54" w:rsidRDefault="00733C9E">
      <w:pPr>
        <w:widowControl/>
        <w:spacing w:line="560" w:lineRule="atLeast"/>
        <w:ind w:firstLine="567"/>
        <w:jc w:val="both"/>
        <w:rPr>
          <w:sz w:val="28"/>
          <w:szCs w:val="28"/>
        </w:rPr>
      </w:pPr>
      <w:r>
        <w:rPr>
          <w:sz w:val="28"/>
          <w:szCs w:val="28"/>
          <w:lang w:bidi="ar"/>
        </w:rPr>
        <w:t>公司年度报告涉及的未来计划等前瞻性陈述，不构成公司对投资者的实质承诺，投资者及相关人士均应当对此保持足够的风险认识，并请理解计划、预测与承诺之间的差异。本公司在本报告第三节</w:t>
      </w:r>
      <w:r>
        <w:rPr>
          <w:sz w:val="28"/>
          <w:szCs w:val="28"/>
          <w:lang w:bidi="ar"/>
        </w:rPr>
        <w:t>“</w:t>
      </w:r>
      <w:r>
        <w:rPr>
          <w:sz w:val="28"/>
          <w:szCs w:val="28"/>
          <w:lang w:bidi="ar"/>
        </w:rPr>
        <w:t>管理层讨论与分析</w:t>
      </w:r>
      <w:r>
        <w:rPr>
          <w:sz w:val="28"/>
          <w:szCs w:val="28"/>
          <w:lang w:bidi="ar"/>
        </w:rPr>
        <w:t>”</w:t>
      </w:r>
      <w:r>
        <w:rPr>
          <w:sz w:val="28"/>
          <w:szCs w:val="28"/>
          <w:lang w:bidi="ar"/>
        </w:rPr>
        <w:t>之</w:t>
      </w:r>
      <w:r>
        <w:rPr>
          <w:sz w:val="28"/>
          <w:szCs w:val="28"/>
          <w:lang w:bidi="ar"/>
        </w:rPr>
        <w:t>“</w:t>
      </w:r>
      <w:r>
        <w:rPr>
          <w:sz w:val="28"/>
          <w:szCs w:val="28"/>
          <w:lang w:bidi="ar"/>
        </w:rPr>
        <w:t>十一、公司未来发展的展望</w:t>
      </w:r>
      <w:r>
        <w:rPr>
          <w:sz w:val="28"/>
          <w:szCs w:val="28"/>
          <w:lang w:bidi="ar"/>
        </w:rPr>
        <w:t>”</w:t>
      </w:r>
      <w:r>
        <w:rPr>
          <w:sz w:val="28"/>
          <w:szCs w:val="28"/>
          <w:lang w:bidi="ar"/>
        </w:rPr>
        <w:t>描述了公司未来经营中可能存在的风险和应对措施，敬请广大投资者予以关注，注意投资风险。</w:t>
      </w:r>
    </w:p>
    <w:p w:rsidR="00E20B54" w:rsidRDefault="00733C9E">
      <w:pPr>
        <w:spacing w:line="560" w:lineRule="exact"/>
        <w:ind w:firstLineChars="200" w:firstLine="560"/>
        <w:jc w:val="both"/>
        <w:rPr>
          <w:sz w:val="28"/>
          <w:szCs w:val="28"/>
        </w:rPr>
      </w:pPr>
      <w:r>
        <w:rPr>
          <w:sz w:val="28"/>
          <w:szCs w:val="28"/>
        </w:rPr>
        <w:t>公司经本次董事会审议通过的利润分配预案为：以</w:t>
      </w:r>
      <w:r>
        <w:rPr>
          <w:sz w:val="28"/>
          <w:szCs w:val="28"/>
        </w:rPr>
        <w:t>2025</w:t>
      </w:r>
      <w:r>
        <w:rPr>
          <w:sz w:val="28"/>
          <w:szCs w:val="28"/>
        </w:rPr>
        <w:t>年</w:t>
      </w:r>
      <w:r>
        <w:rPr>
          <w:sz w:val="28"/>
          <w:szCs w:val="28"/>
        </w:rPr>
        <w:t>12</w:t>
      </w:r>
      <w:r>
        <w:rPr>
          <w:sz w:val="28"/>
          <w:szCs w:val="28"/>
        </w:rPr>
        <w:t>月</w:t>
      </w:r>
      <w:r>
        <w:rPr>
          <w:sz w:val="28"/>
          <w:szCs w:val="28"/>
        </w:rPr>
        <w:t>31</w:t>
      </w:r>
      <w:r>
        <w:rPr>
          <w:sz w:val="28"/>
          <w:szCs w:val="28"/>
        </w:rPr>
        <w:t>日的总股本扣除回购账户所持有股份后的</w:t>
      </w:r>
      <w:r>
        <w:rPr>
          <w:sz w:val="28"/>
          <w:szCs w:val="28"/>
        </w:rPr>
        <w:t>65,628,660</w:t>
      </w:r>
      <w:r>
        <w:rPr>
          <w:sz w:val="28"/>
          <w:szCs w:val="28"/>
        </w:rPr>
        <w:t>股为基数，向全体股东每</w:t>
      </w:r>
      <w:r>
        <w:rPr>
          <w:sz w:val="28"/>
          <w:szCs w:val="28"/>
        </w:rPr>
        <w:t>10</w:t>
      </w:r>
      <w:r>
        <w:rPr>
          <w:sz w:val="28"/>
          <w:szCs w:val="28"/>
        </w:rPr>
        <w:t>股派发现金红利</w:t>
      </w:r>
      <w:r>
        <w:rPr>
          <w:sz w:val="28"/>
          <w:szCs w:val="28"/>
        </w:rPr>
        <w:t>0.5</w:t>
      </w:r>
      <w:r>
        <w:rPr>
          <w:sz w:val="28"/>
          <w:szCs w:val="28"/>
        </w:rPr>
        <w:t>元（含税），送红股</w:t>
      </w:r>
      <w:r>
        <w:rPr>
          <w:sz w:val="28"/>
          <w:szCs w:val="28"/>
        </w:rPr>
        <w:t>0</w:t>
      </w:r>
      <w:r>
        <w:rPr>
          <w:sz w:val="28"/>
          <w:szCs w:val="28"/>
        </w:rPr>
        <w:t>股（含税），以资本公积金向全体股东每</w:t>
      </w:r>
      <w:r>
        <w:rPr>
          <w:sz w:val="28"/>
          <w:szCs w:val="28"/>
        </w:rPr>
        <w:t>10</w:t>
      </w:r>
      <w:r>
        <w:rPr>
          <w:sz w:val="28"/>
          <w:szCs w:val="28"/>
        </w:rPr>
        <w:t>股转增</w:t>
      </w:r>
      <w:r>
        <w:rPr>
          <w:sz w:val="28"/>
          <w:szCs w:val="28"/>
        </w:rPr>
        <w:t>4</w:t>
      </w:r>
      <w:r>
        <w:rPr>
          <w:sz w:val="28"/>
          <w:szCs w:val="28"/>
        </w:rPr>
        <w:t>股。</w:t>
      </w:r>
    </w:p>
    <w:p w:rsidR="00E20B54" w:rsidRDefault="00733C9E">
      <w:pPr>
        <w:jc w:val="both"/>
      </w:pPr>
      <w:r>
        <w:br w:type="page"/>
      </w:r>
    </w:p>
    <w:p w:rsidR="00E20B54" w:rsidRDefault="00733C9E">
      <w:pPr>
        <w:spacing w:line="720" w:lineRule="exact"/>
        <w:jc w:val="center"/>
        <w:rPr>
          <w:b/>
          <w:bCs/>
          <w:sz w:val="36"/>
          <w:szCs w:val="36"/>
        </w:rPr>
      </w:pPr>
      <w:r>
        <w:rPr>
          <w:b/>
          <w:bCs/>
          <w:sz w:val="36"/>
          <w:szCs w:val="36"/>
        </w:rPr>
        <w:lastRenderedPageBreak/>
        <w:t>目录</w:t>
      </w:r>
    </w:p>
    <w:p w:rsidR="00E20B54" w:rsidRDefault="00733C9E" w:rsidP="005B6F9D">
      <w:pPr>
        <w:pStyle w:val="1"/>
        <w:tabs>
          <w:tab w:val="left" w:leader="dot" w:pos="9469"/>
        </w:tabs>
        <w:spacing w:beforeLines="50" w:before="156" w:afterLines="50" w:after="156"/>
        <w:jc w:val="both"/>
        <w:rPr>
          <w:noProof/>
        </w:rPr>
      </w:pPr>
      <w:r>
        <w:fldChar w:fldCharType="begin"/>
      </w:r>
      <w:r>
        <w:instrText xml:space="preserve"> TOC \o "1-2" \h \z \u </w:instrText>
      </w:r>
      <w:r>
        <w:fldChar w:fldCharType="separate"/>
      </w:r>
      <w:hyperlink w:anchor="_Toc988889" w:history="1">
        <w:r>
          <w:rPr>
            <w:noProof/>
            <w:sz w:val="18"/>
          </w:rPr>
          <w:t>第一节</w:t>
        </w:r>
        <w:r>
          <w:rPr>
            <w:noProof/>
            <w:sz w:val="18"/>
          </w:rPr>
          <w:t xml:space="preserve"> </w:t>
        </w:r>
        <w:r>
          <w:rPr>
            <w:noProof/>
            <w:sz w:val="18"/>
          </w:rPr>
          <w:t>重要提示、目录和释义</w:t>
        </w:r>
        <w:r>
          <w:rPr>
            <w:noProof/>
          </w:rPr>
          <w:tab/>
        </w:r>
        <w:r>
          <w:rPr>
            <w:noProof/>
          </w:rPr>
          <w:fldChar w:fldCharType="begin"/>
        </w:r>
        <w:r>
          <w:rPr>
            <w:noProof/>
          </w:rPr>
          <w:instrText xml:space="preserve"> PAGEREF _Toc988889 \h </w:instrText>
        </w:r>
        <w:r>
          <w:rPr>
            <w:noProof/>
          </w:rPr>
        </w:r>
        <w:r>
          <w:rPr>
            <w:noProof/>
          </w:rPr>
          <w:fldChar w:fldCharType="separate"/>
        </w:r>
        <w:r w:rsidR="003976AD">
          <w:rPr>
            <w:noProof/>
          </w:rPr>
          <w:t>2</w:t>
        </w:r>
        <w:r>
          <w:rPr>
            <w:noProof/>
          </w:rPr>
          <w:fldChar w:fldCharType="end"/>
        </w:r>
      </w:hyperlink>
    </w:p>
    <w:p w:rsidR="00E20B54" w:rsidRDefault="003976AD" w:rsidP="005B6F9D">
      <w:pPr>
        <w:pStyle w:val="1"/>
        <w:tabs>
          <w:tab w:val="left" w:leader="dot" w:pos="9469"/>
        </w:tabs>
        <w:spacing w:beforeLines="50" w:before="156" w:afterLines="50" w:after="156"/>
        <w:jc w:val="both"/>
        <w:rPr>
          <w:noProof/>
        </w:rPr>
      </w:pPr>
      <w:hyperlink w:anchor="_Toc988890" w:history="1">
        <w:r w:rsidR="00733C9E">
          <w:rPr>
            <w:noProof/>
            <w:sz w:val="18"/>
          </w:rPr>
          <w:t>第二节</w:t>
        </w:r>
        <w:r w:rsidR="00733C9E">
          <w:rPr>
            <w:noProof/>
            <w:sz w:val="18"/>
          </w:rPr>
          <w:t xml:space="preserve"> </w:t>
        </w:r>
        <w:r w:rsidR="00733C9E">
          <w:rPr>
            <w:noProof/>
            <w:sz w:val="18"/>
          </w:rPr>
          <w:t>公司简介和主要财务指标</w:t>
        </w:r>
        <w:r w:rsidR="00733C9E">
          <w:rPr>
            <w:noProof/>
          </w:rPr>
          <w:tab/>
        </w:r>
        <w:r w:rsidR="00733C9E">
          <w:rPr>
            <w:noProof/>
          </w:rPr>
          <w:fldChar w:fldCharType="begin"/>
        </w:r>
        <w:r w:rsidR="00733C9E">
          <w:rPr>
            <w:noProof/>
          </w:rPr>
          <w:instrText xml:space="preserve"> PAGEREF _Toc988890 \h </w:instrText>
        </w:r>
        <w:r w:rsidR="00733C9E">
          <w:rPr>
            <w:noProof/>
          </w:rPr>
        </w:r>
        <w:r w:rsidR="00733C9E">
          <w:rPr>
            <w:noProof/>
          </w:rPr>
          <w:fldChar w:fldCharType="separate"/>
        </w:r>
        <w:r>
          <w:rPr>
            <w:noProof/>
          </w:rPr>
          <w:t>7</w:t>
        </w:r>
        <w:r w:rsidR="00733C9E">
          <w:rPr>
            <w:noProof/>
          </w:rPr>
          <w:fldChar w:fldCharType="end"/>
        </w:r>
      </w:hyperlink>
    </w:p>
    <w:p w:rsidR="00E20B54" w:rsidRDefault="003976AD" w:rsidP="005B6F9D">
      <w:pPr>
        <w:pStyle w:val="1"/>
        <w:tabs>
          <w:tab w:val="left" w:leader="dot" w:pos="9469"/>
        </w:tabs>
        <w:spacing w:beforeLines="50" w:before="156" w:afterLines="50" w:after="156"/>
        <w:jc w:val="both"/>
        <w:rPr>
          <w:noProof/>
        </w:rPr>
      </w:pPr>
      <w:hyperlink w:anchor="_Toc988901" w:history="1">
        <w:r w:rsidR="00733C9E">
          <w:rPr>
            <w:noProof/>
            <w:sz w:val="18"/>
          </w:rPr>
          <w:t>第三节</w:t>
        </w:r>
        <w:r w:rsidR="00733C9E">
          <w:rPr>
            <w:noProof/>
            <w:sz w:val="18"/>
          </w:rPr>
          <w:t xml:space="preserve"> </w:t>
        </w:r>
        <w:r w:rsidR="00733C9E">
          <w:rPr>
            <w:noProof/>
            <w:sz w:val="18"/>
          </w:rPr>
          <w:t>管理层讨论与分析</w:t>
        </w:r>
        <w:r w:rsidR="00733C9E">
          <w:rPr>
            <w:noProof/>
          </w:rPr>
          <w:tab/>
        </w:r>
        <w:r w:rsidR="00733C9E">
          <w:rPr>
            <w:noProof/>
          </w:rPr>
          <w:fldChar w:fldCharType="begin"/>
        </w:r>
        <w:r w:rsidR="00733C9E">
          <w:rPr>
            <w:noProof/>
          </w:rPr>
          <w:instrText xml:space="preserve"> PAGEREF _Toc988901 \h </w:instrText>
        </w:r>
        <w:r w:rsidR="00733C9E">
          <w:rPr>
            <w:noProof/>
          </w:rPr>
        </w:r>
        <w:r w:rsidR="00733C9E">
          <w:rPr>
            <w:noProof/>
          </w:rPr>
          <w:fldChar w:fldCharType="separate"/>
        </w:r>
        <w:r>
          <w:rPr>
            <w:noProof/>
          </w:rPr>
          <w:t>11</w:t>
        </w:r>
        <w:r w:rsidR="00733C9E">
          <w:rPr>
            <w:noProof/>
          </w:rPr>
          <w:fldChar w:fldCharType="end"/>
        </w:r>
      </w:hyperlink>
    </w:p>
    <w:p w:rsidR="00E20B54" w:rsidRDefault="003976AD" w:rsidP="005B6F9D">
      <w:pPr>
        <w:pStyle w:val="1"/>
        <w:tabs>
          <w:tab w:val="left" w:leader="dot" w:pos="9469"/>
        </w:tabs>
        <w:spacing w:beforeLines="50" w:before="156" w:afterLines="50" w:after="156"/>
        <w:jc w:val="both"/>
        <w:rPr>
          <w:noProof/>
        </w:rPr>
      </w:pPr>
      <w:hyperlink w:anchor="_Toc988940" w:history="1">
        <w:r w:rsidR="00733C9E">
          <w:rPr>
            <w:noProof/>
            <w:sz w:val="18"/>
          </w:rPr>
          <w:t>第四节</w:t>
        </w:r>
        <w:r w:rsidR="00733C9E">
          <w:rPr>
            <w:noProof/>
            <w:sz w:val="18"/>
          </w:rPr>
          <w:t xml:space="preserve"> </w:t>
        </w:r>
        <w:r w:rsidR="00733C9E">
          <w:rPr>
            <w:noProof/>
            <w:sz w:val="18"/>
          </w:rPr>
          <w:t>公司治理、环境和社会</w:t>
        </w:r>
        <w:r w:rsidR="00733C9E">
          <w:rPr>
            <w:noProof/>
          </w:rPr>
          <w:tab/>
        </w:r>
        <w:r w:rsidR="00733C9E">
          <w:rPr>
            <w:noProof/>
          </w:rPr>
          <w:fldChar w:fldCharType="begin"/>
        </w:r>
        <w:r w:rsidR="00733C9E">
          <w:rPr>
            <w:noProof/>
          </w:rPr>
          <w:instrText xml:space="preserve"> PAGEREF _Toc988940 \h </w:instrText>
        </w:r>
        <w:r w:rsidR="00733C9E">
          <w:rPr>
            <w:noProof/>
          </w:rPr>
        </w:r>
        <w:r w:rsidR="00733C9E">
          <w:rPr>
            <w:noProof/>
          </w:rPr>
          <w:fldChar w:fldCharType="separate"/>
        </w:r>
        <w:r>
          <w:rPr>
            <w:noProof/>
          </w:rPr>
          <w:t>46</w:t>
        </w:r>
        <w:r w:rsidR="00733C9E">
          <w:rPr>
            <w:noProof/>
          </w:rPr>
          <w:fldChar w:fldCharType="end"/>
        </w:r>
      </w:hyperlink>
    </w:p>
    <w:p w:rsidR="00E20B54" w:rsidRDefault="003976AD" w:rsidP="005B6F9D">
      <w:pPr>
        <w:pStyle w:val="1"/>
        <w:tabs>
          <w:tab w:val="left" w:leader="dot" w:pos="9469"/>
        </w:tabs>
        <w:spacing w:beforeLines="50" w:before="156" w:afterLines="50" w:after="156"/>
        <w:jc w:val="both"/>
        <w:rPr>
          <w:noProof/>
        </w:rPr>
      </w:pPr>
      <w:hyperlink w:anchor="_Toc988977" w:history="1">
        <w:r w:rsidR="00733C9E">
          <w:rPr>
            <w:noProof/>
            <w:sz w:val="18"/>
          </w:rPr>
          <w:t>第五节</w:t>
        </w:r>
        <w:r w:rsidR="00733C9E">
          <w:rPr>
            <w:noProof/>
            <w:sz w:val="18"/>
          </w:rPr>
          <w:t xml:space="preserve"> </w:t>
        </w:r>
        <w:r w:rsidR="00733C9E">
          <w:rPr>
            <w:noProof/>
            <w:sz w:val="18"/>
          </w:rPr>
          <w:t>重要事项</w:t>
        </w:r>
        <w:r w:rsidR="00733C9E">
          <w:rPr>
            <w:noProof/>
          </w:rPr>
          <w:tab/>
        </w:r>
        <w:r w:rsidR="00733C9E">
          <w:rPr>
            <w:noProof/>
          </w:rPr>
          <w:fldChar w:fldCharType="begin"/>
        </w:r>
        <w:r w:rsidR="00733C9E">
          <w:rPr>
            <w:noProof/>
          </w:rPr>
          <w:instrText xml:space="preserve"> PAGEREF _Toc988977 \h </w:instrText>
        </w:r>
        <w:r w:rsidR="00733C9E">
          <w:rPr>
            <w:noProof/>
          </w:rPr>
        </w:r>
        <w:r w:rsidR="00733C9E">
          <w:rPr>
            <w:noProof/>
          </w:rPr>
          <w:fldChar w:fldCharType="separate"/>
        </w:r>
        <w:r>
          <w:rPr>
            <w:noProof/>
          </w:rPr>
          <w:t>72</w:t>
        </w:r>
        <w:r w:rsidR="00733C9E">
          <w:rPr>
            <w:noProof/>
          </w:rPr>
          <w:fldChar w:fldCharType="end"/>
        </w:r>
      </w:hyperlink>
    </w:p>
    <w:p w:rsidR="00E20B54" w:rsidRDefault="003976AD" w:rsidP="005B6F9D">
      <w:pPr>
        <w:pStyle w:val="1"/>
        <w:tabs>
          <w:tab w:val="left" w:leader="dot" w:pos="9469"/>
        </w:tabs>
        <w:spacing w:beforeLines="50" w:before="156" w:afterLines="50" w:after="156"/>
        <w:jc w:val="both"/>
        <w:rPr>
          <w:noProof/>
        </w:rPr>
      </w:pPr>
      <w:hyperlink w:anchor="_Toc989019" w:history="1">
        <w:r w:rsidR="00733C9E">
          <w:rPr>
            <w:noProof/>
            <w:sz w:val="18"/>
          </w:rPr>
          <w:t>第六节</w:t>
        </w:r>
        <w:r w:rsidR="00733C9E">
          <w:rPr>
            <w:noProof/>
            <w:sz w:val="18"/>
          </w:rPr>
          <w:t xml:space="preserve"> </w:t>
        </w:r>
        <w:r w:rsidR="00733C9E">
          <w:rPr>
            <w:noProof/>
            <w:sz w:val="18"/>
          </w:rPr>
          <w:t>股份变动及股东情况</w:t>
        </w:r>
        <w:r w:rsidR="00733C9E">
          <w:rPr>
            <w:noProof/>
          </w:rPr>
          <w:tab/>
        </w:r>
        <w:r w:rsidR="00733C9E">
          <w:rPr>
            <w:noProof/>
          </w:rPr>
          <w:fldChar w:fldCharType="begin"/>
        </w:r>
        <w:r w:rsidR="00733C9E">
          <w:rPr>
            <w:noProof/>
          </w:rPr>
          <w:instrText xml:space="preserve"> PAGEREF _Toc989019 \h </w:instrText>
        </w:r>
        <w:r w:rsidR="00733C9E">
          <w:rPr>
            <w:noProof/>
          </w:rPr>
        </w:r>
        <w:r w:rsidR="00733C9E">
          <w:rPr>
            <w:noProof/>
          </w:rPr>
          <w:fldChar w:fldCharType="separate"/>
        </w:r>
        <w:r>
          <w:rPr>
            <w:noProof/>
          </w:rPr>
          <w:t>95</w:t>
        </w:r>
        <w:r w:rsidR="00733C9E">
          <w:rPr>
            <w:noProof/>
          </w:rPr>
          <w:fldChar w:fldCharType="end"/>
        </w:r>
      </w:hyperlink>
    </w:p>
    <w:p w:rsidR="00E20B54" w:rsidRDefault="003976AD" w:rsidP="005B6F9D">
      <w:pPr>
        <w:pStyle w:val="1"/>
        <w:tabs>
          <w:tab w:val="left" w:leader="dot" w:pos="9469"/>
        </w:tabs>
        <w:spacing w:beforeLines="50" w:before="156" w:afterLines="50" w:after="156"/>
        <w:jc w:val="both"/>
        <w:rPr>
          <w:noProof/>
        </w:rPr>
      </w:pPr>
      <w:hyperlink w:anchor="_Toc989036" w:history="1">
        <w:r w:rsidR="00733C9E">
          <w:rPr>
            <w:noProof/>
            <w:sz w:val="18"/>
          </w:rPr>
          <w:t>第七节</w:t>
        </w:r>
        <w:r w:rsidR="00733C9E">
          <w:rPr>
            <w:noProof/>
            <w:sz w:val="18"/>
          </w:rPr>
          <w:t xml:space="preserve"> </w:t>
        </w:r>
        <w:r w:rsidR="00733C9E">
          <w:rPr>
            <w:noProof/>
            <w:sz w:val="18"/>
          </w:rPr>
          <w:t>债券相关情况</w:t>
        </w:r>
        <w:r w:rsidR="00733C9E">
          <w:rPr>
            <w:noProof/>
          </w:rPr>
          <w:tab/>
        </w:r>
        <w:r w:rsidR="00733C9E">
          <w:rPr>
            <w:noProof/>
          </w:rPr>
          <w:fldChar w:fldCharType="begin"/>
        </w:r>
        <w:r w:rsidR="00733C9E">
          <w:rPr>
            <w:noProof/>
          </w:rPr>
          <w:instrText xml:space="preserve"> PAGEREF _Toc989036 \h </w:instrText>
        </w:r>
        <w:r w:rsidR="00733C9E">
          <w:rPr>
            <w:noProof/>
          </w:rPr>
        </w:r>
        <w:r w:rsidR="00733C9E">
          <w:rPr>
            <w:noProof/>
          </w:rPr>
          <w:fldChar w:fldCharType="separate"/>
        </w:r>
        <w:r>
          <w:rPr>
            <w:noProof/>
          </w:rPr>
          <w:t>102</w:t>
        </w:r>
        <w:r w:rsidR="00733C9E">
          <w:rPr>
            <w:noProof/>
          </w:rPr>
          <w:fldChar w:fldCharType="end"/>
        </w:r>
      </w:hyperlink>
    </w:p>
    <w:p w:rsidR="00E20B54" w:rsidRDefault="003976AD" w:rsidP="005B6F9D">
      <w:pPr>
        <w:pStyle w:val="1"/>
        <w:tabs>
          <w:tab w:val="left" w:leader="dot" w:pos="9469"/>
        </w:tabs>
        <w:spacing w:beforeLines="50" w:before="156" w:afterLines="50" w:after="156"/>
        <w:jc w:val="both"/>
      </w:pPr>
      <w:hyperlink w:anchor="_Toc989037" w:history="1">
        <w:r w:rsidR="00733C9E">
          <w:rPr>
            <w:noProof/>
            <w:sz w:val="18"/>
          </w:rPr>
          <w:t>第八节</w:t>
        </w:r>
        <w:r w:rsidR="00733C9E">
          <w:rPr>
            <w:noProof/>
            <w:sz w:val="18"/>
          </w:rPr>
          <w:t xml:space="preserve"> </w:t>
        </w:r>
        <w:r w:rsidR="00733C9E">
          <w:rPr>
            <w:noProof/>
            <w:sz w:val="18"/>
          </w:rPr>
          <w:t>财务报告</w:t>
        </w:r>
        <w:r w:rsidR="00733C9E">
          <w:rPr>
            <w:noProof/>
          </w:rPr>
          <w:tab/>
        </w:r>
        <w:r w:rsidR="00733C9E">
          <w:rPr>
            <w:noProof/>
          </w:rPr>
          <w:fldChar w:fldCharType="begin"/>
        </w:r>
        <w:r w:rsidR="00733C9E">
          <w:rPr>
            <w:noProof/>
          </w:rPr>
          <w:instrText xml:space="preserve"> PAGEREF _Toc989037 \h </w:instrText>
        </w:r>
        <w:r w:rsidR="00733C9E">
          <w:rPr>
            <w:noProof/>
          </w:rPr>
        </w:r>
        <w:r w:rsidR="00733C9E">
          <w:rPr>
            <w:noProof/>
          </w:rPr>
          <w:fldChar w:fldCharType="separate"/>
        </w:r>
        <w:r>
          <w:rPr>
            <w:noProof/>
          </w:rPr>
          <w:t>103</w:t>
        </w:r>
        <w:r w:rsidR="00733C9E">
          <w:rPr>
            <w:noProof/>
          </w:rPr>
          <w:fldChar w:fldCharType="end"/>
        </w:r>
      </w:hyperlink>
      <w:r w:rsidR="00733C9E">
        <w:fldChar w:fldCharType="end"/>
      </w:r>
    </w:p>
    <w:p w:rsidR="00E20B54" w:rsidRDefault="00733C9E" w:rsidP="005B6F9D">
      <w:pPr>
        <w:spacing w:beforeLines="50" w:before="156" w:afterLines="50" w:after="156"/>
        <w:jc w:val="both"/>
      </w:pPr>
      <w:r>
        <w:br w:type="page"/>
      </w:r>
    </w:p>
    <w:p w:rsidR="00E20B54" w:rsidRDefault="00733C9E">
      <w:pPr>
        <w:spacing w:line="640" w:lineRule="exact"/>
        <w:jc w:val="center"/>
        <w:rPr>
          <w:b/>
          <w:bCs/>
          <w:sz w:val="32"/>
          <w:szCs w:val="32"/>
        </w:rPr>
      </w:pPr>
      <w:r>
        <w:rPr>
          <w:b/>
          <w:bCs/>
          <w:sz w:val="32"/>
          <w:szCs w:val="32"/>
        </w:rPr>
        <w:lastRenderedPageBreak/>
        <w:t>备查文件目录</w:t>
      </w:r>
    </w:p>
    <w:p w:rsidR="00E20B54" w:rsidRDefault="00733C9E">
      <w:pPr>
        <w:pStyle w:val="a3"/>
        <w:widowControl/>
        <w:spacing w:beforeLines="50" w:before="156" w:beforeAutospacing="0" w:afterLines="50" w:after="156" w:afterAutospacing="0" w:line="360" w:lineRule="auto"/>
        <w:ind w:firstLine="408"/>
        <w:jc w:val="both"/>
        <w:rPr>
          <w:rFonts w:eastAsiaTheme="majorEastAsia"/>
          <w:szCs w:val="24"/>
        </w:rPr>
      </w:pPr>
      <w:r>
        <w:rPr>
          <w:rFonts w:eastAsiaTheme="majorEastAsia"/>
          <w:szCs w:val="24"/>
        </w:rPr>
        <w:t>（一）载有公司法定代表人、主管会计工作负责人、会计机构负责人签名并盖章的财务报表；</w:t>
      </w:r>
    </w:p>
    <w:p w:rsidR="00E20B54" w:rsidRDefault="00733C9E">
      <w:pPr>
        <w:pStyle w:val="a3"/>
        <w:widowControl/>
        <w:spacing w:beforeLines="50" w:before="156" w:beforeAutospacing="0" w:afterLines="50" w:after="156" w:afterAutospacing="0" w:line="360" w:lineRule="auto"/>
        <w:ind w:firstLine="408"/>
        <w:jc w:val="both"/>
        <w:rPr>
          <w:rFonts w:eastAsiaTheme="majorEastAsia"/>
          <w:szCs w:val="24"/>
        </w:rPr>
      </w:pPr>
      <w:r>
        <w:rPr>
          <w:rFonts w:eastAsiaTheme="majorEastAsia"/>
          <w:szCs w:val="24"/>
        </w:rPr>
        <w:t>（二）载有会计师事务所盖章、注册会计师签名并盖章的审计报告原件；</w:t>
      </w:r>
    </w:p>
    <w:p w:rsidR="00E20B54" w:rsidRDefault="00733C9E">
      <w:pPr>
        <w:pStyle w:val="a3"/>
        <w:widowControl/>
        <w:spacing w:beforeLines="50" w:before="156" w:beforeAutospacing="0" w:afterLines="50" w:after="156" w:afterAutospacing="0" w:line="360" w:lineRule="auto"/>
        <w:ind w:firstLine="408"/>
        <w:jc w:val="both"/>
        <w:rPr>
          <w:rFonts w:eastAsiaTheme="majorEastAsia"/>
          <w:szCs w:val="24"/>
        </w:rPr>
      </w:pPr>
      <w:r>
        <w:rPr>
          <w:rFonts w:eastAsiaTheme="majorEastAsia"/>
          <w:szCs w:val="24"/>
        </w:rPr>
        <w:t>（三）报告期内在中国证券监督管理委员会指定媒体上公开披露过的所有公司文件的正本及公告的原稿；</w:t>
      </w:r>
    </w:p>
    <w:p w:rsidR="00E20B54" w:rsidRDefault="00733C9E">
      <w:pPr>
        <w:pStyle w:val="a3"/>
        <w:widowControl/>
        <w:spacing w:beforeLines="50" w:before="156" w:beforeAutospacing="0" w:afterLines="50" w:after="156" w:afterAutospacing="0" w:line="360" w:lineRule="auto"/>
        <w:ind w:firstLine="408"/>
        <w:jc w:val="both"/>
        <w:rPr>
          <w:rFonts w:eastAsiaTheme="majorEastAsia"/>
          <w:szCs w:val="24"/>
        </w:rPr>
      </w:pPr>
      <w:r>
        <w:rPr>
          <w:rFonts w:eastAsiaTheme="majorEastAsia"/>
          <w:szCs w:val="24"/>
        </w:rPr>
        <w:t>（四）经公司法定代表人签字的</w:t>
      </w:r>
      <w:r>
        <w:rPr>
          <w:rFonts w:eastAsiaTheme="majorEastAsia"/>
          <w:szCs w:val="24"/>
        </w:rPr>
        <w:t>2025</w:t>
      </w:r>
      <w:r>
        <w:rPr>
          <w:rFonts w:eastAsiaTheme="majorEastAsia"/>
          <w:szCs w:val="24"/>
        </w:rPr>
        <w:t>年年度报告全文原件；</w:t>
      </w:r>
    </w:p>
    <w:p w:rsidR="00E20B54" w:rsidRDefault="00733C9E">
      <w:pPr>
        <w:pStyle w:val="a3"/>
        <w:widowControl/>
        <w:spacing w:beforeLines="50" w:before="156" w:beforeAutospacing="0" w:afterLines="50" w:after="156" w:afterAutospacing="0" w:line="360" w:lineRule="auto"/>
        <w:ind w:firstLine="408"/>
        <w:jc w:val="both"/>
        <w:rPr>
          <w:rFonts w:eastAsiaTheme="majorEastAsia"/>
          <w:szCs w:val="24"/>
        </w:rPr>
      </w:pPr>
      <w:r>
        <w:rPr>
          <w:rFonts w:eastAsiaTheme="majorEastAsia"/>
          <w:szCs w:val="24"/>
        </w:rPr>
        <w:t>（五）其他备查文件。</w:t>
      </w:r>
    </w:p>
    <w:p w:rsidR="00E20B54" w:rsidRDefault="00733C9E">
      <w:r>
        <w:br w:type="page"/>
      </w:r>
    </w:p>
    <w:p w:rsidR="00E20B54" w:rsidRDefault="00733C9E">
      <w:pPr>
        <w:spacing w:before="40" w:after="40" w:line="560" w:lineRule="exact"/>
        <w:jc w:val="center"/>
        <w:rPr>
          <w:b/>
          <w:bCs/>
          <w:sz w:val="32"/>
          <w:szCs w:val="32"/>
        </w:rPr>
      </w:pPr>
      <w:r>
        <w:rPr>
          <w:b/>
          <w:bCs/>
          <w:sz w:val="32"/>
          <w:szCs w:val="32"/>
        </w:rPr>
        <w:lastRenderedPageBreak/>
        <w:t>释义</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4143"/>
        <w:gridCol w:w="1227"/>
        <w:gridCol w:w="4269"/>
      </w:tblGrid>
      <w:tr w:rsidR="00E20B54">
        <w:trPr>
          <w:trHeight w:val="240"/>
          <w:tblHeader/>
        </w:trPr>
        <w:tc>
          <w:tcPr>
            <w:tcW w:w="414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释义项</w:t>
            </w:r>
          </w:p>
        </w:tc>
        <w:tc>
          <w:tcPr>
            <w:tcW w:w="1227"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指</w:t>
            </w:r>
          </w:p>
        </w:tc>
        <w:tc>
          <w:tcPr>
            <w:tcW w:w="4269"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释义内容</w:t>
            </w:r>
          </w:p>
        </w:tc>
      </w:tr>
      <w:tr w:rsidR="00E20B54">
        <w:trPr>
          <w:trHeight w:val="240"/>
        </w:trPr>
        <w:tc>
          <w:tcPr>
            <w:tcW w:w="414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公司、本公司、本集团、天亿马、天亿马股份</w:t>
            </w:r>
          </w:p>
        </w:tc>
        <w:tc>
          <w:tcPr>
            <w:tcW w:w="1227"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指</w:t>
            </w:r>
          </w:p>
        </w:tc>
        <w:tc>
          <w:tcPr>
            <w:tcW w:w="4269"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广东天亿马信息产业股份有限公司及合并范围内子公司</w:t>
            </w:r>
          </w:p>
        </w:tc>
      </w:tr>
      <w:tr w:rsidR="00E20B54">
        <w:trPr>
          <w:trHeight w:val="240"/>
        </w:trPr>
        <w:tc>
          <w:tcPr>
            <w:tcW w:w="414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母公司、股份公司</w:t>
            </w:r>
          </w:p>
        </w:tc>
        <w:tc>
          <w:tcPr>
            <w:tcW w:w="1227"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指</w:t>
            </w:r>
          </w:p>
        </w:tc>
        <w:tc>
          <w:tcPr>
            <w:tcW w:w="4269"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广东天亿马信息产业股份有限公司</w:t>
            </w:r>
          </w:p>
        </w:tc>
      </w:tr>
      <w:tr w:rsidR="00E20B54">
        <w:trPr>
          <w:trHeight w:val="240"/>
        </w:trPr>
        <w:tc>
          <w:tcPr>
            <w:tcW w:w="414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互联精英</w:t>
            </w:r>
          </w:p>
        </w:tc>
        <w:tc>
          <w:tcPr>
            <w:tcW w:w="1227"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指</w:t>
            </w:r>
          </w:p>
        </w:tc>
        <w:tc>
          <w:tcPr>
            <w:tcW w:w="4269"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深圳市互联精英信息技术有限公司</w:t>
            </w:r>
          </w:p>
        </w:tc>
      </w:tr>
      <w:tr w:rsidR="00E20B54">
        <w:trPr>
          <w:trHeight w:val="240"/>
        </w:trPr>
        <w:tc>
          <w:tcPr>
            <w:tcW w:w="414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香港天亿马</w:t>
            </w:r>
          </w:p>
        </w:tc>
        <w:tc>
          <w:tcPr>
            <w:tcW w:w="1227"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指</w:t>
            </w:r>
          </w:p>
        </w:tc>
        <w:tc>
          <w:tcPr>
            <w:tcW w:w="4269"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天亿马（香港）信息产业有限公司</w:t>
            </w:r>
          </w:p>
        </w:tc>
      </w:tr>
      <w:tr w:rsidR="00E20B54">
        <w:trPr>
          <w:trHeight w:val="240"/>
        </w:trPr>
        <w:tc>
          <w:tcPr>
            <w:tcW w:w="414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广州天亿马</w:t>
            </w:r>
          </w:p>
        </w:tc>
        <w:tc>
          <w:tcPr>
            <w:tcW w:w="1227"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指</w:t>
            </w:r>
          </w:p>
        </w:tc>
        <w:tc>
          <w:tcPr>
            <w:tcW w:w="4269"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广州市天亿马信息技术有限公司</w:t>
            </w:r>
          </w:p>
        </w:tc>
      </w:tr>
      <w:tr w:rsidR="00E20B54">
        <w:trPr>
          <w:trHeight w:val="240"/>
        </w:trPr>
        <w:tc>
          <w:tcPr>
            <w:tcW w:w="414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天亿马技术</w:t>
            </w:r>
          </w:p>
        </w:tc>
        <w:tc>
          <w:tcPr>
            <w:tcW w:w="1227"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指</w:t>
            </w:r>
          </w:p>
        </w:tc>
        <w:tc>
          <w:tcPr>
            <w:tcW w:w="4269"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天亿马信息技术有限公司</w:t>
            </w:r>
          </w:p>
        </w:tc>
      </w:tr>
      <w:tr w:rsidR="00E20B54">
        <w:trPr>
          <w:trHeight w:val="240"/>
        </w:trPr>
        <w:tc>
          <w:tcPr>
            <w:tcW w:w="414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天亿马科技</w:t>
            </w:r>
          </w:p>
        </w:tc>
        <w:tc>
          <w:tcPr>
            <w:tcW w:w="1227"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指</w:t>
            </w:r>
          </w:p>
        </w:tc>
        <w:tc>
          <w:tcPr>
            <w:tcW w:w="4269"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广东天亿马信息科技有限公司</w:t>
            </w:r>
          </w:p>
        </w:tc>
      </w:tr>
      <w:tr w:rsidR="00E20B54">
        <w:trPr>
          <w:trHeight w:val="240"/>
        </w:trPr>
        <w:tc>
          <w:tcPr>
            <w:tcW w:w="414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天亿马数字产业</w:t>
            </w:r>
          </w:p>
        </w:tc>
        <w:tc>
          <w:tcPr>
            <w:tcW w:w="1227"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指</w:t>
            </w:r>
          </w:p>
        </w:tc>
        <w:tc>
          <w:tcPr>
            <w:tcW w:w="4269"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广东天亿马数字产业有限公司</w:t>
            </w:r>
          </w:p>
        </w:tc>
      </w:tr>
      <w:tr w:rsidR="00E20B54">
        <w:trPr>
          <w:trHeight w:val="240"/>
        </w:trPr>
        <w:tc>
          <w:tcPr>
            <w:tcW w:w="414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天亿马数字能源</w:t>
            </w:r>
          </w:p>
        </w:tc>
        <w:tc>
          <w:tcPr>
            <w:tcW w:w="1227"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指</w:t>
            </w:r>
          </w:p>
        </w:tc>
        <w:tc>
          <w:tcPr>
            <w:tcW w:w="4269"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广东天亿马数字能源有限公司</w:t>
            </w:r>
          </w:p>
        </w:tc>
      </w:tr>
      <w:tr w:rsidR="00E20B54">
        <w:trPr>
          <w:trHeight w:val="240"/>
        </w:trPr>
        <w:tc>
          <w:tcPr>
            <w:tcW w:w="414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广图粤科</w:t>
            </w:r>
          </w:p>
        </w:tc>
        <w:tc>
          <w:tcPr>
            <w:tcW w:w="1227"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指</w:t>
            </w:r>
          </w:p>
        </w:tc>
        <w:tc>
          <w:tcPr>
            <w:tcW w:w="4269"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广图粤科（广州）科技有限公司</w:t>
            </w:r>
          </w:p>
        </w:tc>
      </w:tr>
      <w:tr w:rsidR="00E20B54">
        <w:trPr>
          <w:trHeight w:val="240"/>
        </w:trPr>
        <w:tc>
          <w:tcPr>
            <w:tcW w:w="414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翼启数据</w:t>
            </w:r>
          </w:p>
        </w:tc>
        <w:tc>
          <w:tcPr>
            <w:tcW w:w="1227"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指</w:t>
            </w:r>
          </w:p>
        </w:tc>
        <w:tc>
          <w:tcPr>
            <w:tcW w:w="4269"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广东翼启数据产业有限公司（曾用名：广东翼启计算机软件开发有限公司）</w:t>
            </w:r>
          </w:p>
        </w:tc>
      </w:tr>
      <w:tr w:rsidR="00E20B54">
        <w:trPr>
          <w:trHeight w:val="240"/>
        </w:trPr>
        <w:tc>
          <w:tcPr>
            <w:tcW w:w="414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路创科技</w:t>
            </w:r>
          </w:p>
        </w:tc>
        <w:tc>
          <w:tcPr>
            <w:tcW w:w="1227"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指</w:t>
            </w:r>
          </w:p>
        </w:tc>
        <w:tc>
          <w:tcPr>
            <w:tcW w:w="4269"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广州路创轨道科技有限公司</w:t>
            </w:r>
          </w:p>
        </w:tc>
      </w:tr>
      <w:tr w:rsidR="00E20B54">
        <w:trPr>
          <w:trHeight w:val="240"/>
        </w:trPr>
        <w:tc>
          <w:tcPr>
            <w:tcW w:w="414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星云开物</w:t>
            </w:r>
          </w:p>
        </w:tc>
        <w:tc>
          <w:tcPr>
            <w:tcW w:w="1227"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指</w:t>
            </w:r>
          </w:p>
        </w:tc>
        <w:tc>
          <w:tcPr>
            <w:tcW w:w="4269"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广东星云开物科技股份有限公司</w:t>
            </w:r>
          </w:p>
        </w:tc>
      </w:tr>
      <w:tr w:rsidR="00E20B54">
        <w:trPr>
          <w:trHeight w:val="240"/>
        </w:trPr>
        <w:tc>
          <w:tcPr>
            <w:tcW w:w="414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股东会</w:t>
            </w:r>
          </w:p>
        </w:tc>
        <w:tc>
          <w:tcPr>
            <w:tcW w:w="1227"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指</w:t>
            </w:r>
          </w:p>
        </w:tc>
        <w:tc>
          <w:tcPr>
            <w:tcW w:w="4269"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广东天亿马信息产业股份有限公司股东会</w:t>
            </w:r>
          </w:p>
        </w:tc>
      </w:tr>
      <w:tr w:rsidR="00E20B54">
        <w:trPr>
          <w:trHeight w:val="240"/>
        </w:trPr>
        <w:tc>
          <w:tcPr>
            <w:tcW w:w="414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董事会</w:t>
            </w:r>
          </w:p>
        </w:tc>
        <w:tc>
          <w:tcPr>
            <w:tcW w:w="1227"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指</w:t>
            </w:r>
          </w:p>
        </w:tc>
        <w:tc>
          <w:tcPr>
            <w:tcW w:w="4269"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广东天亿马信息产业股份有限公司董事会</w:t>
            </w:r>
          </w:p>
        </w:tc>
      </w:tr>
      <w:tr w:rsidR="00E20B54">
        <w:trPr>
          <w:trHeight w:val="240"/>
        </w:trPr>
        <w:tc>
          <w:tcPr>
            <w:tcW w:w="414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高级管理人员</w:t>
            </w:r>
          </w:p>
        </w:tc>
        <w:tc>
          <w:tcPr>
            <w:tcW w:w="1227"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指</w:t>
            </w:r>
          </w:p>
        </w:tc>
        <w:tc>
          <w:tcPr>
            <w:tcW w:w="4269"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公司总经理、副总经理、董事会秘书、财务总监（财务负责人）</w:t>
            </w:r>
          </w:p>
        </w:tc>
      </w:tr>
      <w:tr w:rsidR="00E20B54">
        <w:trPr>
          <w:trHeight w:val="240"/>
        </w:trPr>
        <w:tc>
          <w:tcPr>
            <w:tcW w:w="414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议事规则</w:t>
            </w:r>
          </w:p>
        </w:tc>
        <w:tc>
          <w:tcPr>
            <w:tcW w:w="1227"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指</w:t>
            </w:r>
          </w:p>
        </w:tc>
        <w:tc>
          <w:tcPr>
            <w:tcW w:w="4269" w:type="dxa"/>
            <w:tcBorders>
              <w:top w:val="single" w:sz="2" w:space="0" w:color="auto"/>
              <w:left w:val="single" w:sz="2" w:space="0" w:color="auto"/>
              <w:bottom w:val="single" w:sz="2" w:space="0" w:color="auto"/>
              <w:right w:val="single" w:sz="2" w:space="0" w:color="auto"/>
            </w:tcBorders>
            <w:vAlign w:val="center"/>
          </w:tcPr>
          <w:p w:rsidR="00E20B54" w:rsidRDefault="00733C9E" w:rsidP="00554425">
            <w:pPr>
              <w:spacing w:line="240" w:lineRule="exact"/>
              <w:rPr>
                <w:sz w:val="18"/>
                <w:szCs w:val="18"/>
              </w:rPr>
            </w:pPr>
            <w:r>
              <w:rPr>
                <w:sz w:val="18"/>
                <w:szCs w:val="18"/>
              </w:rPr>
              <w:t>股份公司《股东会议事规则》《董事会议事规则》</w:t>
            </w:r>
          </w:p>
        </w:tc>
      </w:tr>
      <w:tr w:rsidR="00E20B54">
        <w:trPr>
          <w:trHeight w:val="240"/>
        </w:trPr>
        <w:tc>
          <w:tcPr>
            <w:tcW w:w="414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《公司法》</w:t>
            </w:r>
          </w:p>
        </w:tc>
        <w:tc>
          <w:tcPr>
            <w:tcW w:w="1227"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指</w:t>
            </w:r>
          </w:p>
        </w:tc>
        <w:tc>
          <w:tcPr>
            <w:tcW w:w="4269"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《中华人民共和国公司法》</w:t>
            </w:r>
          </w:p>
        </w:tc>
      </w:tr>
      <w:tr w:rsidR="00E20B54">
        <w:trPr>
          <w:trHeight w:val="240"/>
        </w:trPr>
        <w:tc>
          <w:tcPr>
            <w:tcW w:w="414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《证券法》</w:t>
            </w:r>
          </w:p>
        </w:tc>
        <w:tc>
          <w:tcPr>
            <w:tcW w:w="1227"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指</w:t>
            </w:r>
          </w:p>
        </w:tc>
        <w:tc>
          <w:tcPr>
            <w:tcW w:w="4269"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《中华人民共和国证券法》</w:t>
            </w:r>
          </w:p>
        </w:tc>
      </w:tr>
      <w:tr w:rsidR="00E20B54">
        <w:trPr>
          <w:trHeight w:val="240"/>
        </w:trPr>
        <w:tc>
          <w:tcPr>
            <w:tcW w:w="414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《公司章程》</w:t>
            </w:r>
          </w:p>
        </w:tc>
        <w:tc>
          <w:tcPr>
            <w:tcW w:w="1227"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指</w:t>
            </w:r>
          </w:p>
        </w:tc>
        <w:tc>
          <w:tcPr>
            <w:tcW w:w="4269"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最近一次经公司股东会批准的现行有效的章程</w:t>
            </w:r>
          </w:p>
        </w:tc>
      </w:tr>
      <w:tr w:rsidR="00E20B54">
        <w:trPr>
          <w:trHeight w:val="240"/>
        </w:trPr>
        <w:tc>
          <w:tcPr>
            <w:tcW w:w="414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五矿证券</w:t>
            </w:r>
          </w:p>
        </w:tc>
        <w:tc>
          <w:tcPr>
            <w:tcW w:w="1227"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指</w:t>
            </w:r>
          </w:p>
        </w:tc>
        <w:tc>
          <w:tcPr>
            <w:tcW w:w="4269"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五矿证券有限公司</w:t>
            </w:r>
          </w:p>
        </w:tc>
      </w:tr>
      <w:tr w:rsidR="00E20B54">
        <w:trPr>
          <w:trHeight w:val="240"/>
        </w:trPr>
        <w:tc>
          <w:tcPr>
            <w:tcW w:w="414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报告期、本期</w:t>
            </w:r>
          </w:p>
        </w:tc>
        <w:tc>
          <w:tcPr>
            <w:tcW w:w="1227"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指</w:t>
            </w:r>
          </w:p>
        </w:tc>
        <w:tc>
          <w:tcPr>
            <w:tcW w:w="4269"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2025</w:t>
            </w:r>
            <w:r>
              <w:rPr>
                <w:sz w:val="18"/>
                <w:szCs w:val="18"/>
              </w:rPr>
              <w:t>年</w:t>
            </w:r>
            <w:r>
              <w:rPr>
                <w:sz w:val="18"/>
                <w:szCs w:val="18"/>
              </w:rPr>
              <w:t>1</w:t>
            </w:r>
            <w:r>
              <w:rPr>
                <w:sz w:val="18"/>
                <w:szCs w:val="18"/>
              </w:rPr>
              <w:t>月</w:t>
            </w:r>
            <w:r>
              <w:rPr>
                <w:sz w:val="18"/>
                <w:szCs w:val="18"/>
              </w:rPr>
              <w:t>1</w:t>
            </w:r>
            <w:r>
              <w:rPr>
                <w:sz w:val="18"/>
                <w:szCs w:val="18"/>
              </w:rPr>
              <w:t>日至</w:t>
            </w:r>
            <w:r>
              <w:rPr>
                <w:sz w:val="18"/>
                <w:szCs w:val="18"/>
              </w:rPr>
              <w:t>2025</w:t>
            </w:r>
            <w:r>
              <w:rPr>
                <w:sz w:val="18"/>
                <w:szCs w:val="18"/>
              </w:rPr>
              <w:t>年</w:t>
            </w:r>
            <w:r>
              <w:rPr>
                <w:sz w:val="18"/>
                <w:szCs w:val="18"/>
              </w:rPr>
              <w:t>12</w:t>
            </w:r>
            <w:r>
              <w:rPr>
                <w:sz w:val="18"/>
                <w:szCs w:val="18"/>
              </w:rPr>
              <w:t>月</w:t>
            </w:r>
            <w:r>
              <w:rPr>
                <w:sz w:val="18"/>
                <w:szCs w:val="18"/>
              </w:rPr>
              <w:t>31</w:t>
            </w:r>
            <w:r>
              <w:rPr>
                <w:sz w:val="18"/>
                <w:szCs w:val="18"/>
              </w:rPr>
              <w:t>日</w:t>
            </w:r>
          </w:p>
        </w:tc>
      </w:tr>
      <w:tr w:rsidR="00E20B54">
        <w:trPr>
          <w:trHeight w:val="240"/>
        </w:trPr>
        <w:tc>
          <w:tcPr>
            <w:tcW w:w="414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上年同期、上期</w:t>
            </w:r>
          </w:p>
        </w:tc>
        <w:tc>
          <w:tcPr>
            <w:tcW w:w="1227"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指</w:t>
            </w:r>
          </w:p>
        </w:tc>
        <w:tc>
          <w:tcPr>
            <w:tcW w:w="4269"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2024</w:t>
            </w:r>
            <w:r>
              <w:rPr>
                <w:sz w:val="18"/>
                <w:szCs w:val="18"/>
              </w:rPr>
              <w:t>年</w:t>
            </w:r>
            <w:r>
              <w:rPr>
                <w:sz w:val="18"/>
                <w:szCs w:val="18"/>
              </w:rPr>
              <w:t>1</w:t>
            </w:r>
            <w:r>
              <w:rPr>
                <w:sz w:val="18"/>
                <w:szCs w:val="18"/>
              </w:rPr>
              <w:t>月</w:t>
            </w:r>
            <w:r>
              <w:rPr>
                <w:sz w:val="18"/>
                <w:szCs w:val="18"/>
              </w:rPr>
              <w:t>1</w:t>
            </w:r>
            <w:r>
              <w:rPr>
                <w:sz w:val="18"/>
                <w:szCs w:val="18"/>
              </w:rPr>
              <w:t>日至</w:t>
            </w:r>
            <w:r>
              <w:rPr>
                <w:sz w:val="18"/>
                <w:szCs w:val="18"/>
              </w:rPr>
              <w:t>2024</w:t>
            </w:r>
            <w:r>
              <w:rPr>
                <w:sz w:val="18"/>
                <w:szCs w:val="18"/>
              </w:rPr>
              <w:t>年</w:t>
            </w:r>
            <w:r>
              <w:rPr>
                <w:sz w:val="18"/>
                <w:szCs w:val="18"/>
              </w:rPr>
              <w:t>12</w:t>
            </w:r>
            <w:r>
              <w:rPr>
                <w:sz w:val="18"/>
                <w:szCs w:val="18"/>
              </w:rPr>
              <w:t>月</w:t>
            </w:r>
            <w:r>
              <w:rPr>
                <w:sz w:val="18"/>
                <w:szCs w:val="18"/>
              </w:rPr>
              <w:t>31</w:t>
            </w:r>
            <w:r>
              <w:rPr>
                <w:sz w:val="18"/>
                <w:szCs w:val="18"/>
              </w:rPr>
              <w:t>日</w:t>
            </w:r>
          </w:p>
        </w:tc>
      </w:tr>
      <w:tr w:rsidR="00E20B54">
        <w:trPr>
          <w:trHeight w:val="240"/>
        </w:trPr>
        <w:tc>
          <w:tcPr>
            <w:tcW w:w="414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上年期末</w:t>
            </w:r>
          </w:p>
        </w:tc>
        <w:tc>
          <w:tcPr>
            <w:tcW w:w="1227"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指</w:t>
            </w:r>
          </w:p>
        </w:tc>
        <w:tc>
          <w:tcPr>
            <w:tcW w:w="4269"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2024</w:t>
            </w:r>
            <w:r>
              <w:rPr>
                <w:sz w:val="18"/>
                <w:szCs w:val="18"/>
              </w:rPr>
              <w:t>年</w:t>
            </w:r>
            <w:r>
              <w:rPr>
                <w:sz w:val="18"/>
                <w:szCs w:val="18"/>
              </w:rPr>
              <w:t>12</w:t>
            </w:r>
            <w:r>
              <w:rPr>
                <w:sz w:val="18"/>
                <w:szCs w:val="18"/>
              </w:rPr>
              <w:t>月</w:t>
            </w:r>
            <w:r>
              <w:rPr>
                <w:sz w:val="18"/>
                <w:szCs w:val="18"/>
              </w:rPr>
              <w:t>31</w:t>
            </w:r>
            <w:r>
              <w:rPr>
                <w:sz w:val="18"/>
                <w:szCs w:val="18"/>
              </w:rPr>
              <w:t>日</w:t>
            </w:r>
          </w:p>
        </w:tc>
      </w:tr>
      <w:tr w:rsidR="00E20B54">
        <w:trPr>
          <w:trHeight w:val="240"/>
        </w:trPr>
        <w:tc>
          <w:tcPr>
            <w:tcW w:w="414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期初、报告期初、本报告期初</w:t>
            </w:r>
          </w:p>
        </w:tc>
        <w:tc>
          <w:tcPr>
            <w:tcW w:w="1227"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指</w:t>
            </w:r>
          </w:p>
        </w:tc>
        <w:tc>
          <w:tcPr>
            <w:tcW w:w="4269"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2025</w:t>
            </w:r>
            <w:r>
              <w:rPr>
                <w:sz w:val="18"/>
                <w:szCs w:val="18"/>
              </w:rPr>
              <w:t>年</w:t>
            </w:r>
            <w:r>
              <w:rPr>
                <w:sz w:val="18"/>
                <w:szCs w:val="18"/>
              </w:rPr>
              <w:t>1</w:t>
            </w:r>
            <w:r>
              <w:rPr>
                <w:sz w:val="18"/>
                <w:szCs w:val="18"/>
              </w:rPr>
              <w:t>月</w:t>
            </w:r>
            <w:r>
              <w:rPr>
                <w:sz w:val="18"/>
                <w:szCs w:val="18"/>
              </w:rPr>
              <w:t>1</w:t>
            </w:r>
            <w:r>
              <w:rPr>
                <w:sz w:val="18"/>
                <w:szCs w:val="18"/>
              </w:rPr>
              <w:t>日</w:t>
            </w:r>
          </w:p>
        </w:tc>
      </w:tr>
      <w:tr w:rsidR="00E20B54">
        <w:trPr>
          <w:trHeight w:val="240"/>
        </w:trPr>
        <w:tc>
          <w:tcPr>
            <w:tcW w:w="414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期末、报告期末、本报告期末</w:t>
            </w:r>
          </w:p>
        </w:tc>
        <w:tc>
          <w:tcPr>
            <w:tcW w:w="1227"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指</w:t>
            </w:r>
          </w:p>
        </w:tc>
        <w:tc>
          <w:tcPr>
            <w:tcW w:w="4269"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2025</w:t>
            </w:r>
            <w:r>
              <w:rPr>
                <w:sz w:val="18"/>
                <w:szCs w:val="18"/>
              </w:rPr>
              <w:t>年</w:t>
            </w:r>
            <w:r>
              <w:rPr>
                <w:sz w:val="18"/>
                <w:szCs w:val="18"/>
              </w:rPr>
              <w:t>12</w:t>
            </w:r>
            <w:r>
              <w:rPr>
                <w:sz w:val="18"/>
                <w:szCs w:val="18"/>
              </w:rPr>
              <w:t>月</w:t>
            </w:r>
            <w:r>
              <w:rPr>
                <w:sz w:val="18"/>
                <w:szCs w:val="18"/>
              </w:rPr>
              <w:t>31</w:t>
            </w:r>
            <w:r>
              <w:rPr>
                <w:sz w:val="18"/>
                <w:szCs w:val="18"/>
              </w:rPr>
              <w:t>日</w:t>
            </w:r>
          </w:p>
        </w:tc>
      </w:tr>
      <w:tr w:rsidR="00E20B54">
        <w:trPr>
          <w:trHeight w:val="240"/>
        </w:trPr>
        <w:tc>
          <w:tcPr>
            <w:tcW w:w="414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元、万元</w:t>
            </w:r>
          </w:p>
        </w:tc>
        <w:tc>
          <w:tcPr>
            <w:tcW w:w="1227"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指</w:t>
            </w:r>
          </w:p>
        </w:tc>
        <w:tc>
          <w:tcPr>
            <w:tcW w:w="4269"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人民币元、人民币万元</w:t>
            </w:r>
          </w:p>
        </w:tc>
      </w:tr>
      <w:tr w:rsidR="00E20B54">
        <w:trPr>
          <w:trHeight w:val="240"/>
        </w:trPr>
        <w:tc>
          <w:tcPr>
            <w:tcW w:w="414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智慧城市</w:t>
            </w:r>
          </w:p>
        </w:tc>
        <w:tc>
          <w:tcPr>
            <w:tcW w:w="1227"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指</w:t>
            </w:r>
          </w:p>
        </w:tc>
        <w:tc>
          <w:tcPr>
            <w:tcW w:w="4269"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运用物联网、云计算、大数据、空间地理信息集成等新一代信息技术，促进城市规划、建设、管理和服务智慧化的新理念和新模式</w:t>
            </w:r>
          </w:p>
        </w:tc>
      </w:tr>
      <w:tr w:rsidR="00E20B54">
        <w:trPr>
          <w:trHeight w:val="240"/>
        </w:trPr>
        <w:tc>
          <w:tcPr>
            <w:tcW w:w="414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智慧政务</w:t>
            </w:r>
          </w:p>
        </w:tc>
        <w:tc>
          <w:tcPr>
            <w:tcW w:w="1227"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指</w:t>
            </w:r>
          </w:p>
        </w:tc>
        <w:tc>
          <w:tcPr>
            <w:tcW w:w="4269"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运用云计算、大数据、物联网、人工智能等技术，通过监测、整合、分析、智能响应，实现各职能部门的各种资源的高度整合，提高政府的业务办理和管理效率</w:t>
            </w:r>
          </w:p>
        </w:tc>
      </w:tr>
      <w:tr w:rsidR="00E20B54">
        <w:trPr>
          <w:trHeight w:val="240"/>
        </w:trPr>
        <w:tc>
          <w:tcPr>
            <w:tcW w:w="414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智慧教育</w:t>
            </w:r>
          </w:p>
        </w:tc>
        <w:tc>
          <w:tcPr>
            <w:tcW w:w="1227"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指</w:t>
            </w:r>
          </w:p>
        </w:tc>
        <w:tc>
          <w:tcPr>
            <w:tcW w:w="4269"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即教育信息化，是指在教育管理、教育教学和教育科研等教育领域全面深入地运用现代信息技术来促进教育改革与发展的过程</w:t>
            </w:r>
          </w:p>
        </w:tc>
      </w:tr>
      <w:tr w:rsidR="00E20B54">
        <w:trPr>
          <w:trHeight w:val="240"/>
        </w:trPr>
        <w:tc>
          <w:tcPr>
            <w:tcW w:w="414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智慧医疗</w:t>
            </w:r>
          </w:p>
        </w:tc>
        <w:tc>
          <w:tcPr>
            <w:tcW w:w="1227"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指</w:t>
            </w:r>
          </w:p>
        </w:tc>
        <w:tc>
          <w:tcPr>
            <w:tcW w:w="4269"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通过大数据、物联网、云计算等技术，建立健康档案医疗信息平台，达到患者与医务人员、医疗机构、医疗设备之间的互动，实现数据化、标准化和智能化管理目的，从而提高医疗品质、效率与效益的新型医疗模式</w:t>
            </w:r>
          </w:p>
        </w:tc>
      </w:tr>
      <w:tr w:rsidR="00E20B54">
        <w:trPr>
          <w:trHeight w:val="240"/>
        </w:trPr>
        <w:tc>
          <w:tcPr>
            <w:tcW w:w="414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lastRenderedPageBreak/>
              <w:t>解决方案</w:t>
            </w:r>
          </w:p>
        </w:tc>
        <w:tc>
          <w:tcPr>
            <w:tcW w:w="1227"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指</w:t>
            </w:r>
          </w:p>
        </w:tc>
        <w:tc>
          <w:tcPr>
            <w:tcW w:w="4269"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涵盖</w:t>
            </w:r>
            <w:r>
              <w:rPr>
                <w:sz w:val="18"/>
                <w:szCs w:val="18"/>
              </w:rPr>
              <w:t>IT</w:t>
            </w:r>
            <w:r>
              <w:rPr>
                <w:sz w:val="18"/>
                <w:szCs w:val="18"/>
              </w:rPr>
              <w:t>基础设施建设、系统集成、软件开发及系统运行维护等系列服务，使整套系统能够实现特定的业务功能，满足客户业务需求的服务</w:t>
            </w:r>
          </w:p>
        </w:tc>
      </w:tr>
      <w:tr w:rsidR="00E20B54">
        <w:trPr>
          <w:trHeight w:val="240"/>
        </w:trPr>
        <w:tc>
          <w:tcPr>
            <w:tcW w:w="414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信息系统集成</w:t>
            </w:r>
          </w:p>
        </w:tc>
        <w:tc>
          <w:tcPr>
            <w:tcW w:w="1227"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指</w:t>
            </w:r>
          </w:p>
        </w:tc>
        <w:tc>
          <w:tcPr>
            <w:tcW w:w="4269"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根据客户的具体业务需求，将硬件平台、安全机制、操作系统、工具软件以及为客户需求定制开发的应用软件，集成为具有优良性价比的计算机信息系统工程</w:t>
            </w:r>
          </w:p>
        </w:tc>
      </w:tr>
      <w:tr w:rsidR="00E20B54">
        <w:trPr>
          <w:trHeight w:val="240"/>
        </w:trPr>
        <w:tc>
          <w:tcPr>
            <w:tcW w:w="414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物联网</w:t>
            </w:r>
          </w:p>
        </w:tc>
        <w:tc>
          <w:tcPr>
            <w:tcW w:w="1227"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指</w:t>
            </w:r>
          </w:p>
        </w:tc>
        <w:tc>
          <w:tcPr>
            <w:tcW w:w="4269"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即物物相连的互联网，是通过射频识别（</w:t>
            </w:r>
            <w:r>
              <w:rPr>
                <w:sz w:val="18"/>
                <w:szCs w:val="18"/>
              </w:rPr>
              <w:t>RFID</w:t>
            </w:r>
            <w:r>
              <w:rPr>
                <w:sz w:val="18"/>
                <w:szCs w:val="18"/>
              </w:rPr>
              <w:t>）、红外感应器、全球定位系统、激光扫描等信息传感设备，按约定的协议，把任何物品与互联网连接起来，进行信息交换和通讯，以实现智能化识别、定位、跟踪、监控和管理的一种网络</w:t>
            </w:r>
          </w:p>
        </w:tc>
      </w:tr>
      <w:tr w:rsidR="00E20B54">
        <w:trPr>
          <w:trHeight w:val="240"/>
        </w:trPr>
        <w:tc>
          <w:tcPr>
            <w:tcW w:w="414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云计算</w:t>
            </w:r>
          </w:p>
        </w:tc>
        <w:tc>
          <w:tcPr>
            <w:tcW w:w="1227"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指</w:t>
            </w:r>
          </w:p>
        </w:tc>
        <w:tc>
          <w:tcPr>
            <w:tcW w:w="4269"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是一种按使用量付费的模式，这种模式提供可用的、便捷的、按需的网络访问，进入可配置的计算资源共享池（资源包括网络，服务器，存储，应用软件，服务），这些资源能够被快速提供，只需投入很少的管理工作，或与服务供应商进行很少的交互</w:t>
            </w:r>
          </w:p>
        </w:tc>
      </w:tr>
      <w:tr w:rsidR="00E20B54">
        <w:trPr>
          <w:trHeight w:val="240"/>
        </w:trPr>
        <w:tc>
          <w:tcPr>
            <w:tcW w:w="414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大数据</w:t>
            </w:r>
          </w:p>
        </w:tc>
        <w:tc>
          <w:tcPr>
            <w:tcW w:w="1227"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指</w:t>
            </w:r>
          </w:p>
        </w:tc>
        <w:tc>
          <w:tcPr>
            <w:tcW w:w="4269"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一种规模大到在获取、存储、管理、分析方面大大超出了传统数据库软件工具能力范围的数据集合，具有海量的数据规模、快速的数据流转、多样的数据类型和价值密度低四大特征</w:t>
            </w:r>
          </w:p>
        </w:tc>
      </w:tr>
      <w:tr w:rsidR="00E20B54">
        <w:trPr>
          <w:trHeight w:val="240"/>
        </w:trPr>
        <w:tc>
          <w:tcPr>
            <w:tcW w:w="414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GIS</w:t>
            </w:r>
          </w:p>
        </w:tc>
        <w:tc>
          <w:tcPr>
            <w:tcW w:w="1227"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指</w:t>
            </w:r>
          </w:p>
        </w:tc>
        <w:tc>
          <w:tcPr>
            <w:tcW w:w="4269"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地理信息系统，是</w:t>
            </w:r>
            <w:r>
              <w:rPr>
                <w:sz w:val="18"/>
                <w:szCs w:val="18"/>
              </w:rPr>
              <w:t>Geographic Information System</w:t>
            </w:r>
            <w:r>
              <w:rPr>
                <w:sz w:val="18"/>
                <w:szCs w:val="18"/>
              </w:rPr>
              <w:t>的缩写，是以地理空间数据库为基础，在计算机软硬件的支持下，对地理空间信息进行采集、存储、检索、显示和分析的综合性技术系统</w:t>
            </w:r>
          </w:p>
        </w:tc>
      </w:tr>
      <w:tr w:rsidR="00E20B54">
        <w:trPr>
          <w:trHeight w:val="240"/>
        </w:trPr>
        <w:tc>
          <w:tcPr>
            <w:tcW w:w="414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AI</w:t>
            </w:r>
            <w:r>
              <w:rPr>
                <w:sz w:val="18"/>
                <w:szCs w:val="18"/>
              </w:rPr>
              <w:t>、人工智能</w:t>
            </w:r>
          </w:p>
        </w:tc>
        <w:tc>
          <w:tcPr>
            <w:tcW w:w="1227"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指</w:t>
            </w:r>
          </w:p>
        </w:tc>
        <w:tc>
          <w:tcPr>
            <w:tcW w:w="4269"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研究、开发用于模拟、延伸和扩展人的智能的理论、方法、技术及应用系统的一门新的技术学科</w:t>
            </w:r>
          </w:p>
        </w:tc>
      </w:tr>
      <w:tr w:rsidR="00E20B54">
        <w:trPr>
          <w:trHeight w:val="240"/>
        </w:trPr>
        <w:tc>
          <w:tcPr>
            <w:tcW w:w="414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5G</w:t>
            </w:r>
          </w:p>
        </w:tc>
        <w:tc>
          <w:tcPr>
            <w:tcW w:w="1227"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指</w:t>
            </w:r>
          </w:p>
        </w:tc>
        <w:tc>
          <w:tcPr>
            <w:tcW w:w="4269"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全球第五代移动通信系统，是</w:t>
            </w:r>
            <w:r>
              <w:rPr>
                <w:sz w:val="18"/>
                <w:szCs w:val="18"/>
              </w:rPr>
              <w:t>fifth-generation</w:t>
            </w:r>
            <w:r>
              <w:rPr>
                <w:sz w:val="18"/>
                <w:szCs w:val="18"/>
              </w:rPr>
              <w:t>的缩写，指移动电话系统第五代，也是</w:t>
            </w:r>
            <w:r>
              <w:rPr>
                <w:sz w:val="18"/>
                <w:szCs w:val="18"/>
              </w:rPr>
              <w:t xml:space="preserve">4G </w:t>
            </w:r>
            <w:r>
              <w:rPr>
                <w:sz w:val="18"/>
                <w:szCs w:val="18"/>
              </w:rPr>
              <w:t>的延伸</w:t>
            </w:r>
          </w:p>
        </w:tc>
      </w:tr>
      <w:tr w:rsidR="00E20B54">
        <w:trPr>
          <w:trHeight w:val="240"/>
        </w:trPr>
        <w:tc>
          <w:tcPr>
            <w:tcW w:w="414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3D WebGL</w:t>
            </w:r>
          </w:p>
        </w:tc>
        <w:tc>
          <w:tcPr>
            <w:tcW w:w="1227"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指</w:t>
            </w:r>
          </w:p>
        </w:tc>
        <w:tc>
          <w:tcPr>
            <w:tcW w:w="4269"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是</w:t>
            </w:r>
            <w:r>
              <w:rPr>
                <w:sz w:val="18"/>
                <w:szCs w:val="18"/>
              </w:rPr>
              <w:t xml:space="preserve">3D Web Graphics Library </w:t>
            </w:r>
            <w:r>
              <w:rPr>
                <w:sz w:val="18"/>
                <w:szCs w:val="18"/>
              </w:rPr>
              <w:t>的缩写，是一种三维绘图技术，该技术基于</w:t>
            </w:r>
            <w:r>
              <w:rPr>
                <w:sz w:val="18"/>
                <w:szCs w:val="18"/>
              </w:rPr>
              <w:t xml:space="preserve"> Cesium </w:t>
            </w:r>
            <w:r>
              <w:rPr>
                <w:sz w:val="18"/>
                <w:szCs w:val="18"/>
              </w:rPr>
              <w:t>开源框架，面向</w:t>
            </w:r>
            <w:r>
              <w:rPr>
                <w:sz w:val="18"/>
                <w:szCs w:val="18"/>
              </w:rPr>
              <w:t xml:space="preserve"> HTML 5</w:t>
            </w:r>
            <w:r>
              <w:rPr>
                <w:sz w:val="18"/>
                <w:szCs w:val="18"/>
              </w:rPr>
              <w:t>的三维应用开发，能快速构建内容丰富、响应迅速、体验流畅的三维场景与模型</w:t>
            </w:r>
          </w:p>
        </w:tc>
      </w:tr>
      <w:tr w:rsidR="00E20B54">
        <w:trPr>
          <w:trHeight w:val="240"/>
        </w:trPr>
        <w:tc>
          <w:tcPr>
            <w:tcW w:w="414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SCADA</w:t>
            </w:r>
          </w:p>
        </w:tc>
        <w:tc>
          <w:tcPr>
            <w:tcW w:w="1227"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指</w:t>
            </w:r>
          </w:p>
        </w:tc>
        <w:tc>
          <w:tcPr>
            <w:tcW w:w="4269"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Supervisory Control and Data Acquisition</w:t>
            </w:r>
            <w:r>
              <w:rPr>
                <w:sz w:val="18"/>
                <w:szCs w:val="18"/>
              </w:rPr>
              <w:t>，数据采集与监视控制系统，以计算机为基础的</w:t>
            </w:r>
            <w:r>
              <w:rPr>
                <w:sz w:val="18"/>
                <w:szCs w:val="18"/>
              </w:rPr>
              <w:t>DCS</w:t>
            </w:r>
            <w:r>
              <w:rPr>
                <w:sz w:val="18"/>
                <w:szCs w:val="18"/>
              </w:rPr>
              <w:t>与电力自动化监控系统，广泛应用于电力、冶金、石油、化工、燃气、铁路等领域的数据采集与监视控制以及过程控制等诸多领域</w:t>
            </w:r>
          </w:p>
        </w:tc>
      </w:tr>
      <w:tr w:rsidR="00E20B54">
        <w:trPr>
          <w:trHeight w:val="240"/>
        </w:trPr>
        <w:tc>
          <w:tcPr>
            <w:tcW w:w="414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IDC</w:t>
            </w:r>
          </w:p>
        </w:tc>
        <w:tc>
          <w:tcPr>
            <w:tcW w:w="1227"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指</w:t>
            </w:r>
          </w:p>
        </w:tc>
        <w:tc>
          <w:tcPr>
            <w:tcW w:w="4269"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国际数据公司（</w:t>
            </w:r>
            <w:r>
              <w:rPr>
                <w:sz w:val="18"/>
                <w:szCs w:val="18"/>
              </w:rPr>
              <w:t>IDC</w:t>
            </w:r>
            <w:r>
              <w:rPr>
                <w:sz w:val="18"/>
                <w:szCs w:val="18"/>
              </w:rPr>
              <w:t>）成立于</w:t>
            </w:r>
            <w:r>
              <w:rPr>
                <w:sz w:val="18"/>
                <w:szCs w:val="18"/>
              </w:rPr>
              <w:t>1964</w:t>
            </w:r>
            <w:r>
              <w:rPr>
                <w:sz w:val="18"/>
                <w:szCs w:val="18"/>
              </w:rPr>
              <w:t>年，是国际数据集团旗下的全球信息技术与消费科技咨询公司。其业务覆盖信息技术、消费科技、电信等领域</w:t>
            </w:r>
          </w:p>
        </w:tc>
      </w:tr>
    </w:tbl>
    <w:p w:rsidR="00E20B54" w:rsidRDefault="00733C9E">
      <w:r>
        <w:br w:type="page"/>
      </w:r>
    </w:p>
    <w:p w:rsidR="00E20B54" w:rsidRDefault="00733C9E">
      <w:pPr>
        <w:pStyle w:val="headingh1"/>
        <w:spacing w:before="340" w:after="330" w:line="773" w:lineRule="exact"/>
        <w:jc w:val="center"/>
        <w:rPr>
          <w:b/>
          <w:bCs/>
          <w:sz w:val="32"/>
          <w:szCs w:val="32"/>
        </w:rPr>
      </w:pPr>
      <w:bookmarkStart w:id="1" w:name="_Toc988890"/>
      <w:r>
        <w:rPr>
          <w:b/>
          <w:bCs/>
          <w:sz w:val="32"/>
          <w:szCs w:val="32"/>
        </w:rPr>
        <w:lastRenderedPageBreak/>
        <w:t>第二节</w:t>
      </w:r>
      <w:r>
        <w:rPr>
          <w:b/>
          <w:bCs/>
          <w:sz w:val="32"/>
          <w:szCs w:val="32"/>
        </w:rPr>
        <w:t xml:space="preserve"> </w:t>
      </w:r>
      <w:r>
        <w:rPr>
          <w:b/>
          <w:bCs/>
          <w:sz w:val="32"/>
          <w:szCs w:val="32"/>
        </w:rPr>
        <w:t>公司简介和主要财务指标</w:t>
      </w:r>
      <w:bookmarkEnd w:id="1"/>
    </w:p>
    <w:p w:rsidR="00E20B54" w:rsidRDefault="00733C9E">
      <w:pPr>
        <w:pStyle w:val="2"/>
        <w:spacing w:before="300" w:after="300" w:line="320" w:lineRule="exact"/>
        <w:rPr>
          <w:b/>
          <w:bCs/>
          <w:sz w:val="24"/>
          <w:szCs w:val="24"/>
        </w:rPr>
      </w:pPr>
      <w:bookmarkStart w:id="2" w:name="_Toc988891"/>
      <w:r>
        <w:rPr>
          <w:b/>
          <w:bCs/>
          <w:sz w:val="24"/>
          <w:szCs w:val="24"/>
        </w:rPr>
        <w:t>一、公司信息</w:t>
      </w:r>
      <w:bookmarkEnd w:id="2"/>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2409"/>
        <w:gridCol w:w="2410"/>
        <w:gridCol w:w="2410"/>
        <w:gridCol w:w="2410"/>
      </w:tblGrid>
      <w:tr w:rsidR="00E20B54">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股票简称</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天亿马</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股票代码</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301178</w:t>
            </w:r>
          </w:p>
        </w:tc>
      </w:tr>
      <w:tr w:rsidR="00E20B54">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公司的中文名称</w:t>
            </w:r>
          </w:p>
        </w:tc>
        <w:tc>
          <w:tcPr>
            <w:tcW w:w="7229" w:type="dxa"/>
            <w:gridSpan w:val="3"/>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广东天亿马信息产业股份有限公司</w:t>
            </w:r>
          </w:p>
        </w:tc>
      </w:tr>
      <w:tr w:rsidR="00E20B54">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公司的中文简称</w:t>
            </w:r>
          </w:p>
        </w:tc>
        <w:tc>
          <w:tcPr>
            <w:tcW w:w="7229" w:type="dxa"/>
            <w:gridSpan w:val="3"/>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天亿马</w:t>
            </w:r>
          </w:p>
        </w:tc>
      </w:tr>
      <w:tr w:rsidR="00E20B54">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公司的外文名称（如有）</w:t>
            </w:r>
          </w:p>
        </w:tc>
        <w:tc>
          <w:tcPr>
            <w:tcW w:w="7229" w:type="dxa"/>
            <w:gridSpan w:val="3"/>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Guangdong TianYiMa Information Industry Co.,Ltd.</w:t>
            </w:r>
          </w:p>
        </w:tc>
      </w:tr>
      <w:tr w:rsidR="00E20B54">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公司的外文名称缩写（如有）</w:t>
            </w:r>
          </w:p>
        </w:tc>
        <w:tc>
          <w:tcPr>
            <w:tcW w:w="7229" w:type="dxa"/>
            <w:gridSpan w:val="3"/>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TYM</w:t>
            </w:r>
          </w:p>
        </w:tc>
      </w:tr>
      <w:tr w:rsidR="00E20B54">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公司的法定代表人</w:t>
            </w:r>
          </w:p>
        </w:tc>
        <w:tc>
          <w:tcPr>
            <w:tcW w:w="7229" w:type="dxa"/>
            <w:gridSpan w:val="3"/>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林明玲</w:t>
            </w:r>
          </w:p>
        </w:tc>
      </w:tr>
      <w:tr w:rsidR="00E20B54">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注册地址</w:t>
            </w:r>
          </w:p>
        </w:tc>
        <w:tc>
          <w:tcPr>
            <w:tcW w:w="7229" w:type="dxa"/>
            <w:gridSpan w:val="3"/>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汕头市嵩山路南</w:t>
            </w:r>
            <w:r>
              <w:rPr>
                <w:sz w:val="18"/>
                <w:szCs w:val="18"/>
              </w:rPr>
              <w:t>20</w:t>
            </w:r>
            <w:r>
              <w:rPr>
                <w:sz w:val="18"/>
                <w:szCs w:val="18"/>
              </w:rPr>
              <w:t>号天澜国际大厦西塔</w:t>
            </w:r>
            <w:r>
              <w:rPr>
                <w:sz w:val="18"/>
                <w:szCs w:val="18"/>
              </w:rPr>
              <w:t>2111-2112</w:t>
            </w:r>
            <w:r>
              <w:rPr>
                <w:sz w:val="18"/>
                <w:szCs w:val="18"/>
              </w:rPr>
              <w:t>房</w:t>
            </w:r>
          </w:p>
        </w:tc>
      </w:tr>
      <w:tr w:rsidR="00E20B54">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注册地址的邮政编码</w:t>
            </w:r>
          </w:p>
        </w:tc>
        <w:tc>
          <w:tcPr>
            <w:tcW w:w="7229" w:type="dxa"/>
            <w:gridSpan w:val="3"/>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515054</w:t>
            </w:r>
          </w:p>
        </w:tc>
      </w:tr>
      <w:tr w:rsidR="00E20B54">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公司注册地址历史变更情况</w:t>
            </w:r>
          </w:p>
        </w:tc>
        <w:tc>
          <w:tcPr>
            <w:tcW w:w="7229" w:type="dxa"/>
            <w:gridSpan w:val="3"/>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2001</w:t>
            </w:r>
            <w:r>
              <w:rPr>
                <w:sz w:val="18"/>
                <w:szCs w:val="18"/>
              </w:rPr>
              <w:t>年</w:t>
            </w:r>
            <w:r>
              <w:rPr>
                <w:sz w:val="18"/>
                <w:szCs w:val="18"/>
              </w:rPr>
              <w:t>5</w:t>
            </w:r>
            <w:r>
              <w:rPr>
                <w:sz w:val="18"/>
                <w:szCs w:val="18"/>
              </w:rPr>
              <w:t>月，公司注册地址由汕头市黄河路高新电脑中心</w:t>
            </w:r>
            <w:r>
              <w:rPr>
                <w:sz w:val="18"/>
                <w:szCs w:val="18"/>
              </w:rPr>
              <w:t>218</w:t>
            </w:r>
            <w:r>
              <w:rPr>
                <w:sz w:val="18"/>
                <w:szCs w:val="18"/>
              </w:rPr>
              <w:t>号变更为汕头市丹阳庄韩江大厦十楼</w:t>
            </w:r>
            <w:r>
              <w:rPr>
                <w:sz w:val="18"/>
                <w:szCs w:val="18"/>
              </w:rPr>
              <w:t>1001</w:t>
            </w:r>
            <w:r>
              <w:rPr>
                <w:sz w:val="18"/>
                <w:szCs w:val="18"/>
              </w:rPr>
              <w:t>号；</w:t>
            </w:r>
            <w:r>
              <w:rPr>
                <w:sz w:val="18"/>
                <w:szCs w:val="18"/>
              </w:rPr>
              <w:t>2003</w:t>
            </w:r>
            <w:r>
              <w:rPr>
                <w:sz w:val="18"/>
                <w:szCs w:val="18"/>
              </w:rPr>
              <w:t>年</w:t>
            </w:r>
            <w:r>
              <w:rPr>
                <w:sz w:val="18"/>
                <w:szCs w:val="18"/>
              </w:rPr>
              <w:t>5</w:t>
            </w:r>
            <w:r>
              <w:rPr>
                <w:sz w:val="18"/>
                <w:szCs w:val="18"/>
              </w:rPr>
              <w:t>月，变更为汕头市长平路中段南国商场三层</w:t>
            </w:r>
            <w:r>
              <w:rPr>
                <w:sz w:val="18"/>
                <w:szCs w:val="18"/>
              </w:rPr>
              <w:t>F3002</w:t>
            </w:r>
            <w:r>
              <w:rPr>
                <w:sz w:val="18"/>
                <w:szCs w:val="18"/>
              </w:rPr>
              <w:t>号之</w:t>
            </w:r>
            <w:r>
              <w:rPr>
                <w:sz w:val="18"/>
                <w:szCs w:val="18"/>
              </w:rPr>
              <w:t>A</w:t>
            </w:r>
            <w:r>
              <w:rPr>
                <w:sz w:val="18"/>
                <w:szCs w:val="18"/>
              </w:rPr>
              <w:t>、</w:t>
            </w:r>
            <w:r>
              <w:rPr>
                <w:sz w:val="18"/>
                <w:szCs w:val="18"/>
              </w:rPr>
              <w:t>B</w:t>
            </w:r>
            <w:r>
              <w:rPr>
                <w:sz w:val="18"/>
                <w:szCs w:val="18"/>
              </w:rPr>
              <w:t>间；</w:t>
            </w:r>
            <w:r>
              <w:rPr>
                <w:sz w:val="18"/>
                <w:szCs w:val="18"/>
              </w:rPr>
              <w:t>2015</w:t>
            </w:r>
            <w:r>
              <w:rPr>
                <w:sz w:val="18"/>
                <w:szCs w:val="18"/>
              </w:rPr>
              <w:t>年</w:t>
            </w:r>
            <w:r>
              <w:rPr>
                <w:sz w:val="18"/>
                <w:szCs w:val="18"/>
              </w:rPr>
              <w:t>7</w:t>
            </w:r>
            <w:r>
              <w:rPr>
                <w:sz w:val="18"/>
                <w:szCs w:val="18"/>
              </w:rPr>
              <w:t>月</w:t>
            </w:r>
            <w:r>
              <w:rPr>
                <w:sz w:val="18"/>
                <w:szCs w:val="18"/>
              </w:rPr>
              <w:t>28</w:t>
            </w:r>
            <w:r>
              <w:rPr>
                <w:sz w:val="18"/>
                <w:szCs w:val="18"/>
              </w:rPr>
              <w:t>日，变更为汕头市中山东路珠池港区物流楼</w:t>
            </w:r>
            <w:r>
              <w:rPr>
                <w:sz w:val="18"/>
                <w:szCs w:val="18"/>
              </w:rPr>
              <w:t>B</w:t>
            </w:r>
            <w:r>
              <w:rPr>
                <w:sz w:val="18"/>
                <w:szCs w:val="18"/>
              </w:rPr>
              <w:t>座</w:t>
            </w:r>
            <w:r>
              <w:rPr>
                <w:sz w:val="18"/>
                <w:szCs w:val="18"/>
              </w:rPr>
              <w:t>206</w:t>
            </w:r>
            <w:r>
              <w:rPr>
                <w:sz w:val="18"/>
                <w:szCs w:val="18"/>
              </w:rPr>
              <w:t>房；</w:t>
            </w:r>
            <w:r>
              <w:rPr>
                <w:sz w:val="18"/>
                <w:szCs w:val="18"/>
              </w:rPr>
              <w:t>2018</w:t>
            </w:r>
            <w:r>
              <w:rPr>
                <w:sz w:val="18"/>
                <w:szCs w:val="18"/>
              </w:rPr>
              <w:t>年</w:t>
            </w:r>
            <w:r>
              <w:rPr>
                <w:sz w:val="18"/>
                <w:szCs w:val="18"/>
              </w:rPr>
              <w:t>4</w:t>
            </w:r>
            <w:r>
              <w:rPr>
                <w:sz w:val="18"/>
                <w:szCs w:val="18"/>
              </w:rPr>
              <w:t>月</w:t>
            </w:r>
            <w:r>
              <w:rPr>
                <w:sz w:val="18"/>
                <w:szCs w:val="18"/>
              </w:rPr>
              <w:t>11</w:t>
            </w:r>
            <w:r>
              <w:rPr>
                <w:sz w:val="18"/>
                <w:szCs w:val="18"/>
              </w:rPr>
              <w:t>日，变更为汕头市嵩山路南</w:t>
            </w:r>
            <w:r>
              <w:rPr>
                <w:sz w:val="18"/>
                <w:szCs w:val="18"/>
              </w:rPr>
              <w:t>20</w:t>
            </w:r>
            <w:r>
              <w:rPr>
                <w:sz w:val="18"/>
                <w:szCs w:val="18"/>
              </w:rPr>
              <w:t>号天澜国际大厦西塔</w:t>
            </w:r>
            <w:r>
              <w:rPr>
                <w:sz w:val="18"/>
                <w:szCs w:val="18"/>
              </w:rPr>
              <w:t>2111-2112</w:t>
            </w:r>
            <w:r>
              <w:rPr>
                <w:sz w:val="18"/>
                <w:szCs w:val="18"/>
              </w:rPr>
              <w:t>房。</w:t>
            </w:r>
          </w:p>
        </w:tc>
      </w:tr>
      <w:tr w:rsidR="00E20B54">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办公地址</w:t>
            </w:r>
          </w:p>
        </w:tc>
        <w:tc>
          <w:tcPr>
            <w:tcW w:w="7229" w:type="dxa"/>
            <w:gridSpan w:val="3"/>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广东省汕头市海滨路</w:t>
            </w:r>
            <w:r>
              <w:rPr>
                <w:sz w:val="18"/>
                <w:szCs w:val="18"/>
              </w:rPr>
              <w:t>55</w:t>
            </w:r>
            <w:r>
              <w:rPr>
                <w:sz w:val="18"/>
                <w:szCs w:val="18"/>
              </w:rPr>
              <w:t>号海逸投资大厦</w:t>
            </w:r>
            <w:r>
              <w:rPr>
                <w:sz w:val="18"/>
                <w:szCs w:val="18"/>
              </w:rPr>
              <w:t>4-5</w:t>
            </w:r>
            <w:r>
              <w:rPr>
                <w:sz w:val="18"/>
                <w:szCs w:val="18"/>
              </w:rPr>
              <w:t>层</w:t>
            </w:r>
          </w:p>
        </w:tc>
      </w:tr>
      <w:tr w:rsidR="00E20B54">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办公地址的邮政编码</w:t>
            </w:r>
          </w:p>
        </w:tc>
        <w:tc>
          <w:tcPr>
            <w:tcW w:w="7229" w:type="dxa"/>
            <w:gridSpan w:val="3"/>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515041</w:t>
            </w:r>
          </w:p>
        </w:tc>
      </w:tr>
      <w:tr w:rsidR="00E20B54">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公司网址</w:t>
            </w:r>
          </w:p>
        </w:tc>
        <w:tc>
          <w:tcPr>
            <w:tcW w:w="7229" w:type="dxa"/>
            <w:gridSpan w:val="3"/>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http://www.tym.com.cn</w:t>
            </w:r>
          </w:p>
        </w:tc>
      </w:tr>
      <w:tr w:rsidR="00E20B54">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电子信箱</w:t>
            </w:r>
          </w:p>
        </w:tc>
        <w:tc>
          <w:tcPr>
            <w:tcW w:w="7229" w:type="dxa"/>
            <w:gridSpan w:val="3"/>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Securities@tym.com.cn</w:t>
            </w:r>
          </w:p>
        </w:tc>
      </w:tr>
    </w:tbl>
    <w:p w:rsidR="00E20B54" w:rsidRDefault="00733C9E">
      <w:pPr>
        <w:pStyle w:val="2"/>
        <w:spacing w:before="300" w:after="300" w:line="320" w:lineRule="exact"/>
        <w:rPr>
          <w:b/>
          <w:bCs/>
          <w:sz w:val="24"/>
          <w:szCs w:val="24"/>
        </w:rPr>
      </w:pPr>
      <w:bookmarkStart w:id="3" w:name="_Toc988892"/>
      <w:r>
        <w:rPr>
          <w:b/>
          <w:bCs/>
          <w:sz w:val="24"/>
          <w:szCs w:val="24"/>
        </w:rPr>
        <w:t>二、联系人和联系方式</w:t>
      </w:r>
      <w:bookmarkEnd w:id="3"/>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董事会秘书</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证券事务代表</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姓名</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曹维</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黄舒倩</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联系地址</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广东省汕头市海滨路</w:t>
            </w:r>
            <w:r>
              <w:rPr>
                <w:sz w:val="18"/>
                <w:szCs w:val="18"/>
              </w:rPr>
              <w:t xml:space="preserve"> 55 </w:t>
            </w:r>
            <w:r>
              <w:rPr>
                <w:sz w:val="18"/>
                <w:szCs w:val="18"/>
              </w:rPr>
              <w:t>号海逸投资大厦</w:t>
            </w:r>
            <w:r>
              <w:rPr>
                <w:sz w:val="18"/>
                <w:szCs w:val="18"/>
              </w:rPr>
              <w:t xml:space="preserve"> 4-5 </w:t>
            </w:r>
            <w:r>
              <w:rPr>
                <w:sz w:val="18"/>
                <w:szCs w:val="18"/>
              </w:rPr>
              <w:t>楼</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广东省汕头市海滨路</w:t>
            </w:r>
            <w:r>
              <w:rPr>
                <w:sz w:val="18"/>
                <w:szCs w:val="18"/>
              </w:rPr>
              <w:t xml:space="preserve"> 55 </w:t>
            </w:r>
            <w:r>
              <w:rPr>
                <w:sz w:val="18"/>
                <w:szCs w:val="18"/>
              </w:rPr>
              <w:t>号海逸投资大厦</w:t>
            </w:r>
            <w:r>
              <w:rPr>
                <w:sz w:val="18"/>
                <w:szCs w:val="18"/>
              </w:rPr>
              <w:t xml:space="preserve"> 4-5 </w:t>
            </w:r>
            <w:r>
              <w:rPr>
                <w:sz w:val="18"/>
                <w:szCs w:val="18"/>
              </w:rPr>
              <w:t>楼</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电话</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0754-88880666</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0754-88880666</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传真</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0754-88983999</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0754-88983999</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电子信箱</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Securities@tym.com.cn</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Securities@tym.com.cn</w:t>
            </w:r>
          </w:p>
        </w:tc>
      </w:tr>
    </w:tbl>
    <w:p w:rsidR="00E20B54" w:rsidRDefault="00733C9E">
      <w:pPr>
        <w:pStyle w:val="2"/>
        <w:spacing w:before="300" w:after="300" w:line="320" w:lineRule="exact"/>
        <w:rPr>
          <w:b/>
          <w:bCs/>
          <w:sz w:val="24"/>
          <w:szCs w:val="24"/>
        </w:rPr>
      </w:pPr>
      <w:bookmarkStart w:id="4" w:name="_Toc988893"/>
      <w:r>
        <w:rPr>
          <w:b/>
          <w:bCs/>
          <w:sz w:val="24"/>
          <w:szCs w:val="24"/>
        </w:rPr>
        <w:t>三、信息披露及备置地点</w:t>
      </w:r>
      <w:bookmarkEnd w:id="4"/>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4820"/>
        <w:gridCol w:w="4819"/>
      </w:tblGrid>
      <w:tr w:rsidR="00E20B54">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公司披露年度报告的证券交易所网站</w:t>
            </w:r>
          </w:p>
        </w:tc>
        <w:tc>
          <w:tcPr>
            <w:tcW w:w="482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深圳证券交易所</w:t>
            </w:r>
            <w:r>
              <w:rPr>
                <w:sz w:val="18"/>
                <w:szCs w:val="18"/>
              </w:rPr>
              <w:t>(http://www.szse.cn)</w:t>
            </w:r>
          </w:p>
        </w:tc>
      </w:tr>
      <w:tr w:rsidR="00E20B54">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公司披露年度报告的媒体名称及网址</w:t>
            </w:r>
          </w:p>
        </w:tc>
        <w:tc>
          <w:tcPr>
            <w:tcW w:w="482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巨潮资讯网（</w:t>
            </w:r>
            <w:r>
              <w:rPr>
                <w:sz w:val="18"/>
                <w:szCs w:val="18"/>
              </w:rPr>
              <w:t>http://www.cninfo.com.cn</w:t>
            </w:r>
            <w:r>
              <w:rPr>
                <w:sz w:val="18"/>
                <w:szCs w:val="18"/>
              </w:rPr>
              <w:t>）</w:t>
            </w:r>
          </w:p>
        </w:tc>
      </w:tr>
      <w:tr w:rsidR="00E20B54">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公司年度报告备置地点</w:t>
            </w:r>
          </w:p>
        </w:tc>
        <w:tc>
          <w:tcPr>
            <w:tcW w:w="482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证券部</w:t>
            </w:r>
          </w:p>
        </w:tc>
      </w:tr>
    </w:tbl>
    <w:p w:rsidR="00E20B54" w:rsidRDefault="00733C9E">
      <w:pPr>
        <w:pStyle w:val="2"/>
        <w:spacing w:before="300" w:after="300" w:line="320" w:lineRule="exact"/>
        <w:rPr>
          <w:b/>
          <w:bCs/>
          <w:sz w:val="24"/>
          <w:szCs w:val="24"/>
        </w:rPr>
      </w:pPr>
      <w:bookmarkStart w:id="5" w:name="_Toc988894"/>
      <w:r>
        <w:rPr>
          <w:b/>
          <w:bCs/>
          <w:sz w:val="24"/>
          <w:szCs w:val="24"/>
        </w:rPr>
        <w:t>四、其他有关资料</w:t>
      </w:r>
      <w:bookmarkEnd w:id="5"/>
    </w:p>
    <w:p w:rsidR="00E20B54" w:rsidRDefault="00733C9E">
      <w:pPr>
        <w:spacing w:before="40" w:after="40" w:line="240" w:lineRule="exact"/>
        <w:rPr>
          <w:sz w:val="18"/>
          <w:szCs w:val="18"/>
        </w:rPr>
      </w:pPr>
      <w:r>
        <w:rPr>
          <w:sz w:val="18"/>
          <w:szCs w:val="18"/>
        </w:rPr>
        <w:t>公司聘请的会计师事务所</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4820"/>
        <w:gridCol w:w="4819"/>
      </w:tblGrid>
      <w:tr w:rsidR="00E20B54">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会计师事务所名称</w:t>
            </w:r>
          </w:p>
        </w:tc>
        <w:tc>
          <w:tcPr>
            <w:tcW w:w="482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中审亚太会计师事务所（特殊普通合伙）</w:t>
            </w:r>
          </w:p>
        </w:tc>
      </w:tr>
      <w:tr w:rsidR="00E20B54">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会计师事务所办公地址</w:t>
            </w:r>
          </w:p>
        </w:tc>
        <w:tc>
          <w:tcPr>
            <w:tcW w:w="482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北京市海淀区复兴路</w:t>
            </w:r>
            <w:r>
              <w:rPr>
                <w:sz w:val="18"/>
                <w:szCs w:val="18"/>
              </w:rPr>
              <w:t>47</w:t>
            </w:r>
            <w:r>
              <w:rPr>
                <w:sz w:val="18"/>
                <w:szCs w:val="18"/>
              </w:rPr>
              <w:t>号天行建商务大厦</w:t>
            </w:r>
            <w:r>
              <w:rPr>
                <w:sz w:val="18"/>
                <w:szCs w:val="18"/>
              </w:rPr>
              <w:t>20</w:t>
            </w:r>
            <w:r>
              <w:rPr>
                <w:sz w:val="18"/>
                <w:szCs w:val="18"/>
              </w:rPr>
              <w:t>层</w:t>
            </w:r>
            <w:r>
              <w:rPr>
                <w:sz w:val="18"/>
                <w:szCs w:val="18"/>
              </w:rPr>
              <w:t>2206</w:t>
            </w:r>
          </w:p>
        </w:tc>
      </w:tr>
      <w:tr w:rsidR="00E20B54">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签字会计师姓名</w:t>
            </w:r>
          </w:p>
        </w:tc>
        <w:tc>
          <w:tcPr>
            <w:tcW w:w="482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肖建鑫、王骏</w:t>
            </w:r>
          </w:p>
        </w:tc>
      </w:tr>
    </w:tbl>
    <w:p w:rsidR="00E20B54" w:rsidRDefault="00733C9E">
      <w:pPr>
        <w:spacing w:before="100" w:after="100" w:line="240" w:lineRule="exact"/>
        <w:rPr>
          <w:sz w:val="18"/>
          <w:szCs w:val="18"/>
        </w:rPr>
      </w:pPr>
      <w:r>
        <w:rPr>
          <w:sz w:val="18"/>
          <w:szCs w:val="18"/>
        </w:rPr>
        <w:lastRenderedPageBreak/>
        <w:t>公司聘请的报告期内履行持续督导职责的保荐机构</w:t>
      </w:r>
    </w:p>
    <w:p w:rsidR="00E20B54" w:rsidRDefault="00733C9E">
      <w:pPr>
        <w:spacing w:before="100" w:after="100" w:line="240" w:lineRule="exact"/>
        <w:rPr>
          <w:sz w:val="18"/>
          <w:szCs w:val="18"/>
        </w:rPr>
      </w:pPr>
      <w:r>
        <w:rPr>
          <w:sz w:val="18"/>
          <w:szCs w:val="18"/>
        </w:rPr>
        <w:sym w:font="Wingdings 2" w:char="F052"/>
      </w:r>
      <w:r>
        <w:rPr>
          <w:sz w:val="18"/>
          <w:szCs w:val="18"/>
        </w:rPr>
        <w:t>适用</w:t>
      </w:r>
      <w:r>
        <w:rPr>
          <w:sz w:val="18"/>
          <w:szCs w:val="18"/>
        </w:rPr>
        <w:t xml:space="preserve"> □</w:t>
      </w:r>
      <w:r>
        <w:rPr>
          <w:sz w:val="18"/>
          <w:szCs w:val="18"/>
        </w:rPr>
        <w:t>不适用</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2409"/>
        <w:gridCol w:w="2410"/>
        <w:gridCol w:w="2410"/>
        <w:gridCol w:w="2410"/>
      </w:tblGrid>
      <w:tr w:rsidR="00E20B54">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保荐机构名称</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保荐机构办公地址</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保荐代表人姓名</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持续督导期间</w:t>
            </w:r>
          </w:p>
        </w:tc>
      </w:tr>
      <w:tr w:rsidR="00E20B54">
        <w:trPr>
          <w:trHeight w:val="240"/>
        </w:trPr>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五矿证券有限公司</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深圳市南山区粤海街道海珠社区滨海大道</w:t>
            </w:r>
            <w:r>
              <w:rPr>
                <w:sz w:val="18"/>
                <w:szCs w:val="18"/>
              </w:rPr>
              <w:t xml:space="preserve">3165 </w:t>
            </w:r>
            <w:r>
              <w:rPr>
                <w:sz w:val="18"/>
                <w:szCs w:val="18"/>
              </w:rPr>
              <w:t>号五矿金融大厦</w:t>
            </w:r>
            <w:r>
              <w:rPr>
                <w:sz w:val="18"/>
                <w:szCs w:val="18"/>
              </w:rPr>
              <w:t>2401</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温波、宋平</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2021</w:t>
            </w:r>
            <w:r>
              <w:rPr>
                <w:sz w:val="18"/>
                <w:szCs w:val="18"/>
              </w:rPr>
              <w:t>年</w:t>
            </w:r>
            <w:r>
              <w:rPr>
                <w:sz w:val="18"/>
                <w:szCs w:val="18"/>
              </w:rPr>
              <w:t>11</w:t>
            </w:r>
            <w:r>
              <w:rPr>
                <w:sz w:val="18"/>
                <w:szCs w:val="18"/>
              </w:rPr>
              <w:t>月</w:t>
            </w:r>
            <w:r>
              <w:rPr>
                <w:sz w:val="18"/>
                <w:szCs w:val="18"/>
              </w:rPr>
              <w:t>12</w:t>
            </w:r>
            <w:r>
              <w:rPr>
                <w:sz w:val="18"/>
                <w:szCs w:val="18"/>
              </w:rPr>
              <w:t>日至首次公开发行募集资金使用完毕日为止。</w:t>
            </w:r>
          </w:p>
        </w:tc>
      </w:tr>
    </w:tbl>
    <w:p w:rsidR="00E20B54" w:rsidRDefault="00733C9E">
      <w:pPr>
        <w:spacing w:before="100" w:after="100" w:line="240" w:lineRule="exact"/>
        <w:rPr>
          <w:sz w:val="18"/>
          <w:szCs w:val="18"/>
        </w:rPr>
      </w:pPr>
      <w:r>
        <w:rPr>
          <w:sz w:val="18"/>
          <w:szCs w:val="18"/>
        </w:rPr>
        <w:t>公司聘请的报告期内履行持续督导职责的财务顾问</w:t>
      </w:r>
    </w:p>
    <w:p w:rsidR="00E20B54" w:rsidRDefault="00733C9E">
      <w:pPr>
        <w:spacing w:before="100" w:after="100" w:line="240" w:lineRule="exact"/>
        <w:rPr>
          <w:sz w:val="18"/>
          <w:szCs w:val="18"/>
        </w:rPr>
      </w:pPr>
      <w:r>
        <w:rPr>
          <w:sz w:val="18"/>
          <w:szCs w:val="18"/>
        </w:rPr>
        <w:t>□</w:t>
      </w:r>
      <w:r>
        <w:rPr>
          <w:sz w:val="18"/>
          <w:szCs w:val="18"/>
        </w:rPr>
        <w:t>适用</w:t>
      </w:r>
      <w:r>
        <w:rPr>
          <w:sz w:val="18"/>
          <w:szCs w:val="18"/>
        </w:rPr>
        <w:t xml:space="preserve"> </w:t>
      </w:r>
      <w:r>
        <w:rPr>
          <w:sz w:val="18"/>
          <w:szCs w:val="18"/>
        </w:rPr>
        <w:sym w:font="Wingdings 2" w:char="F052"/>
      </w:r>
      <w:r>
        <w:rPr>
          <w:sz w:val="18"/>
          <w:szCs w:val="18"/>
        </w:rPr>
        <w:t>不适用</w:t>
      </w:r>
    </w:p>
    <w:p w:rsidR="00E20B54" w:rsidRDefault="00733C9E">
      <w:pPr>
        <w:pStyle w:val="2"/>
        <w:spacing w:before="300" w:after="300" w:line="320" w:lineRule="exact"/>
        <w:rPr>
          <w:b/>
          <w:bCs/>
          <w:sz w:val="24"/>
          <w:szCs w:val="24"/>
        </w:rPr>
      </w:pPr>
      <w:bookmarkStart w:id="6" w:name="_Toc988895"/>
      <w:r>
        <w:rPr>
          <w:b/>
          <w:bCs/>
          <w:sz w:val="24"/>
          <w:szCs w:val="24"/>
        </w:rPr>
        <w:t>五、主要会计数据和财务指标</w:t>
      </w:r>
      <w:bookmarkEnd w:id="6"/>
    </w:p>
    <w:p w:rsidR="00E20B54" w:rsidRDefault="00733C9E">
      <w:pPr>
        <w:spacing w:before="100" w:after="100" w:line="240" w:lineRule="exact"/>
        <w:rPr>
          <w:sz w:val="18"/>
          <w:szCs w:val="18"/>
        </w:rPr>
      </w:pPr>
      <w:r>
        <w:rPr>
          <w:sz w:val="18"/>
          <w:szCs w:val="18"/>
        </w:rPr>
        <w:t>公司是否需追溯调整或重述以前年度会计数据</w:t>
      </w:r>
    </w:p>
    <w:p w:rsidR="00E20B54" w:rsidRDefault="00733C9E">
      <w:pPr>
        <w:spacing w:before="100" w:after="100" w:line="240" w:lineRule="exact"/>
        <w:rPr>
          <w:sz w:val="18"/>
          <w:szCs w:val="18"/>
        </w:rPr>
      </w:pPr>
      <w:r>
        <w:rPr>
          <w:sz w:val="18"/>
          <w:szCs w:val="18"/>
        </w:rPr>
        <w:t>□</w:t>
      </w:r>
      <w:r>
        <w:rPr>
          <w:sz w:val="18"/>
          <w:szCs w:val="18"/>
        </w:rPr>
        <w:t>是</w:t>
      </w:r>
      <w:r>
        <w:rPr>
          <w:sz w:val="18"/>
          <w:szCs w:val="18"/>
        </w:rPr>
        <w:t xml:space="preserve"> </w:t>
      </w:r>
      <w:r>
        <w:rPr>
          <w:sz w:val="18"/>
          <w:szCs w:val="18"/>
        </w:rPr>
        <w:sym w:font="Wingdings 2" w:char="F052"/>
      </w:r>
      <w:r>
        <w:rPr>
          <w:sz w:val="18"/>
          <w:szCs w:val="18"/>
        </w:rPr>
        <w:t>否</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927"/>
        <w:gridCol w:w="1928"/>
        <w:gridCol w:w="1928"/>
        <w:gridCol w:w="1928"/>
        <w:gridCol w:w="1928"/>
      </w:tblGrid>
      <w:tr w:rsidR="00E20B54">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2025</w:t>
            </w:r>
            <w:r>
              <w:rPr>
                <w:sz w:val="18"/>
                <w:szCs w:val="18"/>
              </w:rPr>
              <w:t>年</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2024</w:t>
            </w:r>
            <w:r>
              <w:rPr>
                <w:sz w:val="18"/>
                <w:szCs w:val="18"/>
              </w:rPr>
              <w:t>年</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本年比上年增减</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2023</w:t>
            </w:r>
            <w:r>
              <w:rPr>
                <w:sz w:val="18"/>
                <w:szCs w:val="18"/>
              </w:rPr>
              <w:t>年</w:t>
            </w:r>
          </w:p>
        </w:tc>
      </w:tr>
      <w:tr w:rsidR="00E20B54">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营业收入（元）</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476,993,037.00</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223,633,009.11</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113.29%</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410,009,814.78</w:t>
            </w:r>
          </w:p>
        </w:tc>
      </w:tr>
      <w:tr w:rsidR="00E20B54">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归属于上市公司股东的净利润（元）</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7,489,613.54</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-49,552,838.46</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115.11%</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6,389,000.49</w:t>
            </w:r>
          </w:p>
        </w:tc>
      </w:tr>
      <w:tr w:rsidR="00E20B54">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归属于上市公司股东的扣除非经常性损益的净利润（元）</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3,633,376.83</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-48,890,667.24</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107.43%</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4,948,441.78</w:t>
            </w:r>
          </w:p>
        </w:tc>
      </w:tr>
      <w:tr w:rsidR="00E20B54">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经营活动产生的现金流量净额（元）</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32,175,746.92</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-54,239,504.38</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159.32%</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8,380,672.05</w:t>
            </w:r>
          </w:p>
        </w:tc>
      </w:tr>
      <w:tr w:rsidR="00E20B54">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基本每股收益（元</w:t>
            </w:r>
            <w:r>
              <w:rPr>
                <w:sz w:val="18"/>
                <w:szCs w:val="18"/>
              </w:rPr>
              <w:t>/</w:t>
            </w:r>
            <w:r>
              <w:rPr>
                <w:sz w:val="18"/>
                <w:szCs w:val="18"/>
              </w:rPr>
              <w:t>股）</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0.11</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-0.74</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114.86%</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0.1</w:t>
            </w:r>
          </w:p>
        </w:tc>
      </w:tr>
      <w:tr w:rsidR="00E20B54">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稀释每股收益（元</w:t>
            </w:r>
            <w:r>
              <w:rPr>
                <w:sz w:val="18"/>
                <w:szCs w:val="18"/>
              </w:rPr>
              <w:t>/</w:t>
            </w:r>
            <w:r>
              <w:rPr>
                <w:sz w:val="18"/>
                <w:szCs w:val="18"/>
              </w:rPr>
              <w:t>股）</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0.11</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-0.74</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114.86%</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0.1</w:t>
            </w:r>
          </w:p>
        </w:tc>
      </w:tr>
      <w:tr w:rsidR="00E20B54">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加权平均净资产收益率</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0.98%</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-6.28%</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7.26%</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0.77%</w:t>
            </w:r>
          </w:p>
        </w:tc>
      </w:tr>
      <w:tr w:rsidR="00E20B54">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2025</w:t>
            </w:r>
            <w:r>
              <w:rPr>
                <w:sz w:val="18"/>
                <w:szCs w:val="18"/>
              </w:rPr>
              <w:t>年末</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2024</w:t>
            </w:r>
            <w:r>
              <w:rPr>
                <w:sz w:val="18"/>
                <w:szCs w:val="18"/>
              </w:rPr>
              <w:t>年末</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本年末比上年末增减</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2023</w:t>
            </w:r>
            <w:r>
              <w:rPr>
                <w:sz w:val="18"/>
                <w:szCs w:val="18"/>
              </w:rPr>
              <w:t>年末</w:t>
            </w:r>
          </w:p>
        </w:tc>
      </w:tr>
      <w:tr w:rsidR="00E20B54">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资产总额（元）</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1,445,771,685.58</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1,333,766,753.86</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8.40%</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1,044,326,703.01</w:t>
            </w:r>
          </w:p>
        </w:tc>
      </w:tr>
      <w:tr w:rsidR="00E20B54">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归属于上市公司股东的净资产（元）</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777,012,591.85</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758,250,167.43</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2.47%</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831,728,011.51</w:t>
            </w:r>
          </w:p>
        </w:tc>
      </w:tr>
    </w:tbl>
    <w:p w:rsidR="00E20B54" w:rsidRDefault="00733C9E">
      <w:pPr>
        <w:spacing w:before="100" w:after="100" w:line="240" w:lineRule="exact"/>
        <w:rPr>
          <w:sz w:val="18"/>
          <w:szCs w:val="18"/>
        </w:rPr>
      </w:pPr>
      <w:r>
        <w:rPr>
          <w:sz w:val="18"/>
          <w:szCs w:val="18"/>
        </w:rPr>
        <w:t>公司最近三个会计年度扣除非经常性损益前后净利润孰低者均为负值，且最近一年审计报告显示公司持续经营能力存在不确定性</w:t>
      </w:r>
    </w:p>
    <w:p w:rsidR="00E20B54" w:rsidRDefault="00733C9E">
      <w:pPr>
        <w:spacing w:before="100" w:after="100" w:line="240" w:lineRule="exact"/>
        <w:rPr>
          <w:sz w:val="18"/>
          <w:szCs w:val="18"/>
        </w:rPr>
      </w:pPr>
      <w:r>
        <w:rPr>
          <w:sz w:val="18"/>
          <w:szCs w:val="18"/>
        </w:rPr>
        <w:t>□</w:t>
      </w:r>
      <w:r>
        <w:rPr>
          <w:sz w:val="18"/>
          <w:szCs w:val="18"/>
        </w:rPr>
        <w:t>是</w:t>
      </w:r>
      <w:r>
        <w:rPr>
          <w:sz w:val="18"/>
          <w:szCs w:val="18"/>
        </w:rPr>
        <w:t xml:space="preserve"> </w:t>
      </w:r>
      <w:r>
        <w:rPr>
          <w:sz w:val="18"/>
          <w:szCs w:val="18"/>
        </w:rPr>
        <w:sym w:font="Wingdings 2" w:char="F052"/>
      </w:r>
      <w:r>
        <w:rPr>
          <w:sz w:val="18"/>
          <w:szCs w:val="18"/>
        </w:rPr>
        <w:t>否</w:t>
      </w:r>
    </w:p>
    <w:p w:rsidR="00E20B54" w:rsidRDefault="00733C9E">
      <w:pPr>
        <w:spacing w:before="100" w:after="100" w:line="240" w:lineRule="exact"/>
        <w:rPr>
          <w:sz w:val="18"/>
          <w:szCs w:val="18"/>
        </w:rPr>
      </w:pPr>
      <w:r>
        <w:rPr>
          <w:sz w:val="18"/>
          <w:szCs w:val="18"/>
        </w:rPr>
        <w:t>公司报告期内经审计利润总额、净利润、扣除非经常性损益后的净利润三者孰低为负值</w:t>
      </w:r>
    </w:p>
    <w:p w:rsidR="00E20B54" w:rsidRDefault="00733C9E">
      <w:pPr>
        <w:spacing w:before="100" w:after="100" w:line="240" w:lineRule="exact"/>
        <w:rPr>
          <w:sz w:val="18"/>
          <w:szCs w:val="18"/>
        </w:rPr>
      </w:pPr>
      <w:r>
        <w:rPr>
          <w:sz w:val="18"/>
          <w:szCs w:val="18"/>
        </w:rPr>
        <w:t>□</w:t>
      </w:r>
      <w:r>
        <w:rPr>
          <w:sz w:val="18"/>
          <w:szCs w:val="18"/>
        </w:rPr>
        <w:t>是</w:t>
      </w:r>
      <w:r>
        <w:rPr>
          <w:sz w:val="18"/>
          <w:szCs w:val="18"/>
        </w:rPr>
        <w:t xml:space="preserve"> </w:t>
      </w:r>
      <w:r>
        <w:rPr>
          <w:sz w:val="18"/>
          <w:szCs w:val="18"/>
        </w:rPr>
        <w:sym w:font="Wingdings 2" w:char="F052"/>
      </w:r>
      <w:r>
        <w:rPr>
          <w:sz w:val="18"/>
          <w:szCs w:val="18"/>
        </w:rPr>
        <w:t>否</w:t>
      </w:r>
    </w:p>
    <w:p w:rsidR="00E20B54" w:rsidRDefault="00733C9E">
      <w:pPr>
        <w:pStyle w:val="2"/>
        <w:spacing w:before="300" w:after="300" w:line="320" w:lineRule="exact"/>
        <w:rPr>
          <w:b/>
          <w:bCs/>
          <w:sz w:val="24"/>
          <w:szCs w:val="24"/>
        </w:rPr>
      </w:pPr>
      <w:bookmarkStart w:id="7" w:name="_Toc988896"/>
      <w:r>
        <w:rPr>
          <w:b/>
          <w:bCs/>
          <w:sz w:val="24"/>
          <w:szCs w:val="24"/>
        </w:rPr>
        <w:t>六、分季度主要财务指标</w:t>
      </w:r>
      <w:bookmarkEnd w:id="7"/>
    </w:p>
    <w:p w:rsidR="00E20B54" w:rsidRDefault="00733C9E">
      <w:pPr>
        <w:spacing w:before="120" w:after="120" w:line="240" w:lineRule="exact"/>
        <w:jc w:val="right"/>
        <w:rPr>
          <w:sz w:val="18"/>
          <w:szCs w:val="18"/>
        </w:rPr>
      </w:pPr>
      <w:r>
        <w:rPr>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927"/>
        <w:gridCol w:w="1928"/>
        <w:gridCol w:w="1928"/>
        <w:gridCol w:w="1928"/>
        <w:gridCol w:w="1928"/>
      </w:tblGrid>
      <w:tr w:rsidR="00E20B54">
        <w:trPr>
          <w:trHeight w:val="240"/>
          <w:tblHeader/>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第一季度</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第二季度</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第三季度</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第四季度</w:t>
            </w:r>
          </w:p>
        </w:tc>
      </w:tr>
      <w:tr w:rsidR="00E20B54">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营业收入</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48,422,939.96</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97,206,586.61</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82,040,451.96</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249,323,058.47</w:t>
            </w:r>
          </w:p>
        </w:tc>
      </w:tr>
      <w:tr w:rsidR="00E20B54">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归属于上市公司股东的净利润</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567,488.39</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5,491,579.91</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-1,869,066.45</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3,299,611.69</w:t>
            </w:r>
          </w:p>
        </w:tc>
      </w:tr>
      <w:tr w:rsidR="00E20B54">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归属于上市公司股东</w:t>
            </w:r>
            <w:r>
              <w:rPr>
                <w:sz w:val="18"/>
                <w:szCs w:val="18"/>
              </w:rPr>
              <w:lastRenderedPageBreak/>
              <w:t>的扣除非经常性损益的净利润</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lastRenderedPageBreak/>
              <w:t>1,414,010.09</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5,765,698.23</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-2,531,844.41</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-1,014,487.08</w:t>
            </w:r>
          </w:p>
        </w:tc>
      </w:tr>
      <w:tr w:rsidR="00E20B54">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lastRenderedPageBreak/>
              <w:t>经营活动产生的现金流量净额</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-13,560,186.45</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-2,822,735.16</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13,784,186.07</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34,774,482.46</w:t>
            </w:r>
          </w:p>
        </w:tc>
      </w:tr>
    </w:tbl>
    <w:p w:rsidR="00E20B54" w:rsidRDefault="00733C9E">
      <w:pPr>
        <w:spacing w:before="100" w:after="100" w:line="240" w:lineRule="exact"/>
        <w:rPr>
          <w:sz w:val="18"/>
          <w:szCs w:val="18"/>
        </w:rPr>
      </w:pPr>
      <w:r>
        <w:rPr>
          <w:sz w:val="18"/>
          <w:szCs w:val="18"/>
        </w:rPr>
        <w:t>上述财务指标或其加总数是否与公司已披露季度报告、半年度报告相关财务指标存在重大差异</w:t>
      </w:r>
    </w:p>
    <w:p w:rsidR="00E20B54" w:rsidRDefault="00733C9E">
      <w:pPr>
        <w:spacing w:before="100" w:after="100" w:line="240" w:lineRule="exact"/>
        <w:rPr>
          <w:sz w:val="18"/>
          <w:szCs w:val="18"/>
        </w:rPr>
      </w:pPr>
      <w:r>
        <w:rPr>
          <w:sz w:val="18"/>
          <w:szCs w:val="18"/>
        </w:rPr>
        <w:t>□</w:t>
      </w:r>
      <w:r>
        <w:rPr>
          <w:sz w:val="18"/>
          <w:szCs w:val="18"/>
        </w:rPr>
        <w:t>是</w:t>
      </w:r>
      <w:r>
        <w:rPr>
          <w:sz w:val="18"/>
          <w:szCs w:val="18"/>
        </w:rPr>
        <w:t xml:space="preserve"> </w:t>
      </w:r>
      <w:r>
        <w:rPr>
          <w:sz w:val="18"/>
          <w:szCs w:val="18"/>
        </w:rPr>
        <w:sym w:font="Wingdings 2" w:char="F052"/>
      </w:r>
      <w:r>
        <w:rPr>
          <w:sz w:val="18"/>
          <w:szCs w:val="18"/>
        </w:rPr>
        <w:t>否</w:t>
      </w:r>
    </w:p>
    <w:p w:rsidR="00E20B54" w:rsidRDefault="00733C9E">
      <w:pPr>
        <w:pStyle w:val="2"/>
        <w:spacing w:before="300" w:after="300" w:line="320" w:lineRule="exact"/>
        <w:rPr>
          <w:b/>
          <w:bCs/>
          <w:sz w:val="24"/>
          <w:szCs w:val="24"/>
        </w:rPr>
      </w:pPr>
      <w:bookmarkStart w:id="8" w:name="_Toc988897"/>
      <w:r>
        <w:rPr>
          <w:b/>
          <w:bCs/>
          <w:sz w:val="24"/>
          <w:szCs w:val="24"/>
        </w:rPr>
        <w:t>七、境内外会计准则下会计数据差异</w:t>
      </w:r>
      <w:bookmarkEnd w:id="8"/>
    </w:p>
    <w:p w:rsidR="00E20B54" w:rsidRDefault="00733C9E">
      <w:pPr>
        <w:pStyle w:val="3"/>
        <w:spacing w:line="280" w:lineRule="exact"/>
        <w:jc w:val="left"/>
        <w:rPr>
          <w:b/>
          <w:bCs/>
        </w:rPr>
      </w:pPr>
      <w:bookmarkStart w:id="9" w:name="_Toc988898"/>
      <w:r>
        <w:rPr>
          <w:b/>
          <w:bCs/>
        </w:rPr>
        <w:t>1</w:t>
      </w:r>
      <w:r>
        <w:rPr>
          <w:b/>
          <w:bCs/>
        </w:rPr>
        <w:t>、同时按照国际会计准则与按照中国会计准则披露的财务报告中净利润和净资产差异情况</w:t>
      </w:r>
      <w:bookmarkEnd w:id="9"/>
    </w:p>
    <w:p w:rsidR="00E20B54" w:rsidRDefault="00733C9E">
      <w:pPr>
        <w:spacing w:before="100" w:after="100" w:line="240" w:lineRule="exact"/>
        <w:rPr>
          <w:sz w:val="18"/>
          <w:szCs w:val="18"/>
        </w:rPr>
      </w:pPr>
      <w:r>
        <w:rPr>
          <w:sz w:val="18"/>
          <w:szCs w:val="18"/>
        </w:rPr>
        <w:t>□</w:t>
      </w:r>
      <w:r>
        <w:rPr>
          <w:sz w:val="18"/>
          <w:szCs w:val="18"/>
        </w:rPr>
        <w:t>适用</w:t>
      </w:r>
      <w:r>
        <w:rPr>
          <w:sz w:val="18"/>
          <w:szCs w:val="18"/>
        </w:rPr>
        <w:t xml:space="preserve"> </w:t>
      </w:r>
      <w:r>
        <w:rPr>
          <w:sz w:val="18"/>
          <w:szCs w:val="18"/>
        </w:rPr>
        <w:sym w:font="Wingdings 2" w:char="F052"/>
      </w:r>
      <w:r>
        <w:rPr>
          <w:sz w:val="18"/>
          <w:szCs w:val="18"/>
        </w:rPr>
        <w:t>不适用</w:t>
      </w:r>
    </w:p>
    <w:p w:rsidR="00E20B54" w:rsidRDefault="00733C9E">
      <w:pPr>
        <w:spacing w:before="100" w:after="100" w:line="240" w:lineRule="exact"/>
        <w:rPr>
          <w:sz w:val="18"/>
          <w:szCs w:val="18"/>
        </w:rPr>
      </w:pPr>
      <w:r>
        <w:rPr>
          <w:sz w:val="18"/>
          <w:szCs w:val="18"/>
        </w:rPr>
        <w:t>公司报告期不存在按照国际会计准则与按照中国会计准则披露的财务报告中净利润和净资产差异情况。</w:t>
      </w:r>
    </w:p>
    <w:p w:rsidR="00E20B54" w:rsidRDefault="00733C9E">
      <w:pPr>
        <w:pStyle w:val="3"/>
        <w:spacing w:line="280" w:lineRule="exact"/>
        <w:jc w:val="left"/>
        <w:rPr>
          <w:b/>
          <w:bCs/>
        </w:rPr>
      </w:pPr>
      <w:bookmarkStart w:id="10" w:name="_Toc988899"/>
      <w:r>
        <w:rPr>
          <w:b/>
          <w:bCs/>
        </w:rPr>
        <w:t>2</w:t>
      </w:r>
      <w:r>
        <w:rPr>
          <w:b/>
          <w:bCs/>
        </w:rPr>
        <w:t>、同时按照境外会计准则与按照中国会计准则披露的财务报告中净利润和净资产差异情况</w:t>
      </w:r>
      <w:bookmarkEnd w:id="10"/>
    </w:p>
    <w:p w:rsidR="00E20B54" w:rsidRDefault="00733C9E">
      <w:pPr>
        <w:spacing w:before="40" w:after="40" w:line="240" w:lineRule="exact"/>
        <w:rPr>
          <w:sz w:val="18"/>
          <w:szCs w:val="18"/>
        </w:rPr>
      </w:pPr>
      <w:r>
        <w:rPr>
          <w:sz w:val="18"/>
          <w:szCs w:val="18"/>
        </w:rPr>
        <w:t>□</w:t>
      </w:r>
      <w:r>
        <w:rPr>
          <w:sz w:val="18"/>
          <w:szCs w:val="18"/>
        </w:rPr>
        <w:t>适用</w:t>
      </w:r>
      <w:r>
        <w:rPr>
          <w:sz w:val="18"/>
          <w:szCs w:val="18"/>
        </w:rPr>
        <w:t xml:space="preserve"> </w:t>
      </w:r>
      <w:r>
        <w:rPr>
          <w:sz w:val="18"/>
          <w:szCs w:val="18"/>
        </w:rPr>
        <w:sym w:font="Wingdings 2" w:char="F052"/>
      </w:r>
      <w:r>
        <w:rPr>
          <w:sz w:val="18"/>
          <w:szCs w:val="18"/>
        </w:rPr>
        <w:t>不适用</w:t>
      </w:r>
    </w:p>
    <w:p w:rsidR="00E20B54" w:rsidRDefault="00733C9E">
      <w:pPr>
        <w:spacing w:before="100" w:after="100" w:line="240" w:lineRule="exact"/>
        <w:rPr>
          <w:sz w:val="18"/>
          <w:szCs w:val="18"/>
        </w:rPr>
      </w:pPr>
      <w:r>
        <w:rPr>
          <w:sz w:val="18"/>
          <w:szCs w:val="18"/>
        </w:rPr>
        <w:t>公司报告期不存在按照境外会计准则与按照中国会计准则披露的财务报告中净利润和净资产差异情况。</w:t>
      </w:r>
    </w:p>
    <w:p w:rsidR="00E20B54" w:rsidRDefault="00733C9E">
      <w:pPr>
        <w:pStyle w:val="2"/>
        <w:spacing w:before="300" w:after="300" w:line="320" w:lineRule="exact"/>
        <w:rPr>
          <w:b/>
          <w:bCs/>
          <w:sz w:val="24"/>
          <w:szCs w:val="24"/>
        </w:rPr>
      </w:pPr>
      <w:bookmarkStart w:id="11" w:name="_Toc988900"/>
      <w:r>
        <w:rPr>
          <w:b/>
          <w:bCs/>
          <w:sz w:val="24"/>
          <w:szCs w:val="24"/>
        </w:rPr>
        <w:t>八、非经常性损益项目及金额</w:t>
      </w:r>
      <w:bookmarkEnd w:id="11"/>
    </w:p>
    <w:p w:rsidR="00E20B54" w:rsidRDefault="00733C9E">
      <w:pPr>
        <w:spacing w:before="100" w:after="100" w:line="240" w:lineRule="exact"/>
        <w:rPr>
          <w:sz w:val="18"/>
          <w:szCs w:val="18"/>
        </w:rPr>
      </w:pPr>
      <w:r>
        <w:rPr>
          <w:sz w:val="18"/>
          <w:szCs w:val="18"/>
        </w:rPr>
        <w:sym w:font="Wingdings 2" w:char="F052"/>
      </w:r>
      <w:r>
        <w:rPr>
          <w:sz w:val="18"/>
          <w:szCs w:val="18"/>
        </w:rPr>
        <w:t>适用</w:t>
      </w:r>
      <w:r>
        <w:rPr>
          <w:sz w:val="18"/>
          <w:szCs w:val="18"/>
        </w:rPr>
        <w:t xml:space="preserve"> □</w:t>
      </w:r>
      <w:r>
        <w:rPr>
          <w:sz w:val="18"/>
          <w:szCs w:val="18"/>
        </w:rPr>
        <w:t>不适用</w:t>
      </w:r>
    </w:p>
    <w:p w:rsidR="00E20B54" w:rsidRDefault="00733C9E">
      <w:pPr>
        <w:spacing w:before="120" w:after="120" w:line="240" w:lineRule="exact"/>
        <w:jc w:val="right"/>
        <w:rPr>
          <w:sz w:val="18"/>
          <w:szCs w:val="18"/>
        </w:rPr>
      </w:pPr>
      <w:r>
        <w:rPr>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927"/>
        <w:gridCol w:w="1928"/>
        <w:gridCol w:w="1928"/>
        <w:gridCol w:w="1928"/>
        <w:gridCol w:w="1928"/>
      </w:tblGrid>
      <w:tr w:rsidR="00E20B54">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项目</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2025</w:t>
            </w:r>
            <w:r>
              <w:rPr>
                <w:sz w:val="18"/>
                <w:szCs w:val="18"/>
              </w:rPr>
              <w:t>年金额</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2024</w:t>
            </w:r>
            <w:r>
              <w:rPr>
                <w:sz w:val="18"/>
                <w:szCs w:val="18"/>
              </w:rPr>
              <w:t>年金额</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2023</w:t>
            </w:r>
            <w:r>
              <w:rPr>
                <w:sz w:val="18"/>
                <w:szCs w:val="18"/>
              </w:rPr>
              <w:t>年金额</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说明</w:t>
            </w:r>
          </w:p>
        </w:tc>
      </w:tr>
      <w:tr w:rsidR="00E20B54">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非流动性资产处置损益（包括已计提资产减值准备的冲销部分）</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-353,434.01</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422,426.70</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-14,902.10</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rPr>
                <w:sz w:val="18"/>
                <w:szCs w:val="18"/>
              </w:rPr>
            </w:pPr>
          </w:p>
        </w:tc>
      </w:tr>
      <w:tr w:rsidR="00E20B54">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计入当期损益的政府补助（与公司正常经营业务密切相关，符合国家政策规定、按照确定的标准享有、对公司损益产生持续影响的政府补助除外）</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124,273.56</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61,582.83</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213,363.99</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rPr>
                <w:sz w:val="18"/>
                <w:szCs w:val="18"/>
              </w:rPr>
            </w:pPr>
          </w:p>
        </w:tc>
      </w:tr>
      <w:tr w:rsidR="00E20B54">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除同公司正常经营业务相关的有效套期保值业务外，非金融企业持有金融资产和金融负债产生的公允价值变动损益以及处置金融资产和金融负债产生的损益</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629,369.87</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1,601,414.69</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rPr>
                <w:sz w:val="18"/>
                <w:szCs w:val="18"/>
              </w:rPr>
            </w:pPr>
          </w:p>
        </w:tc>
      </w:tr>
      <w:tr w:rsidR="00E20B54">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债务重组损益</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5,794,301.93</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rPr>
                <w:sz w:val="18"/>
                <w:szCs w:val="18"/>
              </w:rPr>
            </w:pPr>
          </w:p>
        </w:tc>
      </w:tr>
      <w:tr w:rsidR="00E20B54">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除上述各项之外的其他营业外收入和支出</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-1,078,500.59</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-1,902,946.56</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-147,225.48</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rPr>
                <w:sz w:val="18"/>
                <w:szCs w:val="18"/>
              </w:rPr>
            </w:pPr>
          </w:p>
        </w:tc>
      </w:tr>
      <w:tr w:rsidR="00E20B54">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其他符合非经常性损</w:t>
            </w:r>
            <w:r>
              <w:rPr>
                <w:sz w:val="18"/>
                <w:szCs w:val="18"/>
              </w:rPr>
              <w:lastRenderedPageBreak/>
              <w:t>益定义的损益项目</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lastRenderedPageBreak/>
              <w:t>40,975.70</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27,444.49</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57,279.71</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rPr>
                <w:sz w:val="18"/>
                <w:szCs w:val="18"/>
              </w:rPr>
            </w:pPr>
          </w:p>
        </w:tc>
      </w:tr>
      <w:tr w:rsidR="00E20B54">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lastRenderedPageBreak/>
              <w:t>减：所得税影响额</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624,687.01</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-101,366.65</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269,372.10</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rPr>
                <w:sz w:val="18"/>
                <w:szCs w:val="18"/>
              </w:rPr>
            </w:pPr>
          </w:p>
        </w:tc>
      </w:tr>
      <w:tr w:rsidR="00E20B54">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200" w:firstLine="360"/>
              <w:rPr>
                <w:sz w:val="18"/>
                <w:szCs w:val="18"/>
              </w:rPr>
            </w:pPr>
            <w:r>
              <w:rPr>
                <w:sz w:val="18"/>
                <w:szCs w:val="18"/>
              </w:rPr>
              <w:t>少数股东权益影响额（税后）</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46,692.87</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1,415.20</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rPr>
                <w:sz w:val="18"/>
                <w:szCs w:val="18"/>
              </w:rPr>
            </w:pPr>
          </w:p>
        </w:tc>
      </w:tr>
      <w:tr w:rsidR="00E20B54">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合计</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3,856,236.71</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-662,171.22</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1,440,558.71</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shd w:val="clear" w:color="auto" w:fill="D3D3D3"/>
              </w:rPr>
            </w:pPr>
            <w:r>
              <w:rPr>
                <w:sz w:val="18"/>
                <w:szCs w:val="18"/>
                <w:shd w:val="clear" w:color="auto" w:fill="D3D3D3"/>
              </w:rPr>
              <w:t>--</w:t>
            </w:r>
          </w:p>
        </w:tc>
      </w:tr>
    </w:tbl>
    <w:p w:rsidR="00E20B54" w:rsidRDefault="00733C9E">
      <w:pPr>
        <w:spacing w:before="100" w:after="100" w:line="240" w:lineRule="exact"/>
        <w:rPr>
          <w:sz w:val="18"/>
          <w:szCs w:val="18"/>
        </w:rPr>
      </w:pPr>
      <w:r>
        <w:rPr>
          <w:sz w:val="18"/>
          <w:szCs w:val="18"/>
        </w:rPr>
        <w:t>其他符合非经常性损益定义的损益项目的具体情况：</w:t>
      </w:r>
    </w:p>
    <w:p w:rsidR="00E20B54" w:rsidRDefault="00733C9E">
      <w:pPr>
        <w:spacing w:before="100" w:after="100" w:line="240" w:lineRule="exact"/>
        <w:rPr>
          <w:sz w:val="18"/>
          <w:szCs w:val="18"/>
        </w:rPr>
      </w:pPr>
      <w:r>
        <w:rPr>
          <w:sz w:val="18"/>
          <w:szCs w:val="18"/>
        </w:rPr>
        <w:t>□</w:t>
      </w:r>
      <w:r>
        <w:rPr>
          <w:sz w:val="18"/>
          <w:szCs w:val="18"/>
        </w:rPr>
        <w:t>适用</w:t>
      </w:r>
      <w:r>
        <w:rPr>
          <w:sz w:val="18"/>
          <w:szCs w:val="18"/>
        </w:rPr>
        <w:t xml:space="preserve"> </w:t>
      </w:r>
      <w:r>
        <w:rPr>
          <w:sz w:val="18"/>
          <w:szCs w:val="18"/>
        </w:rPr>
        <w:sym w:font="Wingdings 2" w:char="F052"/>
      </w:r>
      <w:r>
        <w:rPr>
          <w:sz w:val="18"/>
          <w:szCs w:val="18"/>
        </w:rPr>
        <w:t>不适用</w:t>
      </w:r>
    </w:p>
    <w:p w:rsidR="00E20B54" w:rsidRDefault="00733C9E">
      <w:pPr>
        <w:spacing w:before="100" w:after="100" w:line="240" w:lineRule="exact"/>
        <w:rPr>
          <w:sz w:val="18"/>
          <w:szCs w:val="18"/>
        </w:rPr>
      </w:pPr>
      <w:r>
        <w:rPr>
          <w:sz w:val="18"/>
          <w:szCs w:val="18"/>
        </w:rPr>
        <w:t>公司不存在其他符合非经常性损益定义的损益项目的具体情况。</w:t>
      </w:r>
    </w:p>
    <w:p w:rsidR="00E20B54" w:rsidRDefault="00733C9E">
      <w:pPr>
        <w:spacing w:before="100" w:after="100" w:line="240" w:lineRule="exact"/>
        <w:rPr>
          <w:sz w:val="18"/>
          <w:szCs w:val="18"/>
        </w:rPr>
      </w:pPr>
      <w:r>
        <w:rPr>
          <w:sz w:val="18"/>
          <w:szCs w:val="18"/>
        </w:rPr>
        <w:t>将《公开发行证券的公司信息披露解释性公告第</w:t>
      </w:r>
      <w:r>
        <w:rPr>
          <w:sz w:val="18"/>
          <w:szCs w:val="18"/>
        </w:rPr>
        <w:t>1</w:t>
      </w:r>
      <w:r>
        <w:rPr>
          <w:sz w:val="18"/>
          <w:szCs w:val="18"/>
        </w:rPr>
        <w:t>号</w:t>
      </w:r>
      <w:r>
        <w:rPr>
          <w:sz w:val="18"/>
          <w:szCs w:val="18"/>
        </w:rPr>
        <w:t>——</w:t>
      </w:r>
      <w:r>
        <w:rPr>
          <w:sz w:val="18"/>
          <w:szCs w:val="18"/>
        </w:rPr>
        <w:t>非经常性损益》中列举的非经常性损益项目界定为经常性损益项目的情况说明</w:t>
      </w:r>
    </w:p>
    <w:p w:rsidR="00E20B54" w:rsidRDefault="00733C9E">
      <w:pPr>
        <w:spacing w:before="100" w:after="100" w:line="240" w:lineRule="exact"/>
        <w:rPr>
          <w:sz w:val="18"/>
          <w:szCs w:val="18"/>
        </w:rPr>
      </w:pPr>
      <w:r>
        <w:rPr>
          <w:sz w:val="18"/>
          <w:szCs w:val="18"/>
        </w:rPr>
        <w:t>□</w:t>
      </w:r>
      <w:r>
        <w:rPr>
          <w:sz w:val="18"/>
          <w:szCs w:val="18"/>
        </w:rPr>
        <w:t>适用</w:t>
      </w:r>
      <w:r>
        <w:rPr>
          <w:sz w:val="18"/>
          <w:szCs w:val="18"/>
        </w:rPr>
        <w:t xml:space="preserve"> </w:t>
      </w:r>
      <w:r>
        <w:rPr>
          <w:sz w:val="18"/>
          <w:szCs w:val="18"/>
        </w:rPr>
        <w:sym w:font="Wingdings 2" w:char="F052"/>
      </w:r>
      <w:r>
        <w:rPr>
          <w:sz w:val="18"/>
          <w:szCs w:val="18"/>
        </w:rPr>
        <w:t>不适用</w:t>
      </w:r>
    </w:p>
    <w:p w:rsidR="00E20B54" w:rsidRDefault="00733C9E">
      <w:pPr>
        <w:spacing w:before="100" w:after="100" w:line="240" w:lineRule="exact"/>
        <w:rPr>
          <w:sz w:val="18"/>
          <w:szCs w:val="18"/>
        </w:rPr>
      </w:pPr>
      <w:r>
        <w:rPr>
          <w:sz w:val="18"/>
          <w:szCs w:val="18"/>
        </w:rPr>
        <w:t>公司不存在将《公开发行证券的公司信息披露解释性公告第</w:t>
      </w:r>
      <w:r>
        <w:rPr>
          <w:sz w:val="18"/>
          <w:szCs w:val="18"/>
        </w:rPr>
        <w:t>1</w:t>
      </w:r>
      <w:r>
        <w:rPr>
          <w:sz w:val="18"/>
          <w:szCs w:val="18"/>
        </w:rPr>
        <w:t>号</w:t>
      </w:r>
      <w:r>
        <w:rPr>
          <w:sz w:val="18"/>
          <w:szCs w:val="18"/>
        </w:rPr>
        <w:t>——</w:t>
      </w:r>
      <w:r>
        <w:rPr>
          <w:sz w:val="18"/>
          <w:szCs w:val="18"/>
        </w:rPr>
        <w:t>非经常性损益》中列举的非经常性损益项目界定为经常性损益的项目的情形。</w:t>
      </w:r>
    </w:p>
    <w:p w:rsidR="00E20B54" w:rsidRDefault="00733C9E">
      <w:r>
        <w:br w:type="page"/>
      </w:r>
    </w:p>
    <w:p w:rsidR="00E20B54" w:rsidRDefault="00733C9E">
      <w:pPr>
        <w:pStyle w:val="headingh1"/>
        <w:spacing w:before="340" w:after="330" w:line="773" w:lineRule="exact"/>
        <w:jc w:val="center"/>
        <w:rPr>
          <w:b/>
          <w:bCs/>
          <w:sz w:val="32"/>
          <w:szCs w:val="32"/>
        </w:rPr>
      </w:pPr>
      <w:bookmarkStart w:id="12" w:name="_Toc988901"/>
      <w:r>
        <w:rPr>
          <w:b/>
          <w:bCs/>
          <w:sz w:val="32"/>
          <w:szCs w:val="32"/>
        </w:rPr>
        <w:lastRenderedPageBreak/>
        <w:t>第三节</w:t>
      </w:r>
      <w:r>
        <w:rPr>
          <w:b/>
          <w:bCs/>
          <w:sz w:val="32"/>
          <w:szCs w:val="32"/>
        </w:rPr>
        <w:t xml:space="preserve"> </w:t>
      </w:r>
      <w:r>
        <w:rPr>
          <w:b/>
          <w:bCs/>
          <w:sz w:val="32"/>
          <w:szCs w:val="32"/>
        </w:rPr>
        <w:t>管理层讨论与分析</w:t>
      </w:r>
      <w:bookmarkEnd w:id="12"/>
    </w:p>
    <w:p w:rsidR="00E20B54" w:rsidRDefault="00733C9E">
      <w:pPr>
        <w:pStyle w:val="2"/>
        <w:spacing w:before="300" w:after="300" w:line="320" w:lineRule="exact"/>
        <w:rPr>
          <w:b/>
          <w:bCs/>
          <w:sz w:val="24"/>
          <w:szCs w:val="24"/>
        </w:rPr>
      </w:pPr>
      <w:bookmarkStart w:id="13" w:name="_Toc988902"/>
      <w:r>
        <w:rPr>
          <w:b/>
          <w:bCs/>
          <w:sz w:val="24"/>
          <w:szCs w:val="24"/>
        </w:rPr>
        <w:t>一、报告期内公司从事的主要业务</w:t>
      </w:r>
      <w:bookmarkEnd w:id="13"/>
    </w:p>
    <w:p w:rsidR="00E20B54" w:rsidRDefault="00733C9E">
      <w:pPr>
        <w:pStyle w:val="a3"/>
        <w:widowControl/>
        <w:spacing w:beforeAutospacing="0" w:afterAutospacing="0" w:line="288" w:lineRule="auto"/>
        <w:ind w:firstLine="482"/>
        <w:jc w:val="both"/>
        <w:rPr>
          <w:szCs w:val="24"/>
        </w:rPr>
      </w:pPr>
      <w:r>
        <w:rPr>
          <w:color w:val="000000"/>
          <w:sz w:val="21"/>
          <w:szCs w:val="21"/>
        </w:rPr>
        <w:t>（一）主营业务基本情况</w:t>
      </w:r>
    </w:p>
    <w:p w:rsidR="00E20B54" w:rsidRDefault="00733C9E">
      <w:pPr>
        <w:pStyle w:val="a3"/>
        <w:widowControl/>
        <w:spacing w:beforeAutospacing="0" w:afterAutospacing="0" w:line="288" w:lineRule="auto"/>
        <w:ind w:firstLine="482"/>
        <w:jc w:val="both"/>
        <w:rPr>
          <w:szCs w:val="24"/>
        </w:rPr>
      </w:pPr>
      <w:r>
        <w:rPr>
          <w:color w:val="000000"/>
          <w:sz w:val="21"/>
          <w:szCs w:val="21"/>
        </w:rPr>
        <w:t>公司致力于融合应用物联网、大数据、云计算、</w:t>
      </w:r>
      <w:r>
        <w:rPr>
          <w:color w:val="000000"/>
          <w:sz w:val="21"/>
          <w:szCs w:val="21"/>
        </w:rPr>
        <w:t>GIS</w:t>
      </w:r>
      <w:r>
        <w:rPr>
          <w:color w:val="000000"/>
          <w:sz w:val="21"/>
          <w:szCs w:val="21"/>
        </w:rPr>
        <w:t>、人工智能等新一代信息技术，为客户提供项目总体规划、方案设计、软件研发、项目实施及运维服务一体化的信息技术解决方案。公司业务从服务类型上可划分为信息系统集成服务、软件开发及技术服务、信息设备销售、信息系统运维服务、算力服务、新能源电力，具体如下：</w:t>
      </w:r>
    </w:p>
    <w:p w:rsidR="00E20B54" w:rsidRDefault="00733C9E">
      <w:pPr>
        <w:pStyle w:val="a3"/>
        <w:widowControl/>
        <w:spacing w:beforeAutospacing="0" w:afterAutospacing="0" w:line="288" w:lineRule="auto"/>
        <w:ind w:firstLine="482"/>
        <w:jc w:val="both"/>
        <w:rPr>
          <w:sz w:val="21"/>
          <w:szCs w:val="21"/>
        </w:rPr>
      </w:pPr>
      <w:r>
        <w:rPr>
          <w:color w:val="000000"/>
          <w:sz w:val="21"/>
          <w:szCs w:val="21"/>
        </w:rPr>
        <w:t>1.</w:t>
      </w:r>
      <w:r>
        <w:rPr>
          <w:color w:val="000000"/>
          <w:sz w:val="21"/>
          <w:szCs w:val="21"/>
        </w:rPr>
        <w:t>信息系统集成服务</w:t>
      </w:r>
    </w:p>
    <w:p w:rsidR="00E20B54" w:rsidRDefault="00733C9E">
      <w:pPr>
        <w:pStyle w:val="a3"/>
        <w:widowControl/>
        <w:spacing w:beforeAutospacing="0" w:afterAutospacing="0" w:line="288" w:lineRule="auto"/>
        <w:ind w:firstLine="482"/>
        <w:jc w:val="both"/>
        <w:rPr>
          <w:sz w:val="21"/>
          <w:szCs w:val="21"/>
        </w:rPr>
      </w:pPr>
      <w:r>
        <w:rPr>
          <w:color w:val="000000"/>
          <w:sz w:val="21"/>
          <w:szCs w:val="21"/>
        </w:rPr>
        <w:t>信息系统集成服务系公司的主要业务。公司提供的信息系统集成服务，以客户的应用需求为出发点，在合理规划基础上，综合应用各类信息技术，通过软件系统定制、硬件平台搭建等手段，将分离的软硬件设备连接成为完整、可靠、经济有效的整体，实现信息系统平台构建，满足客户使用需求。</w:t>
      </w:r>
    </w:p>
    <w:p w:rsidR="00E20B54" w:rsidRDefault="00733C9E">
      <w:pPr>
        <w:pStyle w:val="a3"/>
        <w:widowControl/>
        <w:spacing w:beforeAutospacing="0" w:afterAutospacing="0" w:line="288" w:lineRule="auto"/>
        <w:ind w:firstLine="482"/>
        <w:jc w:val="both"/>
        <w:rPr>
          <w:sz w:val="21"/>
          <w:szCs w:val="21"/>
        </w:rPr>
      </w:pPr>
      <w:r>
        <w:rPr>
          <w:color w:val="000000"/>
          <w:sz w:val="21"/>
          <w:szCs w:val="21"/>
        </w:rPr>
        <w:t>2.</w:t>
      </w:r>
      <w:r>
        <w:rPr>
          <w:color w:val="000000"/>
          <w:sz w:val="21"/>
          <w:szCs w:val="21"/>
        </w:rPr>
        <w:t>软件开发及技术服务</w:t>
      </w:r>
    </w:p>
    <w:p w:rsidR="00E20B54" w:rsidRDefault="00733C9E">
      <w:pPr>
        <w:pStyle w:val="a3"/>
        <w:widowControl/>
        <w:spacing w:beforeAutospacing="0" w:afterAutospacing="0" w:line="288" w:lineRule="auto"/>
        <w:ind w:firstLine="482"/>
        <w:jc w:val="both"/>
        <w:rPr>
          <w:sz w:val="21"/>
          <w:szCs w:val="21"/>
        </w:rPr>
      </w:pPr>
      <w:r>
        <w:rPr>
          <w:color w:val="000000"/>
          <w:sz w:val="21"/>
          <w:szCs w:val="21"/>
        </w:rPr>
        <w:t>软件开发及技术服务系公司的核心业务。公司依托深圳、汕头、广州三地研发团队，聚焦于智慧城市领域，持续投入和创新，在政务、教育、医疗、轨道交通等领域开发了一系列产品和解决方案，同时可为客户特定需求提供定制化产品开发服务。</w:t>
      </w:r>
    </w:p>
    <w:p w:rsidR="00E20B54" w:rsidRDefault="00733C9E">
      <w:pPr>
        <w:pStyle w:val="a3"/>
        <w:widowControl/>
        <w:spacing w:beforeAutospacing="0" w:afterAutospacing="0" w:line="288" w:lineRule="auto"/>
        <w:ind w:firstLine="482"/>
        <w:jc w:val="both"/>
        <w:rPr>
          <w:sz w:val="21"/>
          <w:szCs w:val="21"/>
        </w:rPr>
      </w:pPr>
      <w:r>
        <w:rPr>
          <w:color w:val="000000"/>
          <w:sz w:val="21"/>
          <w:szCs w:val="21"/>
        </w:rPr>
        <w:t>3.</w:t>
      </w:r>
      <w:r>
        <w:rPr>
          <w:color w:val="000000"/>
          <w:sz w:val="21"/>
          <w:szCs w:val="21"/>
        </w:rPr>
        <w:t>信息系统运维服务</w:t>
      </w:r>
    </w:p>
    <w:p w:rsidR="00E20B54" w:rsidRDefault="00733C9E">
      <w:pPr>
        <w:pStyle w:val="a3"/>
        <w:widowControl/>
        <w:spacing w:beforeAutospacing="0" w:afterAutospacing="0" w:line="288" w:lineRule="auto"/>
        <w:ind w:firstLine="482"/>
        <w:jc w:val="both"/>
        <w:rPr>
          <w:sz w:val="21"/>
          <w:szCs w:val="21"/>
        </w:rPr>
      </w:pPr>
      <w:r>
        <w:rPr>
          <w:color w:val="000000"/>
          <w:sz w:val="21"/>
          <w:szCs w:val="21"/>
        </w:rPr>
        <w:t>信息系统运维服务系公司的传统业务。公司建立了专业服务团队和统一服务平台，形成标准化运维服务模式，为客户提供包括信息系统集成项目维保、驻点运维、企业客户</w:t>
      </w:r>
      <w:r>
        <w:rPr>
          <w:color w:val="000000"/>
          <w:sz w:val="21"/>
          <w:szCs w:val="21"/>
        </w:rPr>
        <w:t>IT</w:t>
      </w:r>
      <w:r>
        <w:rPr>
          <w:color w:val="000000"/>
          <w:sz w:val="21"/>
          <w:szCs w:val="21"/>
        </w:rPr>
        <w:t>运营运维服务等全周期服务。</w:t>
      </w:r>
    </w:p>
    <w:p w:rsidR="00E20B54" w:rsidRDefault="00733C9E">
      <w:pPr>
        <w:pStyle w:val="a3"/>
        <w:widowControl/>
        <w:spacing w:beforeAutospacing="0" w:afterAutospacing="0" w:line="288" w:lineRule="auto"/>
        <w:ind w:firstLine="482"/>
        <w:jc w:val="both"/>
        <w:rPr>
          <w:sz w:val="21"/>
          <w:szCs w:val="21"/>
        </w:rPr>
      </w:pPr>
      <w:r>
        <w:rPr>
          <w:color w:val="000000"/>
          <w:sz w:val="21"/>
          <w:szCs w:val="21"/>
        </w:rPr>
        <w:t>4.</w:t>
      </w:r>
      <w:r>
        <w:rPr>
          <w:color w:val="000000"/>
          <w:sz w:val="21"/>
          <w:szCs w:val="21"/>
        </w:rPr>
        <w:t>信息设备销售</w:t>
      </w:r>
    </w:p>
    <w:p w:rsidR="00E20B54" w:rsidRDefault="00733C9E">
      <w:pPr>
        <w:pStyle w:val="a3"/>
        <w:widowControl/>
        <w:spacing w:beforeAutospacing="0" w:afterAutospacing="0" w:line="288" w:lineRule="auto"/>
        <w:ind w:firstLine="482"/>
        <w:jc w:val="both"/>
        <w:rPr>
          <w:sz w:val="21"/>
          <w:szCs w:val="21"/>
        </w:rPr>
      </w:pPr>
      <w:r>
        <w:rPr>
          <w:color w:val="000000"/>
          <w:sz w:val="21"/>
          <w:szCs w:val="21"/>
        </w:rPr>
        <w:t>信息设备销售业务主要系公司在提供信息技术服务的过程中，充分利用资源为客户提供的信息设备销售和配套服务。</w:t>
      </w:r>
    </w:p>
    <w:p w:rsidR="00E20B54" w:rsidRDefault="00733C9E">
      <w:pPr>
        <w:pStyle w:val="a3"/>
        <w:widowControl/>
        <w:spacing w:beforeAutospacing="0" w:afterAutospacing="0" w:line="288" w:lineRule="auto"/>
        <w:ind w:firstLine="482"/>
        <w:jc w:val="both"/>
        <w:rPr>
          <w:sz w:val="21"/>
          <w:szCs w:val="21"/>
        </w:rPr>
      </w:pPr>
      <w:r>
        <w:rPr>
          <w:color w:val="000000"/>
          <w:sz w:val="21"/>
          <w:szCs w:val="21"/>
        </w:rPr>
        <w:t>5.</w:t>
      </w:r>
      <w:r>
        <w:rPr>
          <w:color w:val="000000"/>
          <w:sz w:val="21"/>
          <w:szCs w:val="21"/>
        </w:rPr>
        <w:t>算力服务</w:t>
      </w:r>
    </w:p>
    <w:p w:rsidR="00E20B54" w:rsidRDefault="00733C9E">
      <w:pPr>
        <w:pStyle w:val="a3"/>
        <w:widowControl/>
        <w:spacing w:beforeAutospacing="0" w:afterAutospacing="0" w:line="288" w:lineRule="auto"/>
        <w:ind w:firstLine="482"/>
        <w:jc w:val="both"/>
        <w:rPr>
          <w:sz w:val="21"/>
          <w:szCs w:val="21"/>
        </w:rPr>
      </w:pPr>
      <w:r>
        <w:rPr>
          <w:color w:val="000000"/>
          <w:sz w:val="21"/>
          <w:szCs w:val="21"/>
        </w:rPr>
        <w:t>算力服务主要为根据客户需求提供智能算力整体解决方案，涵盖算力设备</w:t>
      </w:r>
      <w:r w:rsidR="00B1424B">
        <w:rPr>
          <w:rFonts w:hint="eastAsia"/>
          <w:color w:val="000000"/>
          <w:sz w:val="21"/>
          <w:szCs w:val="21"/>
        </w:rPr>
        <w:t>组</w:t>
      </w:r>
      <w:r>
        <w:rPr>
          <w:color w:val="000000"/>
          <w:sz w:val="21"/>
          <w:szCs w:val="21"/>
        </w:rPr>
        <w:t>网调试、算力资源调度，以及设备维护、运行监控、故障处理、系统更新加固、现场驻点及巡检等后续维保服务。</w:t>
      </w:r>
    </w:p>
    <w:p w:rsidR="00E20B54" w:rsidRDefault="00733C9E">
      <w:pPr>
        <w:pStyle w:val="a3"/>
        <w:widowControl/>
        <w:spacing w:beforeAutospacing="0" w:afterAutospacing="0" w:line="288" w:lineRule="auto"/>
        <w:ind w:firstLine="482"/>
        <w:jc w:val="both"/>
        <w:rPr>
          <w:sz w:val="21"/>
          <w:szCs w:val="21"/>
        </w:rPr>
      </w:pPr>
      <w:r>
        <w:rPr>
          <w:color w:val="000000"/>
          <w:sz w:val="21"/>
          <w:szCs w:val="21"/>
        </w:rPr>
        <w:t>6.</w:t>
      </w:r>
      <w:r>
        <w:rPr>
          <w:color w:val="000000"/>
          <w:sz w:val="21"/>
          <w:szCs w:val="21"/>
        </w:rPr>
        <w:t>新能源电力</w:t>
      </w:r>
    </w:p>
    <w:p w:rsidR="00E20B54" w:rsidRDefault="00733C9E">
      <w:pPr>
        <w:pStyle w:val="a3"/>
        <w:widowControl/>
        <w:spacing w:beforeAutospacing="0" w:afterAutospacing="0" w:line="288" w:lineRule="auto"/>
        <w:ind w:firstLine="482"/>
        <w:jc w:val="both"/>
        <w:rPr>
          <w:sz w:val="21"/>
          <w:szCs w:val="21"/>
        </w:rPr>
      </w:pPr>
      <w:r>
        <w:rPr>
          <w:color w:val="000000"/>
          <w:sz w:val="21"/>
          <w:szCs w:val="21"/>
        </w:rPr>
        <w:t>新能源电力系重要非主营业务，依据公司战略布局开展，具有可持续性。</w:t>
      </w:r>
    </w:p>
    <w:p w:rsidR="00E20B54" w:rsidRDefault="00733C9E">
      <w:pPr>
        <w:pStyle w:val="a3"/>
        <w:widowControl/>
        <w:spacing w:beforeAutospacing="0" w:afterAutospacing="0" w:line="288" w:lineRule="auto"/>
        <w:ind w:firstLine="482"/>
        <w:jc w:val="both"/>
        <w:rPr>
          <w:sz w:val="21"/>
          <w:szCs w:val="21"/>
        </w:rPr>
      </w:pPr>
      <w:r>
        <w:rPr>
          <w:color w:val="000000"/>
          <w:sz w:val="21"/>
          <w:szCs w:val="21"/>
        </w:rPr>
        <w:t>新能源电力主要从事分布式光伏电站的投资、建设及运营。公司通过自建或联营方式开发运营光伏电站，项目并网后通过持有运营取得光伏电站发电收入，或择机转让获取转让收益。</w:t>
      </w:r>
    </w:p>
    <w:p w:rsidR="00E20B54" w:rsidRDefault="00733C9E">
      <w:pPr>
        <w:pStyle w:val="a3"/>
        <w:widowControl/>
        <w:spacing w:beforeAutospacing="0" w:afterAutospacing="0" w:line="288" w:lineRule="auto"/>
        <w:ind w:firstLine="482"/>
        <w:jc w:val="both"/>
        <w:rPr>
          <w:sz w:val="21"/>
          <w:szCs w:val="21"/>
        </w:rPr>
      </w:pPr>
      <w:r>
        <w:rPr>
          <w:color w:val="000000"/>
          <w:sz w:val="21"/>
          <w:szCs w:val="21"/>
        </w:rPr>
        <w:t>（二）经营模式</w:t>
      </w:r>
    </w:p>
    <w:p w:rsidR="00E20B54" w:rsidRDefault="00733C9E">
      <w:pPr>
        <w:pStyle w:val="a3"/>
        <w:widowControl/>
        <w:spacing w:beforeAutospacing="0" w:afterAutospacing="0" w:line="288" w:lineRule="auto"/>
        <w:ind w:firstLine="482"/>
        <w:jc w:val="both"/>
        <w:rPr>
          <w:sz w:val="21"/>
          <w:szCs w:val="21"/>
        </w:rPr>
      </w:pPr>
      <w:r>
        <w:rPr>
          <w:color w:val="000000"/>
          <w:sz w:val="21"/>
          <w:szCs w:val="21"/>
        </w:rPr>
        <w:t>1.</w:t>
      </w:r>
      <w:r>
        <w:rPr>
          <w:color w:val="000000"/>
          <w:sz w:val="21"/>
          <w:szCs w:val="21"/>
        </w:rPr>
        <w:t>销售模式</w:t>
      </w:r>
    </w:p>
    <w:p w:rsidR="00E20B54" w:rsidRDefault="00733C9E">
      <w:pPr>
        <w:pStyle w:val="a3"/>
        <w:widowControl/>
        <w:spacing w:beforeAutospacing="0" w:afterAutospacing="0" w:line="288" w:lineRule="auto"/>
        <w:ind w:firstLine="482"/>
        <w:jc w:val="both"/>
        <w:rPr>
          <w:sz w:val="21"/>
          <w:szCs w:val="21"/>
        </w:rPr>
      </w:pPr>
      <w:r>
        <w:rPr>
          <w:color w:val="000000"/>
          <w:sz w:val="21"/>
          <w:szCs w:val="21"/>
        </w:rPr>
        <w:t>公司主要采用直销业务模式，直接承接客户项目，深度理解、快速响应客户的定制化服务需求，提供项目总体规划、方案设计、软件研发、项目实施及运维服务一体化的信息系统解决方案。同时，为</w:t>
      </w:r>
      <w:r>
        <w:rPr>
          <w:color w:val="000000"/>
          <w:sz w:val="21"/>
          <w:szCs w:val="21"/>
        </w:rPr>
        <w:lastRenderedPageBreak/>
        <w:t>拓展市场空间、发挥公司自有产品和专业技术服务优势，公司部分业务系作为产品或服务供应商参与到其他系统集成商承接的项目，共同为业主方的信息化建设服务。</w:t>
      </w:r>
    </w:p>
    <w:p w:rsidR="00E20B54" w:rsidRDefault="00733C9E">
      <w:pPr>
        <w:pStyle w:val="a3"/>
        <w:widowControl/>
        <w:spacing w:beforeAutospacing="0" w:afterAutospacing="0" w:line="288" w:lineRule="auto"/>
        <w:ind w:firstLine="482"/>
        <w:jc w:val="both"/>
        <w:rPr>
          <w:sz w:val="21"/>
          <w:szCs w:val="21"/>
        </w:rPr>
      </w:pPr>
      <w:r>
        <w:rPr>
          <w:color w:val="000000"/>
          <w:sz w:val="21"/>
          <w:szCs w:val="21"/>
        </w:rPr>
        <w:t>公司通过建设由政企业务中心、营销业务中心及各地分子公司组成的营销服务体系，建立规范化的客户管理制度，及时响应客户需求，提升服务的效率和质量。</w:t>
      </w:r>
    </w:p>
    <w:p w:rsidR="00E20B54" w:rsidRDefault="00733C9E">
      <w:pPr>
        <w:pStyle w:val="a3"/>
        <w:widowControl/>
        <w:spacing w:beforeAutospacing="0" w:afterAutospacing="0" w:line="288" w:lineRule="auto"/>
        <w:ind w:firstLine="482"/>
        <w:jc w:val="both"/>
        <w:rPr>
          <w:sz w:val="21"/>
          <w:szCs w:val="21"/>
        </w:rPr>
      </w:pPr>
      <w:r>
        <w:rPr>
          <w:color w:val="000000"/>
          <w:sz w:val="21"/>
          <w:szCs w:val="21"/>
        </w:rPr>
        <w:t>2.</w:t>
      </w:r>
      <w:r>
        <w:rPr>
          <w:color w:val="000000"/>
          <w:sz w:val="21"/>
          <w:szCs w:val="21"/>
        </w:rPr>
        <w:t>采购模式</w:t>
      </w:r>
    </w:p>
    <w:p w:rsidR="00E20B54" w:rsidRDefault="00733C9E">
      <w:pPr>
        <w:pStyle w:val="a3"/>
        <w:widowControl/>
        <w:spacing w:beforeAutospacing="0" w:afterAutospacing="0" w:line="288" w:lineRule="auto"/>
        <w:ind w:firstLine="482"/>
        <w:jc w:val="both"/>
        <w:rPr>
          <w:sz w:val="21"/>
          <w:szCs w:val="21"/>
        </w:rPr>
      </w:pPr>
      <w:r>
        <w:rPr>
          <w:color w:val="000000"/>
          <w:sz w:val="21"/>
          <w:szCs w:val="21"/>
        </w:rPr>
        <w:t>公司采购主要采用</w:t>
      </w:r>
      <w:r>
        <w:rPr>
          <w:color w:val="000000"/>
          <w:sz w:val="21"/>
          <w:szCs w:val="21"/>
        </w:rPr>
        <w:t>“</w:t>
      </w:r>
      <w:r>
        <w:rPr>
          <w:color w:val="000000"/>
          <w:sz w:val="21"/>
          <w:szCs w:val="21"/>
        </w:rPr>
        <w:t>以销定采</w:t>
      </w:r>
      <w:r>
        <w:rPr>
          <w:color w:val="000000"/>
          <w:sz w:val="21"/>
          <w:szCs w:val="21"/>
        </w:rPr>
        <w:t>”“</w:t>
      </w:r>
      <w:r>
        <w:rPr>
          <w:color w:val="000000"/>
          <w:sz w:val="21"/>
          <w:szCs w:val="21"/>
        </w:rPr>
        <w:t>按需采购</w:t>
      </w:r>
      <w:r>
        <w:rPr>
          <w:color w:val="000000"/>
          <w:sz w:val="21"/>
          <w:szCs w:val="21"/>
        </w:rPr>
        <w:t>”</w:t>
      </w:r>
      <w:r>
        <w:rPr>
          <w:color w:val="000000"/>
          <w:sz w:val="21"/>
          <w:szCs w:val="21"/>
        </w:rPr>
        <w:t>的模式，即根据项目实施的实际需求提出采购申请，采购部集中采购相应产品或服务。</w:t>
      </w:r>
    </w:p>
    <w:p w:rsidR="00E20B54" w:rsidRDefault="00733C9E">
      <w:pPr>
        <w:pStyle w:val="a3"/>
        <w:widowControl/>
        <w:spacing w:beforeAutospacing="0" w:afterAutospacing="0" w:line="288" w:lineRule="auto"/>
        <w:ind w:firstLine="482"/>
        <w:jc w:val="both"/>
        <w:rPr>
          <w:sz w:val="21"/>
          <w:szCs w:val="21"/>
        </w:rPr>
      </w:pPr>
      <w:r>
        <w:rPr>
          <w:color w:val="000000"/>
          <w:sz w:val="21"/>
          <w:szCs w:val="21"/>
        </w:rPr>
        <w:t>公司建立了《供应商管理流程》以规范供应商筛选、引进和考核管理，提高供应质量。</w:t>
      </w:r>
    </w:p>
    <w:p w:rsidR="00E20B54" w:rsidRDefault="00733C9E">
      <w:pPr>
        <w:pStyle w:val="a3"/>
        <w:widowControl/>
        <w:spacing w:beforeAutospacing="0" w:afterAutospacing="0" w:line="288" w:lineRule="auto"/>
        <w:ind w:firstLine="482"/>
        <w:jc w:val="both"/>
        <w:rPr>
          <w:sz w:val="21"/>
          <w:szCs w:val="21"/>
        </w:rPr>
      </w:pPr>
      <w:r>
        <w:rPr>
          <w:color w:val="000000"/>
          <w:sz w:val="21"/>
          <w:szCs w:val="21"/>
        </w:rPr>
        <w:t>3.</w:t>
      </w:r>
      <w:r>
        <w:rPr>
          <w:color w:val="000000"/>
          <w:sz w:val="21"/>
          <w:szCs w:val="21"/>
        </w:rPr>
        <w:t>项目实施模式</w:t>
      </w:r>
    </w:p>
    <w:p w:rsidR="00E20B54" w:rsidRDefault="00733C9E">
      <w:pPr>
        <w:pStyle w:val="a3"/>
        <w:widowControl/>
        <w:spacing w:beforeAutospacing="0" w:afterAutospacing="0" w:line="288" w:lineRule="auto"/>
        <w:ind w:firstLine="482"/>
        <w:jc w:val="both"/>
        <w:rPr>
          <w:sz w:val="21"/>
          <w:szCs w:val="21"/>
        </w:rPr>
      </w:pPr>
      <w:r>
        <w:rPr>
          <w:color w:val="000000"/>
          <w:sz w:val="21"/>
          <w:szCs w:val="21"/>
        </w:rPr>
        <w:t>公司主要采用</w:t>
      </w:r>
      <w:r>
        <w:rPr>
          <w:color w:val="000000"/>
          <w:sz w:val="21"/>
          <w:szCs w:val="21"/>
        </w:rPr>
        <w:t>“</w:t>
      </w:r>
      <w:r>
        <w:rPr>
          <w:color w:val="000000"/>
          <w:sz w:val="21"/>
          <w:szCs w:val="21"/>
        </w:rPr>
        <w:t>以销定产</w:t>
      </w:r>
      <w:r>
        <w:rPr>
          <w:color w:val="000000"/>
          <w:sz w:val="21"/>
          <w:szCs w:val="21"/>
        </w:rPr>
        <w:t>”</w:t>
      </w:r>
      <w:r>
        <w:rPr>
          <w:color w:val="000000"/>
          <w:sz w:val="21"/>
          <w:szCs w:val="21"/>
        </w:rPr>
        <w:t>模式，根据项目合同要求组织合同实施，提供相应的产品和服务。</w:t>
      </w:r>
    </w:p>
    <w:p w:rsidR="00E20B54" w:rsidRDefault="00733C9E">
      <w:pPr>
        <w:pStyle w:val="a3"/>
        <w:widowControl/>
        <w:spacing w:beforeAutospacing="0" w:afterAutospacing="0" w:line="288" w:lineRule="auto"/>
        <w:ind w:firstLine="482"/>
        <w:jc w:val="both"/>
        <w:rPr>
          <w:sz w:val="21"/>
          <w:szCs w:val="21"/>
        </w:rPr>
      </w:pPr>
      <w:r>
        <w:rPr>
          <w:color w:val="000000"/>
          <w:sz w:val="21"/>
          <w:szCs w:val="21"/>
        </w:rPr>
        <w:t>4.</w:t>
      </w:r>
      <w:r>
        <w:rPr>
          <w:color w:val="000000"/>
          <w:sz w:val="21"/>
          <w:szCs w:val="21"/>
        </w:rPr>
        <w:t>研发模式</w:t>
      </w:r>
    </w:p>
    <w:p w:rsidR="00E20B54" w:rsidRDefault="00733C9E">
      <w:pPr>
        <w:pStyle w:val="a3"/>
        <w:widowControl/>
        <w:spacing w:beforeAutospacing="0" w:afterAutospacing="0" w:line="288" w:lineRule="auto"/>
        <w:ind w:firstLine="482"/>
        <w:jc w:val="both"/>
        <w:rPr>
          <w:sz w:val="21"/>
          <w:szCs w:val="21"/>
        </w:rPr>
      </w:pPr>
      <w:r>
        <w:rPr>
          <w:color w:val="000000"/>
          <w:sz w:val="21"/>
          <w:szCs w:val="21"/>
        </w:rPr>
        <w:t>公司研发采用以自主研发为主的模式，同时为了提高研发的效率和效果，部分研发任务委托具有相应研发能力的专业单位进行研发。公司设立研发中心组建专业的研发团队，形成每一个新产品立项、需求可行性分析、制订项目任务书和技术开发计划、组织系统设计、安排原型设计与编码、进行产品测试、试运行、培训、编制操作手册、准备验收资料、组织验收交付、发布产品和申请著作权等全过程管理模式。</w:t>
      </w:r>
    </w:p>
    <w:p w:rsidR="00E20B54" w:rsidRDefault="00733C9E">
      <w:pPr>
        <w:pStyle w:val="a3"/>
        <w:widowControl/>
        <w:spacing w:beforeAutospacing="0" w:afterAutospacing="0" w:line="288" w:lineRule="auto"/>
        <w:ind w:firstLine="482"/>
        <w:jc w:val="both"/>
        <w:rPr>
          <w:sz w:val="21"/>
          <w:szCs w:val="21"/>
        </w:rPr>
      </w:pPr>
      <w:r>
        <w:rPr>
          <w:color w:val="000000"/>
          <w:sz w:val="21"/>
          <w:szCs w:val="21"/>
        </w:rPr>
        <w:t>5.</w:t>
      </w:r>
      <w:r>
        <w:rPr>
          <w:color w:val="000000"/>
          <w:sz w:val="21"/>
          <w:szCs w:val="21"/>
        </w:rPr>
        <w:t>收费模式</w:t>
      </w:r>
    </w:p>
    <w:p w:rsidR="00E20B54" w:rsidRDefault="00733C9E">
      <w:pPr>
        <w:pStyle w:val="a3"/>
        <w:widowControl/>
        <w:spacing w:beforeAutospacing="0" w:afterAutospacing="0" w:line="288" w:lineRule="auto"/>
        <w:ind w:firstLine="482"/>
        <w:jc w:val="both"/>
        <w:rPr>
          <w:sz w:val="21"/>
          <w:szCs w:val="21"/>
        </w:rPr>
      </w:pPr>
      <w:r>
        <w:rPr>
          <w:color w:val="000000"/>
          <w:sz w:val="21"/>
          <w:szCs w:val="21"/>
        </w:rPr>
        <w:t>公司项目通常采用依照项目的合同签订、初验、终验、质保期满等关键节点收取不同比例合同金额的收费模式。依照项目不同施工节点支付进度款是行业主流习惯，少数项目因为客户资金安排等原因也会采用分期付款的方式，公司收费模式与当前市场行情一致。</w:t>
      </w:r>
    </w:p>
    <w:p w:rsidR="00E20B54" w:rsidRDefault="00733C9E">
      <w:pPr>
        <w:pStyle w:val="a3"/>
        <w:widowControl/>
        <w:spacing w:beforeAutospacing="0" w:afterAutospacing="0" w:line="288" w:lineRule="auto"/>
        <w:ind w:firstLine="482"/>
        <w:jc w:val="both"/>
        <w:rPr>
          <w:sz w:val="21"/>
          <w:szCs w:val="21"/>
        </w:rPr>
      </w:pPr>
      <w:r>
        <w:rPr>
          <w:color w:val="000000"/>
          <w:sz w:val="21"/>
          <w:szCs w:val="21"/>
        </w:rPr>
        <w:t>6.</w:t>
      </w:r>
      <w:r>
        <w:rPr>
          <w:color w:val="000000"/>
          <w:sz w:val="21"/>
          <w:szCs w:val="21"/>
        </w:rPr>
        <w:t>盈利模式</w:t>
      </w:r>
    </w:p>
    <w:p w:rsidR="00E20B54" w:rsidRDefault="00733C9E">
      <w:pPr>
        <w:pStyle w:val="a3"/>
        <w:widowControl/>
        <w:spacing w:beforeAutospacing="0" w:afterAutospacing="0" w:line="288" w:lineRule="auto"/>
        <w:ind w:firstLine="482"/>
        <w:jc w:val="both"/>
        <w:rPr>
          <w:sz w:val="21"/>
          <w:szCs w:val="21"/>
        </w:rPr>
      </w:pPr>
      <w:r>
        <w:rPr>
          <w:color w:val="000000"/>
          <w:sz w:val="21"/>
          <w:szCs w:val="21"/>
        </w:rPr>
        <w:t>公司专注为政务、教育、医疗等领域客户的信息化建设提供解决方案、软硬件产品和专业服务、以招投标方式或商务洽谈方式获取客户项目合同或产品销售合同，履行合同约定，按合同向客户收取相关产品或服务的费用，实现收入与利润。</w:t>
      </w:r>
    </w:p>
    <w:p w:rsidR="00E20B54" w:rsidRDefault="00733C9E">
      <w:pPr>
        <w:pStyle w:val="a3"/>
        <w:widowControl/>
        <w:spacing w:beforeAutospacing="0" w:afterAutospacing="0" w:line="288" w:lineRule="auto"/>
        <w:ind w:firstLine="482"/>
        <w:jc w:val="both"/>
        <w:rPr>
          <w:sz w:val="21"/>
          <w:szCs w:val="21"/>
        </w:rPr>
      </w:pPr>
      <w:r>
        <w:rPr>
          <w:color w:val="000000"/>
          <w:sz w:val="21"/>
          <w:szCs w:val="21"/>
        </w:rPr>
        <w:t>（三）公司所处的行业地位</w:t>
      </w:r>
    </w:p>
    <w:p w:rsidR="00E20B54" w:rsidRDefault="00733C9E">
      <w:pPr>
        <w:pStyle w:val="a3"/>
        <w:widowControl/>
        <w:spacing w:beforeAutospacing="0" w:afterAutospacing="0" w:line="288" w:lineRule="auto"/>
        <w:ind w:firstLine="482"/>
        <w:jc w:val="both"/>
        <w:rPr>
          <w:sz w:val="21"/>
          <w:szCs w:val="21"/>
        </w:rPr>
      </w:pPr>
      <w:r>
        <w:rPr>
          <w:color w:val="000000"/>
          <w:sz w:val="21"/>
          <w:szCs w:val="21"/>
        </w:rPr>
        <w:t>当前我国信息技术服务行业企业数量较多，市场集中度不高，竞争较为激烈。行业内企业多以面向某一种类或某个特定领域的客户提供解决方案，大型综合类企业较少。</w:t>
      </w:r>
    </w:p>
    <w:p w:rsidR="00E20B54" w:rsidRDefault="00733C9E">
      <w:pPr>
        <w:pStyle w:val="a3"/>
        <w:widowControl/>
        <w:spacing w:beforeAutospacing="0" w:afterAutospacing="0" w:line="288" w:lineRule="auto"/>
        <w:ind w:firstLine="482"/>
        <w:jc w:val="both"/>
        <w:rPr>
          <w:sz w:val="21"/>
          <w:szCs w:val="21"/>
        </w:rPr>
      </w:pPr>
      <w:r>
        <w:rPr>
          <w:color w:val="000000"/>
          <w:sz w:val="21"/>
          <w:szCs w:val="21"/>
        </w:rPr>
        <w:t>公司深耕信息技术领域二十多年，一直致力于融合物联网、大数据、云计算、人工智能等新一代信息技术，形成了产品研发、信息技术解决方案和信息系统运维服务三大核心业务板块，掌握了数字孪生构建与应用、政务大模型技术与应用、政务大数据分析与挖掘、图像超分与识别、跨平台高性能音视频通讯、统一数据集成、智能人机交互、智能报表、可视化工作流、低代码应用开发十大核心技术能力，持续创新并落地了基层社会治理网格化、市域社会治理、数字乡村、智慧社区、政务服务全场景一体化、数据要素全链条一站式、轨道交通无人值守、轨道交通资产巡视八大核心解决方案。目前公司自有产品已在国内</w:t>
      </w:r>
      <w:r>
        <w:rPr>
          <w:color w:val="000000"/>
          <w:sz w:val="21"/>
          <w:szCs w:val="21"/>
        </w:rPr>
        <w:t>20</w:t>
      </w:r>
      <w:r>
        <w:rPr>
          <w:color w:val="000000"/>
          <w:sz w:val="21"/>
          <w:szCs w:val="21"/>
        </w:rPr>
        <w:t>多个省份成功落地超过</w:t>
      </w:r>
      <w:r>
        <w:rPr>
          <w:color w:val="000000"/>
          <w:sz w:val="21"/>
          <w:szCs w:val="21"/>
        </w:rPr>
        <w:t>1,000</w:t>
      </w:r>
      <w:r>
        <w:rPr>
          <w:color w:val="000000"/>
          <w:sz w:val="21"/>
          <w:szCs w:val="21"/>
        </w:rPr>
        <w:t>个案例，广泛服务于各级党政部门、企事业单位，得到了广大客户的充分肯定和一致好评，在基层社会治理细分领域处于国内领先地位。</w:t>
      </w:r>
    </w:p>
    <w:p w:rsidR="00E20B54" w:rsidRDefault="00733C9E">
      <w:pPr>
        <w:pStyle w:val="2"/>
        <w:spacing w:before="300" w:after="300" w:line="320" w:lineRule="exact"/>
        <w:rPr>
          <w:b/>
          <w:bCs/>
          <w:sz w:val="24"/>
          <w:szCs w:val="24"/>
        </w:rPr>
      </w:pPr>
      <w:bookmarkStart w:id="14" w:name="_Toc988903"/>
      <w:r>
        <w:rPr>
          <w:b/>
          <w:bCs/>
          <w:sz w:val="24"/>
          <w:szCs w:val="24"/>
        </w:rPr>
        <w:lastRenderedPageBreak/>
        <w:t>二、报告期内公司所处行业情况</w:t>
      </w:r>
      <w:bookmarkEnd w:id="14"/>
    </w:p>
    <w:p w:rsidR="00E20B54" w:rsidRDefault="00733C9E">
      <w:pPr>
        <w:spacing w:before="100" w:after="100" w:line="240" w:lineRule="exact"/>
        <w:rPr>
          <w:sz w:val="18"/>
          <w:szCs w:val="18"/>
        </w:rPr>
      </w:pPr>
      <w:r>
        <w:rPr>
          <w:sz w:val="18"/>
          <w:szCs w:val="18"/>
        </w:rPr>
        <w:t>公司需遵守《深圳证券交易所上市公司自律监管指引第</w:t>
      </w:r>
      <w:r>
        <w:rPr>
          <w:sz w:val="18"/>
          <w:szCs w:val="18"/>
        </w:rPr>
        <w:t>3</w:t>
      </w:r>
      <w:r>
        <w:rPr>
          <w:sz w:val="18"/>
          <w:szCs w:val="18"/>
        </w:rPr>
        <w:t>号</w:t>
      </w:r>
      <w:r>
        <w:rPr>
          <w:sz w:val="18"/>
          <w:szCs w:val="18"/>
        </w:rPr>
        <w:t>——</w:t>
      </w:r>
      <w:r>
        <w:rPr>
          <w:sz w:val="18"/>
          <w:szCs w:val="18"/>
        </w:rPr>
        <w:t>行业信息披露》中的</w:t>
      </w:r>
      <w:r>
        <w:rPr>
          <w:sz w:val="18"/>
          <w:szCs w:val="18"/>
        </w:rPr>
        <w:t>“</w:t>
      </w:r>
      <w:r>
        <w:rPr>
          <w:sz w:val="18"/>
          <w:szCs w:val="18"/>
        </w:rPr>
        <w:t>软件与信息技术服务业</w:t>
      </w:r>
      <w:r>
        <w:rPr>
          <w:sz w:val="18"/>
          <w:szCs w:val="18"/>
        </w:rPr>
        <w:t>”</w:t>
      </w:r>
      <w:r>
        <w:rPr>
          <w:sz w:val="18"/>
          <w:szCs w:val="18"/>
        </w:rPr>
        <w:t>的披露要求</w:t>
      </w:r>
    </w:p>
    <w:p w:rsidR="00E20B54" w:rsidRDefault="00733C9E">
      <w:pPr>
        <w:pStyle w:val="a3"/>
        <w:widowControl/>
        <w:spacing w:beforeLines="50" w:before="156" w:beforeAutospacing="0" w:afterLines="50" w:after="156" w:afterAutospacing="0" w:line="288" w:lineRule="auto"/>
        <w:ind w:firstLine="420"/>
        <w:jc w:val="both"/>
      </w:pPr>
      <w:r>
        <w:rPr>
          <w:sz w:val="21"/>
          <w:szCs w:val="21"/>
          <w:lang w:bidi="ar"/>
        </w:rPr>
        <w:t>按照中国证监会《上市公司行业分类指引》，公司所属行业为</w:t>
      </w:r>
      <w:r>
        <w:rPr>
          <w:sz w:val="21"/>
          <w:szCs w:val="21"/>
          <w:lang w:bidi="ar"/>
        </w:rPr>
        <w:t>“</w:t>
      </w:r>
      <w:r>
        <w:rPr>
          <w:sz w:val="21"/>
          <w:szCs w:val="21"/>
          <w:lang w:bidi="ar"/>
        </w:rPr>
        <w:t>软件和信息技术服务业</w:t>
      </w:r>
      <w:r>
        <w:rPr>
          <w:sz w:val="21"/>
          <w:szCs w:val="21"/>
          <w:lang w:bidi="ar"/>
        </w:rPr>
        <w:t>”</w:t>
      </w:r>
      <w:r>
        <w:rPr>
          <w:sz w:val="21"/>
          <w:szCs w:val="21"/>
          <w:lang w:bidi="ar"/>
        </w:rPr>
        <w:t>，公司行业细分领域为智慧政务、智慧教育、智慧医疗及其他智慧城市行业。</w:t>
      </w:r>
    </w:p>
    <w:p w:rsidR="00E20B54" w:rsidRDefault="00733C9E">
      <w:pPr>
        <w:pStyle w:val="a3"/>
        <w:widowControl/>
        <w:spacing w:beforeLines="50" w:before="156" w:beforeAutospacing="0" w:afterLines="50" w:after="156" w:afterAutospacing="0" w:line="288" w:lineRule="auto"/>
        <w:ind w:firstLine="420"/>
        <w:jc w:val="both"/>
      </w:pPr>
      <w:r>
        <w:rPr>
          <w:rStyle w:val="a4"/>
          <w:sz w:val="21"/>
          <w:szCs w:val="21"/>
          <w:lang w:bidi="ar"/>
        </w:rPr>
        <w:t>（一）软件和信息技术服务行业概况</w:t>
      </w:r>
      <w:r>
        <w:rPr>
          <w:rStyle w:val="a4"/>
          <w:sz w:val="21"/>
          <w:szCs w:val="21"/>
          <w:lang w:bidi="ar"/>
        </w:rPr>
        <w:t xml:space="preserve"> </w:t>
      </w:r>
    </w:p>
    <w:p w:rsidR="00E20B54" w:rsidRDefault="00733C9E">
      <w:pPr>
        <w:pStyle w:val="a3"/>
        <w:widowControl/>
        <w:spacing w:beforeLines="50" w:before="156" w:beforeAutospacing="0" w:afterLines="50" w:after="156" w:afterAutospacing="0" w:line="288" w:lineRule="auto"/>
        <w:ind w:firstLine="420"/>
        <w:jc w:val="both"/>
      </w:pPr>
      <w:r>
        <w:rPr>
          <w:sz w:val="21"/>
          <w:szCs w:val="21"/>
          <w:lang w:bidi="ar"/>
        </w:rPr>
        <w:t>2025</w:t>
      </w:r>
      <w:r>
        <w:rPr>
          <w:sz w:val="21"/>
          <w:szCs w:val="21"/>
          <w:lang w:bidi="ar"/>
        </w:rPr>
        <w:t>年，全球人工智能技术加速迭代升级。生成式</w:t>
      </w:r>
      <w:r>
        <w:rPr>
          <w:sz w:val="21"/>
          <w:szCs w:val="21"/>
          <w:lang w:bidi="ar"/>
        </w:rPr>
        <w:t>AI</w:t>
      </w:r>
      <w:r>
        <w:rPr>
          <w:sz w:val="21"/>
          <w:szCs w:val="21"/>
          <w:lang w:bidi="ar"/>
        </w:rPr>
        <w:t>技术、多模态融合技术等新一代人工智能技术逐步从研发阶段进入实际应用，在内容创作、智能助手等生活场景和智能制造、专业服务、软件开发等生产领域得到大规模商用。人工智能技术作为引领新一轮科技革命和产业变革的重要力量，驱动数字经济向人机协同、跨界融合、共创分享的智能经济跃迁。</w:t>
      </w:r>
    </w:p>
    <w:p w:rsidR="00E20B54" w:rsidRDefault="00733C9E">
      <w:pPr>
        <w:pStyle w:val="a3"/>
        <w:widowControl/>
        <w:spacing w:beforeLines="50" w:before="156" w:beforeAutospacing="0" w:afterLines="50" w:after="156" w:afterAutospacing="0" w:line="288" w:lineRule="auto"/>
        <w:ind w:firstLine="420"/>
        <w:jc w:val="both"/>
      </w:pPr>
      <w:r>
        <w:rPr>
          <w:sz w:val="21"/>
          <w:szCs w:val="21"/>
          <w:lang w:bidi="ar"/>
        </w:rPr>
        <w:t>2025</w:t>
      </w:r>
      <w:r>
        <w:rPr>
          <w:sz w:val="21"/>
          <w:szCs w:val="21"/>
          <w:lang w:bidi="ar"/>
        </w:rPr>
        <w:t>年，软件和信息技术服务行业呈现</w:t>
      </w:r>
      <w:r>
        <w:rPr>
          <w:sz w:val="21"/>
          <w:szCs w:val="21"/>
          <w:lang w:bidi="ar"/>
        </w:rPr>
        <w:t>AI</w:t>
      </w:r>
      <w:r>
        <w:rPr>
          <w:sz w:val="21"/>
          <w:szCs w:val="21"/>
          <w:lang w:bidi="ar"/>
        </w:rPr>
        <w:t>原生、自主可控等发展态势，整体保持稳健增长、质效双升。据工信部</w:t>
      </w:r>
      <w:r>
        <w:rPr>
          <w:sz w:val="21"/>
          <w:szCs w:val="21"/>
          <w:lang w:bidi="ar"/>
        </w:rPr>
        <w:t>2026</w:t>
      </w:r>
      <w:r>
        <w:rPr>
          <w:sz w:val="21"/>
          <w:szCs w:val="21"/>
          <w:lang w:bidi="ar"/>
        </w:rPr>
        <w:t>年</w:t>
      </w:r>
      <w:r>
        <w:rPr>
          <w:sz w:val="21"/>
          <w:szCs w:val="21"/>
          <w:lang w:bidi="ar"/>
        </w:rPr>
        <w:t>1</w:t>
      </w:r>
      <w:r>
        <w:rPr>
          <w:sz w:val="21"/>
          <w:szCs w:val="21"/>
          <w:lang w:bidi="ar"/>
        </w:rPr>
        <w:t>月</w:t>
      </w:r>
      <w:r>
        <w:rPr>
          <w:sz w:val="21"/>
          <w:szCs w:val="21"/>
          <w:lang w:bidi="ar"/>
        </w:rPr>
        <w:t>30</w:t>
      </w:r>
      <w:r>
        <w:rPr>
          <w:sz w:val="21"/>
          <w:szCs w:val="21"/>
          <w:lang w:bidi="ar"/>
        </w:rPr>
        <w:t>日发布的《</w:t>
      </w:r>
      <w:r>
        <w:rPr>
          <w:sz w:val="21"/>
          <w:szCs w:val="21"/>
          <w:lang w:bidi="ar"/>
        </w:rPr>
        <w:t>2025</w:t>
      </w:r>
      <w:r>
        <w:rPr>
          <w:sz w:val="21"/>
          <w:szCs w:val="21"/>
          <w:lang w:bidi="ar"/>
        </w:rPr>
        <w:t>年软件和信息技术服务业运行情况》，全年软件业务收入达到</w:t>
      </w:r>
      <w:r>
        <w:rPr>
          <w:sz w:val="21"/>
          <w:szCs w:val="21"/>
          <w:lang w:bidi="ar"/>
        </w:rPr>
        <w:t>154,831</w:t>
      </w:r>
      <w:r>
        <w:rPr>
          <w:sz w:val="21"/>
          <w:szCs w:val="21"/>
          <w:lang w:bidi="ar"/>
        </w:rPr>
        <w:t>亿元，同比增长</w:t>
      </w:r>
      <w:r>
        <w:rPr>
          <w:sz w:val="21"/>
          <w:szCs w:val="21"/>
          <w:lang w:bidi="ar"/>
        </w:rPr>
        <w:t>13.2%</w:t>
      </w:r>
      <w:r>
        <w:rPr>
          <w:sz w:val="21"/>
          <w:szCs w:val="21"/>
          <w:lang w:bidi="ar"/>
        </w:rPr>
        <w:t>；利润总额为</w:t>
      </w:r>
      <w:r>
        <w:rPr>
          <w:sz w:val="21"/>
          <w:szCs w:val="21"/>
          <w:lang w:bidi="ar"/>
        </w:rPr>
        <w:t>18,848</w:t>
      </w:r>
      <w:r>
        <w:rPr>
          <w:sz w:val="21"/>
          <w:szCs w:val="21"/>
          <w:lang w:bidi="ar"/>
        </w:rPr>
        <w:t>亿元，同比增长</w:t>
      </w:r>
      <w:r>
        <w:rPr>
          <w:sz w:val="21"/>
          <w:szCs w:val="21"/>
          <w:lang w:bidi="ar"/>
        </w:rPr>
        <w:t>7.3%</w:t>
      </w:r>
      <w:r>
        <w:rPr>
          <w:sz w:val="21"/>
          <w:szCs w:val="21"/>
          <w:lang w:bidi="ar"/>
        </w:rPr>
        <w:t>。其中，软件产品收入</w:t>
      </w:r>
      <w:r>
        <w:rPr>
          <w:sz w:val="21"/>
          <w:szCs w:val="21"/>
          <w:lang w:bidi="ar"/>
        </w:rPr>
        <w:t>32,361</w:t>
      </w:r>
      <w:r>
        <w:rPr>
          <w:sz w:val="21"/>
          <w:szCs w:val="21"/>
          <w:lang w:bidi="ar"/>
        </w:rPr>
        <w:t>亿元，同比增长</w:t>
      </w:r>
      <w:r>
        <w:rPr>
          <w:sz w:val="21"/>
          <w:szCs w:val="21"/>
          <w:lang w:bidi="ar"/>
        </w:rPr>
        <w:t>10.4%</w:t>
      </w:r>
      <w:r>
        <w:rPr>
          <w:sz w:val="21"/>
          <w:szCs w:val="21"/>
          <w:lang w:bidi="ar"/>
        </w:rPr>
        <w:t>。信息技术服务收入保持两位数高增长，全年收入</w:t>
      </w:r>
      <w:r>
        <w:rPr>
          <w:sz w:val="21"/>
          <w:szCs w:val="21"/>
          <w:lang w:bidi="ar"/>
        </w:rPr>
        <w:t>106,366</w:t>
      </w:r>
      <w:r>
        <w:rPr>
          <w:sz w:val="21"/>
          <w:szCs w:val="21"/>
          <w:lang w:bidi="ar"/>
        </w:rPr>
        <w:t>亿元，同比增长</w:t>
      </w:r>
      <w:r>
        <w:rPr>
          <w:sz w:val="21"/>
          <w:szCs w:val="21"/>
          <w:lang w:bidi="ar"/>
        </w:rPr>
        <w:t>14.7%</w:t>
      </w:r>
      <w:r>
        <w:rPr>
          <w:sz w:val="21"/>
          <w:szCs w:val="21"/>
          <w:lang w:bidi="ar"/>
        </w:rPr>
        <w:t>，占全行业收入</w:t>
      </w:r>
      <w:r>
        <w:rPr>
          <w:sz w:val="21"/>
          <w:szCs w:val="21"/>
          <w:lang w:bidi="ar"/>
        </w:rPr>
        <w:t>68.7%</w:t>
      </w:r>
      <w:r>
        <w:rPr>
          <w:sz w:val="21"/>
          <w:szCs w:val="21"/>
          <w:lang w:bidi="ar"/>
        </w:rPr>
        <w:t>；云计算和大数据服务收入</w:t>
      </w:r>
      <w:r>
        <w:rPr>
          <w:sz w:val="21"/>
          <w:szCs w:val="21"/>
          <w:lang w:bidi="ar"/>
        </w:rPr>
        <w:t>16,230</w:t>
      </w:r>
      <w:r>
        <w:rPr>
          <w:sz w:val="21"/>
          <w:szCs w:val="21"/>
          <w:lang w:bidi="ar"/>
        </w:rPr>
        <w:t>亿元，同比增长</w:t>
      </w:r>
      <w:r>
        <w:rPr>
          <w:sz w:val="21"/>
          <w:szCs w:val="21"/>
          <w:lang w:bidi="ar"/>
        </w:rPr>
        <w:t>13.6%</w:t>
      </w:r>
      <w:r>
        <w:rPr>
          <w:sz w:val="21"/>
          <w:szCs w:val="21"/>
          <w:lang w:bidi="ar"/>
        </w:rPr>
        <w:t>。全年信息传输、软件和信息技术服务业增加值保持较快增长，我国数据总量和算力总规模稳居全球第二。</w:t>
      </w:r>
    </w:p>
    <w:p w:rsidR="00E20B54" w:rsidRDefault="00733C9E">
      <w:pPr>
        <w:pStyle w:val="a3"/>
        <w:widowControl/>
        <w:spacing w:beforeLines="50" w:before="156" w:beforeAutospacing="0" w:afterLines="50" w:after="156" w:afterAutospacing="0" w:line="288" w:lineRule="auto"/>
        <w:ind w:firstLine="420"/>
        <w:jc w:val="both"/>
      </w:pPr>
      <w:r>
        <w:rPr>
          <w:sz w:val="21"/>
          <w:szCs w:val="21"/>
          <w:lang w:bidi="ar"/>
        </w:rPr>
        <w:t>从数字经济到智能经济，重要政策连续出台为经济高质量发展提供有力支撑。</w:t>
      </w:r>
      <w:r>
        <w:rPr>
          <w:sz w:val="21"/>
          <w:szCs w:val="21"/>
          <w:lang w:bidi="ar"/>
        </w:rPr>
        <w:t>2025</w:t>
      </w:r>
      <w:r>
        <w:rPr>
          <w:sz w:val="21"/>
          <w:szCs w:val="21"/>
          <w:lang w:bidi="ar"/>
        </w:rPr>
        <w:t>年</w:t>
      </w:r>
      <w:r>
        <w:rPr>
          <w:sz w:val="21"/>
          <w:szCs w:val="21"/>
          <w:lang w:bidi="ar"/>
        </w:rPr>
        <w:t>4</w:t>
      </w:r>
      <w:r>
        <w:rPr>
          <w:sz w:val="21"/>
          <w:szCs w:val="21"/>
          <w:lang w:bidi="ar"/>
        </w:rPr>
        <w:t>月，国家发展改革委、国家数据局印发《</w:t>
      </w:r>
      <w:r>
        <w:rPr>
          <w:sz w:val="21"/>
          <w:szCs w:val="21"/>
          <w:lang w:bidi="ar"/>
        </w:rPr>
        <w:t>2025</w:t>
      </w:r>
      <w:r>
        <w:rPr>
          <w:sz w:val="21"/>
          <w:szCs w:val="21"/>
          <w:lang w:bidi="ar"/>
        </w:rPr>
        <w:t>年数字经济发展工作要点》，围绕提升数字经济核心竞争力、推动人工智能技术创新与产业应用、实施重点行业数字化转型、培育数字产业集群、完善数据基础制度与数字安全保障等方面部署重点任务。</w:t>
      </w:r>
      <w:r>
        <w:rPr>
          <w:sz w:val="21"/>
          <w:szCs w:val="21"/>
          <w:lang w:bidi="ar"/>
        </w:rPr>
        <w:t>2025</w:t>
      </w:r>
      <w:r>
        <w:rPr>
          <w:sz w:val="21"/>
          <w:szCs w:val="21"/>
          <w:lang w:bidi="ar"/>
        </w:rPr>
        <w:t>年</w:t>
      </w:r>
      <w:r>
        <w:rPr>
          <w:sz w:val="21"/>
          <w:szCs w:val="21"/>
          <w:lang w:bidi="ar"/>
        </w:rPr>
        <w:t>8</w:t>
      </w:r>
      <w:r>
        <w:rPr>
          <w:sz w:val="21"/>
          <w:szCs w:val="21"/>
          <w:lang w:bidi="ar"/>
        </w:rPr>
        <w:t>月</w:t>
      </w:r>
      <w:r>
        <w:rPr>
          <w:sz w:val="21"/>
          <w:szCs w:val="21"/>
          <w:lang w:bidi="ar"/>
        </w:rPr>
        <w:t>21</w:t>
      </w:r>
      <w:r>
        <w:rPr>
          <w:sz w:val="21"/>
          <w:szCs w:val="21"/>
          <w:lang w:bidi="ar"/>
        </w:rPr>
        <w:t>日，国务院发布《关于深入实施</w:t>
      </w:r>
      <w:r>
        <w:rPr>
          <w:sz w:val="21"/>
          <w:szCs w:val="21"/>
          <w:lang w:bidi="ar"/>
        </w:rPr>
        <w:t>"</w:t>
      </w:r>
      <w:r>
        <w:rPr>
          <w:sz w:val="21"/>
          <w:szCs w:val="21"/>
          <w:lang w:bidi="ar"/>
        </w:rPr>
        <w:t>人工智能</w:t>
      </w:r>
      <w:r>
        <w:rPr>
          <w:sz w:val="21"/>
          <w:szCs w:val="21"/>
          <w:lang w:bidi="ar"/>
        </w:rPr>
        <w:t>+"</w:t>
      </w:r>
      <w:r>
        <w:rPr>
          <w:sz w:val="21"/>
          <w:szCs w:val="21"/>
          <w:lang w:bidi="ar"/>
        </w:rPr>
        <w:t>行动的意见》（国发〔</w:t>
      </w:r>
      <w:r>
        <w:rPr>
          <w:sz w:val="21"/>
          <w:szCs w:val="21"/>
          <w:lang w:bidi="ar"/>
        </w:rPr>
        <w:t>2025</w:t>
      </w:r>
      <w:r>
        <w:rPr>
          <w:sz w:val="21"/>
          <w:szCs w:val="21"/>
          <w:lang w:bidi="ar"/>
        </w:rPr>
        <w:t>〕</w:t>
      </w:r>
      <w:r>
        <w:rPr>
          <w:sz w:val="21"/>
          <w:szCs w:val="21"/>
          <w:lang w:bidi="ar"/>
        </w:rPr>
        <w:t>11</w:t>
      </w:r>
      <w:r>
        <w:rPr>
          <w:sz w:val="21"/>
          <w:szCs w:val="21"/>
          <w:lang w:bidi="ar"/>
        </w:rPr>
        <w:t>号），提出以科技、产业、消费、民生、治理、全球合作六大领域为重点，深入实施</w:t>
      </w:r>
      <w:r>
        <w:rPr>
          <w:sz w:val="21"/>
          <w:szCs w:val="21"/>
          <w:lang w:bidi="ar"/>
        </w:rPr>
        <w:t>"</w:t>
      </w:r>
      <w:r>
        <w:rPr>
          <w:sz w:val="21"/>
          <w:szCs w:val="21"/>
          <w:lang w:bidi="ar"/>
        </w:rPr>
        <w:t>人工智能</w:t>
      </w:r>
      <w:r>
        <w:rPr>
          <w:sz w:val="21"/>
          <w:szCs w:val="21"/>
          <w:lang w:bidi="ar"/>
        </w:rPr>
        <w:t>+"</w:t>
      </w:r>
      <w:r>
        <w:rPr>
          <w:sz w:val="21"/>
          <w:szCs w:val="21"/>
          <w:lang w:bidi="ar"/>
        </w:rPr>
        <w:t>行动，推动人工智能全面赋能高质量发展。</w:t>
      </w:r>
      <w:r>
        <w:rPr>
          <w:sz w:val="21"/>
          <w:szCs w:val="21"/>
          <w:lang w:bidi="ar"/>
        </w:rPr>
        <w:t>2025</w:t>
      </w:r>
      <w:r>
        <w:rPr>
          <w:sz w:val="21"/>
          <w:szCs w:val="21"/>
          <w:lang w:bidi="ar"/>
        </w:rPr>
        <w:t>年</w:t>
      </w:r>
      <w:r>
        <w:rPr>
          <w:sz w:val="21"/>
          <w:szCs w:val="21"/>
          <w:lang w:bidi="ar"/>
        </w:rPr>
        <w:t>10</w:t>
      </w:r>
      <w:r>
        <w:rPr>
          <w:sz w:val="21"/>
          <w:szCs w:val="21"/>
          <w:lang w:bidi="ar"/>
        </w:rPr>
        <w:t>月</w:t>
      </w:r>
      <w:r>
        <w:rPr>
          <w:sz w:val="21"/>
          <w:szCs w:val="21"/>
          <w:lang w:bidi="ar"/>
        </w:rPr>
        <w:t>14</w:t>
      </w:r>
      <w:r>
        <w:rPr>
          <w:sz w:val="21"/>
          <w:szCs w:val="21"/>
          <w:lang w:bidi="ar"/>
        </w:rPr>
        <w:t>日，国家发展改革委、国家数据局、财政部、住房城乡建设部、自然资源部联合印发《深化智慧城市发展</w:t>
      </w:r>
      <w:r>
        <w:rPr>
          <w:sz w:val="21"/>
          <w:szCs w:val="21"/>
          <w:lang w:bidi="ar"/>
        </w:rPr>
        <w:t xml:space="preserve"> </w:t>
      </w:r>
      <w:r>
        <w:rPr>
          <w:sz w:val="21"/>
          <w:szCs w:val="21"/>
          <w:lang w:bidi="ar"/>
        </w:rPr>
        <w:t>推进全域数字化转型行动计划》（发改数据〔</w:t>
      </w:r>
      <w:r>
        <w:rPr>
          <w:sz w:val="21"/>
          <w:szCs w:val="21"/>
          <w:lang w:bidi="ar"/>
        </w:rPr>
        <w:t>2025</w:t>
      </w:r>
      <w:r>
        <w:rPr>
          <w:sz w:val="21"/>
          <w:szCs w:val="21"/>
          <w:lang w:bidi="ar"/>
        </w:rPr>
        <w:t>〕</w:t>
      </w:r>
      <w:r>
        <w:rPr>
          <w:sz w:val="21"/>
          <w:szCs w:val="21"/>
          <w:lang w:bidi="ar"/>
        </w:rPr>
        <w:t>1306</w:t>
      </w:r>
      <w:r>
        <w:rPr>
          <w:sz w:val="21"/>
          <w:szCs w:val="21"/>
          <w:lang w:bidi="ar"/>
        </w:rPr>
        <w:t>号），明确提出将城市作为推进数字中国建设的综合载体，以数据赋能城市经济社会发展全局为重点，以城市数字底座建设为支撑，以适数化改革为保障，推进设施联通、数据融通、平台互通、业务贯通，全领域推进城市数字化转型。</w:t>
      </w:r>
    </w:p>
    <w:p w:rsidR="00E20B54" w:rsidRDefault="00733C9E">
      <w:pPr>
        <w:pStyle w:val="a3"/>
        <w:widowControl/>
        <w:spacing w:beforeLines="50" w:before="156" w:beforeAutospacing="0" w:afterLines="50" w:after="156" w:afterAutospacing="0" w:line="288" w:lineRule="auto"/>
        <w:ind w:firstLine="420"/>
        <w:jc w:val="both"/>
      </w:pPr>
      <w:r>
        <w:rPr>
          <w:sz w:val="21"/>
          <w:szCs w:val="21"/>
          <w:lang w:bidi="ar"/>
        </w:rPr>
        <w:t>展望</w:t>
      </w:r>
      <w:r>
        <w:rPr>
          <w:sz w:val="21"/>
          <w:szCs w:val="21"/>
          <w:lang w:bidi="ar"/>
        </w:rPr>
        <w:t>2026</w:t>
      </w:r>
      <w:r>
        <w:rPr>
          <w:sz w:val="21"/>
          <w:szCs w:val="21"/>
          <w:lang w:bidi="ar"/>
        </w:rPr>
        <w:t>年，在政策牵引与技术创新突破双重驱动下，软件和信息技术服务行业将迎来</w:t>
      </w:r>
      <w:r>
        <w:rPr>
          <w:sz w:val="21"/>
          <w:szCs w:val="21"/>
          <w:lang w:bidi="ar"/>
        </w:rPr>
        <w:t>AI</w:t>
      </w:r>
      <w:r>
        <w:rPr>
          <w:sz w:val="21"/>
          <w:szCs w:val="21"/>
          <w:lang w:bidi="ar"/>
        </w:rPr>
        <w:t>原生驱动的全域智能化变革。《中华人民共和国国民经济和社会发展第十五个五年规划纲要》明确提出把握数字化、网络化、智能化发展大势，充分发挥我国数据资源丰富、产业体系完备、应用场景广阔优势，激活数据要素潜能，加快数智技术创新，深化拓展</w:t>
      </w:r>
      <w:r>
        <w:rPr>
          <w:sz w:val="21"/>
          <w:szCs w:val="21"/>
          <w:lang w:bidi="ar"/>
        </w:rPr>
        <w:t>“</w:t>
      </w:r>
      <w:r>
        <w:rPr>
          <w:sz w:val="21"/>
          <w:szCs w:val="21"/>
          <w:lang w:bidi="ar"/>
        </w:rPr>
        <w:t>人工智能</w:t>
      </w:r>
      <w:r>
        <w:rPr>
          <w:sz w:val="21"/>
          <w:szCs w:val="21"/>
          <w:lang w:bidi="ar"/>
        </w:rPr>
        <w:t>+”</w:t>
      </w:r>
      <w:r>
        <w:rPr>
          <w:sz w:val="21"/>
          <w:szCs w:val="21"/>
          <w:lang w:bidi="ar"/>
        </w:rPr>
        <w:t>，赋能经济社会发展和治理能力提升，促进生产方式深层次变革和生产力革命性跃迁。《关于深入实施</w:t>
      </w:r>
      <w:r>
        <w:rPr>
          <w:sz w:val="21"/>
          <w:szCs w:val="21"/>
          <w:lang w:bidi="ar"/>
        </w:rPr>
        <w:t>“</w:t>
      </w:r>
      <w:r>
        <w:rPr>
          <w:sz w:val="21"/>
          <w:szCs w:val="21"/>
          <w:lang w:bidi="ar"/>
        </w:rPr>
        <w:t>人工智能</w:t>
      </w:r>
      <w:r>
        <w:rPr>
          <w:sz w:val="21"/>
          <w:szCs w:val="21"/>
          <w:lang w:bidi="ar"/>
        </w:rPr>
        <w:t>+”</w:t>
      </w:r>
      <w:r>
        <w:rPr>
          <w:sz w:val="21"/>
          <w:szCs w:val="21"/>
          <w:lang w:bidi="ar"/>
        </w:rPr>
        <w:t>行动的意见》《工业互联网和人工智能融合赋能行动方案》等政策文件落地也为各行业数智化改造与设备更新提供清晰指引。人工智能将全面渗透软件研发、测试、运维全生命周期，关键软件迭代提速；人工智能与行业知识深度融合</w:t>
      </w:r>
      <w:r>
        <w:rPr>
          <w:sz w:val="21"/>
          <w:szCs w:val="21"/>
          <w:lang w:bidi="ar"/>
        </w:rPr>
        <w:lastRenderedPageBreak/>
        <w:t>应用持续深化，推动行业软件向标准化、智能化、一体化加速演进；操作系统、应用生态与终端硬件融合创新，加快</w:t>
      </w:r>
      <w:r>
        <w:rPr>
          <w:sz w:val="21"/>
          <w:szCs w:val="21"/>
          <w:lang w:bidi="ar"/>
        </w:rPr>
        <w:t>IT</w:t>
      </w:r>
      <w:r>
        <w:rPr>
          <w:sz w:val="21"/>
          <w:szCs w:val="21"/>
          <w:lang w:bidi="ar"/>
        </w:rPr>
        <w:t>产业智能化落地，全面助力传统产业数智化转型升级与新质生产力培育。</w:t>
      </w:r>
    </w:p>
    <w:p w:rsidR="00E20B54" w:rsidRDefault="00733C9E">
      <w:pPr>
        <w:pStyle w:val="a3"/>
        <w:widowControl/>
        <w:spacing w:beforeLines="50" w:before="156" w:beforeAutospacing="0" w:afterLines="50" w:after="156" w:afterAutospacing="0" w:line="288" w:lineRule="auto"/>
        <w:ind w:firstLine="420"/>
        <w:jc w:val="both"/>
      </w:pPr>
      <w:r>
        <w:rPr>
          <w:rStyle w:val="a4"/>
          <w:sz w:val="21"/>
          <w:szCs w:val="21"/>
          <w:lang w:bidi="ar"/>
        </w:rPr>
        <w:t>（二）智慧城市行业概况</w:t>
      </w:r>
    </w:p>
    <w:p w:rsidR="00E20B54" w:rsidRDefault="00733C9E">
      <w:pPr>
        <w:pStyle w:val="a3"/>
        <w:widowControl/>
        <w:spacing w:beforeLines="50" w:before="156" w:beforeAutospacing="0" w:afterLines="50" w:after="156" w:afterAutospacing="0" w:line="288" w:lineRule="auto"/>
        <w:ind w:firstLine="420"/>
        <w:jc w:val="both"/>
      </w:pPr>
      <w:r>
        <w:rPr>
          <w:sz w:val="21"/>
          <w:szCs w:val="21"/>
          <w:lang w:bidi="ar"/>
        </w:rPr>
        <w:t>2025</w:t>
      </w:r>
      <w:r>
        <w:rPr>
          <w:sz w:val="21"/>
          <w:szCs w:val="21"/>
          <w:lang w:bidi="ar"/>
        </w:rPr>
        <w:t>年，智慧城市建设步入全域数字化转型的关键阶段。作为数字中国建设的核心载体、新型城镇化与数字经济协同发展的重要抓手，行业发展实现从单点建设向全域协同、从硬件驱动向数据与运营价值挖掘的深刻转变，整体呈现政策引领、技术赋能、场景深化、生态协同的发展态势，市场空间持续扩容。</w:t>
      </w:r>
    </w:p>
    <w:p w:rsidR="00E20B54" w:rsidRDefault="00733C9E">
      <w:pPr>
        <w:pStyle w:val="a3"/>
        <w:widowControl/>
        <w:spacing w:beforeLines="50" w:before="156" w:beforeAutospacing="0" w:afterLines="50" w:after="156" w:afterAutospacing="0" w:line="288" w:lineRule="auto"/>
        <w:ind w:firstLine="420"/>
        <w:jc w:val="both"/>
      </w:pPr>
      <w:r>
        <w:rPr>
          <w:sz w:val="21"/>
          <w:szCs w:val="21"/>
          <w:lang w:bidi="ar"/>
        </w:rPr>
        <w:t>根据</w:t>
      </w:r>
      <w:r>
        <w:rPr>
          <w:sz w:val="21"/>
          <w:szCs w:val="21"/>
          <w:lang w:bidi="ar"/>
        </w:rPr>
        <w:t>IDC</w:t>
      </w:r>
      <w:r>
        <w:rPr>
          <w:sz w:val="21"/>
          <w:szCs w:val="21"/>
          <w:lang w:bidi="ar"/>
        </w:rPr>
        <w:t>中国发布的《中国智慧城市</w:t>
      </w:r>
      <w:r>
        <w:rPr>
          <w:sz w:val="21"/>
          <w:szCs w:val="21"/>
          <w:lang w:bidi="ar"/>
        </w:rPr>
        <w:t>ICT</w:t>
      </w:r>
      <w:r>
        <w:rPr>
          <w:sz w:val="21"/>
          <w:szCs w:val="21"/>
          <w:lang w:bidi="ar"/>
        </w:rPr>
        <w:t>市场预测（</w:t>
      </w:r>
      <w:r>
        <w:rPr>
          <w:sz w:val="21"/>
          <w:szCs w:val="21"/>
          <w:lang w:bidi="ar"/>
        </w:rPr>
        <w:t>2025–2029</w:t>
      </w:r>
      <w:r>
        <w:rPr>
          <w:sz w:val="21"/>
          <w:szCs w:val="21"/>
          <w:lang w:bidi="ar"/>
        </w:rPr>
        <w:t>）》，</w:t>
      </w:r>
      <w:r>
        <w:rPr>
          <w:sz w:val="21"/>
          <w:szCs w:val="21"/>
          <w:lang w:bidi="ar"/>
        </w:rPr>
        <w:t>2025</w:t>
      </w:r>
      <w:r>
        <w:rPr>
          <w:sz w:val="21"/>
          <w:szCs w:val="21"/>
          <w:lang w:bidi="ar"/>
        </w:rPr>
        <w:t>年国内智慧城市在总体市场规模约</w:t>
      </w:r>
      <w:r>
        <w:rPr>
          <w:sz w:val="21"/>
          <w:szCs w:val="21"/>
          <w:lang w:bidi="ar"/>
        </w:rPr>
        <w:t>9,545.2</w:t>
      </w:r>
      <w:r>
        <w:rPr>
          <w:sz w:val="21"/>
          <w:szCs w:val="21"/>
          <w:lang w:bidi="ar"/>
        </w:rPr>
        <w:t>亿元人民币，</w:t>
      </w:r>
      <w:r>
        <w:rPr>
          <w:sz w:val="21"/>
          <w:szCs w:val="21"/>
          <w:lang w:bidi="ar"/>
        </w:rPr>
        <w:t>2024–2029</w:t>
      </w:r>
      <w:r>
        <w:rPr>
          <w:sz w:val="21"/>
          <w:szCs w:val="21"/>
          <w:lang w:bidi="ar"/>
        </w:rPr>
        <w:t>年的年均复合增长率（</w:t>
      </w:r>
      <w:r>
        <w:rPr>
          <w:sz w:val="21"/>
          <w:szCs w:val="21"/>
          <w:lang w:bidi="ar"/>
        </w:rPr>
        <w:t>CAGR</w:t>
      </w:r>
      <w:r>
        <w:rPr>
          <w:sz w:val="21"/>
          <w:szCs w:val="21"/>
          <w:lang w:bidi="ar"/>
        </w:rPr>
        <w:t>）为</w:t>
      </w:r>
      <w:r>
        <w:rPr>
          <w:sz w:val="21"/>
          <w:szCs w:val="21"/>
          <w:lang w:bidi="ar"/>
        </w:rPr>
        <w:t>3.6%</w:t>
      </w:r>
      <w:r>
        <w:rPr>
          <w:sz w:val="21"/>
          <w:szCs w:val="21"/>
          <w:lang w:bidi="ar"/>
        </w:rPr>
        <w:t>，市场进入稳健、理性增长阶段。</w:t>
      </w:r>
      <w:r>
        <w:rPr>
          <w:sz w:val="21"/>
          <w:szCs w:val="21"/>
          <w:lang w:bidi="ar"/>
        </w:rPr>
        <w:t>“</w:t>
      </w:r>
      <w:r>
        <w:rPr>
          <w:sz w:val="21"/>
          <w:szCs w:val="21"/>
          <w:lang w:bidi="ar"/>
        </w:rPr>
        <w:t>人工智能</w:t>
      </w:r>
      <w:r>
        <w:rPr>
          <w:sz w:val="21"/>
          <w:szCs w:val="21"/>
          <w:lang w:bidi="ar"/>
        </w:rPr>
        <w:t>+”</w:t>
      </w:r>
      <w:r>
        <w:rPr>
          <w:sz w:val="21"/>
          <w:szCs w:val="21"/>
          <w:lang w:bidi="ar"/>
        </w:rPr>
        <w:t>行动推进下，企业数字化、智慧政务、智慧教育等核心场景持续深化。企业数字化加速渗透，根据中信联报告，</w:t>
      </w:r>
      <w:r>
        <w:rPr>
          <w:sz w:val="21"/>
          <w:szCs w:val="21"/>
          <w:lang w:bidi="ar"/>
        </w:rPr>
        <w:t>2025</w:t>
      </w:r>
      <w:r>
        <w:rPr>
          <w:sz w:val="21"/>
          <w:szCs w:val="21"/>
          <w:lang w:bidi="ar"/>
        </w:rPr>
        <w:t>年</w:t>
      </w:r>
      <w:r>
        <w:rPr>
          <w:sz w:val="21"/>
          <w:szCs w:val="21"/>
          <w:lang w:bidi="ar"/>
        </w:rPr>
        <w:t>15.08%</w:t>
      </w:r>
      <w:r>
        <w:rPr>
          <w:sz w:val="21"/>
          <w:szCs w:val="21"/>
          <w:lang w:bidi="ar"/>
        </w:rPr>
        <w:t>企业迈入数字化实质性转型阶段，成为智慧城市与产业融合的重要支撑；智慧政务持续深化</w:t>
      </w:r>
      <w:r>
        <w:rPr>
          <w:sz w:val="21"/>
          <w:szCs w:val="21"/>
          <w:lang w:bidi="ar"/>
        </w:rPr>
        <w:t>“</w:t>
      </w:r>
      <w:r>
        <w:rPr>
          <w:sz w:val="21"/>
          <w:szCs w:val="21"/>
          <w:lang w:bidi="ar"/>
        </w:rPr>
        <w:t>一网统管</w:t>
      </w:r>
      <w:r>
        <w:rPr>
          <w:sz w:val="21"/>
          <w:szCs w:val="21"/>
          <w:lang w:bidi="ar"/>
        </w:rPr>
        <w:t>”</w:t>
      </w:r>
      <w:r>
        <w:rPr>
          <w:sz w:val="21"/>
          <w:szCs w:val="21"/>
          <w:lang w:bidi="ar"/>
        </w:rPr>
        <w:t>建设，构建城市运行体征指标体系，建立数据赋能、分级协作、闭环落实的智慧高效治理机制；智慧教育聚焦普惠化、个性化发展，依托</w:t>
      </w:r>
      <w:r>
        <w:rPr>
          <w:sz w:val="21"/>
          <w:szCs w:val="21"/>
          <w:lang w:bidi="ar"/>
        </w:rPr>
        <w:t>AI</w:t>
      </w:r>
      <w:r>
        <w:rPr>
          <w:sz w:val="21"/>
          <w:szCs w:val="21"/>
          <w:lang w:bidi="ar"/>
        </w:rPr>
        <w:t>、物联网等技术实现教学场景智能化升级，拓展</w:t>
      </w:r>
      <w:r>
        <w:rPr>
          <w:sz w:val="21"/>
          <w:szCs w:val="21"/>
          <w:lang w:bidi="ar"/>
        </w:rPr>
        <w:t>“</w:t>
      </w:r>
      <w:r>
        <w:rPr>
          <w:sz w:val="21"/>
          <w:szCs w:val="21"/>
          <w:lang w:bidi="ar"/>
        </w:rPr>
        <w:t>人工智能</w:t>
      </w:r>
      <w:r>
        <w:rPr>
          <w:sz w:val="21"/>
          <w:szCs w:val="21"/>
          <w:lang w:bidi="ar"/>
        </w:rPr>
        <w:t>+</w:t>
      </w:r>
      <w:r>
        <w:rPr>
          <w:sz w:val="21"/>
          <w:szCs w:val="21"/>
          <w:lang w:bidi="ar"/>
        </w:rPr>
        <w:t>教育</w:t>
      </w:r>
      <w:r>
        <w:rPr>
          <w:sz w:val="21"/>
          <w:szCs w:val="21"/>
          <w:lang w:bidi="ar"/>
        </w:rPr>
        <w:t>”“</w:t>
      </w:r>
      <w:r>
        <w:rPr>
          <w:sz w:val="21"/>
          <w:szCs w:val="21"/>
          <w:lang w:bidi="ar"/>
        </w:rPr>
        <w:t>一网通学</w:t>
      </w:r>
      <w:r>
        <w:rPr>
          <w:sz w:val="21"/>
          <w:szCs w:val="21"/>
          <w:lang w:bidi="ar"/>
        </w:rPr>
        <w:t>”</w:t>
      </w:r>
      <w:r>
        <w:rPr>
          <w:sz w:val="21"/>
          <w:szCs w:val="21"/>
          <w:lang w:bidi="ar"/>
        </w:rPr>
        <w:t>等创新应用。</w:t>
      </w:r>
    </w:p>
    <w:p w:rsidR="00E20B54" w:rsidRDefault="00733C9E">
      <w:pPr>
        <w:pStyle w:val="a3"/>
        <w:widowControl/>
        <w:spacing w:beforeLines="50" w:before="156" w:beforeAutospacing="0" w:afterLines="50" w:after="156" w:afterAutospacing="0" w:line="288" w:lineRule="auto"/>
        <w:ind w:firstLine="420"/>
        <w:jc w:val="both"/>
      </w:pPr>
      <w:r>
        <w:rPr>
          <w:sz w:val="21"/>
          <w:szCs w:val="21"/>
          <w:lang w:bidi="ar"/>
        </w:rPr>
        <w:t>智能自助终端是智慧城市智能交互环境的载体，深度嵌入政务、社区、交通、商圈等多元场景，承载城市服务精细化、便捷化、智能化转型的重要功能。伴随智慧城市建设纵深推进，市场对终端设备的集成度、安全性与场景适配性提出更高要求，驱动产品向高质量、差异化方向演进。随着数字经济向智能经济跃迁，新一代智能终端加速实现</w:t>
      </w:r>
      <w:r>
        <w:rPr>
          <w:sz w:val="21"/>
          <w:szCs w:val="21"/>
          <w:lang w:bidi="ar"/>
        </w:rPr>
        <w:t>“</w:t>
      </w:r>
      <w:r>
        <w:rPr>
          <w:sz w:val="21"/>
          <w:szCs w:val="21"/>
          <w:lang w:bidi="ar"/>
        </w:rPr>
        <w:t>万物智联</w:t>
      </w:r>
      <w:r>
        <w:rPr>
          <w:sz w:val="21"/>
          <w:szCs w:val="21"/>
          <w:lang w:bidi="ar"/>
        </w:rPr>
        <w:t>”</w:t>
      </w:r>
      <w:r>
        <w:rPr>
          <w:sz w:val="21"/>
          <w:szCs w:val="21"/>
          <w:lang w:bidi="ar"/>
        </w:rPr>
        <w:t>，培育产品消费新业态，提升公共服务精准化水平，推动构建人机协同、数据驱动的城市治理新模式。</w:t>
      </w:r>
    </w:p>
    <w:p w:rsidR="00E20B54" w:rsidRDefault="00733C9E">
      <w:pPr>
        <w:pStyle w:val="a3"/>
        <w:widowControl/>
        <w:spacing w:beforeLines="50" w:before="156" w:beforeAutospacing="0" w:afterLines="50" w:after="156" w:afterAutospacing="0" w:line="288" w:lineRule="auto"/>
        <w:ind w:firstLine="420"/>
        <w:jc w:val="both"/>
      </w:pPr>
      <w:r>
        <w:rPr>
          <w:rStyle w:val="a4"/>
          <w:sz w:val="21"/>
          <w:szCs w:val="21"/>
          <w:lang w:bidi="ar"/>
        </w:rPr>
        <w:t>（三）信创行业概况</w:t>
      </w:r>
    </w:p>
    <w:p w:rsidR="00E20B54" w:rsidRDefault="00733C9E">
      <w:pPr>
        <w:pStyle w:val="a3"/>
        <w:widowControl/>
        <w:spacing w:beforeLines="50" w:before="156" w:beforeAutospacing="0" w:afterLines="50" w:after="156" w:afterAutospacing="0" w:line="288" w:lineRule="auto"/>
        <w:ind w:firstLine="420"/>
        <w:jc w:val="both"/>
      </w:pPr>
      <w:r>
        <w:rPr>
          <w:sz w:val="21"/>
          <w:szCs w:val="21"/>
          <w:lang w:bidi="ar"/>
        </w:rPr>
        <w:t>信创行业作为智慧城市建设的安全底座和核心支撑，</w:t>
      </w:r>
      <w:r>
        <w:rPr>
          <w:sz w:val="21"/>
          <w:szCs w:val="21"/>
          <w:lang w:bidi="ar"/>
        </w:rPr>
        <w:t>2025</w:t>
      </w:r>
      <w:r>
        <w:rPr>
          <w:sz w:val="21"/>
          <w:szCs w:val="21"/>
          <w:lang w:bidi="ar"/>
        </w:rPr>
        <w:t>年步入高质量发展关键期，围绕国产替代与数据要素价值释放两大主线，实现从</w:t>
      </w:r>
      <w:r>
        <w:rPr>
          <w:sz w:val="21"/>
          <w:szCs w:val="21"/>
          <w:lang w:bidi="ar"/>
        </w:rPr>
        <w:t>“</w:t>
      </w:r>
      <w:r>
        <w:rPr>
          <w:sz w:val="21"/>
          <w:szCs w:val="21"/>
          <w:lang w:bidi="ar"/>
        </w:rPr>
        <w:t>合规替代</w:t>
      </w:r>
      <w:r>
        <w:rPr>
          <w:sz w:val="21"/>
          <w:szCs w:val="21"/>
          <w:lang w:bidi="ar"/>
        </w:rPr>
        <w:t>”</w:t>
      </w:r>
      <w:r>
        <w:rPr>
          <w:sz w:val="21"/>
          <w:szCs w:val="21"/>
          <w:lang w:bidi="ar"/>
        </w:rPr>
        <w:t>向</w:t>
      </w:r>
      <w:r>
        <w:rPr>
          <w:sz w:val="21"/>
          <w:szCs w:val="21"/>
          <w:lang w:bidi="ar"/>
        </w:rPr>
        <w:t>“</w:t>
      </w:r>
      <w:r>
        <w:rPr>
          <w:sz w:val="21"/>
          <w:szCs w:val="21"/>
          <w:lang w:bidi="ar"/>
        </w:rPr>
        <w:t>价值创造</w:t>
      </w:r>
      <w:r>
        <w:rPr>
          <w:sz w:val="21"/>
          <w:szCs w:val="21"/>
          <w:lang w:bidi="ar"/>
        </w:rPr>
        <w:t>”</w:t>
      </w:r>
      <w:r>
        <w:rPr>
          <w:sz w:val="21"/>
          <w:szCs w:val="21"/>
          <w:lang w:bidi="ar"/>
        </w:rPr>
        <w:t>的深度转型，成为驱动智慧城市全域数字化的核心动力。</w:t>
      </w:r>
    </w:p>
    <w:p w:rsidR="00E20B54" w:rsidRDefault="00733C9E">
      <w:pPr>
        <w:pStyle w:val="a3"/>
        <w:widowControl/>
        <w:spacing w:beforeLines="50" w:before="156" w:beforeAutospacing="0" w:afterLines="50" w:after="156" w:afterAutospacing="0" w:line="288" w:lineRule="auto"/>
        <w:ind w:firstLine="420"/>
        <w:jc w:val="both"/>
      </w:pPr>
      <w:r>
        <w:rPr>
          <w:sz w:val="21"/>
          <w:szCs w:val="21"/>
          <w:lang w:bidi="ar"/>
        </w:rPr>
        <w:t>根据</w:t>
      </w:r>
      <w:r>
        <w:rPr>
          <w:sz w:val="21"/>
          <w:szCs w:val="21"/>
          <w:lang w:bidi="ar"/>
        </w:rPr>
        <w:t>IDC</w:t>
      </w:r>
      <w:r>
        <w:rPr>
          <w:sz w:val="21"/>
          <w:szCs w:val="21"/>
          <w:lang w:bidi="ar"/>
        </w:rPr>
        <w:t>预测，</w:t>
      </w:r>
      <w:r>
        <w:rPr>
          <w:sz w:val="21"/>
          <w:szCs w:val="21"/>
          <w:lang w:bidi="ar"/>
        </w:rPr>
        <w:t>2025</w:t>
      </w:r>
      <w:r>
        <w:rPr>
          <w:sz w:val="21"/>
          <w:szCs w:val="21"/>
          <w:lang w:bidi="ar"/>
        </w:rPr>
        <w:t>年中国信创产业市场规模预计达</w:t>
      </w:r>
      <w:r>
        <w:rPr>
          <w:sz w:val="21"/>
          <w:szCs w:val="21"/>
          <w:lang w:bidi="ar"/>
        </w:rPr>
        <w:t>1.2</w:t>
      </w:r>
      <w:r>
        <w:rPr>
          <w:sz w:val="21"/>
          <w:szCs w:val="21"/>
          <w:lang w:bidi="ar"/>
        </w:rPr>
        <w:t>万亿元，近五年复合增长率超过</w:t>
      </w:r>
      <w:r>
        <w:rPr>
          <w:sz w:val="21"/>
          <w:szCs w:val="21"/>
          <w:lang w:bidi="ar"/>
        </w:rPr>
        <w:t>35%</w:t>
      </w:r>
      <w:r>
        <w:rPr>
          <w:sz w:val="21"/>
          <w:szCs w:val="21"/>
          <w:lang w:bidi="ar"/>
        </w:rPr>
        <w:t>。</w:t>
      </w:r>
      <w:r>
        <w:rPr>
          <w:sz w:val="21"/>
          <w:szCs w:val="21"/>
          <w:lang w:bidi="ar"/>
        </w:rPr>
        <w:t>AI</w:t>
      </w:r>
      <w:r>
        <w:rPr>
          <w:sz w:val="21"/>
          <w:szCs w:val="21"/>
          <w:lang w:bidi="ar"/>
        </w:rPr>
        <w:t>大模型与信创产业深度融合，成为行业核心增长极。国产大模型备案数量激增，适配主流国产大模型的信创智算一体机矩阵逐步落地，</w:t>
      </w:r>
      <w:r>
        <w:rPr>
          <w:sz w:val="21"/>
          <w:szCs w:val="21"/>
          <w:lang w:bidi="ar"/>
        </w:rPr>
        <w:t>AI</w:t>
      </w:r>
      <w:r>
        <w:rPr>
          <w:sz w:val="21"/>
          <w:szCs w:val="21"/>
          <w:lang w:bidi="ar"/>
        </w:rPr>
        <w:t>基础设施部署覆盖政务、医疗、教育、传媒等垂直领域。同时，大模型在信创场景的应用从通用领域向细分场景延伸，在政务协同、内容安全、教学实训等场景实现规模化落地，形成</w:t>
      </w:r>
      <w:r>
        <w:rPr>
          <w:sz w:val="21"/>
          <w:szCs w:val="21"/>
          <w:lang w:bidi="ar"/>
        </w:rPr>
        <w:t>“</w:t>
      </w:r>
      <w:r>
        <w:rPr>
          <w:sz w:val="21"/>
          <w:szCs w:val="21"/>
          <w:lang w:bidi="ar"/>
        </w:rPr>
        <w:t>硬件国产化</w:t>
      </w:r>
      <w:r>
        <w:rPr>
          <w:sz w:val="21"/>
          <w:szCs w:val="21"/>
          <w:lang w:bidi="ar"/>
        </w:rPr>
        <w:t>—</w:t>
      </w:r>
      <w:r>
        <w:rPr>
          <w:sz w:val="21"/>
          <w:szCs w:val="21"/>
          <w:lang w:bidi="ar"/>
        </w:rPr>
        <w:t>软件适配</w:t>
      </w:r>
      <w:r>
        <w:rPr>
          <w:sz w:val="21"/>
          <w:szCs w:val="21"/>
          <w:lang w:bidi="ar"/>
        </w:rPr>
        <w:t>—</w:t>
      </w:r>
      <w:r>
        <w:rPr>
          <w:sz w:val="21"/>
          <w:szCs w:val="21"/>
          <w:lang w:bidi="ar"/>
        </w:rPr>
        <w:t>大模型应用</w:t>
      </w:r>
      <w:r>
        <w:rPr>
          <w:sz w:val="21"/>
          <w:szCs w:val="21"/>
          <w:lang w:bidi="ar"/>
        </w:rPr>
        <w:t>”</w:t>
      </w:r>
      <w:r>
        <w:rPr>
          <w:sz w:val="21"/>
          <w:szCs w:val="21"/>
          <w:lang w:bidi="ar"/>
        </w:rPr>
        <w:t>的闭环生态，推动信创产业从</w:t>
      </w:r>
      <w:r>
        <w:rPr>
          <w:sz w:val="21"/>
          <w:szCs w:val="21"/>
          <w:lang w:bidi="ar"/>
        </w:rPr>
        <w:t>“</w:t>
      </w:r>
      <w:r>
        <w:rPr>
          <w:sz w:val="21"/>
          <w:szCs w:val="21"/>
          <w:lang w:bidi="ar"/>
        </w:rPr>
        <w:t>可用</w:t>
      </w:r>
      <w:r>
        <w:rPr>
          <w:sz w:val="21"/>
          <w:szCs w:val="21"/>
          <w:lang w:bidi="ar"/>
        </w:rPr>
        <w:t>”</w:t>
      </w:r>
      <w:r>
        <w:rPr>
          <w:sz w:val="21"/>
          <w:szCs w:val="21"/>
          <w:lang w:bidi="ar"/>
        </w:rPr>
        <w:t>向</w:t>
      </w:r>
      <w:r>
        <w:rPr>
          <w:sz w:val="21"/>
          <w:szCs w:val="21"/>
          <w:lang w:bidi="ar"/>
        </w:rPr>
        <w:t>“</w:t>
      </w:r>
      <w:r>
        <w:rPr>
          <w:sz w:val="21"/>
          <w:szCs w:val="21"/>
          <w:lang w:bidi="ar"/>
        </w:rPr>
        <w:t>好用</w:t>
      </w:r>
      <w:r>
        <w:rPr>
          <w:sz w:val="21"/>
          <w:szCs w:val="21"/>
          <w:lang w:bidi="ar"/>
        </w:rPr>
        <w:t>”</w:t>
      </w:r>
      <w:r>
        <w:rPr>
          <w:sz w:val="21"/>
          <w:szCs w:val="21"/>
          <w:lang w:bidi="ar"/>
        </w:rPr>
        <w:t>跨越，为智慧城市各类场景智能化升级提供安全可控的技术支撑。</w:t>
      </w:r>
    </w:p>
    <w:p w:rsidR="00E20B54" w:rsidRDefault="00733C9E">
      <w:pPr>
        <w:pStyle w:val="a3"/>
        <w:widowControl/>
        <w:spacing w:beforeLines="50" w:before="156" w:beforeAutospacing="0" w:afterLines="50" w:after="156" w:afterAutospacing="0" w:line="288" w:lineRule="auto"/>
        <w:ind w:firstLine="420"/>
        <w:jc w:val="both"/>
      </w:pPr>
      <w:r>
        <w:rPr>
          <w:sz w:val="21"/>
          <w:szCs w:val="21"/>
          <w:lang w:bidi="ar"/>
        </w:rPr>
        <w:t>数据要素是信创产业与智慧城市深度融合的核心纽带，为智能经济发展提供基础资源。</w:t>
      </w:r>
      <w:r>
        <w:rPr>
          <w:sz w:val="21"/>
          <w:szCs w:val="21"/>
          <w:lang w:bidi="ar"/>
        </w:rPr>
        <w:t>2025</w:t>
      </w:r>
      <w:r>
        <w:rPr>
          <w:sz w:val="21"/>
          <w:szCs w:val="21"/>
          <w:lang w:bidi="ar"/>
        </w:rPr>
        <w:t>年，国家发改委、国家数据局联合印发《</w:t>
      </w:r>
      <w:r>
        <w:rPr>
          <w:sz w:val="21"/>
          <w:szCs w:val="21"/>
          <w:lang w:bidi="ar"/>
        </w:rPr>
        <w:t>2025</w:t>
      </w:r>
      <w:r>
        <w:rPr>
          <w:sz w:val="21"/>
          <w:szCs w:val="21"/>
          <w:lang w:bidi="ar"/>
        </w:rPr>
        <w:t>年数字经济发展工作要点》，明确加快释放数据要素价值，推进数据资源整合共享，组织开展企业、行业、城市三类可信数据空间创新发展试点；同步印发的《构建数据基础制度</w:t>
      </w:r>
      <w:r>
        <w:rPr>
          <w:sz w:val="21"/>
          <w:szCs w:val="21"/>
          <w:lang w:bidi="ar"/>
        </w:rPr>
        <w:t>2025</w:t>
      </w:r>
      <w:r>
        <w:rPr>
          <w:sz w:val="21"/>
          <w:szCs w:val="21"/>
          <w:lang w:bidi="ar"/>
        </w:rPr>
        <w:t>年工作要点》进一步细化数据要素市场化配置改革任务。在智慧城市领域，信创体系下的数据要素整合能力持续提升，数据脱敏、安全加密等信创技术保障数据采集、传输、存储、应</w:t>
      </w:r>
      <w:r>
        <w:rPr>
          <w:sz w:val="21"/>
          <w:szCs w:val="21"/>
          <w:lang w:bidi="ar"/>
        </w:rPr>
        <w:lastRenderedPageBreak/>
        <w:t>用全流程安全，为智慧城市各类场景智能化升级提供安全可控的数据底座，推动智慧城市建设向数据驱动转型。</w:t>
      </w:r>
    </w:p>
    <w:p w:rsidR="00E20B54" w:rsidRDefault="00733C9E">
      <w:pPr>
        <w:pStyle w:val="a3"/>
        <w:widowControl/>
        <w:spacing w:beforeLines="50" w:before="156" w:beforeAutospacing="0" w:afterLines="50" w:after="156" w:afterAutospacing="0" w:line="288" w:lineRule="auto"/>
        <w:ind w:firstLine="420"/>
        <w:jc w:val="both"/>
      </w:pPr>
      <w:r>
        <w:rPr>
          <w:rStyle w:val="a4"/>
          <w:sz w:val="21"/>
          <w:szCs w:val="21"/>
          <w:lang w:bidi="ar"/>
        </w:rPr>
        <w:t>（四）算力服务行业</w:t>
      </w:r>
    </w:p>
    <w:p w:rsidR="00E20B54" w:rsidRDefault="00733C9E">
      <w:pPr>
        <w:pStyle w:val="a3"/>
        <w:widowControl/>
        <w:spacing w:beforeLines="50" w:before="156" w:beforeAutospacing="0" w:afterLines="50" w:after="156" w:afterAutospacing="0" w:line="288" w:lineRule="auto"/>
        <w:ind w:firstLine="420"/>
        <w:jc w:val="both"/>
      </w:pPr>
      <w:r>
        <w:rPr>
          <w:sz w:val="21"/>
          <w:szCs w:val="21"/>
          <w:lang w:bidi="ar"/>
        </w:rPr>
        <w:t>算力为数据处理与算法训练提供计算支撑，是支撑人工智能技术规模化应用的基座。</w:t>
      </w:r>
      <w:r>
        <w:rPr>
          <w:sz w:val="21"/>
          <w:szCs w:val="21"/>
          <w:lang w:bidi="ar"/>
        </w:rPr>
        <w:t>2025</w:t>
      </w:r>
      <w:r>
        <w:rPr>
          <w:sz w:val="21"/>
          <w:szCs w:val="21"/>
          <w:lang w:bidi="ar"/>
        </w:rPr>
        <w:t>年度，算力产业步入量质协同发展的关键阶段，需求爆发式增长，基础设施加速完善。</w:t>
      </w:r>
    </w:p>
    <w:p w:rsidR="00E20B54" w:rsidRDefault="00733C9E">
      <w:pPr>
        <w:pStyle w:val="a3"/>
        <w:widowControl/>
        <w:spacing w:beforeLines="50" w:before="156" w:beforeAutospacing="0" w:afterLines="50" w:after="156" w:afterAutospacing="0" w:line="288" w:lineRule="auto"/>
        <w:ind w:firstLine="420"/>
        <w:jc w:val="both"/>
      </w:pPr>
      <w:r>
        <w:rPr>
          <w:sz w:val="21"/>
          <w:szCs w:val="21"/>
          <w:lang w:bidi="ar"/>
        </w:rPr>
        <w:t>AI</w:t>
      </w:r>
      <w:r>
        <w:rPr>
          <w:sz w:val="21"/>
          <w:szCs w:val="21"/>
          <w:lang w:bidi="ar"/>
        </w:rPr>
        <w:t>大模型的迭代升级与场景落地，推动算力需求飙升。随着大模型向多模态、大参数、高精度方向演进，模型训练与推理对算力的消耗呈指数级增长；叠加具身智能等创新领域的先行先试，进一步放大算力需求缺口。据</w:t>
      </w:r>
      <w:r>
        <w:rPr>
          <w:sz w:val="21"/>
          <w:szCs w:val="21"/>
          <w:lang w:bidi="ar"/>
        </w:rPr>
        <w:t>IDC</w:t>
      </w:r>
      <w:r>
        <w:rPr>
          <w:sz w:val="21"/>
          <w:szCs w:val="21"/>
          <w:lang w:bidi="ar"/>
        </w:rPr>
        <w:t>预测，</w:t>
      </w:r>
      <w:r>
        <w:rPr>
          <w:sz w:val="21"/>
          <w:szCs w:val="21"/>
          <w:lang w:bidi="ar"/>
        </w:rPr>
        <w:t>2025</w:t>
      </w:r>
      <w:r>
        <w:rPr>
          <w:sz w:val="21"/>
          <w:szCs w:val="21"/>
          <w:lang w:bidi="ar"/>
        </w:rPr>
        <w:t>年至</w:t>
      </w:r>
      <w:r>
        <w:rPr>
          <w:sz w:val="21"/>
          <w:szCs w:val="21"/>
          <w:lang w:bidi="ar"/>
        </w:rPr>
        <w:t>2028</w:t>
      </w:r>
      <w:r>
        <w:rPr>
          <w:sz w:val="21"/>
          <w:szCs w:val="21"/>
          <w:lang w:bidi="ar"/>
        </w:rPr>
        <w:t>年我国智能算力将由</w:t>
      </w:r>
      <w:r>
        <w:rPr>
          <w:sz w:val="21"/>
          <w:szCs w:val="21"/>
          <w:lang w:bidi="ar"/>
        </w:rPr>
        <w:t>1,037.3EFLOPS</w:t>
      </w:r>
      <w:r>
        <w:rPr>
          <w:sz w:val="21"/>
          <w:szCs w:val="21"/>
          <w:lang w:bidi="ar"/>
        </w:rPr>
        <w:t>增长至</w:t>
      </w:r>
      <w:r>
        <w:rPr>
          <w:sz w:val="21"/>
          <w:szCs w:val="21"/>
          <w:lang w:bidi="ar"/>
        </w:rPr>
        <w:t>2,781.9EFLOPS</w:t>
      </w:r>
      <w:r>
        <w:rPr>
          <w:sz w:val="21"/>
          <w:szCs w:val="21"/>
          <w:lang w:bidi="ar"/>
        </w:rPr>
        <w:t>，年均增速达</w:t>
      </w:r>
      <w:r>
        <w:rPr>
          <w:sz w:val="21"/>
          <w:szCs w:val="21"/>
          <w:lang w:bidi="ar"/>
        </w:rPr>
        <w:t>38.9%</w:t>
      </w:r>
      <w:r>
        <w:rPr>
          <w:sz w:val="21"/>
          <w:szCs w:val="21"/>
          <w:lang w:bidi="ar"/>
        </w:rPr>
        <w:t>。算力基础设施的技术创新与布局优化同步推进，供给能力与利用效率持续提升。根据中国信息通信研究院发布，截至</w:t>
      </w:r>
      <w:r>
        <w:rPr>
          <w:sz w:val="21"/>
          <w:szCs w:val="21"/>
          <w:lang w:bidi="ar"/>
        </w:rPr>
        <w:t>2025</w:t>
      </w:r>
      <w:r>
        <w:rPr>
          <w:sz w:val="21"/>
          <w:szCs w:val="21"/>
          <w:lang w:bidi="ar"/>
        </w:rPr>
        <w:t>年</w:t>
      </w:r>
      <w:r>
        <w:rPr>
          <w:sz w:val="21"/>
          <w:szCs w:val="21"/>
          <w:lang w:bidi="ar"/>
        </w:rPr>
        <w:t>6</w:t>
      </w:r>
      <w:r>
        <w:rPr>
          <w:sz w:val="21"/>
          <w:szCs w:val="21"/>
          <w:lang w:bidi="ar"/>
        </w:rPr>
        <w:t>月，我国计算设备算力总规模达到</w:t>
      </w:r>
      <w:r>
        <w:rPr>
          <w:sz w:val="21"/>
          <w:szCs w:val="21"/>
          <w:lang w:bidi="ar"/>
        </w:rPr>
        <w:t>962EFLOPS</w:t>
      </w:r>
      <w:r>
        <w:rPr>
          <w:sz w:val="21"/>
          <w:szCs w:val="21"/>
          <w:lang w:bidi="ar"/>
        </w:rPr>
        <w:t>，全球占比约为</w:t>
      </w:r>
      <w:r>
        <w:rPr>
          <w:sz w:val="21"/>
          <w:szCs w:val="21"/>
          <w:lang w:bidi="ar"/>
        </w:rPr>
        <w:t>21%</w:t>
      </w:r>
      <w:r>
        <w:rPr>
          <w:sz w:val="21"/>
          <w:szCs w:val="21"/>
          <w:lang w:bidi="ar"/>
        </w:rPr>
        <w:t>，同比增速达</w:t>
      </w:r>
      <w:r>
        <w:rPr>
          <w:sz w:val="21"/>
          <w:szCs w:val="21"/>
          <w:lang w:bidi="ar"/>
        </w:rPr>
        <w:t>73%</w:t>
      </w:r>
      <w:r>
        <w:rPr>
          <w:sz w:val="21"/>
          <w:szCs w:val="21"/>
          <w:lang w:bidi="ar"/>
        </w:rPr>
        <w:t>；其中智能算力规模达</w:t>
      </w:r>
      <w:r>
        <w:rPr>
          <w:sz w:val="21"/>
          <w:szCs w:val="21"/>
          <w:lang w:bidi="ar"/>
        </w:rPr>
        <w:t>782EFLOPS</w:t>
      </w:r>
      <w:r>
        <w:rPr>
          <w:sz w:val="21"/>
          <w:szCs w:val="21"/>
          <w:lang w:bidi="ar"/>
        </w:rPr>
        <w:t>，同比增长</w:t>
      </w:r>
      <w:r>
        <w:rPr>
          <w:sz w:val="21"/>
          <w:szCs w:val="21"/>
          <w:lang w:bidi="ar"/>
        </w:rPr>
        <w:t>96%</w:t>
      </w:r>
      <w:r>
        <w:rPr>
          <w:sz w:val="21"/>
          <w:szCs w:val="21"/>
          <w:lang w:bidi="ar"/>
        </w:rPr>
        <w:t>，在我国算力占比达</w:t>
      </w:r>
      <w:r>
        <w:rPr>
          <w:sz w:val="21"/>
          <w:szCs w:val="21"/>
          <w:lang w:bidi="ar"/>
        </w:rPr>
        <w:t>81%</w:t>
      </w:r>
      <w:r>
        <w:rPr>
          <w:sz w:val="21"/>
          <w:szCs w:val="21"/>
          <w:lang w:bidi="ar"/>
        </w:rPr>
        <w:t>，已成为算力市场绝对主导。</w:t>
      </w:r>
    </w:p>
    <w:p w:rsidR="00E20B54" w:rsidRDefault="00733C9E">
      <w:pPr>
        <w:pStyle w:val="a3"/>
        <w:widowControl/>
        <w:spacing w:beforeLines="50" w:before="156" w:beforeAutospacing="0" w:afterLines="50" w:after="156" w:afterAutospacing="0" w:line="288" w:lineRule="auto"/>
        <w:ind w:firstLine="420"/>
        <w:jc w:val="both"/>
      </w:pPr>
      <w:r>
        <w:rPr>
          <w:sz w:val="21"/>
          <w:szCs w:val="21"/>
          <w:lang w:bidi="ar"/>
        </w:rPr>
        <w:t>面对</w:t>
      </w:r>
      <w:r>
        <w:rPr>
          <w:sz w:val="21"/>
          <w:szCs w:val="21"/>
          <w:lang w:bidi="ar"/>
        </w:rPr>
        <w:t>AI</w:t>
      </w:r>
      <w:r>
        <w:rPr>
          <w:sz w:val="21"/>
          <w:szCs w:val="21"/>
          <w:lang w:bidi="ar"/>
        </w:rPr>
        <w:t>大模型带来的算力需求浪潮，国内算力基础设施建设加速推进。</w:t>
      </w:r>
      <w:r>
        <w:rPr>
          <w:sz w:val="21"/>
          <w:szCs w:val="21"/>
          <w:lang w:bidi="ar"/>
        </w:rPr>
        <w:t>2026</w:t>
      </w:r>
      <w:r>
        <w:rPr>
          <w:sz w:val="21"/>
          <w:szCs w:val="21"/>
          <w:lang w:bidi="ar"/>
        </w:rPr>
        <w:t>年政府工作报告明确将</w:t>
      </w:r>
      <w:r>
        <w:rPr>
          <w:sz w:val="21"/>
          <w:szCs w:val="21"/>
          <w:lang w:bidi="ar"/>
        </w:rPr>
        <w:t>“</w:t>
      </w:r>
      <w:r>
        <w:rPr>
          <w:sz w:val="21"/>
          <w:szCs w:val="21"/>
          <w:lang w:bidi="ar"/>
        </w:rPr>
        <w:t>算电协同</w:t>
      </w:r>
      <w:r>
        <w:rPr>
          <w:sz w:val="21"/>
          <w:szCs w:val="21"/>
          <w:lang w:bidi="ar"/>
        </w:rPr>
        <w:t>”</w:t>
      </w:r>
      <w:r>
        <w:rPr>
          <w:sz w:val="21"/>
          <w:szCs w:val="21"/>
          <w:lang w:bidi="ar"/>
        </w:rPr>
        <w:t>列为新基建工程，标志着算力基础设施建设上升为国家战略部署；《算力基础设施高质量发展行动计划》等系列政策出台，为行业发展提供全方位制度支撑。</w:t>
      </w:r>
    </w:p>
    <w:p w:rsidR="00E20B54" w:rsidRDefault="00733C9E">
      <w:pPr>
        <w:pStyle w:val="a3"/>
        <w:widowControl/>
        <w:spacing w:beforeLines="50" w:before="156" w:beforeAutospacing="0" w:afterLines="50" w:after="156" w:afterAutospacing="0" w:line="288" w:lineRule="auto"/>
        <w:ind w:firstLine="420"/>
        <w:jc w:val="both"/>
      </w:pPr>
      <w:r>
        <w:rPr>
          <w:rStyle w:val="a4"/>
          <w:sz w:val="21"/>
          <w:szCs w:val="21"/>
          <w:lang w:bidi="ar"/>
        </w:rPr>
        <w:t>（五）智慧能源行业</w:t>
      </w:r>
    </w:p>
    <w:p w:rsidR="00E20B54" w:rsidRDefault="00733C9E">
      <w:pPr>
        <w:pStyle w:val="a3"/>
        <w:widowControl/>
        <w:spacing w:beforeLines="50" w:before="156" w:beforeAutospacing="0" w:afterLines="50" w:after="156" w:afterAutospacing="0" w:line="288" w:lineRule="auto"/>
        <w:ind w:firstLine="420"/>
        <w:jc w:val="both"/>
      </w:pPr>
      <w:r>
        <w:rPr>
          <w:sz w:val="21"/>
          <w:szCs w:val="21"/>
          <w:lang w:bidi="ar"/>
        </w:rPr>
        <w:t>2025</w:t>
      </w:r>
      <w:r>
        <w:rPr>
          <w:sz w:val="21"/>
          <w:szCs w:val="21"/>
          <w:lang w:bidi="ar"/>
        </w:rPr>
        <w:t>年，智慧能源作为智慧城市能源保障核心，围绕算力需求爆发带来的电力需求增长展开，与算力、信创产业深度协同，步入</w:t>
      </w:r>
      <w:r>
        <w:rPr>
          <w:sz w:val="21"/>
          <w:szCs w:val="21"/>
          <w:lang w:bidi="ar"/>
        </w:rPr>
        <w:t>“</w:t>
      </w:r>
      <w:r>
        <w:rPr>
          <w:sz w:val="21"/>
          <w:szCs w:val="21"/>
          <w:lang w:bidi="ar"/>
        </w:rPr>
        <w:t>算电协同、双向赋能</w:t>
      </w:r>
      <w:r>
        <w:rPr>
          <w:sz w:val="21"/>
          <w:szCs w:val="21"/>
          <w:lang w:bidi="ar"/>
        </w:rPr>
        <w:t>”</w:t>
      </w:r>
      <w:r>
        <w:rPr>
          <w:sz w:val="21"/>
          <w:szCs w:val="21"/>
          <w:lang w:bidi="ar"/>
        </w:rPr>
        <w:t>高质量发展阶段。</w:t>
      </w:r>
    </w:p>
    <w:p w:rsidR="00E20B54" w:rsidRDefault="00733C9E">
      <w:pPr>
        <w:pStyle w:val="a3"/>
        <w:widowControl/>
        <w:spacing w:beforeLines="50" w:before="156" w:beforeAutospacing="0" w:afterLines="50" w:after="156" w:afterAutospacing="0" w:line="288" w:lineRule="auto"/>
        <w:ind w:firstLine="420"/>
        <w:jc w:val="both"/>
      </w:pPr>
      <w:r>
        <w:rPr>
          <w:sz w:val="21"/>
          <w:szCs w:val="21"/>
          <w:lang w:bidi="ar"/>
        </w:rPr>
        <w:t>AI</w:t>
      </w:r>
      <w:r>
        <w:rPr>
          <w:sz w:val="21"/>
          <w:szCs w:val="21"/>
          <w:lang w:bidi="ar"/>
        </w:rPr>
        <w:t>大模型落地与算力基建扩容使算力成为电力需求增长的核心变量。</w:t>
      </w:r>
      <w:r>
        <w:rPr>
          <w:sz w:val="21"/>
          <w:szCs w:val="21"/>
          <w:lang w:bidi="ar"/>
        </w:rPr>
        <w:t>Gartner</w:t>
      </w:r>
      <w:r>
        <w:rPr>
          <w:sz w:val="21"/>
          <w:szCs w:val="21"/>
          <w:lang w:bidi="ar"/>
        </w:rPr>
        <w:t>测算显示，</w:t>
      </w:r>
      <w:r>
        <w:rPr>
          <w:sz w:val="21"/>
          <w:szCs w:val="21"/>
          <w:lang w:bidi="ar"/>
        </w:rPr>
        <w:t>2025</w:t>
      </w:r>
      <w:r>
        <w:rPr>
          <w:sz w:val="21"/>
          <w:szCs w:val="21"/>
          <w:lang w:bidi="ar"/>
        </w:rPr>
        <w:t>年全球数据中心电力消耗达</w:t>
      </w:r>
      <w:r>
        <w:rPr>
          <w:sz w:val="21"/>
          <w:szCs w:val="21"/>
          <w:lang w:bidi="ar"/>
        </w:rPr>
        <w:t>448</w:t>
      </w:r>
      <w:r>
        <w:rPr>
          <w:sz w:val="21"/>
          <w:szCs w:val="21"/>
          <w:lang w:bidi="ar"/>
        </w:rPr>
        <w:t>太瓦时，其中</w:t>
      </w:r>
      <w:r>
        <w:rPr>
          <w:sz w:val="21"/>
          <w:szCs w:val="21"/>
          <w:lang w:bidi="ar"/>
        </w:rPr>
        <w:t>AI</w:t>
      </w:r>
      <w:r>
        <w:rPr>
          <w:sz w:val="21"/>
          <w:szCs w:val="21"/>
          <w:lang w:bidi="ar"/>
        </w:rPr>
        <w:t>优化服务器耗电占比</w:t>
      </w:r>
      <w:r>
        <w:rPr>
          <w:sz w:val="21"/>
          <w:szCs w:val="21"/>
          <w:lang w:bidi="ar"/>
        </w:rPr>
        <w:t>21%</w:t>
      </w:r>
      <w:r>
        <w:rPr>
          <w:sz w:val="21"/>
          <w:szCs w:val="21"/>
          <w:lang w:bidi="ar"/>
        </w:rPr>
        <w:t>；中国信通院数据显示，我国数据中心用电量持续攀升，算力相关电力需求缺口进一步扩大。为我国加速完善电力基础设施以适配需求。光伏装机突破</w:t>
      </w:r>
      <w:r>
        <w:rPr>
          <w:sz w:val="21"/>
          <w:szCs w:val="21"/>
          <w:lang w:bidi="ar"/>
        </w:rPr>
        <w:t>10</w:t>
      </w:r>
      <w:r>
        <w:rPr>
          <w:sz w:val="21"/>
          <w:szCs w:val="21"/>
          <w:lang w:bidi="ar"/>
        </w:rPr>
        <w:t>亿千瓦，特高压工程实现</w:t>
      </w:r>
      <w:r>
        <w:rPr>
          <w:sz w:val="21"/>
          <w:szCs w:val="21"/>
          <w:lang w:bidi="ar"/>
        </w:rPr>
        <w:t>“</w:t>
      </w:r>
      <w:r>
        <w:rPr>
          <w:sz w:val="21"/>
          <w:szCs w:val="21"/>
          <w:lang w:bidi="ar"/>
        </w:rPr>
        <w:t>西电东送</w:t>
      </w:r>
      <w:r>
        <w:rPr>
          <w:sz w:val="21"/>
          <w:szCs w:val="21"/>
          <w:lang w:bidi="ar"/>
        </w:rPr>
        <w:t>”</w:t>
      </w:r>
      <w:r>
        <w:rPr>
          <w:sz w:val="21"/>
          <w:szCs w:val="21"/>
          <w:lang w:bidi="ar"/>
        </w:rPr>
        <w:t>和</w:t>
      </w:r>
      <w:r>
        <w:rPr>
          <w:sz w:val="21"/>
          <w:szCs w:val="21"/>
          <w:lang w:bidi="ar"/>
        </w:rPr>
        <w:t>“</w:t>
      </w:r>
      <w:r>
        <w:rPr>
          <w:sz w:val="21"/>
          <w:szCs w:val="21"/>
          <w:lang w:bidi="ar"/>
        </w:rPr>
        <w:t>东数西算</w:t>
      </w:r>
      <w:r>
        <w:rPr>
          <w:sz w:val="21"/>
          <w:szCs w:val="21"/>
          <w:lang w:bidi="ar"/>
        </w:rPr>
        <w:t>”</w:t>
      </w:r>
      <w:r>
        <w:rPr>
          <w:sz w:val="21"/>
          <w:szCs w:val="21"/>
          <w:lang w:bidi="ar"/>
        </w:rPr>
        <w:t>战略耦合，推动算力向西部绿电富集区集聚；同时以算力赋能电网智能调控与新能源消纳，形成</w:t>
      </w:r>
      <w:r>
        <w:rPr>
          <w:sz w:val="21"/>
          <w:szCs w:val="21"/>
          <w:lang w:bidi="ar"/>
        </w:rPr>
        <w:t>“</w:t>
      </w:r>
      <w:r>
        <w:rPr>
          <w:sz w:val="21"/>
          <w:szCs w:val="21"/>
          <w:lang w:bidi="ar"/>
        </w:rPr>
        <w:t>算力牵引电力升级、电力支撑算力发展</w:t>
      </w:r>
      <w:r>
        <w:rPr>
          <w:sz w:val="21"/>
          <w:szCs w:val="21"/>
          <w:lang w:bidi="ar"/>
        </w:rPr>
        <w:t>”</w:t>
      </w:r>
      <w:r>
        <w:rPr>
          <w:sz w:val="21"/>
          <w:szCs w:val="21"/>
          <w:lang w:bidi="ar"/>
        </w:rPr>
        <w:t>的双向赋能格局，为智慧城市提供坚实能源保障。</w:t>
      </w:r>
    </w:p>
    <w:p w:rsidR="00E20B54" w:rsidRDefault="00733C9E">
      <w:pPr>
        <w:pStyle w:val="2"/>
        <w:spacing w:before="300" w:after="300" w:line="320" w:lineRule="exact"/>
        <w:rPr>
          <w:b/>
          <w:bCs/>
          <w:sz w:val="24"/>
          <w:szCs w:val="24"/>
        </w:rPr>
      </w:pPr>
      <w:bookmarkStart w:id="15" w:name="_Toc988904"/>
      <w:r>
        <w:rPr>
          <w:b/>
          <w:bCs/>
          <w:sz w:val="24"/>
          <w:szCs w:val="24"/>
        </w:rPr>
        <w:t>三、核心竞争力分析</w:t>
      </w:r>
      <w:bookmarkEnd w:id="15"/>
    </w:p>
    <w:p w:rsidR="00E20B54" w:rsidRDefault="00733C9E">
      <w:pPr>
        <w:pStyle w:val="a3"/>
        <w:widowControl/>
        <w:spacing w:beforeAutospacing="0" w:afterAutospacing="0" w:line="240" w:lineRule="atLeast"/>
        <w:ind w:firstLine="420"/>
        <w:jc w:val="both"/>
        <w:rPr>
          <w:b/>
          <w:bCs/>
          <w:szCs w:val="24"/>
        </w:rPr>
      </w:pPr>
      <w:r>
        <w:rPr>
          <w:b/>
          <w:bCs/>
          <w:color w:val="000000"/>
          <w:sz w:val="21"/>
          <w:szCs w:val="21"/>
        </w:rPr>
        <w:t>（一）研发创新优势</w:t>
      </w:r>
    </w:p>
    <w:p w:rsidR="00E20B54" w:rsidRDefault="00733C9E">
      <w:pPr>
        <w:pStyle w:val="a3"/>
        <w:widowControl/>
        <w:spacing w:before="156" w:beforeAutospacing="0" w:after="156" w:afterAutospacing="0" w:line="240" w:lineRule="atLeast"/>
        <w:ind w:firstLine="420"/>
        <w:jc w:val="both"/>
        <w:rPr>
          <w:szCs w:val="24"/>
        </w:rPr>
      </w:pPr>
      <w:r>
        <w:rPr>
          <w:color w:val="000000"/>
          <w:sz w:val="21"/>
          <w:szCs w:val="21"/>
        </w:rPr>
        <w:t>公司始终秉承</w:t>
      </w:r>
      <w:r>
        <w:rPr>
          <w:color w:val="000000"/>
          <w:szCs w:val="24"/>
        </w:rPr>
        <w:t>“</w:t>
      </w:r>
      <w:r>
        <w:rPr>
          <w:color w:val="000000"/>
          <w:szCs w:val="24"/>
        </w:rPr>
        <w:t>技术缔造价值</w:t>
      </w:r>
      <w:r>
        <w:rPr>
          <w:color w:val="000000"/>
          <w:szCs w:val="24"/>
        </w:rPr>
        <w:t>”</w:t>
      </w:r>
      <w:r>
        <w:rPr>
          <w:color w:val="000000"/>
          <w:szCs w:val="24"/>
        </w:rPr>
        <w:t>的核心理念，坚持以研发创新作为驱动公司业务持续发展的核心动力。公司及子公司互联精英、天亿马信息技术、广东翼启被认定为国家高新技术企业，已建立由汕头研发中心、深圳研发中心和子公司互联精英、广东翼启、广图粤科组成的研发体系，充分利用广州、深圳、汕头三地的研发创新人才和资源，培养形成了一支创新能力强的研发和技术服务团队。公司建设有广东省科学技术厅、广东省发展和改革委员会、广东省经济和信息化委员会评定的</w:t>
      </w:r>
      <w:r>
        <w:rPr>
          <w:color w:val="000000"/>
          <w:szCs w:val="24"/>
        </w:rPr>
        <w:t>“</w:t>
      </w:r>
      <w:r>
        <w:rPr>
          <w:color w:val="000000"/>
          <w:szCs w:val="24"/>
        </w:rPr>
        <w:t>广东省工程技术研究开发中心</w:t>
      </w:r>
      <w:r>
        <w:rPr>
          <w:color w:val="000000"/>
          <w:szCs w:val="24"/>
        </w:rPr>
        <w:t>”</w:t>
      </w:r>
      <w:r>
        <w:rPr>
          <w:color w:val="000000"/>
          <w:sz w:val="21"/>
          <w:szCs w:val="21"/>
        </w:rPr>
        <w:t>，获评广东省专精特新中小企业、汕头市中小企业数字化、转型城市试点数字化牵引单位等荣誉资质。</w:t>
      </w:r>
      <w:r>
        <w:rPr>
          <w:color w:val="000000"/>
          <w:szCs w:val="24"/>
        </w:rPr>
        <w:t>截至</w:t>
      </w:r>
      <w:r>
        <w:rPr>
          <w:color w:val="000000"/>
          <w:szCs w:val="24"/>
        </w:rPr>
        <w:t>2025</w:t>
      </w:r>
      <w:r>
        <w:rPr>
          <w:color w:val="000000"/>
          <w:sz w:val="21"/>
          <w:szCs w:val="21"/>
        </w:rPr>
        <w:t>年</w:t>
      </w:r>
      <w:r>
        <w:rPr>
          <w:color w:val="000000"/>
          <w:sz w:val="21"/>
          <w:szCs w:val="21"/>
        </w:rPr>
        <w:t>12</w:t>
      </w:r>
      <w:r>
        <w:rPr>
          <w:color w:val="000000"/>
          <w:sz w:val="21"/>
          <w:szCs w:val="21"/>
        </w:rPr>
        <w:t>月</w:t>
      </w:r>
      <w:r>
        <w:rPr>
          <w:color w:val="000000"/>
          <w:sz w:val="21"/>
          <w:szCs w:val="21"/>
        </w:rPr>
        <w:t>31</w:t>
      </w:r>
      <w:r>
        <w:rPr>
          <w:color w:val="000000"/>
          <w:sz w:val="21"/>
          <w:szCs w:val="21"/>
        </w:rPr>
        <w:t>日，公司拥有</w:t>
      </w:r>
      <w:r>
        <w:rPr>
          <w:color w:val="000000"/>
          <w:sz w:val="21"/>
          <w:szCs w:val="21"/>
        </w:rPr>
        <w:t>401</w:t>
      </w:r>
      <w:r>
        <w:rPr>
          <w:color w:val="000000"/>
          <w:sz w:val="21"/>
          <w:szCs w:val="21"/>
        </w:rPr>
        <w:t>项计算机软件著作权，取得</w:t>
      </w:r>
      <w:r>
        <w:rPr>
          <w:color w:val="000000"/>
          <w:sz w:val="21"/>
          <w:szCs w:val="21"/>
        </w:rPr>
        <w:t>11</w:t>
      </w:r>
      <w:r>
        <w:rPr>
          <w:color w:val="000000"/>
          <w:sz w:val="21"/>
          <w:szCs w:val="21"/>
        </w:rPr>
        <w:t>项专利。</w:t>
      </w:r>
    </w:p>
    <w:p w:rsidR="00E20B54" w:rsidRDefault="00733C9E">
      <w:pPr>
        <w:pStyle w:val="a3"/>
        <w:widowControl/>
        <w:spacing w:before="156" w:beforeAutospacing="0" w:after="156" w:afterAutospacing="0" w:line="240" w:lineRule="atLeast"/>
        <w:ind w:firstLine="420"/>
        <w:jc w:val="both"/>
        <w:rPr>
          <w:b/>
          <w:bCs/>
          <w:szCs w:val="24"/>
        </w:rPr>
      </w:pPr>
      <w:r>
        <w:rPr>
          <w:b/>
          <w:bCs/>
          <w:color w:val="000000"/>
          <w:sz w:val="21"/>
          <w:szCs w:val="21"/>
        </w:rPr>
        <w:lastRenderedPageBreak/>
        <w:t>（二）核心技术能力</w:t>
      </w:r>
    </w:p>
    <w:p w:rsidR="00E20B54" w:rsidRDefault="00733C9E">
      <w:pPr>
        <w:pStyle w:val="a3"/>
        <w:widowControl/>
        <w:spacing w:before="156" w:beforeAutospacing="0" w:after="156" w:afterAutospacing="0" w:line="240" w:lineRule="atLeast"/>
        <w:ind w:firstLine="420"/>
        <w:jc w:val="both"/>
        <w:rPr>
          <w:szCs w:val="24"/>
        </w:rPr>
      </w:pPr>
      <w:r>
        <w:rPr>
          <w:color w:val="000000"/>
          <w:sz w:val="21"/>
          <w:szCs w:val="21"/>
        </w:rPr>
        <w:t>公司及时跟进并应用物联网、云计算、</w:t>
      </w:r>
      <w:r>
        <w:rPr>
          <w:color w:val="000000"/>
          <w:szCs w:val="24"/>
        </w:rPr>
        <w:t>GIS</w:t>
      </w:r>
      <w:r>
        <w:rPr>
          <w:color w:val="000000"/>
          <w:sz w:val="21"/>
          <w:szCs w:val="21"/>
        </w:rPr>
        <w:t>、人工智能交互、生成式人工智能等最新关键技术，已经掌握数字孪生构建与应用、政务大模型技术与应用、政务大数据分析与挖掘、图像超分与识别技术、跨平台高性能音视频通讯、统一数据集成技术、智能人机交互、可视化工作流、智能报表、低代码应用开发技术等核心技术能力，开发形成数字乡村解决方案、智慧社区解决方案、智慧党建解决方案、市域社会治理解决方案、基层社会治理解决方案、社会工作平台解决方案、社会治安综合治理解决方案、轨道交通无人值守平台、轨道交通资产巡视平台、数据要素全链条一站式解决方案、政务服务全场景一体化解决方案等一系列典型解决方案，打造天亿马数智服务生态。</w:t>
      </w:r>
    </w:p>
    <w:p w:rsidR="00E20B54" w:rsidRDefault="00733C9E">
      <w:pPr>
        <w:pStyle w:val="a3"/>
        <w:widowControl/>
        <w:spacing w:before="156" w:beforeAutospacing="0" w:after="156" w:afterAutospacing="0" w:line="240" w:lineRule="atLeast"/>
        <w:ind w:firstLine="420"/>
        <w:jc w:val="both"/>
        <w:rPr>
          <w:b/>
          <w:bCs/>
          <w:szCs w:val="24"/>
        </w:rPr>
      </w:pPr>
      <w:r>
        <w:rPr>
          <w:b/>
          <w:bCs/>
          <w:color w:val="000000"/>
          <w:sz w:val="21"/>
          <w:szCs w:val="21"/>
        </w:rPr>
        <w:t>（三）项目经验优势</w:t>
      </w:r>
    </w:p>
    <w:p w:rsidR="00E20B54" w:rsidRDefault="00733C9E">
      <w:pPr>
        <w:pStyle w:val="a3"/>
        <w:widowControl/>
        <w:spacing w:before="156" w:beforeAutospacing="0" w:after="156" w:afterAutospacing="0" w:line="240" w:lineRule="atLeast"/>
        <w:ind w:firstLine="420"/>
        <w:jc w:val="both"/>
        <w:rPr>
          <w:szCs w:val="24"/>
        </w:rPr>
      </w:pPr>
      <w:r>
        <w:rPr>
          <w:color w:val="000000"/>
          <w:sz w:val="21"/>
          <w:szCs w:val="21"/>
        </w:rPr>
        <w:t>公司在信息技术服务领域深耕二十多年，对客户需求具有深刻的理解，具备丰厚的行业沉淀和积累，在政务、教育、医疗、能源、轨道交通、算力服务等领域成功实施了一大批典型项目。丰富的项目实践为公司积累了各类型项目的实施经验，培养了成熟的技术、研发和项目实施团队，持续提升公司对客户需求的理解和服务水平，有利于公司保持良好的客户关系和增强拓展业务、承接项目的竞争力。</w:t>
      </w:r>
    </w:p>
    <w:p w:rsidR="00E20B54" w:rsidRDefault="00733C9E">
      <w:pPr>
        <w:pStyle w:val="a3"/>
        <w:widowControl/>
        <w:spacing w:before="156" w:beforeAutospacing="0" w:after="156" w:afterAutospacing="0" w:line="240" w:lineRule="atLeast"/>
        <w:ind w:firstLine="420"/>
        <w:jc w:val="both"/>
        <w:rPr>
          <w:b/>
          <w:bCs/>
          <w:szCs w:val="24"/>
        </w:rPr>
      </w:pPr>
      <w:r>
        <w:rPr>
          <w:b/>
          <w:bCs/>
          <w:color w:val="000000"/>
          <w:sz w:val="21"/>
          <w:szCs w:val="21"/>
        </w:rPr>
        <w:t>（四）服务优势</w:t>
      </w:r>
    </w:p>
    <w:p w:rsidR="00E20B54" w:rsidRDefault="00733C9E">
      <w:pPr>
        <w:pStyle w:val="a3"/>
        <w:widowControl/>
        <w:spacing w:before="156" w:beforeAutospacing="0" w:after="156" w:afterAutospacing="0" w:line="240" w:lineRule="atLeast"/>
        <w:ind w:firstLine="420"/>
        <w:jc w:val="both"/>
        <w:rPr>
          <w:szCs w:val="24"/>
        </w:rPr>
      </w:pPr>
      <w:r>
        <w:rPr>
          <w:color w:val="000000"/>
          <w:sz w:val="21"/>
          <w:szCs w:val="21"/>
        </w:rPr>
        <w:t>公司坚持</w:t>
      </w:r>
      <w:r>
        <w:rPr>
          <w:color w:val="000000"/>
          <w:szCs w:val="24"/>
        </w:rPr>
        <w:t>“</w:t>
      </w:r>
      <w:r>
        <w:rPr>
          <w:color w:val="000000"/>
          <w:szCs w:val="24"/>
        </w:rPr>
        <w:t>技术</w:t>
      </w:r>
      <w:r>
        <w:rPr>
          <w:color w:val="000000"/>
          <w:szCs w:val="24"/>
        </w:rPr>
        <w:t>+</w:t>
      </w:r>
      <w:r>
        <w:rPr>
          <w:color w:val="000000"/>
          <w:sz w:val="21"/>
          <w:szCs w:val="21"/>
        </w:rPr>
        <w:t>服务</w:t>
      </w:r>
      <w:r>
        <w:rPr>
          <w:color w:val="000000"/>
          <w:sz w:val="21"/>
          <w:szCs w:val="21"/>
        </w:rPr>
        <w:t>”</w:t>
      </w:r>
      <w:r>
        <w:rPr>
          <w:color w:val="000000"/>
          <w:sz w:val="21"/>
          <w:szCs w:val="21"/>
        </w:rPr>
        <w:t>的经营理念，为客户提供全面高效的服务，持续提升客户服务质量，赢得客户的认可和口碑。公司现已建立专业化的项目实施和技术服务团队，打造全面专业的服务和技术支持。公司在广州、深圳、上海和香港等地设立分、子公司，为区域客户提供本地化的技术服务，加深并扩展与客户多个层面的联系。公司建立了标准化的服务体系，紧跟客户需求变化创新服务模式，提升服务交付能力，及时高效地响应客户需求，持续完善服务质量。</w:t>
      </w:r>
    </w:p>
    <w:p w:rsidR="00E20B54" w:rsidRDefault="00733C9E">
      <w:pPr>
        <w:pStyle w:val="a3"/>
        <w:widowControl/>
        <w:spacing w:before="156" w:beforeAutospacing="0" w:after="156" w:afterAutospacing="0" w:line="240" w:lineRule="atLeast"/>
        <w:ind w:firstLine="420"/>
        <w:jc w:val="both"/>
        <w:rPr>
          <w:b/>
          <w:bCs/>
          <w:szCs w:val="24"/>
        </w:rPr>
      </w:pPr>
      <w:r>
        <w:rPr>
          <w:b/>
          <w:bCs/>
          <w:color w:val="000000"/>
          <w:sz w:val="21"/>
          <w:szCs w:val="21"/>
        </w:rPr>
        <w:t>（五）人才优势</w:t>
      </w:r>
    </w:p>
    <w:p w:rsidR="00E20B54" w:rsidRDefault="00733C9E">
      <w:pPr>
        <w:pStyle w:val="a3"/>
        <w:widowControl/>
        <w:spacing w:before="156" w:beforeAutospacing="0" w:after="156" w:afterAutospacing="0" w:line="240" w:lineRule="atLeast"/>
        <w:ind w:firstLine="420"/>
        <w:jc w:val="both"/>
        <w:rPr>
          <w:szCs w:val="24"/>
        </w:rPr>
      </w:pPr>
      <w:r>
        <w:rPr>
          <w:color w:val="000000"/>
          <w:sz w:val="21"/>
          <w:szCs w:val="21"/>
        </w:rPr>
        <w:t>作为轻资产企业，人力资源是公司核心资源。公司自成立以来一直注重人才队伍的建设，把尊重人才、重视人才和激励人才放在最突出的地位。公司建立了科学合理的人才培养及选拔机制，推进战略绩效管理模式。公司管理团队大部分成员在公司服务超过</w:t>
      </w:r>
      <w:r>
        <w:rPr>
          <w:color w:val="000000"/>
          <w:szCs w:val="24"/>
        </w:rPr>
        <w:t>10</w:t>
      </w:r>
      <w:r>
        <w:rPr>
          <w:color w:val="000000"/>
          <w:sz w:val="21"/>
          <w:szCs w:val="21"/>
        </w:rPr>
        <w:t>年及以上，在信息技术相关领域具备多年的沉淀和积累，对前沿技术、产品升级和行业发展动态具有清晰的认识，对客户需求变化具备深刻的理解，能够较好的把握公司业务发展方向。通过健全人力资源开发和管理制度，完善培训、薪酬、绩效和激励机制，加大人才引进和培养力度，公司建立了一支专业的研发和项目实施团队。截至报告期末，公司共有研发人员</w:t>
      </w:r>
      <w:r>
        <w:rPr>
          <w:color w:val="000000"/>
          <w:sz w:val="21"/>
          <w:szCs w:val="21"/>
        </w:rPr>
        <w:t>100</w:t>
      </w:r>
      <w:r>
        <w:rPr>
          <w:color w:val="000000"/>
          <w:sz w:val="21"/>
          <w:szCs w:val="21"/>
        </w:rPr>
        <w:t>人、项目实施人员</w:t>
      </w:r>
      <w:r>
        <w:rPr>
          <w:color w:val="000000"/>
          <w:sz w:val="21"/>
          <w:szCs w:val="21"/>
        </w:rPr>
        <w:t>93</w:t>
      </w:r>
      <w:r>
        <w:rPr>
          <w:color w:val="000000"/>
          <w:sz w:val="21"/>
          <w:szCs w:val="21"/>
        </w:rPr>
        <w:t>人，分别占员工总人数比例的</w:t>
      </w:r>
      <w:r>
        <w:rPr>
          <w:color w:val="000000"/>
          <w:sz w:val="21"/>
          <w:szCs w:val="21"/>
        </w:rPr>
        <w:t>29.59%</w:t>
      </w:r>
      <w:r>
        <w:rPr>
          <w:color w:val="000000"/>
          <w:sz w:val="21"/>
          <w:szCs w:val="21"/>
        </w:rPr>
        <w:t>、</w:t>
      </w:r>
      <w:r>
        <w:rPr>
          <w:color w:val="000000"/>
          <w:szCs w:val="24"/>
        </w:rPr>
        <w:t>27.51%</w:t>
      </w:r>
      <w:r>
        <w:rPr>
          <w:color w:val="000000"/>
          <w:sz w:val="21"/>
          <w:szCs w:val="21"/>
        </w:rPr>
        <w:t>，是公司产品和技术创新、业务持续发展的骨干力量。</w:t>
      </w:r>
    </w:p>
    <w:p w:rsidR="00E20B54" w:rsidRDefault="00733C9E">
      <w:pPr>
        <w:pStyle w:val="a3"/>
        <w:widowControl/>
        <w:spacing w:before="156" w:beforeAutospacing="0" w:after="156" w:afterAutospacing="0" w:line="240" w:lineRule="atLeast"/>
        <w:ind w:firstLine="420"/>
        <w:jc w:val="both"/>
        <w:rPr>
          <w:b/>
          <w:bCs/>
          <w:szCs w:val="24"/>
        </w:rPr>
      </w:pPr>
      <w:r>
        <w:rPr>
          <w:b/>
          <w:bCs/>
          <w:color w:val="000000"/>
          <w:sz w:val="21"/>
          <w:szCs w:val="21"/>
        </w:rPr>
        <w:t>（六）资质优势</w:t>
      </w:r>
    </w:p>
    <w:p w:rsidR="00E20B54" w:rsidRDefault="00733C9E">
      <w:pPr>
        <w:pStyle w:val="a3"/>
        <w:widowControl/>
        <w:spacing w:before="156" w:beforeAutospacing="0" w:after="156" w:afterAutospacing="0" w:line="240" w:lineRule="atLeast"/>
        <w:ind w:firstLine="420"/>
        <w:jc w:val="both"/>
        <w:rPr>
          <w:szCs w:val="24"/>
        </w:rPr>
      </w:pPr>
      <w:r>
        <w:rPr>
          <w:color w:val="000000"/>
          <w:sz w:val="21"/>
          <w:szCs w:val="21"/>
        </w:rPr>
        <w:t>公司所处行业实行资质认证，拥有完整、高级别资质的企业在满足客户多样化需求和项目承接上具备较强的竞争优势。经过多年业务发展和技术积累，公司已成为行业内资质体系较齐全且级别较高的企业之一，目前已拥有了广东省安全技术防范系统设计、电子与智能化工程专业承包一级资质、建筑机电安装工程专业二级、增值电信业务经营许可证、广东省防雷企业能力评价证书（</w:t>
      </w:r>
      <w:r>
        <w:rPr>
          <w:color w:val="000000"/>
          <w:sz w:val="21"/>
          <w:szCs w:val="21"/>
        </w:rPr>
        <w:t>C</w:t>
      </w:r>
      <w:r>
        <w:rPr>
          <w:color w:val="000000"/>
          <w:sz w:val="21"/>
          <w:szCs w:val="21"/>
        </w:rPr>
        <w:t>级）、</w:t>
      </w:r>
      <w:r>
        <w:rPr>
          <w:color w:val="000000"/>
          <w:sz w:val="21"/>
          <w:szCs w:val="21"/>
        </w:rPr>
        <w:t>CMMI3(</w:t>
      </w:r>
      <w:r>
        <w:rPr>
          <w:color w:val="000000"/>
          <w:sz w:val="21"/>
          <w:szCs w:val="21"/>
        </w:rPr>
        <w:t>软件能力成熟度模型集成</w:t>
      </w:r>
      <w:r>
        <w:rPr>
          <w:color w:val="000000"/>
          <w:sz w:val="21"/>
          <w:szCs w:val="21"/>
        </w:rPr>
        <w:t>)</w:t>
      </w:r>
      <w:r>
        <w:rPr>
          <w:color w:val="000000"/>
          <w:sz w:val="21"/>
          <w:szCs w:val="21"/>
        </w:rPr>
        <w:t>、</w:t>
      </w:r>
      <w:r>
        <w:rPr>
          <w:color w:val="000000"/>
          <w:sz w:val="21"/>
          <w:szCs w:val="21"/>
        </w:rPr>
        <w:t>ITSS</w:t>
      </w:r>
      <w:r>
        <w:rPr>
          <w:color w:val="000000"/>
          <w:sz w:val="21"/>
          <w:szCs w:val="21"/>
        </w:rPr>
        <w:t>信息技术服务标准符合性证书（三级）、</w:t>
      </w:r>
      <w:r>
        <w:rPr>
          <w:color w:val="000000"/>
          <w:sz w:val="21"/>
          <w:szCs w:val="21"/>
        </w:rPr>
        <w:t>CS</w:t>
      </w:r>
      <w:r>
        <w:rPr>
          <w:color w:val="000000"/>
          <w:sz w:val="21"/>
          <w:szCs w:val="21"/>
        </w:rPr>
        <w:t>信息系统建设和服务能力等级证书（良好级）、广东省安全技术防范企业设计施工维护能力评价等级证书（一级）、广东省数据经纪人等业务开展必要的资质证书。公司及子公司天亿马信息技术、广东翼启通过了管理体系认证，取得质量管理体系认证证书（</w:t>
      </w:r>
      <w:r>
        <w:rPr>
          <w:color w:val="000000"/>
          <w:sz w:val="21"/>
          <w:szCs w:val="21"/>
        </w:rPr>
        <w:t>ISO 9001</w:t>
      </w:r>
      <w:r>
        <w:rPr>
          <w:color w:val="000000"/>
          <w:sz w:val="21"/>
          <w:szCs w:val="21"/>
        </w:rPr>
        <w:t>：</w:t>
      </w:r>
      <w:r>
        <w:rPr>
          <w:color w:val="000000"/>
          <w:sz w:val="21"/>
          <w:szCs w:val="21"/>
        </w:rPr>
        <w:t>2015</w:t>
      </w:r>
      <w:r>
        <w:rPr>
          <w:color w:val="000000"/>
          <w:sz w:val="21"/>
          <w:szCs w:val="21"/>
        </w:rPr>
        <w:t>）、环境管理体系认证证书（</w:t>
      </w:r>
      <w:r>
        <w:rPr>
          <w:color w:val="000000"/>
          <w:sz w:val="21"/>
          <w:szCs w:val="21"/>
        </w:rPr>
        <w:t>ISO 14001</w:t>
      </w:r>
      <w:r>
        <w:rPr>
          <w:color w:val="000000"/>
          <w:sz w:val="21"/>
          <w:szCs w:val="21"/>
        </w:rPr>
        <w:t>：</w:t>
      </w:r>
      <w:r>
        <w:rPr>
          <w:color w:val="000000"/>
          <w:sz w:val="21"/>
          <w:szCs w:val="21"/>
        </w:rPr>
        <w:t>2015</w:t>
      </w:r>
      <w:r>
        <w:rPr>
          <w:color w:val="000000"/>
          <w:sz w:val="21"/>
          <w:szCs w:val="21"/>
        </w:rPr>
        <w:t>）、职业健康安全管理体系认证证书（</w:t>
      </w:r>
      <w:r>
        <w:rPr>
          <w:color w:val="000000"/>
          <w:sz w:val="21"/>
          <w:szCs w:val="21"/>
        </w:rPr>
        <w:t>ISO 45001</w:t>
      </w:r>
      <w:r>
        <w:rPr>
          <w:color w:val="000000"/>
          <w:sz w:val="21"/>
          <w:szCs w:val="21"/>
        </w:rPr>
        <w:t>：</w:t>
      </w:r>
      <w:r>
        <w:rPr>
          <w:color w:val="000000"/>
          <w:sz w:val="21"/>
          <w:szCs w:val="21"/>
        </w:rPr>
        <w:t>2018</w:t>
      </w:r>
      <w:r>
        <w:rPr>
          <w:color w:val="000000"/>
          <w:sz w:val="21"/>
          <w:szCs w:val="21"/>
        </w:rPr>
        <w:t>）、信息安全管理体系认证证书（</w:t>
      </w:r>
      <w:r>
        <w:rPr>
          <w:color w:val="000000"/>
          <w:sz w:val="21"/>
          <w:szCs w:val="21"/>
        </w:rPr>
        <w:t>ISO/IEC 27001</w:t>
      </w:r>
      <w:r>
        <w:rPr>
          <w:color w:val="000000"/>
          <w:sz w:val="21"/>
          <w:szCs w:val="21"/>
        </w:rPr>
        <w:t>：</w:t>
      </w:r>
      <w:r>
        <w:rPr>
          <w:color w:val="000000"/>
          <w:sz w:val="21"/>
          <w:szCs w:val="21"/>
        </w:rPr>
        <w:t>2022</w:t>
      </w:r>
      <w:r>
        <w:rPr>
          <w:color w:val="000000"/>
          <w:sz w:val="21"/>
          <w:szCs w:val="21"/>
        </w:rPr>
        <w:t>）。上述资质的取得系公司整体业务实力的体现，使公司在竞标和承接各类相关业务时具备较强的竞争优势。</w:t>
      </w:r>
    </w:p>
    <w:p w:rsidR="00E20B54" w:rsidRDefault="00733C9E">
      <w:pPr>
        <w:pStyle w:val="2"/>
        <w:spacing w:before="300" w:after="300" w:line="320" w:lineRule="exact"/>
        <w:rPr>
          <w:b/>
          <w:bCs/>
          <w:sz w:val="24"/>
          <w:szCs w:val="24"/>
        </w:rPr>
      </w:pPr>
      <w:bookmarkStart w:id="16" w:name="_Toc988905"/>
      <w:r>
        <w:rPr>
          <w:b/>
          <w:bCs/>
          <w:sz w:val="24"/>
          <w:szCs w:val="24"/>
        </w:rPr>
        <w:lastRenderedPageBreak/>
        <w:t>四、主营业务分析</w:t>
      </w:r>
      <w:bookmarkEnd w:id="16"/>
    </w:p>
    <w:p w:rsidR="00E20B54" w:rsidRDefault="00733C9E">
      <w:pPr>
        <w:pStyle w:val="3"/>
        <w:spacing w:line="280" w:lineRule="exact"/>
        <w:jc w:val="left"/>
        <w:rPr>
          <w:b/>
          <w:bCs/>
        </w:rPr>
      </w:pPr>
      <w:bookmarkStart w:id="17" w:name="_Toc988906"/>
      <w:r>
        <w:rPr>
          <w:b/>
          <w:bCs/>
        </w:rPr>
        <w:t>1</w:t>
      </w:r>
      <w:r>
        <w:rPr>
          <w:b/>
          <w:bCs/>
        </w:rPr>
        <w:t>、概述</w:t>
      </w:r>
      <w:bookmarkEnd w:id="17"/>
    </w:p>
    <w:p w:rsidR="00E20B54" w:rsidRDefault="00733C9E">
      <w:pPr>
        <w:pStyle w:val="a3"/>
        <w:widowControl/>
        <w:spacing w:before="156" w:beforeAutospacing="0" w:after="156" w:afterAutospacing="0" w:line="240" w:lineRule="atLeast"/>
        <w:ind w:firstLine="420"/>
        <w:jc w:val="both"/>
        <w:rPr>
          <w:color w:val="000000"/>
          <w:sz w:val="21"/>
          <w:szCs w:val="21"/>
        </w:rPr>
      </w:pPr>
      <w:r>
        <w:rPr>
          <w:color w:val="000000"/>
          <w:sz w:val="21"/>
          <w:szCs w:val="21"/>
        </w:rPr>
        <w:t>2025</w:t>
      </w:r>
      <w:r>
        <w:rPr>
          <w:color w:val="000000"/>
          <w:sz w:val="21"/>
          <w:szCs w:val="21"/>
        </w:rPr>
        <w:t>年是公司战略转型关键之年，董事会聚焦</w:t>
      </w:r>
      <w:r>
        <w:rPr>
          <w:color w:val="000000"/>
          <w:sz w:val="21"/>
          <w:szCs w:val="21"/>
        </w:rPr>
        <w:t>"</w:t>
      </w:r>
      <w:r>
        <w:rPr>
          <w:color w:val="000000"/>
          <w:sz w:val="21"/>
          <w:szCs w:val="21"/>
        </w:rPr>
        <w:t>转型、提质</w:t>
      </w:r>
      <w:r>
        <w:rPr>
          <w:color w:val="000000"/>
          <w:sz w:val="21"/>
          <w:szCs w:val="21"/>
        </w:rPr>
        <w:t>"</w:t>
      </w:r>
      <w:r>
        <w:rPr>
          <w:color w:val="000000"/>
          <w:sz w:val="21"/>
          <w:szCs w:val="21"/>
        </w:rPr>
        <w:t>战略目标，紧抓数字经济发展机遇，坚持内生增长与外延并购相结合策略。一方面公司锚定人工智能技术革新浪潮，积极实施</w:t>
      </w:r>
      <w:r>
        <w:rPr>
          <w:color w:val="000000"/>
          <w:sz w:val="21"/>
          <w:szCs w:val="21"/>
        </w:rPr>
        <w:t>“</w:t>
      </w:r>
      <w:r>
        <w:rPr>
          <w:color w:val="000000"/>
          <w:sz w:val="21"/>
          <w:szCs w:val="21"/>
        </w:rPr>
        <w:t>人工智能</w:t>
      </w:r>
      <w:r>
        <w:rPr>
          <w:color w:val="000000"/>
          <w:sz w:val="21"/>
          <w:szCs w:val="21"/>
        </w:rPr>
        <w:t>+”</w:t>
      </w:r>
      <w:r>
        <w:rPr>
          <w:color w:val="000000"/>
          <w:sz w:val="21"/>
          <w:szCs w:val="21"/>
        </w:rPr>
        <w:t>行动计划，以人工智能赋能重塑千行百业。报告期内，人工智能充分融入公司战略规划、组织架构、业务流程，推动产业全要素智能化发展，助力公司业务改造升级，开辟战略性新兴产业新赛道。</w:t>
      </w:r>
      <w:r>
        <w:rPr>
          <w:color w:val="000000"/>
          <w:sz w:val="21"/>
          <w:szCs w:val="21"/>
        </w:rPr>
        <w:t>2025</w:t>
      </w:r>
      <w:r>
        <w:rPr>
          <w:color w:val="000000"/>
          <w:sz w:val="21"/>
          <w:szCs w:val="21"/>
        </w:rPr>
        <w:t>年，公司智慧政务、智慧企业、智慧医疗、智慧能源等业务提质增效明显，新布局的人工智能、算力服务、数据要素等新赛道亦取得重大突破。另一方面公司同步加大产业并购力度，</w:t>
      </w:r>
      <w:r>
        <w:rPr>
          <w:color w:val="000000"/>
          <w:sz w:val="21"/>
          <w:szCs w:val="21"/>
        </w:rPr>
        <w:t>2025</w:t>
      </w:r>
      <w:r>
        <w:rPr>
          <w:color w:val="000000"/>
          <w:sz w:val="21"/>
          <w:szCs w:val="21"/>
        </w:rPr>
        <w:t>年</w:t>
      </w:r>
      <w:r>
        <w:rPr>
          <w:color w:val="000000"/>
          <w:sz w:val="21"/>
          <w:szCs w:val="21"/>
        </w:rPr>
        <w:t>11</w:t>
      </w:r>
      <w:r>
        <w:rPr>
          <w:color w:val="000000"/>
          <w:sz w:val="21"/>
          <w:szCs w:val="21"/>
        </w:rPr>
        <w:t>月，公司披露了发行股份及支付现金并购星云开物</w:t>
      </w:r>
      <w:r>
        <w:rPr>
          <w:color w:val="000000"/>
          <w:sz w:val="21"/>
          <w:szCs w:val="21"/>
        </w:rPr>
        <w:t>98.5632%</w:t>
      </w:r>
      <w:r>
        <w:rPr>
          <w:color w:val="000000"/>
          <w:sz w:val="21"/>
          <w:szCs w:val="21"/>
        </w:rPr>
        <w:t>股权并配套募集资金暨关联交易草案，有力地推进业务结构优化与战略转型落地。</w:t>
      </w:r>
    </w:p>
    <w:p w:rsidR="00E20B54" w:rsidRDefault="00733C9E">
      <w:pPr>
        <w:pStyle w:val="a3"/>
        <w:widowControl/>
        <w:spacing w:before="156" w:beforeAutospacing="0" w:after="156" w:afterAutospacing="0" w:line="240" w:lineRule="atLeast"/>
        <w:ind w:firstLine="420"/>
        <w:jc w:val="both"/>
        <w:rPr>
          <w:color w:val="000000"/>
          <w:sz w:val="21"/>
          <w:szCs w:val="21"/>
        </w:rPr>
      </w:pPr>
      <w:r>
        <w:rPr>
          <w:color w:val="000000"/>
          <w:sz w:val="21"/>
          <w:szCs w:val="21"/>
        </w:rPr>
        <w:t>报告期内，公司战略转型取得阶段性成效，基础业务进一步夯实，新兴业务取得重大突破，业务结构明显改善，实现了营业收入和净利润双增长。</w:t>
      </w:r>
      <w:r>
        <w:rPr>
          <w:color w:val="000000"/>
          <w:sz w:val="21"/>
          <w:szCs w:val="21"/>
        </w:rPr>
        <w:t>2025</w:t>
      </w:r>
      <w:r>
        <w:rPr>
          <w:color w:val="000000"/>
          <w:sz w:val="21"/>
          <w:szCs w:val="21"/>
        </w:rPr>
        <w:t>年度，公司实现营业收入</w:t>
      </w:r>
      <w:r>
        <w:rPr>
          <w:color w:val="000000"/>
          <w:sz w:val="21"/>
          <w:szCs w:val="21"/>
        </w:rPr>
        <w:t>4.77</w:t>
      </w:r>
      <w:r>
        <w:rPr>
          <w:color w:val="000000"/>
          <w:sz w:val="21"/>
          <w:szCs w:val="21"/>
        </w:rPr>
        <w:t>亿元，同比增加</w:t>
      </w:r>
      <w:r>
        <w:rPr>
          <w:color w:val="000000"/>
          <w:sz w:val="21"/>
          <w:szCs w:val="21"/>
        </w:rPr>
        <w:t>113.29%</w:t>
      </w:r>
      <w:r>
        <w:rPr>
          <w:color w:val="000000"/>
          <w:sz w:val="21"/>
          <w:szCs w:val="21"/>
        </w:rPr>
        <w:t>；实现归属母公司净利润</w:t>
      </w:r>
      <w:r>
        <w:rPr>
          <w:color w:val="000000"/>
          <w:sz w:val="21"/>
          <w:szCs w:val="21"/>
        </w:rPr>
        <w:t>748.96</w:t>
      </w:r>
      <w:r>
        <w:rPr>
          <w:color w:val="000000"/>
          <w:sz w:val="21"/>
          <w:szCs w:val="21"/>
        </w:rPr>
        <w:t>万元，扭亏为盈。公司智慧政务、智慧医疗、智慧企业等领域优势持续巩固，报告期分别实现收入</w:t>
      </w:r>
      <w:r>
        <w:rPr>
          <w:color w:val="000000"/>
          <w:sz w:val="21"/>
          <w:szCs w:val="21"/>
        </w:rPr>
        <w:t>11,280.34</w:t>
      </w:r>
      <w:r>
        <w:rPr>
          <w:color w:val="000000"/>
          <w:sz w:val="21"/>
          <w:szCs w:val="21"/>
        </w:rPr>
        <w:t>万元、</w:t>
      </w:r>
      <w:r>
        <w:rPr>
          <w:color w:val="000000"/>
          <w:sz w:val="21"/>
          <w:szCs w:val="21"/>
        </w:rPr>
        <w:t>5,580.97</w:t>
      </w:r>
      <w:r>
        <w:rPr>
          <w:color w:val="000000"/>
          <w:sz w:val="21"/>
          <w:szCs w:val="21"/>
        </w:rPr>
        <w:t>万元、</w:t>
      </w:r>
      <w:r>
        <w:rPr>
          <w:color w:val="000000"/>
          <w:sz w:val="21"/>
          <w:szCs w:val="21"/>
        </w:rPr>
        <w:t>15,299.23</w:t>
      </w:r>
      <w:r>
        <w:rPr>
          <w:color w:val="000000"/>
          <w:sz w:val="21"/>
          <w:szCs w:val="21"/>
        </w:rPr>
        <w:t>万元，同比增长</w:t>
      </w:r>
      <w:r>
        <w:rPr>
          <w:color w:val="000000"/>
          <w:sz w:val="21"/>
          <w:szCs w:val="21"/>
        </w:rPr>
        <w:t>137.08%</w:t>
      </w:r>
      <w:r>
        <w:rPr>
          <w:color w:val="000000"/>
          <w:sz w:val="21"/>
          <w:szCs w:val="21"/>
        </w:rPr>
        <w:t>、</w:t>
      </w:r>
      <w:r>
        <w:rPr>
          <w:color w:val="000000"/>
          <w:sz w:val="21"/>
          <w:szCs w:val="21"/>
        </w:rPr>
        <w:t>115.34%</w:t>
      </w:r>
      <w:r>
        <w:rPr>
          <w:color w:val="000000"/>
          <w:sz w:val="21"/>
          <w:szCs w:val="21"/>
        </w:rPr>
        <w:t>、</w:t>
      </w:r>
      <w:r>
        <w:rPr>
          <w:color w:val="000000"/>
          <w:sz w:val="21"/>
          <w:szCs w:val="21"/>
        </w:rPr>
        <w:t>252.63%</w:t>
      </w:r>
      <w:r>
        <w:rPr>
          <w:color w:val="000000"/>
          <w:sz w:val="21"/>
          <w:szCs w:val="21"/>
        </w:rPr>
        <w:t>，驱动业绩强劲增长。前期战略部署的算力服务、智慧能源等新赛道亦初见成效，深圳算力集群服务等项目按期交付使用，多个分布式光伏电站完成并网发电，本报告期实现收入</w:t>
      </w:r>
      <w:r>
        <w:rPr>
          <w:color w:val="000000"/>
          <w:sz w:val="21"/>
          <w:szCs w:val="21"/>
        </w:rPr>
        <w:t>6,616.57</w:t>
      </w:r>
      <w:r>
        <w:rPr>
          <w:color w:val="000000"/>
          <w:sz w:val="21"/>
          <w:szCs w:val="21"/>
        </w:rPr>
        <w:t>万元、</w:t>
      </w:r>
      <w:r>
        <w:rPr>
          <w:color w:val="000000"/>
          <w:sz w:val="21"/>
          <w:szCs w:val="21"/>
        </w:rPr>
        <w:t>2,129.90</w:t>
      </w:r>
      <w:r>
        <w:rPr>
          <w:color w:val="000000"/>
          <w:sz w:val="21"/>
          <w:szCs w:val="21"/>
        </w:rPr>
        <w:t>万元，提升业务质量。</w:t>
      </w:r>
      <w:r>
        <w:rPr>
          <w:color w:val="000000"/>
          <w:sz w:val="21"/>
          <w:szCs w:val="21"/>
        </w:rPr>
        <w:t>2025</w:t>
      </w:r>
      <w:r>
        <w:rPr>
          <w:color w:val="000000"/>
          <w:sz w:val="21"/>
          <w:szCs w:val="21"/>
        </w:rPr>
        <w:t>年度，公司积极实施</w:t>
      </w:r>
      <w:r>
        <w:rPr>
          <w:color w:val="000000"/>
          <w:sz w:val="21"/>
          <w:szCs w:val="21"/>
        </w:rPr>
        <w:t>“</w:t>
      </w:r>
      <w:r>
        <w:rPr>
          <w:color w:val="000000"/>
          <w:sz w:val="21"/>
          <w:szCs w:val="21"/>
        </w:rPr>
        <w:t>人工智能</w:t>
      </w:r>
      <w:r>
        <w:rPr>
          <w:color w:val="000000"/>
          <w:sz w:val="21"/>
          <w:szCs w:val="21"/>
        </w:rPr>
        <w:t>+”</w:t>
      </w:r>
      <w:r>
        <w:rPr>
          <w:color w:val="000000"/>
          <w:sz w:val="21"/>
          <w:szCs w:val="21"/>
        </w:rPr>
        <w:t>行动，凭借在人工智能领域的技术积淀，公司</w:t>
      </w:r>
      <w:r>
        <w:rPr>
          <w:color w:val="000000"/>
          <w:sz w:val="21"/>
          <w:szCs w:val="21"/>
        </w:rPr>
        <w:t>“</w:t>
      </w:r>
      <w:r>
        <w:rPr>
          <w:color w:val="000000"/>
          <w:sz w:val="21"/>
          <w:szCs w:val="21"/>
        </w:rPr>
        <w:t>翼启</w:t>
      </w:r>
      <w:r>
        <w:rPr>
          <w:color w:val="000000"/>
          <w:sz w:val="21"/>
          <w:szCs w:val="21"/>
        </w:rPr>
        <w:t>AI</w:t>
      </w:r>
      <w:r>
        <w:rPr>
          <w:color w:val="000000"/>
          <w:sz w:val="21"/>
          <w:szCs w:val="21"/>
        </w:rPr>
        <w:t>政务管家智能体</w:t>
      </w:r>
      <w:r>
        <w:rPr>
          <w:color w:val="000000"/>
          <w:sz w:val="21"/>
          <w:szCs w:val="21"/>
        </w:rPr>
        <w:t>”</w:t>
      </w:r>
      <w:r>
        <w:rPr>
          <w:color w:val="000000"/>
          <w:sz w:val="21"/>
          <w:szCs w:val="21"/>
        </w:rPr>
        <w:t>和企业端智能体已完成部署应用并商业化落地，自研的</w:t>
      </w:r>
      <w:r>
        <w:rPr>
          <w:color w:val="000000"/>
          <w:sz w:val="21"/>
          <w:szCs w:val="21"/>
        </w:rPr>
        <w:t>“</w:t>
      </w:r>
      <w:r>
        <w:rPr>
          <w:color w:val="000000"/>
          <w:sz w:val="21"/>
          <w:szCs w:val="21"/>
        </w:rPr>
        <w:t>接地网全寿命周期智能监测系统</w:t>
      </w:r>
      <w:r>
        <w:rPr>
          <w:color w:val="000000"/>
          <w:sz w:val="21"/>
          <w:szCs w:val="21"/>
        </w:rPr>
        <w:t>”</w:t>
      </w:r>
      <w:r>
        <w:rPr>
          <w:color w:val="000000"/>
          <w:sz w:val="21"/>
          <w:szCs w:val="21"/>
        </w:rPr>
        <w:t>正式上线国网电商平台等；在</w:t>
      </w:r>
      <w:r>
        <w:rPr>
          <w:color w:val="000000"/>
          <w:sz w:val="21"/>
          <w:szCs w:val="21"/>
        </w:rPr>
        <w:t>“2025</w:t>
      </w:r>
      <w:r>
        <w:rPr>
          <w:color w:val="000000"/>
          <w:sz w:val="21"/>
          <w:szCs w:val="21"/>
        </w:rPr>
        <w:t>人工智能产业创新发展大会</w:t>
      </w:r>
      <w:r>
        <w:rPr>
          <w:color w:val="000000"/>
          <w:sz w:val="21"/>
          <w:szCs w:val="21"/>
        </w:rPr>
        <w:t>”</w:t>
      </w:r>
      <w:r>
        <w:rPr>
          <w:color w:val="000000"/>
          <w:sz w:val="21"/>
          <w:szCs w:val="21"/>
        </w:rPr>
        <w:t>上，公司及产品荣获</w:t>
      </w:r>
      <w:r>
        <w:rPr>
          <w:color w:val="000000"/>
          <w:sz w:val="21"/>
          <w:szCs w:val="21"/>
        </w:rPr>
        <w:t>“2025</w:t>
      </w:r>
      <w:r>
        <w:rPr>
          <w:color w:val="000000"/>
          <w:sz w:val="21"/>
          <w:szCs w:val="21"/>
        </w:rPr>
        <w:t>人工智能领域优秀服务商</w:t>
      </w:r>
      <w:r>
        <w:rPr>
          <w:color w:val="000000"/>
          <w:sz w:val="21"/>
          <w:szCs w:val="21"/>
        </w:rPr>
        <w:t>”</w:t>
      </w:r>
      <w:r>
        <w:rPr>
          <w:color w:val="000000"/>
          <w:sz w:val="21"/>
          <w:szCs w:val="21"/>
        </w:rPr>
        <w:t>、</w:t>
      </w:r>
      <w:r>
        <w:rPr>
          <w:color w:val="000000"/>
          <w:sz w:val="21"/>
          <w:szCs w:val="21"/>
        </w:rPr>
        <w:t>“2025</w:t>
      </w:r>
      <w:r>
        <w:rPr>
          <w:color w:val="000000"/>
          <w:sz w:val="21"/>
          <w:szCs w:val="21"/>
        </w:rPr>
        <w:t>人工智能赋能高质量发展典型案例</w:t>
      </w:r>
      <w:r>
        <w:rPr>
          <w:color w:val="000000"/>
          <w:sz w:val="21"/>
          <w:szCs w:val="21"/>
        </w:rPr>
        <w:t>”</w:t>
      </w:r>
      <w:r>
        <w:rPr>
          <w:color w:val="000000"/>
          <w:sz w:val="21"/>
          <w:szCs w:val="21"/>
        </w:rPr>
        <w:t>。</w:t>
      </w:r>
    </w:p>
    <w:p w:rsidR="00E20B54" w:rsidRDefault="00733C9E">
      <w:pPr>
        <w:pStyle w:val="a3"/>
        <w:widowControl/>
        <w:spacing w:before="156" w:beforeAutospacing="0" w:after="156" w:afterAutospacing="0" w:line="240" w:lineRule="atLeast"/>
        <w:ind w:firstLine="420"/>
        <w:jc w:val="both"/>
        <w:rPr>
          <w:color w:val="000000"/>
          <w:sz w:val="21"/>
          <w:szCs w:val="21"/>
        </w:rPr>
      </w:pPr>
      <w:r>
        <w:rPr>
          <w:color w:val="000000"/>
          <w:sz w:val="21"/>
          <w:szCs w:val="21"/>
        </w:rPr>
        <w:t>报告期内，公司充分利用上市公司平台和资源优势，加强产业并购力度。</w:t>
      </w:r>
      <w:r>
        <w:rPr>
          <w:color w:val="000000"/>
          <w:sz w:val="21"/>
          <w:szCs w:val="21"/>
        </w:rPr>
        <w:t>2025</w:t>
      </w:r>
      <w:r>
        <w:rPr>
          <w:color w:val="000000"/>
          <w:sz w:val="21"/>
          <w:szCs w:val="21"/>
        </w:rPr>
        <w:t>年</w:t>
      </w:r>
      <w:r>
        <w:rPr>
          <w:color w:val="000000"/>
          <w:sz w:val="21"/>
          <w:szCs w:val="21"/>
        </w:rPr>
        <w:t>11</w:t>
      </w:r>
      <w:r>
        <w:rPr>
          <w:color w:val="000000"/>
          <w:sz w:val="21"/>
          <w:szCs w:val="21"/>
        </w:rPr>
        <w:t>月，公司披露了发行股份及支付现金并购星云开物</w:t>
      </w:r>
      <w:r>
        <w:rPr>
          <w:color w:val="000000"/>
          <w:sz w:val="21"/>
          <w:szCs w:val="21"/>
        </w:rPr>
        <w:t>98.5632%</w:t>
      </w:r>
      <w:r>
        <w:rPr>
          <w:color w:val="000000"/>
          <w:sz w:val="21"/>
          <w:szCs w:val="21"/>
        </w:rPr>
        <w:t>股权并配套募集资金暨关联交易草案，标志公司战略转型取得关键性进展。</w:t>
      </w:r>
    </w:p>
    <w:p w:rsidR="00E20B54" w:rsidRDefault="00733C9E">
      <w:pPr>
        <w:pStyle w:val="a3"/>
        <w:widowControl/>
        <w:spacing w:before="156" w:beforeAutospacing="0" w:after="156" w:afterAutospacing="0" w:line="240" w:lineRule="atLeast"/>
        <w:ind w:firstLine="420"/>
        <w:jc w:val="both"/>
        <w:rPr>
          <w:color w:val="000000"/>
          <w:sz w:val="21"/>
          <w:szCs w:val="21"/>
        </w:rPr>
      </w:pPr>
      <w:r>
        <w:rPr>
          <w:color w:val="000000"/>
          <w:sz w:val="21"/>
          <w:szCs w:val="21"/>
        </w:rPr>
        <w:t>星云开物是一家智能自助设备数字化服务提供商，专注于提供</w:t>
      </w:r>
      <w:r>
        <w:rPr>
          <w:color w:val="000000"/>
          <w:sz w:val="21"/>
          <w:szCs w:val="21"/>
        </w:rPr>
        <w:t>“IoT</w:t>
      </w:r>
      <w:r>
        <w:rPr>
          <w:color w:val="000000"/>
          <w:sz w:val="21"/>
          <w:szCs w:val="21"/>
        </w:rPr>
        <w:t>智能硬件</w:t>
      </w:r>
      <w:r>
        <w:rPr>
          <w:color w:val="000000"/>
          <w:sz w:val="21"/>
          <w:szCs w:val="21"/>
        </w:rPr>
        <w:t>+SaaS</w:t>
      </w:r>
      <w:r>
        <w:rPr>
          <w:color w:val="000000"/>
          <w:sz w:val="21"/>
          <w:szCs w:val="21"/>
        </w:rPr>
        <w:t>云平台</w:t>
      </w:r>
      <w:r>
        <w:rPr>
          <w:color w:val="000000"/>
          <w:sz w:val="21"/>
          <w:szCs w:val="21"/>
        </w:rPr>
        <w:t>”</w:t>
      </w:r>
      <w:r>
        <w:rPr>
          <w:color w:val="000000"/>
          <w:sz w:val="21"/>
          <w:szCs w:val="21"/>
        </w:rPr>
        <w:t>一体化解决方案，致力于实现自助设备产业的数字化升级，为国家级专精特新重点</w:t>
      </w:r>
      <w:r>
        <w:rPr>
          <w:color w:val="000000"/>
          <w:sz w:val="21"/>
          <w:szCs w:val="21"/>
        </w:rPr>
        <w:t>“</w:t>
      </w:r>
      <w:r>
        <w:rPr>
          <w:color w:val="000000"/>
          <w:sz w:val="21"/>
          <w:szCs w:val="21"/>
        </w:rPr>
        <w:t>小巨人</w:t>
      </w:r>
      <w:r>
        <w:rPr>
          <w:color w:val="000000"/>
          <w:sz w:val="21"/>
          <w:szCs w:val="21"/>
        </w:rPr>
        <w:t>”</w:t>
      </w:r>
      <w:r>
        <w:rPr>
          <w:color w:val="000000"/>
          <w:sz w:val="21"/>
          <w:szCs w:val="21"/>
        </w:rPr>
        <w:t>企业，拥有专利</w:t>
      </w:r>
      <w:r>
        <w:rPr>
          <w:color w:val="000000"/>
          <w:sz w:val="21"/>
          <w:szCs w:val="21"/>
        </w:rPr>
        <w:t>233</w:t>
      </w:r>
      <w:r>
        <w:rPr>
          <w:color w:val="000000"/>
          <w:sz w:val="21"/>
          <w:szCs w:val="21"/>
        </w:rPr>
        <w:t>项。目前星云开物已打造覆盖智慧生活、智慧零售、智慧出行等在内的全场景解决方案矩阵。</w:t>
      </w:r>
      <w:r>
        <w:rPr>
          <w:color w:val="000000"/>
          <w:sz w:val="21"/>
          <w:szCs w:val="21"/>
        </w:rPr>
        <w:t>2025</w:t>
      </w:r>
      <w:r>
        <w:rPr>
          <w:color w:val="000000"/>
          <w:sz w:val="21"/>
          <w:szCs w:val="21"/>
        </w:rPr>
        <w:t>年度，星云开物在线接入智能自助设备总数超过</w:t>
      </w:r>
      <w:r>
        <w:rPr>
          <w:color w:val="000000"/>
          <w:sz w:val="21"/>
          <w:szCs w:val="21"/>
        </w:rPr>
        <w:t>300</w:t>
      </w:r>
      <w:r>
        <w:rPr>
          <w:color w:val="000000"/>
          <w:sz w:val="21"/>
          <w:szCs w:val="21"/>
        </w:rPr>
        <w:t>万台，已覆盖全国</w:t>
      </w:r>
      <w:r>
        <w:rPr>
          <w:color w:val="000000"/>
          <w:sz w:val="21"/>
          <w:szCs w:val="21"/>
        </w:rPr>
        <w:t>600</w:t>
      </w:r>
      <w:r>
        <w:rPr>
          <w:color w:val="000000"/>
          <w:sz w:val="21"/>
          <w:szCs w:val="21"/>
        </w:rPr>
        <w:t>多个城市，</w:t>
      </w:r>
      <w:r>
        <w:rPr>
          <w:color w:val="000000"/>
          <w:sz w:val="21"/>
          <w:szCs w:val="21"/>
        </w:rPr>
        <w:t>2025</w:t>
      </w:r>
      <w:r>
        <w:rPr>
          <w:color w:val="000000"/>
          <w:sz w:val="21"/>
          <w:szCs w:val="21"/>
        </w:rPr>
        <w:t>年实现收入约</w:t>
      </w:r>
      <w:r>
        <w:rPr>
          <w:color w:val="000000"/>
          <w:sz w:val="21"/>
          <w:szCs w:val="21"/>
        </w:rPr>
        <w:t>5.3</w:t>
      </w:r>
      <w:r>
        <w:rPr>
          <w:color w:val="000000"/>
          <w:sz w:val="21"/>
          <w:szCs w:val="21"/>
        </w:rPr>
        <w:t>亿元，净利润约</w:t>
      </w:r>
      <w:r>
        <w:rPr>
          <w:color w:val="000000"/>
          <w:sz w:val="21"/>
          <w:szCs w:val="21"/>
        </w:rPr>
        <w:t>1.1</w:t>
      </w:r>
      <w:r>
        <w:rPr>
          <w:color w:val="000000"/>
          <w:sz w:val="21"/>
          <w:szCs w:val="21"/>
        </w:rPr>
        <w:t>亿元。</w:t>
      </w:r>
    </w:p>
    <w:p w:rsidR="00E20B54" w:rsidRDefault="00733C9E">
      <w:pPr>
        <w:pStyle w:val="a3"/>
        <w:widowControl/>
        <w:spacing w:before="156" w:beforeAutospacing="0" w:after="156" w:afterAutospacing="0" w:line="240" w:lineRule="atLeast"/>
        <w:ind w:firstLine="420"/>
        <w:jc w:val="both"/>
        <w:rPr>
          <w:color w:val="000000"/>
          <w:sz w:val="21"/>
          <w:szCs w:val="21"/>
        </w:rPr>
      </w:pPr>
      <w:r>
        <w:rPr>
          <w:color w:val="000000"/>
          <w:sz w:val="21"/>
          <w:szCs w:val="21"/>
        </w:rPr>
        <w:t>星云开物在智慧生活、智慧零售、智慧出行等智能自助领域全场景布局，有利于补齐公司在生活消费等场景应用短板，打造公司从民生生活消费洞察到城市治理智能决策、便民智能服务的全链路价值体系，抢占</w:t>
      </w:r>
      <w:r>
        <w:rPr>
          <w:color w:val="000000"/>
          <w:sz w:val="21"/>
          <w:szCs w:val="21"/>
        </w:rPr>
        <w:t>“</w:t>
      </w:r>
      <w:r>
        <w:rPr>
          <w:color w:val="000000"/>
          <w:sz w:val="21"/>
          <w:szCs w:val="21"/>
        </w:rPr>
        <w:t>智能服务</w:t>
      </w:r>
      <w:r>
        <w:rPr>
          <w:color w:val="000000"/>
          <w:sz w:val="21"/>
          <w:szCs w:val="21"/>
        </w:rPr>
        <w:t>+AI</w:t>
      </w:r>
      <w:r>
        <w:rPr>
          <w:color w:val="000000"/>
          <w:sz w:val="21"/>
          <w:szCs w:val="21"/>
        </w:rPr>
        <w:t>应用</w:t>
      </w:r>
      <w:r>
        <w:rPr>
          <w:color w:val="000000"/>
          <w:sz w:val="21"/>
          <w:szCs w:val="21"/>
        </w:rPr>
        <w:t>”</w:t>
      </w:r>
      <w:r>
        <w:rPr>
          <w:color w:val="000000"/>
          <w:sz w:val="21"/>
          <w:szCs w:val="21"/>
        </w:rPr>
        <w:t>新赛道，构建公司</w:t>
      </w:r>
      <w:r>
        <w:rPr>
          <w:color w:val="000000"/>
          <w:sz w:val="21"/>
          <w:szCs w:val="21"/>
        </w:rPr>
        <w:t>“</w:t>
      </w:r>
      <w:r>
        <w:rPr>
          <w:color w:val="000000"/>
          <w:sz w:val="21"/>
          <w:szCs w:val="21"/>
        </w:rPr>
        <w:t>全场景数字基座服务商</w:t>
      </w:r>
      <w:r>
        <w:rPr>
          <w:color w:val="000000"/>
          <w:sz w:val="21"/>
          <w:szCs w:val="21"/>
        </w:rPr>
        <w:t>”</w:t>
      </w:r>
      <w:r>
        <w:rPr>
          <w:color w:val="000000"/>
          <w:sz w:val="21"/>
          <w:szCs w:val="21"/>
        </w:rPr>
        <w:t>战略布局。</w:t>
      </w:r>
    </w:p>
    <w:p w:rsidR="00E20B54" w:rsidRDefault="00733C9E">
      <w:pPr>
        <w:pStyle w:val="a3"/>
        <w:widowControl/>
        <w:spacing w:before="156" w:beforeAutospacing="0" w:after="156" w:afterAutospacing="0" w:line="240" w:lineRule="atLeast"/>
        <w:ind w:firstLine="420"/>
        <w:jc w:val="both"/>
        <w:rPr>
          <w:color w:val="000000"/>
          <w:sz w:val="21"/>
          <w:szCs w:val="21"/>
        </w:rPr>
      </w:pPr>
      <w:r>
        <w:rPr>
          <w:color w:val="000000"/>
          <w:sz w:val="21"/>
          <w:szCs w:val="21"/>
        </w:rPr>
        <w:t>该事项尚需相关部门批准，存在不确定性，请投资者注意投资风险。</w:t>
      </w:r>
    </w:p>
    <w:p w:rsidR="00E20B54" w:rsidRDefault="00733C9E">
      <w:pPr>
        <w:pStyle w:val="3"/>
        <w:spacing w:line="280" w:lineRule="exact"/>
        <w:jc w:val="left"/>
        <w:rPr>
          <w:b/>
          <w:bCs/>
        </w:rPr>
      </w:pPr>
      <w:bookmarkStart w:id="18" w:name="_Toc988907"/>
      <w:r>
        <w:rPr>
          <w:b/>
          <w:bCs/>
        </w:rPr>
        <w:t>2</w:t>
      </w:r>
      <w:r>
        <w:rPr>
          <w:b/>
          <w:bCs/>
        </w:rPr>
        <w:t>、收入与成本</w:t>
      </w:r>
      <w:bookmarkEnd w:id="18"/>
    </w:p>
    <w:p w:rsidR="00E20B54" w:rsidRDefault="00733C9E">
      <w:pPr>
        <w:keepNext/>
        <w:keepLines/>
        <w:spacing w:before="300" w:after="300" w:line="280" w:lineRule="exact"/>
        <w:outlineLvl w:val="3"/>
        <w:rPr>
          <w:b/>
          <w:bCs/>
          <w:szCs w:val="21"/>
        </w:rPr>
      </w:pPr>
      <w:bookmarkStart w:id="19" w:name="_Toc988908"/>
      <w:r>
        <w:rPr>
          <w:b/>
          <w:bCs/>
          <w:szCs w:val="21"/>
        </w:rPr>
        <w:t>（</w:t>
      </w:r>
      <w:r>
        <w:rPr>
          <w:b/>
          <w:bCs/>
          <w:szCs w:val="21"/>
        </w:rPr>
        <w:t>1</w:t>
      </w:r>
      <w:r>
        <w:rPr>
          <w:b/>
          <w:bCs/>
          <w:szCs w:val="21"/>
        </w:rPr>
        <w:t>）</w:t>
      </w:r>
      <w:r>
        <w:rPr>
          <w:b/>
          <w:bCs/>
          <w:szCs w:val="21"/>
        </w:rPr>
        <w:t xml:space="preserve"> </w:t>
      </w:r>
      <w:r>
        <w:rPr>
          <w:b/>
          <w:bCs/>
          <w:szCs w:val="21"/>
        </w:rPr>
        <w:t>营业收入构成</w:t>
      </w:r>
      <w:bookmarkEnd w:id="19"/>
    </w:p>
    <w:p w:rsidR="00E20B54" w:rsidRDefault="00733C9E">
      <w:pPr>
        <w:spacing w:before="100" w:after="100" w:line="240" w:lineRule="exact"/>
        <w:rPr>
          <w:sz w:val="18"/>
          <w:szCs w:val="18"/>
        </w:rPr>
      </w:pPr>
      <w:r>
        <w:rPr>
          <w:sz w:val="18"/>
          <w:szCs w:val="18"/>
        </w:rPr>
        <w:t>营业收入整体情况</w:t>
      </w:r>
    </w:p>
    <w:p w:rsidR="00E20B54" w:rsidRDefault="00733C9E">
      <w:pPr>
        <w:spacing w:before="40" w:after="40" w:line="240" w:lineRule="exact"/>
        <w:jc w:val="right"/>
        <w:rPr>
          <w:sz w:val="18"/>
          <w:szCs w:val="18"/>
        </w:rPr>
      </w:pPr>
      <w:r>
        <w:rPr>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606"/>
        <w:gridCol w:w="1606"/>
        <w:gridCol w:w="1607"/>
        <w:gridCol w:w="1606"/>
        <w:gridCol w:w="1607"/>
        <w:gridCol w:w="1607"/>
      </w:tblGrid>
      <w:tr w:rsidR="00E20B54">
        <w:trPr>
          <w:trHeight w:val="240"/>
        </w:trPr>
        <w:tc>
          <w:tcPr>
            <w:tcW w:w="1606"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c>
          <w:tcPr>
            <w:tcW w:w="3213"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2025</w:t>
            </w:r>
            <w:r>
              <w:rPr>
                <w:sz w:val="18"/>
                <w:szCs w:val="18"/>
              </w:rPr>
              <w:t>年</w:t>
            </w:r>
          </w:p>
        </w:tc>
        <w:tc>
          <w:tcPr>
            <w:tcW w:w="3213"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2024</w:t>
            </w:r>
            <w:r>
              <w:rPr>
                <w:sz w:val="18"/>
                <w:szCs w:val="18"/>
              </w:rPr>
              <w:t>年</w:t>
            </w:r>
          </w:p>
        </w:tc>
        <w:tc>
          <w:tcPr>
            <w:tcW w:w="1606"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同比增减</w:t>
            </w:r>
          </w:p>
        </w:tc>
      </w:tr>
      <w:tr w:rsidR="00E20B54">
        <w:trPr>
          <w:trHeight w:val="240"/>
        </w:trPr>
        <w:tc>
          <w:tcPr>
            <w:tcW w:w="1606"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金额</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占营业收入比重</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金额</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占营业收入比重</w:t>
            </w:r>
          </w:p>
        </w:tc>
        <w:tc>
          <w:tcPr>
            <w:tcW w:w="1606"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r>
      <w:tr w:rsidR="00E20B54">
        <w:trPr>
          <w:trHeight w:val="240"/>
        </w:trPr>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营业收入合计</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476,993,037.00</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right"/>
              <w:rPr>
                <w:sz w:val="18"/>
                <w:szCs w:val="18"/>
                <w:shd w:val="clear" w:color="auto" w:fill="D3D3D3"/>
              </w:rPr>
            </w:pPr>
            <w:r>
              <w:rPr>
                <w:sz w:val="18"/>
                <w:szCs w:val="18"/>
                <w:shd w:val="clear" w:color="auto" w:fill="D3D3D3"/>
              </w:rPr>
              <w:t>100%</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223,633,009.11</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right"/>
              <w:rPr>
                <w:sz w:val="18"/>
                <w:szCs w:val="18"/>
                <w:shd w:val="clear" w:color="auto" w:fill="D3D3D3"/>
              </w:rPr>
            </w:pPr>
            <w:r>
              <w:rPr>
                <w:sz w:val="18"/>
                <w:szCs w:val="18"/>
                <w:shd w:val="clear" w:color="auto" w:fill="D3D3D3"/>
              </w:rPr>
              <w:t>100%</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113.29%</w:t>
            </w:r>
          </w:p>
        </w:tc>
      </w:tr>
      <w:tr w:rsidR="00E20B54">
        <w:trPr>
          <w:trHeight w:val="240"/>
        </w:trPr>
        <w:tc>
          <w:tcPr>
            <w:tcW w:w="9639" w:type="dxa"/>
            <w:gridSpan w:val="6"/>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分行业</w:t>
            </w:r>
          </w:p>
        </w:tc>
      </w:tr>
      <w:tr w:rsidR="00E20B54">
        <w:trPr>
          <w:trHeight w:val="240"/>
        </w:trPr>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智慧政务</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112,803,439.02</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23.65%</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47,579,656.86</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21.28%</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137.08%</w:t>
            </w:r>
          </w:p>
        </w:tc>
      </w:tr>
      <w:tr w:rsidR="00E20B54">
        <w:trPr>
          <w:trHeight w:val="240"/>
        </w:trPr>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智慧教育</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45,653,067.00</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9.57%</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81,194,925.60</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36.31%</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-43.77%</w:t>
            </w:r>
          </w:p>
        </w:tc>
      </w:tr>
      <w:tr w:rsidR="00E20B54">
        <w:trPr>
          <w:trHeight w:val="240"/>
        </w:trPr>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智慧医疗</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55,809,719.38</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11.70%</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25,917,120.14</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11.59%</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115.34%</w:t>
            </w:r>
          </w:p>
        </w:tc>
      </w:tr>
      <w:tr w:rsidR="00E20B54">
        <w:trPr>
          <w:trHeight w:val="240"/>
        </w:trPr>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智慧企业</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152,992,319.49</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32.07%</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43,386,613.03</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19.40%</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252.63%</w:t>
            </w:r>
          </w:p>
        </w:tc>
      </w:tr>
      <w:tr w:rsidR="00E20B54">
        <w:trPr>
          <w:trHeight w:val="240"/>
        </w:trPr>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算力服务</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66,165,689.04</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13.87%</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100.00%</w:t>
            </w:r>
          </w:p>
        </w:tc>
      </w:tr>
      <w:tr w:rsidR="00E20B54">
        <w:trPr>
          <w:trHeight w:val="240"/>
        </w:trPr>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新能源电力</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21,298,988.55</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4.47%</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643,382.46</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0.29%</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3,210.47%</w:t>
            </w:r>
          </w:p>
        </w:tc>
      </w:tr>
      <w:tr w:rsidR="00E20B54">
        <w:trPr>
          <w:trHeight w:val="240"/>
        </w:trPr>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轨道交通</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22,141,554.01</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4.64%</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23,427,341.16</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10.47%</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-5.49%</w:t>
            </w:r>
          </w:p>
        </w:tc>
      </w:tr>
      <w:tr w:rsidR="00E20B54">
        <w:trPr>
          <w:trHeight w:val="240"/>
        </w:trPr>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其他业务收入</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128,260.51</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0.03%</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1,483,969.86</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0.66%</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-91.36%</w:t>
            </w:r>
          </w:p>
        </w:tc>
      </w:tr>
      <w:tr w:rsidR="00E20B54">
        <w:trPr>
          <w:trHeight w:val="240"/>
        </w:trPr>
        <w:tc>
          <w:tcPr>
            <w:tcW w:w="9639" w:type="dxa"/>
            <w:gridSpan w:val="6"/>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分产品</w:t>
            </w:r>
          </w:p>
        </w:tc>
      </w:tr>
      <w:tr w:rsidR="00E20B54">
        <w:trPr>
          <w:trHeight w:val="240"/>
        </w:trPr>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信息系统集成</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239,105,520.33</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50.12%</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54,240,861.97</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24.25%</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340.82%</w:t>
            </w:r>
          </w:p>
        </w:tc>
      </w:tr>
      <w:tr w:rsidR="00E20B54">
        <w:trPr>
          <w:trHeight w:val="240"/>
        </w:trPr>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软件及技术服务</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53,365,885.90</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11.19%</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41,663,616.03</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18.63%</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28.09%</w:t>
            </w:r>
          </w:p>
        </w:tc>
      </w:tr>
      <w:tr w:rsidR="00E20B54">
        <w:trPr>
          <w:trHeight w:val="240"/>
        </w:trPr>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信息系统运维服务</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12,375,250.02</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2.59%</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9,707,308.56</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4.34%</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27.48%</w:t>
            </w:r>
          </w:p>
        </w:tc>
      </w:tr>
      <w:tr w:rsidR="00E20B54">
        <w:trPr>
          <w:trHeight w:val="240"/>
        </w:trPr>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信息设备销售</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84,553,442.65</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17.73%</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115,893,870.23</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51.82%</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-27.04%</w:t>
            </w:r>
          </w:p>
        </w:tc>
      </w:tr>
      <w:tr w:rsidR="00E20B54">
        <w:trPr>
          <w:trHeight w:val="240"/>
        </w:trPr>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算力服务</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66,165,689.04</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13.87%</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100.00%</w:t>
            </w:r>
          </w:p>
        </w:tc>
      </w:tr>
      <w:tr w:rsidR="00E20B54">
        <w:trPr>
          <w:trHeight w:val="240"/>
        </w:trPr>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光伏发电</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21,298,988.55</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4.47%</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643,382.46</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0.29%</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3,210.47%</w:t>
            </w:r>
          </w:p>
        </w:tc>
      </w:tr>
      <w:tr w:rsidR="00E20B54">
        <w:trPr>
          <w:trHeight w:val="240"/>
        </w:trPr>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其他业务收入</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128,260.51</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0.03%</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1,483,969.86</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0.67%</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-91.36%</w:t>
            </w:r>
          </w:p>
        </w:tc>
      </w:tr>
      <w:tr w:rsidR="00E20B54">
        <w:trPr>
          <w:trHeight w:val="240"/>
        </w:trPr>
        <w:tc>
          <w:tcPr>
            <w:tcW w:w="9639" w:type="dxa"/>
            <w:gridSpan w:val="6"/>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分地区</w:t>
            </w:r>
          </w:p>
        </w:tc>
      </w:tr>
      <w:tr w:rsidR="00E20B54">
        <w:trPr>
          <w:trHeight w:val="240"/>
        </w:trPr>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华南地区</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367,995,632.67</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77.15%</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174,949,222.16</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78.23%</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110.34%</w:t>
            </w:r>
          </w:p>
        </w:tc>
      </w:tr>
      <w:tr w:rsidR="00E20B54">
        <w:trPr>
          <w:trHeight w:val="240"/>
        </w:trPr>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华中地区</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10,585,956.02</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2.22%</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369,338.90</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0.17%</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2,766.19%</w:t>
            </w:r>
          </w:p>
        </w:tc>
      </w:tr>
      <w:tr w:rsidR="00E20B54">
        <w:trPr>
          <w:trHeight w:val="240"/>
        </w:trPr>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华东地区</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77,020,932.88</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16.15%</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16,499,170.00</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7.38%</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366.82%</w:t>
            </w:r>
          </w:p>
        </w:tc>
      </w:tr>
      <w:tr w:rsidR="00E20B54">
        <w:trPr>
          <w:trHeight w:val="240"/>
        </w:trPr>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华北地区</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14,908,089.05</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3.13%</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1,477,150.98</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0.66%</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909.25%</w:t>
            </w:r>
          </w:p>
        </w:tc>
      </w:tr>
      <w:tr w:rsidR="00E20B54">
        <w:trPr>
          <w:trHeight w:val="240"/>
        </w:trPr>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西南地区</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6,482,426.38</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1.35%</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30,338,127.07</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13.57%</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-78.63%</w:t>
            </w:r>
          </w:p>
        </w:tc>
      </w:tr>
      <w:tr w:rsidR="00E20B54">
        <w:trPr>
          <w:trHeight w:val="240"/>
        </w:trPr>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西北地区</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r w:rsidR="00E20B54">
        <w:trPr>
          <w:trHeight w:val="240"/>
        </w:trPr>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东北地区</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r w:rsidR="00E20B54">
        <w:trPr>
          <w:trHeight w:val="240"/>
        </w:trPr>
        <w:tc>
          <w:tcPr>
            <w:tcW w:w="9639" w:type="dxa"/>
            <w:gridSpan w:val="6"/>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分销售模式</w:t>
            </w:r>
          </w:p>
        </w:tc>
      </w:tr>
      <w:tr w:rsidR="00E20B54">
        <w:trPr>
          <w:trHeight w:val="240"/>
        </w:trPr>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直销模式</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476,993,037.00</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100.00%</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223,633,009.11</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100.00%</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113.29%</w:t>
            </w:r>
          </w:p>
        </w:tc>
      </w:tr>
    </w:tbl>
    <w:p w:rsidR="00E20B54" w:rsidRDefault="00733C9E">
      <w:pPr>
        <w:spacing w:before="100" w:after="100" w:line="240" w:lineRule="exact"/>
        <w:rPr>
          <w:sz w:val="18"/>
          <w:szCs w:val="18"/>
        </w:rPr>
      </w:pPr>
      <w:r>
        <w:rPr>
          <w:sz w:val="18"/>
          <w:szCs w:val="18"/>
        </w:rPr>
        <w:t>公司需遵守《深圳证券交易所上市公司自律监管指引第</w:t>
      </w:r>
      <w:r>
        <w:rPr>
          <w:sz w:val="18"/>
          <w:szCs w:val="18"/>
        </w:rPr>
        <w:t>3</w:t>
      </w:r>
      <w:r>
        <w:rPr>
          <w:sz w:val="18"/>
          <w:szCs w:val="18"/>
        </w:rPr>
        <w:t>号</w:t>
      </w:r>
      <w:r>
        <w:rPr>
          <w:sz w:val="18"/>
          <w:szCs w:val="18"/>
        </w:rPr>
        <w:t>——</w:t>
      </w:r>
      <w:r>
        <w:rPr>
          <w:sz w:val="18"/>
          <w:szCs w:val="18"/>
        </w:rPr>
        <w:t>行业信息披露》中的</w:t>
      </w:r>
      <w:r>
        <w:rPr>
          <w:sz w:val="18"/>
          <w:szCs w:val="18"/>
        </w:rPr>
        <w:t>“</w:t>
      </w:r>
      <w:r>
        <w:rPr>
          <w:sz w:val="18"/>
          <w:szCs w:val="18"/>
        </w:rPr>
        <w:t>软件与信息技术服务业</w:t>
      </w:r>
      <w:r>
        <w:rPr>
          <w:sz w:val="18"/>
          <w:szCs w:val="18"/>
        </w:rPr>
        <w:t>”</w:t>
      </w:r>
      <w:r>
        <w:rPr>
          <w:sz w:val="18"/>
          <w:szCs w:val="18"/>
        </w:rPr>
        <w:t>的披露要求</w:t>
      </w:r>
    </w:p>
    <w:p w:rsidR="00E20B54" w:rsidRDefault="00733C9E">
      <w:pPr>
        <w:spacing w:before="120" w:after="120" w:line="240" w:lineRule="exact"/>
        <w:jc w:val="right"/>
        <w:rPr>
          <w:sz w:val="18"/>
          <w:szCs w:val="18"/>
        </w:rPr>
      </w:pPr>
      <w:r>
        <w:rPr>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071"/>
        <w:gridCol w:w="1071"/>
        <w:gridCol w:w="1071"/>
        <w:gridCol w:w="1071"/>
        <w:gridCol w:w="1071"/>
        <w:gridCol w:w="1071"/>
        <w:gridCol w:w="1071"/>
        <w:gridCol w:w="1071"/>
        <w:gridCol w:w="1071"/>
      </w:tblGrid>
      <w:tr w:rsidR="00E20B54">
        <w:trPr>
          <w:trHeight w:val="240"/>
          <w:tblHeader/>
        </w:trPr>
        <w:tc>
          <w:tcPr>
            <w:tcW w:w="1071"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c>
          <w:tcPr>
            <w:tcW w:w="4284" w:type="dxa"/>
            <w:gridSpan w:val="4"/>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2025</w:t>
            </w:r>
            <w:r>
              <w:rPr>
                <w:sz w:val="18"/>
                <w:szCs w:val="18"/>
              </w:rPr>
              <w:t>年度</w:t>
            </w:r>
          </w:p>
        </w:tc>
        <w:tc>
          <w:tcPr>
            <w:tcW w:w="4284" w:type="dxa"/>
            <w:gridSpan w:val="4"/>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2024</w:t>
            </w:r>
            <w:r>
              <w:rPr>
                <w:sz w:val="18"/>
                <w:szCs w:val="18"/>
              </w:rPr>
              <w:t>年度</w:t>
            </w:r>
          </w:p>
        </w:tc>
      </w:tr>
      <w:tr w:rsidR="00E20B54">
        <w:trPr>
          <w:trHeight w:val="240"/>
          <w:tblHeader/>
        </w:trPr>
        <w:tc>
          <w:tcPr>
            <w:tcW w:w="1071"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第一季度</w:t>
            </w:r>
          </w:p>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第二季度</w:t>
            </w:r>
          </w:p>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第三季度</w:t>
            </w:r>
          </w:p>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第四季度</w:t>
            </w:r>
          </w:p>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第一季度</w:t>
            </w:r>
          </w:p>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第二季度</w:t>
            </w:r>
          </w:p>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第三季度</w:t>
            </w:r>
          </w:p>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第四季度</w:t>
            </w:r>
          </w:p>
        </w:tc>
      </w:tr>
      <w:tr w:rsidR="00E20B54">
        <w:trPr>
          <w:trHeight w:val="240"/>
        </w:trPr>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营业收入</w:t>
            </w:r>
          </w:p>
        </w:tc>
        <w:tc>
          <w:tcPr>
            <w:tcW w:w="1071"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3"/>
                <w:szCs w:val="13"/>
              </w:rPr>
            </w:pPr>
            <w:r>
              <w:rPr>
                <w:sz w:val="13"/>
                <w:szCs w:val="13"/>
              </w:rPr>
              <w:t>48,422,939.96</w:t>
            </w:r>
          </w:p>
        </w:tc>
        <w:tc>
          <w:tcPr>
            <w:tcW w:w="1071"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3"/>
                <w:szCs w:val="13"/>
              </w:rPr>
            </w:pPr>
            <w:r>
              <w:rPr>
                <w:sz w:val="13"/>
                <w:szCs w:val="13"/>
              </w:rPr>
              <w:t>97,206,586.61</w:t>
            </w:r>
          </w:p>
        </w:tc>
        <w:tc>
          <w:tcPr>
            <w:tcW w:w="1071"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3"/>
                <w:szCs w:val="13"/>
              </w:rPr>
            </w:pPr>
            <w:r>
              <w:rPr>
                <w:sz w:val="13"/>
                <w:szCs w:val="13"/>
              </w:rPr>
              <w:t>82,040,451.96</w:t>
            </w:r>
          </w:p>
        </w:tc>
        <w:tc>
          <w:tcPr>
            <w:tcW w:w="1071"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3"/>
                <w:szCs w:val="13"/>
              </w:rPr>
            </w:pPr>
            <w:r>
              <w:rPr>
                <w:sz w:val="13"/>
                <w:szCs w:val="13"/>
              </w:rPr>
              <w:t>249,323,058.47</w:t>
            </w:r>
          </w:p>
        </w:tc>
        <w:tc>
          <w:tcPr>
            <w:tcW w:w="1071"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3"/>
                <w:szCs w:val="13"/>
              </w:rPr>
            </w:pPr>
            <w:r>
              <w:rPr>
                <w:sz w:val="13"/>
                <w:szCs w:val="13"/>
              </w:rPr>
              <w:t>39,708,508.13</w:t>
            </w:r>
          </w:p>
        </w:tc>
        <w:tc>
          <w:tcPr>
            <w:tcW w:w="1071"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3"/>
                <w:szCs w:val="13"/>
              </w:rPr>
            </w:pPr>
            <w:r>
              <w:rPr>
                <w:sz w:val="13"/>
                <w:szCs w:val="13"/>
              </w:rPr>
              <w:t>49,505,898.24</w:t>
            </w:r>
          </w:p>
        </w:tc>
        <w:tc>
          <w:tcPr>
            <w:tcW w:w="1071"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3"/>
                <w:szCs w:val="13"/>
              </w:rPr>
            </w:pPr>
            <w:r>
              <w:rPr>
                <w:sz w:val="13"/>
                <w:szCs w:val="13"/>
              </w:rPr>
              <w:t>66,060,303.70</w:t>
            </w:r>
          </w:p>
        </w:tc>
        <w:tc>
          <w:tcPr>
            <w:tcW w:w="1071"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3"/>
                <w:szCs w:val="13"/>
              </w:rPr>
            </w:pPr>
            <w:r>
              <w:rPr>
                <w:sz w:val="13"/>
                <w:szCs w:val="13"/>
              </w:rPr>
              <w:t>68,358,299.04</w:t>
            </w:r>
          </w:p>
        </w:tc>
      </w:tr>
      <w:tr w:rsidR="00E20B54">
        <w:trPr>
          <w:trHeight w:val="240"/>
        </w:trPr>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归属于上市公司股东的净利润</w:t>
            </w:r>
          </w:p>
        </w:tc>
        <w:tc>
          <w:tcPr>
            <w:tcW w:w="1071"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3"/>
                <w:szCs w:val="13"/>
              </w:rPr>
            </w:pPr>
            <w:r>
              <w:rPr>
                <w:sz w:val="13"/>
                <w:szCs w:val="13"/>
              </w:rPr>
              <w:t>567,488.39</w:t>
            </w:r>
          </w:p>
        </w:tc>
        <w:tc>
          <w:tcPr>
            <w:tcW w:w="1071"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3"/>
                <w:szCs w:val="13"/>
              </w:rPr>
            </w:pPr>
            <w:r>
              <w:rPr>
                <w:sz w:val="13"/>
                <w:szCs w:val="13"/>
              </w:rPr>
              <w:t>5,491,579.91</w:t>
            </w:r>
          </w:p>
        </w:tc>
        <w:tc>
          <w:tcPr>
            <w:tcW w:w="1071"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3"/>
                <w:szCs w:val="13"/>
              </w:rPr>
            </w:pPr>
            <w:r>
              <w:rPr>
                <w:sz w:val="13"/>
                <w:szCs w:val="13"/>
              </w:rPr>
              <w:t>-1,869,066.45</w:t>
            </w:r>
          </w:p>
        </w:tc>
        <w:tc>
          <w:tcPr>
            <w:tcW w:w="1071"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3"/>
                <w:szCs w:val="13"/>
              </w:rPr>
            </w:pPr>
            <w:r>
              <w:rPr>
                <w:sz w:val="13"/>
                <w:szCs w:val="13"/>
              </w:rPr>
              <w:t>3,299,611.69</w:t>
            </w:r>
          </w:p>
        </w:tc>
        <w:tc>
          <w:tcPr>
            <w:tcW w:w="1071"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3"/>
                <w:szCs w:val="13"/>
              </w:rPr>
            </w:pPr>
            <w:r>
              <w:rPr>
                <w:sz w:val="13"/>
                <w:szCs w:val="13"/>
              </w:rPr>
              <w:t>-8,868,715.54</w:t>
            </w:r>
          </w:p>
        </w:tc>
        <w:tc>
          <w:tcPr>
            <w:tcW w:w="1071"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3"/>
                <w:szCs w:val="13"/>
              </w:rPr>
            </w:pPr>
            <w:r>
              <w:rPr>
                <w:sz w:val="13"/>
                <w:szCs w:val="13"/>
              </w:rPr>
              <w:t>-2,860,307.93</w:t>
            </w:r>
          </w:p>
        </w:tc>
        <w:tc>
          <w:tcPr>
            <w:tcW w:w="1071"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3"/>
                <w:szCs w:val="13"/>
              </w:rPr>
            </w:pPr>
            <w:r>
              <w:rPr>
                <w:sz w:val="13"/>
                <w:szCs w:val="13"/>
              </w:rPr>
              <w:t>-9,433,955.28</w:t>
            </w:r>
          </w:p>
        </w:tc>
        <w:tc>
          <w:tcPr>
            <w:tcW w:w="1071"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3"/>
                <w:szCs w:val="13"/>
              </w:rPr>
            </w:pPr>
            <w:r>
              <w:rPr>
                <w:sz w:val="13"/>
                <w:szCs w:val="13"/>
              </w:rPr>
              <w:t>-28,389,859.71</w:t>
            </w:r>
          </w:p>
        </w:tc>
      </w:tr>
      <w:tr w:rsidR="00E20B54">
        <w:trPr>
          <w:trHeight w:val="240"/>
        </w:trPr>
        <w:tc>
          <w:tcPr>
            <w:tcW w:w="1071" w:type="dxa"/>
            <w:tcBorders>
              <w:top w:val="single" w:sz="2" w:space="0" w:color="auto"/>
              <w:left w:val="single" w:sz="2" w:space="0" w:color="auto"/>
              <w:bottom w:val="single" w:sz="2" w:space="0" w:color="auto"/>
              <w:right w:val="single" w:sz="2" w:space="0" w:color="auto"/>
            </w:tcBorders>
            <w:shd w:val="clear" w:color="auto" w:fill="D8D8D8" w:themeFill="background1" w:themeFillShade="D8"/>
            <w:vAlign w:val="center"/>
          </w:tcPr>
          <w:p w:rsidR="00E20B54" w:rsidRDefault="00733C9E">
            <w:pPr>
              <w:spacing w:line="240" w:lineRule="exact"/>
              <w:rPr>
                <w:sz w:val="18"/>
                <w:szCs w:val="18"/>
              </w:rPr>
            </w:pPr>
            <w:r>
              <w:rPr>
                <w:sz w:val="18"/>
                <w:szCs w:val="18"/>
              </w:rPr>
              <w:t>归属于上市公司股东的扣除非经常性损益的净利润</w:t>
            </w:r>
          </w:p>
        </w:tc>
        <w:tc>
          <w:tcPr>
            <w:tcW w:w="1071"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3"/>
                <w:szCs w:val="13"/>
              </w:rPr>
            </w:pPr>
            <w:r>
              <w:rPr>
                <w:sz w:val="13"/>
                <w:szCs w:val="13"/>
              </w:rPr>
              <w:t>1,414,010.09</w:t>
            </w:r>
          </w:p>
        </w:tc>
        <w:tc>
          <w:tcPr>
            <w:tcW w:w="1071"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3"/>
                <w:szCs w:val="13"/>
              </w:rPr>
            </w:pPr>
            <w:r>
              <w:rPr>
                <w:sz w:val="13"/>
                <w:szCs w:val="13"/>
              </w:rPr>
              <w:t>5,765,698.23</w:t>
            </w:r>
          </w:p>
        </w:tc>
        <w:tc>
          <w:tcPr>
            <w:tcW w:w="1071"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3"/>
                <w:szCs w:val="13"/>
              </w:rPr>
            </w:pPr>
            <w:r>
              <w:rPr>
                <w:sz w:val="13"/>
                <w:szCs w:val="13"/>
              </w:rPr>
              <w:t>-2,531,844.41</w:t>
            </w:r>
          </w:p>
        </w:tc>
        <w:tc>
          <w:tcPr>
            <w:tcW w:w="1071"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3"/>
                <w:szCs w:val="13"/>
              </w:rPr>
            </w:pPr>
            <w:r>
              <w:rPr>
                <w:sz w:val="13"/>
                <w:szCs w:val="13"/>
              </w:rPr>
              <w:t>-1,014,487.08</w:t>
            </w:r>
          </w:p>
        </w:tc>
        <w:tc>
          <w:tcPr>
            <w:tcW w:w="1071"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3"/>
                <w:szCs w:val="13"/>
              </w:rPr>
            </w:pPr>
            <w:r>
              <w:rPr>
                <w:sz w:val="13"/>
                <w:szCs w:val="13"/>
              </w:rPr>
              <w:t>-7,319,775.33</w:t>
            </w:r>
          </w:p>
        </w:tc>
        <w:tc>
          <w:tcPr>
            <w:tcW w:w="1071"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3"/>
                <w:szCs w:val="13"/>
              </w:rPr>
            </w:pPr>
            <w:r>
              <w:rPr>
                <w:sz w:val="13"/>
                <w:szCs w:val="13"/>
              </w:rPr>
              <w:t>-2,990,423.05</w:t>
            </w:r>
          </w:p>
        </w:tc>
        <w:tc>
          <w:tcPr>
            <w:tcW w:w="1071"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3"/>
                <w:szCs w:val="13"/>
              </w:rPr>
            </w:pPr>
            <w:r>
              <w:rPr>
                <w:sz w:val="13"/>
                <w:szCs w:val="13"/>
              </w:rPr>
              <w:t>-9,709,204.69</w:t>
            </w:r>
          </w:p>
        </w:tc>
        <w:tc>
          <w:tcPr>
            <w:tcW w:w="1071"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3"/>
                <w:szCs w:val="13"/>
              </w:rPr>
            </w:pPr>
            <w:r>
              <w:rPr>
                <w:sz w:val="13"/>
                <w:szCs w:val="13"/>
              </w:rPr>
              <w:t>-28,871,264.17</w:t>
            </w:r>
          </w:p>
        </w:tc>
      </w:tr>
      <w:tr w:rsidR="00E20B54">
        <w:trPr>
          <w:trHeight w:val="240"/>
        </w:trPr>
        <w:tc>
          <w:tcPr>
            <w:tcW w:w="1071" w:type="dxa"/>
            <w:tcBorders>
              <w:top w:val="single" w:sz="2" w:space="0" w:color="auto"/>
              <w:left w:val="single" w:sz="2" w:space="0" w:color="auto"/>
              <w:bottom w:val="single" w:sz="2" w:space="0" w:color="auto"/>
              <w:right w:val="single" w:sz="2" w:space="0" w:color="auto"/>
            </w:tcBorders>
            <w:shd w:val="clear" w:color="auto" w:fill="D8D8D8" w:themeFill="background1" w:themeFillShade="D8"/>
            <w:vAlign w:val="center"/>
          </w:tcPr>
          <w:p w:rsidR="00E20B54" w:rsidRDefault="00733C9E">
            <w:pPr>
              <w:spacing w:line="240" w:lineRule="exact"/>
              <w:rPr>
                <w:sz w:val="18"/>
                <w:szCs w:val="18"/>
              </w:rPr>
            </w:pPr>
            <w:r>
              <w:rPr>
                <w:sz w:val="18"/>
                <w:szCs w:val="18"/>
              </w:rPr>
              <w:t>经营活动产生的现金流量净额</w:t>
            </w:r>
          </w:p>
        </w:tc>
        <w:tc>
          <w:tcPr>
            <w:tcW w:w="1071"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3"/>
                <w:szCs w:val="13"/>
              </w:rPr>
            </w:pPr>
            <w:r>
              <w:rPr>
                <w:sz w:val="13"/>
                <w:szCs w:val="13"/>
              </w:rPr>
              <w:t>-13,560,186.45</w:t>
            </w:r>
          </w:p>
        </w:tc>
        <w:tc>
          <w:tcPr>
            <w:tcW w:w="1071"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3"/>
                <w:szCs w:val="13"/>
              </w:rPr>
            </w:pPr>
            <w:r>
              <w:rPr>
                <w:sz w:val="13"/>
                <w:szCs w:val="13"/>
              </w:rPr>
              <w:t>-2,822,735.16</w:t>
            </w:r>
          </w:p>
        </w:tc>
        <w:tc>
          <w:tcPr>
            <w:tcW w:w="1071"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3"/>
                <w:szCs w:val="13"/>
              </w:rPr>
            </w:pPr>
            <w:r>
              <w:rPr>
                <w:sz w:val="13"/>
                <w:szCs w:val="13"/>
              </w:rPr>
              <w:t>13,784,186.07</w:t>
            </w:r>
          </w:p>
        </w:tc>
        <w:tc>
          <w:tcPr>
            <w:tcW w:w="1071"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3"/>
                <w:szCs w:val="13"/>
              </w:rPr>
            </w:pPr>
            <w:r>
              <w:rPr>
                <w:sz w:val="13"/>
                <w:szCs w:val="13"/>
              </w:rPr>
              <w:t>34,774,482.46</w:t>
            </w:r>
          </w:p>
        </w:tc>
        <w:tc>
          <w:tcPr>
            <w:tcW w:w="1071"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3"/>
                <w:szCs w:val="13"/>
              </w:rPr>
            </w:pPr>
            <w:r>
              <w:rPr>
                <w:sz w:val="13"/>
                <w:szCs w:val="13"/>
              </w:rPr>
              <w:t>-65,639,995.29</w:t>
            </w:r>
          </w:p>
        </w:tc>
        <w:tc>
          <w:tcPr>
            <w:tcW w:w="1071"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3"/>
                <w:szCs w:val="13"/>
              </w:rPr>
            </w:pPr>
            <w:r>
              <w:rPr>
                <w:sz w:val="13"/>
                <w:szCs w:val="13"/>
              </w:rPr>
              <w:t>3,818,474.86</w:t>
            </w:r>
          </w:p>
        </w:tc>
        <w:tc>
          <w:tcPr>
            <w:tcW w:w="1071"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3"/>
                <w:szCs w:val="13"/>
              </w:rPr>
            </w:pPr>
            <w:r>
              <w:rPr>
                <w:sz w:val="13"/>
                <w:szCs w:val="13"/>
              </w:rPr>
              <w:t>-39,911,696.38</w:t>
            </w:r>
          </w:p>
        </w:tc>
        <w:tc>
          <w:tcPr>
            <w:tcW w:w="1071"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3"/>
                <w:szCs w:val="13"/>
              </w:rPr>
            </w:pPr>
            <w:r>
              <w:rPr>
                <w:sz w:val="13"/>
                <w:szCs w:val="13"/>
              </w:rPr>
              <w:t>47,493,712.43</w:t>
            </w:r>
          </w:p>
        </w:tc>
      </w:tr>
    </w:tbl>
    <w:p w:rsidR="00E20B54" w:rsidRDefault="00733C9E">
      <w:pPr>
        <w:spacing w:before="100" w:after="100" w:line="240" w:lineRule="exact"/>
        <w:rPr>
          <w:sz w:val="18"/>
          <w:szCs w:val="18"/>
        </w:rPr>
      </w:pPr>
      <w:r>
        <w:rPr>
          <w:sz w:val="18"/>
          <w:szCs w:val="18"/>
        </w:rPr>
        <w:lastRenderedPageBreak/>
        <w:t>说明经营季节性（或周期性）发生的原因及波动风险</w:t>
      </w:r>
    </w:p>
    <w:p w:rsidR="00E20B54" w:rsidRDefault="00733C9E">
      <w:pPr>
        <w:pStyle w:val="a3"/>
        <w:widowControl/>
        <w:spacing w:before="156" w:beforeAutospacing="0" w:after="156" w:afterAutospacing="0"/>
        <w:ind w:firstLine="420"/>
        <w:jc w:val="both"/>
        <w:rPr>
          <w:szCs w:val="24"/>
        </w:rPr>
      </w:pPr>
      <w:r>
        <w:rPr>
          <w:color w:val="000000"/>
          <w:spacing w:val="8"/>
          <w:sz w:val="21"/>
          <w:szCs w:val="21"/>
        </w:rPr>
        <w:t>公司主要客户为机关及事业单位，上述客户受预算管理及执行采购流程的影响，项目验收工作主要集中在下半年，导致公司较多项目集中在下半年进行验收。由于公司信息系统集成服务、软件开发及技术服务业务以验收为收入确认时点，因而公司营业收入较多在下半年确认，公司收入存在较大季节性波动的风险。</w:t>
      </w:r>
    </w:p>
    <w:p w:rsidR="00E20B54" w:rsidRDefault="00733C9E">
      <w:pPr>
        <w:keepNext/>
        <w:keepLines/>
        <w:spacing w:before="300" w:after="300" w:line="280" w:lineRule="exact"/>
        <w:outlineLvl w:val="3"/>
        <w:rPr>
          <w:b/>
          <w:bCs/>
          <w:sz w:val="18"/>
          <w:szCs w:val="18"/>
        </w:rPr>
      </w:pPr>
      <w:bookmarkStart w:id="20" w:name="_Toc988909"/>
      <w:r>
        <w:rPr>
          <w:b/>
          <w:bCs/>
          <w:sz w:val="18"/>
          <w:szCs w:val="18"/>
        </w:rPr>
        <w:t>（</w:t>
      </w:r>
      <w:r>
        <w:rPr>
          <w:b/>
          <w:bCs/>
          <w:sz w:val="18"/>
          <w:szCs w:val="18"/>
        </w:rPr>
        <w:t>2</w:t>
      </w:r>
      <w:r>
        <w:rPr>
          <w:b/>
          <w:bCs/>
          <w:sz w:val="18"/>
          <w:szCs w:val="18"/>
        </w:rPr>
        <w:t>）</w:t>
      </w:r>
      <w:r>
        <w:rPr>
          <w:b/>
          <w:bCs/>
          <w:sz w:val="18"/>
          <w:szCs w:val="18"/>
        </w:rPr>
        <w:t xml:space="preserve"> </w:t>
      </w:r>
      <w:r>
        <w:rPr>
          <w:b/>
          <w:bCs/>
          <w:sz w:val="18"/>
          <w:szCs w:val="18"/>
        </w:rPr>
        <w:t>占公司营业收入或营业利润</w:t>
      </w:r>
      <w:r>
        <w:rPr>
          <w:b/>
          <w:bCs/>
          <w:sz w:val="18"/>
          <w:szCs w:val="18"/>
        </w:rPr>
        <w:t>10%</w:t>
      </w:r>
      <w:r>
        <w:rPr>
          <w:b/>
          <w:bCs/>
          <w:sz w:val="18"/>
          <w:szCs w:val="18"/>
        </w:rPr>
        <w:t>以上的行业、产品、地区、销售模式的情况</w:t>
      </w:r>
      <w:bookmarkEnd w:id="20"/>
    </w:p>
    <w:p w:rsidR="00E20B54" w:rsidRDefault="00733C9E">
      <w:pPr>
        <w:spacing w:before="100" w:after="100" w:line="240" w:lineRule="exact"/>
        <w:rPr>
          <w:sz w:val="18"/>
          <w:szCs w:val="18"/>
        </w:rPr>
      </w:pPr>
      <w:r>
        <w:rPr>
          <w:sz w:val="18"/>
          <w:szCs w:val="18"/>
        </w:rPr>
        <w:sym w:font="Wingdings 2" w:char="F052"/>
      </w:r>
      <w:r>
        <w:rPr>
          <w:sz w:val="18"/>
          <w:szCs w:val="18"/>
        </w:rPr>
        <w:t>适用</w:t>
      </w:r>
      <w:r>
        <w:rPr>
          <w:sz w:val="18"/>
          <w:szCs w:val="18"/>
        </w:rPr>
        <w:t xml:space="preserve"> □</w:t>
      </w:r>
      <w:r>
        <w:rPr>
          <w:sz w:val="18"/>
          <w:szCs w:val="18"/>
        </w:rPr>
        <w:t>不适用</w:t>
      </w:r>
    </w:p>
    <w:p w:rsidR="00E20B54" w:rsidRDefault="00733C9E">
      <w:pPr>
        <w:spacing w:line="240" w:lineRule="exact"/>
        <w:rPr>
          <w:sz w:val="18"/>
          <w:szCs w:val="18"/>
        </w:rPr>
      </w:pPr>
      <w:r>
        <w:rPr>
          <w:sz w:val="18"/>
          <w:szCs w:val="18"/>
        </w:rPr>
        <w:t>公司需遵守《深圳证券交易所上市公司自律监管指引第</w:t>
      </w:r>
      <w:r>
        <w:rPr>
          <w:sz w:val="18"/>
          <w:szCs w:val="18"/>
        </w:rPr>
        <w:t>3</w:t>
      </w:r>
      <w:r>
        <w:rPr>
          <w:sz w:val="18"/>
          <w:szCs w:val="18"/>
        </w:rPr>
        <w:t>号</w:t>
      </w:r>
      <w:r>
        <w:rPr>
          <w:sz w:val="18"/>
          <w:szCs w:val="18"/>
        </w:rPr>
        <w:t>——</w:t>
      </w:r>
      <w:r>
        <w:rPr>
          <w:sz w:val="18"/>
          <w:szCs w:val="18"/>
        </w:rPr>
        <w:t>行业信息披露》中的</w:t>
      </w:r>
      <w:r>
        <w:rPr>
          <w:sz w:val="18"/>
          <w:szCs w:val="18"/>
        </w:rPr>
        <w:t>“</w:t>
      </w:r>
      <w:r>
        <w:rPr>
          <w:sz w:val="18"/>
          <w:szCs w:val="18"/>
        </w:rPr>
        <w:t>软件与信息技术服务业</w:t>
      </w:r>
      <w:r>
        <w:rPr>
          <w:sz w:val="18"/>
          <w:szCs w:val="18"/>
        </w:rPr>
        <w:t>”</w:t>
      </w:r>
      <w:r>
        <w:rPr>
          <w:sz w:val="18"/>
          <w:szCs w:val="18"/>
        </w:rPr>
        <w:t>的披露要求</w:t>
      </w:r>
    </w:p>
    <w:p w:rsidR="00E20B54" w:rsidRDefault="00733C9E">
      <w:pPr>
        <w:spacing w:before="120" w:after="120" w:line="240" w:lineRule="exact"/>
        <w:jc w:val="right"/>
        <w:rPr>
          <w:sz w:val="18"/>
          <w:szCs w:val="18"/>
        </w:rPr>
      </w:pPr>
      <w:r>
        <w:rPr>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377"/>
        <w:gridCol w:w="1377"/>
        <w:gridCol w:w="1377"/>
        <w:gridCol w:w="1377"/>
        <w:gridCol w:w="1377"/>
        <w:gridCol w:w="1377"/>
        <w:gridCol w:w="1377"/>
      </w:tblGrid>
      <w:tr w:rsidR="00E20B54">
        <w:trPr>
          <w:trHeight w:val="240"/>
          <w:tblHeader/>
        </w:trPr>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营业收入</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营业成本</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毛利率</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营业收入比上年同期增减</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营业成本比上年同期增减</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毛利率比上年同期增减</w:t>
            </w:r>
          </w:p>
        </w:tc>
      </w:tr>
      <w:tr w:rsidR="00E20B54">
        <w:trPr>
          <w:trHeight w:val="240"/>
        </w:trPr>
        <w:tc>
          <w:tcPr>
            <w:tcW w:w="9639" w:type="dxa"/>
            <w:gridSpan w:val="7"/>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分客户所处行业</w:t>
            </w:r>
          </w:p>
        </w:tc>
      </w:tr>
      <w:tr w:rsidR="00E20B54">
        <w:trPr>
          <w:trHeight w:val="240"/>
        </w:trPr>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智慧政务</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112,803,439.02</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82,233,648.09</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27.10%</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137.08%</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78.99%</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23.66%</w:t>
            </w:r>
          </w:p>
        </w:tc>
      </w:tr>
      <w:tr w:rsidR="00E20B54">
        <w:trPr>
          <w:trHeight w:val="240"/>
        </w:trPr>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智慧医疗</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55,809,719.38</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49,941,774.34</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10.51%</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115.34%</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110.39%</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2.10%</w:t>
            </w:r>
          </w:p>
        </w:tc>
      </w:tr>
      <w:tr w:rsidR="00E20B54">
        <w:trPr>
          <w:trHeight w:val="240"/>
        </w:trPr>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智慧企业</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152,992,319.49</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123,825,812.06</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19.06%</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252.63%</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285.84%</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-6.97%</w:t>
            </w:r>
          </w:p>
        </w:tc>
      </w:tr>
      <w:tr w:rsidR="00E20B54">
        <w:trPr>
          <w:trHeight w:val="240"/>
        </w:trPr>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算力服务</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66,165,689.04</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34,988,018.50</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47.12%</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r w:rsidR="00E20B54">
        <w:trPr>
          <w:trHeight w:val="240"/>
        </w:trPr>
        <w:tc>
          <w:tcPr>
            <w:tcW w:w="9639" w:type="dxa"/>
            <w:gridSpan w:val="7"/>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分产品</w:t>
            </w:r>
          </w:p>
        </w:tc>
      </w:tr>
      <w:tr w:rsidR="00E20B54">
        <w:trPr>
          <w:trHeight w:val="240"/>
        </w:trPr>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信息系统集成</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239,105,520.33</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191,584,103.48</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19.87%</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340.82%</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280.33%</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12.74%</w:t>
            </w:r>
          </w:p>
        </w:tc>
      </w:tr>
      <w:tr w:rsidR="00E20B54">
        <w:trPr>
          <w:trHeight w:val="240"/>
        </w:trPr>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软件及技术服务</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53,365,885.90</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34,142,805.52</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36.02%</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28.09%</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11.43%</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9.56%</w:t>
            </w:r>
          </w:p>
        </w:tc>
      </w:tr>
      <w:tr w:rsidR="00E20B54">
        <w:trPr>
          <w:trHeight w:val="240"/>
        </w:trPr>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信息设备销售</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84,553,442.65</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75,222,555.55</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11.04%</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-27.04%</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-29.47%</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3.07%</w:t>
            </w:r>
          </w:p>
        </w:tc>
      </w:tr>
      <w:tr w:rsidR="00E20B54">
        <w:trPr>
          <w:trHeight w:val="240"/>
        </w:trPr>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算力服务</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66,165,689.04</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34,988,018.50</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47.12%</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r w:rsidR="00E20B54">
        <w:trPr>
          <w:trHeight w:val="240"/>
        </w:trPr>
        <w:tc>
          <w:tcPr>
            <w:tcW w:w="9639" w:type="dxa"/>
            <w:gridSpan w:val="7"/>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分地区</w:t>
            </w:r>
          </w:p>
        </w:tc>
      </w:tr>
      <w:tr w:rsidR="00E20B54">
        <w:trPr>
          <w:trHeight w:val="240"/>
        </w:trPr>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华南地区</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367,995,632.67</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274,242,964.48</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25.48%</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110.34%</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77.09%</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14.00%</w:t>
            </w:r>
          </w:p>
        </w:tc>
      </w:tr>
      <w:tr w:rsidR="00E20B54">
        <w:trPr>
          <w:trHeight w:val="240"/>
        </w:trPr>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华东地区</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77,020,932.88</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61,270,366.70</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20.45%</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366.82%</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344.94%</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3.91%</w:t>
            </w:r>
          </w:p>
        </w:tc>
      </w:tr>
      <w:tr w:rsidR="00E20B54">
        <w:trPr>
          <w:trHeight w:val="240"/>
        </w:trPr>
        <w:tc>
          <w:tcPr>
            <w:tcW w:w="9639" w:type="dxa"/>
            <w:gridSpan w:val="7"/>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分销售模式</w:t>
            </w:r>
          </w:p>
        </w:tc>
      </w:tr>
    </w:tbl>
    <w:p w:rsidR="00E20B54" w:rsidRDefault="00733C9E">
      <w:pPr>
        <w:spacing w:before="100" w:after="100" w:line="240" w:lineRule="exact"/>
        <w:rPr>
          <w:sz w:val="18"/>
          <w:szCs w:val="18"/>
        </w:rPr>
      </w:pPr>
      <w:r>
        <w:rPr>
          <w:sz w:val="18"/>
          <w:szCs w:val="18"/>
        </w:rPr>
        <w:t>公司主营业务数据统计口径在报告期发生调整的情况下，公司最近</w:t>
      </w:r>
      <w:r>
        <w:rPr>
          <w:sz w:val="18"/>
          <w:szCs w:val="18"/>
        </w:rPr>
        <w:t>1</w:t>
      </w:r>
      <w:r>
        <w:rPr>
          <w:sz w:val="18"/>
          <w:szCs w:val="18"/>
        </w:rPr>
        <w:t>年按报告期末口径调整后的主营业务数据</w:t>
      </w:r>
    </w:p>
    <w:p w:rsidR="00E20B54" w:rsidRDefault="00733C9E">
      <w:pPr>
        <w:spacing w:before="40" w:after="40" w:line="240" w:lineRule="exact"/>
        <w:rPr>
          <w:sz w:val="18"/>
          <w:szCs w:val="18"/>
        </w:rPr>
      </w:pPr>
      <w:r>
        <w:rPr>
          <w:sz w:val="18"/>
          <w:szCs w:val="18"/>
        </w:rPr>
        <w:t>□</w:t>
      </w:r>
      <w:r>
        <w:rPr>
          <w:sz w:val="18"/>
          <w:szCs w:val="18"/>
        </w:rPr>
        <w:t>适用</w:t>
      </w:r>
      <w:r>
        <w:rPr>
          <w:sz w:val="18"/>
          <w:szCs w:val="18"/>
        </w:rPr>
        <w:t xml:space="preserve"> </w:t>
      </w:r>
      <w:r>
        <w:rPr>
          <w:sz w:val="18"/>
          <w:szCs w:val="18"/>
        </w:rPr>
        <w:sym w:font="Wingdings 2" w:char="F052"/>
      </w:r>
      <w:r>
        <w:rPr>
          <w:sz w:val="18"/>
          <w:szCs w:val="18"/>
        </w:rPr>
        <w:t>不适用</w:t>
      </w:r>
    </w:p>
    <w:p w:rsidR="00E20B54" w:rsidRDefault="00733C9E">
      <w:pPr>
        <w:keepNext/>
        <w:keepLines/>
        <w:spacing w:before="300" w:after="300" w:line="280" w:lineRule="exact"/>
        <w:outlineLvl w:val="3"/>
        <w:rPr>
          <w:b/>
          <w:bCs/>
          <w:sz w:val="18"/>
          <w:szCs w:val="18"/>
        </w:rPr>
      </w:pPr>
      <w:bookmarkStart w:id="21" w:name="_Toc988910"/>
      <w:r>
        <w:rPr>
          <w:b/>
          <w:bCs/>
          <w:sz w:val="18"/>
          <w:szCs w:val="18"/>
        </w:rPr>
        <w:t>（</w:t>
      </w:r>
      <w:r>
        <w:rPr>
          <w:b/>
          <w:bCs/>
          <w:sz w:val="18"/>
          <w:szCs w:val="18"/>
        </w:rPr>
        <w:t>3</w:t>
      </w:r>
      <w:r>
        <w:rPr>
          <w:b/>
          <w:bCs/>
          <w:sz w:val="18"/>
          <w:szCs w:val="18"/>
        </w:rPr>
        <w:t>）</w:t>
      </w:r>
      <w:r>
        <w:rPr>
          <w:b/>
          <w:bCs/>
          <w:sz w:val="18"/>
          <w:szCs w:val="18"/>
        </w:rPr>
        <w:t xml:space="preserve"> </w:t>
      </w:r>
      <w:r>
        <w:rPr>
          <w:b/>
          <w:bCs/>
          <w:sz w:val="18"/>
          <w:szCs w:val="18"/>
        </w:rPr>
        <w:t>公司实物销售收入是否大于劳务收入</w:t>
      </w:r>
      <w:bookmarkEnd w:id="21"/>
    </w:p>
    <w:p w:rsidR="00E20B54" w:rsidRDefault="00733C9E">
      <w:pPr>
        <w:spacing w:before="100" w:after="100" w:line="240" w:lineRule="exact"/>
        <w:rPr>
          <w:sz w:val="18"/>
          <w:szCs w:val="18"/>
        </w:rPr>
      </w:pPr>
      <w:r>
        <w:rPr>
          <w:sz w:val="18"/>
          <w:szCs w:val="18"/>
        </w:rPr>
        <w:t>□</w:t>
      </w:r>
      <w:r>
        <w:rPr>
          <w:sz w:val="18"/>
          <w:szCs w:val="18"/>
        </w:rPr>
        <w:t>是</w:t>
      </w:r>
      <w:r>
        <w:rPr>
          <w:sz w:val="18"/>
          <w:szCs w:val="18"/>
        </w:rPr>
        <w:t xml:space="preserve"> </w:t>
      </w:r>
      <w:r>
        <w:rPr>
          <w:sz w:val="18"/>
          <w:szCs w:val="18"/>
        </w:rPr>
        <w:sym w:font="Wingdings 2" w:char="F052"/>
      </w:r>
      <w:r>
        <w:rPr>
          <w:sz w:val="18"/>
          <w:szCs w:val="18"/>
        </w:rPr>
        <w:t>否</w:t>
      </w:r>
    </w:p>
    <w:p w:rsidR="00E20B54" w:rsidRDefault="00733C9E">
      <w:pPr>
        <w:keepNext/>
        <w:keepLines/>
        <w:spacing w:before="300" w:after="300" w:line="280" w:lineRule="exact"/>
        <w:outlineLvl w:val="3"/>
        <w:rPr>
          <w:b/>
          <w:bCs/>
          <w:sz w:val="18"/>
          <w:szCs w:val="18"/>
        </w:rPr>
      </w:pPr>
      <w:bookmarkStart w:id="22" w:name="_Toc988911"/>
      <w:r>
        <w:rPr>
          <w:b/>
          <w:bCs/>
          <w:sz w:val="18"/>
          <w:szCs w:val="18"/>
        </w:rPr>
        <w:t>（</w:t>
      </w:r>
      <w:r>
        <w:rPr>
          <w:b/>
          <w:bCs/>
          <w:sz w:val="18"/>
          <w:szCs w:val="18"/>
        </w:rPr>
        <w:t>4</w:t>
      </w:r>
      <w:r>
        <w:rPr>
          <w:b/>
          <w:bCs/>
          <w:sz w:val="18"/>
          <w:szCs w:val="18"/>
        </w:rPr>
        <w:t>）</w:t>
      </w:r>
      <w:r>
        <w:rPr>
          <w:b/>
          <w:bCs/>
          <w:sz w:val="18"/>
          <w:szCs w:val="18"/>
        </w:rPr>
        <w:t xml:space="preserve"> </w:t>
      </w:r>
      <w:r>
        <w:rPr>
          <w:b/>
          <w:bCs/>
          <w:sz w:val="18"/>
          <w:szCs w:val="18"/>
        </w:rPr>
        <w:t>公司已签订的重大销售合同、重大采购合同截至本报告期的履行情况</w:t>
      </w:r>
      <w:bookmarkEnd w:id="22"/>
    </w:p>
    <w:p w:rsidR="00E20B54" w:rsidRDefault="00733C9E">
      <w:pPr>
        <w:spacing w:before="100" w:after="100" w:line="240" w:lineRule="exact"/>
        <w:rPr>
          <w:sz w:val="18"/>
          <w:szCs w:val="18"/>
        </w:rPr>
      </w:pPr>
      <w:r>
        <w:rPr>
          <w:sz w:val="18"/>
          <w:szCs w:val="18"/>
        </w:rPr>
        <w:sym w:font="Wingdings 2" w:char="F052"/>
      </w:r>
      <w:r>
        <w:rPr>
          <w:sz w:val="18"/>
          <w:szCs w:val="18"/>
        </w:rPr>
        <w:t>适用</w:t>
      </w:r>
      <w:r>
        <w:rPr>
          <w:sz w:val="18"/>
          <w:szCs w:val="18"/>
        </w:rPr>
        <w:t xml:space="preserve"> □</w:t>
      </w:r>
      <w:r>
        <w:rPr>
          <w:sz w:val="18"/>
          <w:szCs w:val="18"/>
        </w:rPr>
        <w:t>不适用</w:t>
      </w:r>
    </w:p>
    <w:p w:rsidR="00E20B54" w:rsidRDefault="00733C9E">
      <w:pPr>
        <w:spacing w:before="100" w:after="100" w:line="240" w:lineRule="exact"/>
        <w:rPr>
          <w:sz w:val="18"/>
          <w:szCs w:val="18"/>
        </w:rPr>
      </w:pPr>
      <w:r>
        <w:rPr>
          <w:sz w:val="18"/>
          <w:szCs w:val="18"/>
        </w:rPr>
        <w:t>已签订的重大销售合同截至本报告期的履行情况</w:t>
      </w:r>
    </w:p>
    <w:p w:rsidR="00E20B54" w:rsidRDefault="00733C9E">
      <w:pPr>
        <w:spacing w:before="40" w:after="40" w:line="240" w:lineRule="exact"/>
        <w:rPr>
          <w:sz w:val="18"/>
          <w:szCs w:val="18"/>
        </w:rPr>
      </w:pPr>
      <w:r>
        <w:rPr>
          <w:sz w:val="18"/>
          <w:szCs w:val="18"/>
        </w:rPr>
        <w:sym w:font="Wingdings 2" w:char="F052"/>
      </w:r>
      <w:r>
        <w:rPr>
          <w:sz w:val="18"/>
          <w:szCs w:val="18"/>
        </w:rPr>
        <w:t>适用</w:t>
      </w:r>
      <w:r>
        <w:rPr>
          <w:sz w:val="18"/>
          <w:szCs w:val="18"/>
        </w:rPr>
        <w:t xml:space="preserve"> □</w:t>
      </w:r>
      <w:r>
        <w:rPr>
          <w:sz w:val="18"/>
          <w:szCs w:val="18"/>
        </w:rPr>
        <w:t>不适用</w:t>
      </w:r>
    </w:p>
    <w:p w:rsidR="00E20B54" w:rsidRDefault="00733C9E">
      <w:pPr>
        <w:spacing w:before="120" w:after="120" w:line="240" w:lineRule="exact"/>
        <w:jc w:val="right"/>
        <w:rPr>
          <w:sz w:val="18"/>
          <w:szCs w:val="18"/>
        </w:rPr>
      </w:pPr>
      <w:r>
        <w:rPr>
          <w:sz w:val="18"/>
          <w:szCs w:val="18"/>
        </w:rPr>
        <w:t>单位：万元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742"/>
        <w:gridCol w:w="742"/>
        <w:gridCol w:w="742"/>
        <w:gridCol w:w="742"/>
        <w:gridCol w:w="742"/>
        <w:gridCol w:w="742"/>
        <w:gridCol w:w="741"/>
        <w:gridCol w:w="741"/>
        <w:gridCol w:w="741"/>
        <w:gridCol w:w="741"/>
        <w:gridCol w:w="741"/>
        <w:gridCol w:w="741"/>
        <w:gridCol w:w="741"/>
      </w:tblGrid>
      <w:tr w:rsidR="00E20B54">
        <w:trPr>
          <w:trHeight w:val="240"/>
          <w:tblHeader/>
        </w:trPr>
        <w:tc>
          <w:tcPr>
            <w:tcW w:w="741"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lastRenderedPageBreak/>
              <w:t>合同标的</w:t>
            </w:r>
          </w:p>
        </w:tc>
        <w:tc>
          <w:tcPr>
            <w:tcW w:w="741"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对方当事人</w:t>
            </w:r>
          </w:p>
        </w:tc>
        <w:tc>
          <w:tcPr>
            <w:tcW w:w="741"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合同总金额</w:t>
            </w:r>
          </w:p>
        </w:tc>
        <w:tc>
          <w:tcPr>
            <w:tcW w:w="741"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合计已履行金额</w:t>
            </w:r>
          </w:p>
        </w:tc>
        <w:tc>
          <w:tcPr>
            <w:tcW w:w="741"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本报告期履行金额</w:t>
            </w:r>
          </w:p>
        </w:tc>
        <w:tc>
          <w:tcPr>
            <w:tcW w:w="741"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待履行金额</w:t>
            </w:r>
          </w:p>
        </w:tc>
        <w:tc>
          <w:tcPr>
            <w:tcW w:w="741"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本期确认的销售收入金额</w:t>
            </w:r>
          </w:p>
        </w:tc>
        <w:tc>
          <w:tcPr>
            <w:tcW w:w="741"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累计确认的销售收入金额</w:t>
            </w:r>
          </w:p>
        </w:tc>
        <w:tc>
          <w:tcPr>
            <w:tcW w:w="741"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应收账款回款情况</w:t>
            </w:r>
          </w:p>
        </w:tc>
        <w:tc>
          <w:tcPr>
            <w:tcW w:w="741"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是否正常履行</w:t>
            </w:r>
          </w:p>
        </w:tc>
        <w:tc>
          <w:tcPr>
            <w:tcW w:w="741"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影响重大合同履行的各项条件是否发生重大变化</w:t>
            </w:r>
          </w:p>
        </w:tc>
        <w:tc>
          <w:tcPr>
            <w:tcW w:w="741"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是否存在合同无法履行的重大风险</w:t>
            </w:r>
          </w:p>
        </w:tc>
        <w:tc>
          <w:tcPr>
            <w:tcW w:w="741"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合同未正常履行的说明</w:t>
            </w:r>
          </w:p>
        </w:tc>
      </w:tr>
      <w:tr w:rsidR="00E20B54">
        <w:trPr>
          <w:trHeight w:val="240"/>
        </w:trPr>
        <w:tc>
          <w:tcPr>
            <w:tcW w:w="741"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算力服务及维保服务</w:t>
            </w:r>
          </w:p>
        </w:tc>
        <w:tc>
          <w:tcPr>
            <w:tcW w:w="741"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中国移动通信集团广东有限公司深圳分公司</w:t>
            </w:r>
          </w:p>
        </w:tc>
        <w:tc>
          <w:tcPr>
            <w:tcW w:w="741"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38,255.8</w:t>
            </w:r>
          </w:p>
        </w:tc>
        <w:tc>
          <w:tcPr>
            <w:tcW w:w="741"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7,013.56</w:t>
            </w:r>
          </w:p>
        </w:tc>
        <w:tc>
          <w:tcPr>
            <w:tcW w:w="741"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7,013.56</w:t>
            </w:r>
          </w:p>
        </w:tc>
        <w:tc>
          <w:tcPr>
            <w:tcW w:w="741"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31,242.24</w:t>
            </w:r>
          </w:p>
        </w:tc>
        <w:tc>
          <w:tcPr>
            <w:tcW w:w="741"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6,616.57</w:t>
            </w:r>
          </w:p>
        </w:tc>
        <w:tc>
          <w:tcPr>
            <w:tcW w:w="741"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6,616.57</w:t>
            </w:r>
          </w:p>
        </w:tc>
        <w:tc>
          <w:tcPr>
            <w:tcW w:w="741"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5186.93</w:t>
            </w:r>
          </w:p>
        </w:tc>
        <w:tc>
          <w:tcPr>
            <w:tcW w:w="741"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是</w:t>
            </w:r>
          </w:p>
        </w:tc>
        <w:tc>
          <w:tcPr>
            <w:tcW w:w="741"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否</w:t>
            </w:r>
          </w:p>
        </w:tc>
        <w:tc>
          <w:tcPr>
            <w:tcW w:w="741"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否</w:t>
            </w:r>
          </w:p>
        </w:tc>
        <w:tc>
          <w:tcPr>
            <w:tcW w:w="741"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不适用</w:t>
            </w:r>
          </w:p>
        </w:tc>
      </w:tr>
    </w:tbl>
    <w:p w:rsidR="00E20B54" w:rsidRDefault="00733C9E">
      <w:pPr>
        <w:spacing w:before="100" w:after="100" w:line="240" w:lineRule="exact"/>
        <w:rPr>
          <w:sz w:val="18"/>
          <w:szCs w:val="18"/>
        </w:rPr>
      </w:pPr>
      <w:r>
        <w:rPr>
          <w:sz w:val="18"/>
          <w:szCs w:val="18"/>
        </w:rPr>
        <w:t>已签订的重大采购合同截至本报告期的履行情况</w:t>
      </w:r>
    </w:p>
    <w:p w:rsidR="00E20B54" w:rsidRDefault="00733C9E">
      <w:pPr>
        <w:spacing w:before="40" w:after="40" w:line="240" w:lineRule="exact"/>
        <w:rPr>
          <w:sz w:val="18"/>
          <w:szCs w:val="18"/>
        </w:rPr>
      </w:pPr>
      <w:r>
        <w:rPr>
          <w:sz w:val="18"/>
          <w:szCs w:val="18"/>
        </w:rPr>
        <w:sym w:font="Wingdings 2" w:char="F052"/>
      </w:r>
      <w:r>
        <w:rPr>
          <w:sz w:val="18"/>
          <w:szCs w:val="18"/>
        </w:rPr>
        <w:t>适用</w:t>
      </w:r>
      <w:r>
        <w:rPr>
          <w:sz w:val="18"/>
          <w:szCs w:val="18"/>
        </w:rPr>
        <w:t xml:space="preserve"> □</w:t>
      </w:r>
      <w:r>
        <w:rPr>
          <w:sz w:val="18"/>
          <w:szCs w:val="18"/>
        </w:rPr>
        <w:t>不适用</w:t>
      </w:r>
    </w:p>
    <w:p w:rsidR="00E20B54" w:rsidRDefault="00733C9E">
      <w:pPr>
        <w:spacing w:before="120" w:after="120" w:line="240" w:lineRule="exact"/>
        <w:jc w:val="right"/>
        <w:rPr>
          <w:sz w:val="18"/>
          <w:szCs w:val="18"/>
        </w:rPr>
      </w:pPr>
      <w:r>
        <w:rPr>
          <w:sz w:val="18"/>
          <w:szCs w:val="18"/>
        </w:rPr>
        <w:t>单位：万元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963"/>
        <w:gridCol w:w="964"/>
        <w:gridCol w:w="964"/>
        <w:gridCol w:w="964"/>
        <w:gridCol w:w="964"/>
        <w:gridCol w:w="964"/>
        <w:gridCol w:w="964"/>
        <w:gridCol w:w="964"/>
        <w:gridCol w:w="964"/>
        <w:gridCol w:w="964"/>
      </w:tblGrid>
      <w:tr w:rsidR="00E20B54">
        <w:trPr>
          <w:trHeight w:val="240"/>
          <w:tblHeader/>
        </w:trPr>
        <w:tc>
          <w:tcPr>
            <w:tcW w:w="964"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合同标的</w:t>
            </w:r>
          </w:p>
        </w:tc>
        <w:tc>
          <w:tcPr>
            <w:tcW w:w="964"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对方当事人</w:t>
            </w:r>
          </w:p>
        </w:tc>
        <w:tc>
          <w:tcPr>
            <w:tcW w:w="964"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合同总金额</w:t>
            </w:r>
          </w:p>
        </w:tc>
        <w:tc>
          <w:tcPr>
            <w:tcW w:w="964"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合计已履行金额</w:t>
            </w:r>
          </w:p>
        </w:tc>
        <w:tc>
          <w:tcPr>
            <w:tcW w:w="964"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本报告期履行金额</w:t>
            </w:r>
          </w:p>
        </w:tc>
        <w:tc>
          <w:tcPr>
            <w:tcW w:w="964"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待履行金额</w:t>
            </w:r>
          </w:p>
        </w:tc>
        <w:tc>
          <w:tcPr>
            <w:tcW w:w="964"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是否正常履行</w:t>
            </w:r>
          </w:p>
        </w:tc>
        <w:tc>
          <w:tcPr>
            <w:tcW w:w="964"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影响重大合同履行的各项条件是否发生重大变化</w:t>
            </w:r>
          </w:p>
        </w:tc>
        <w:tc>
          <w:tcPr>
            <w:tcW w:w="964"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是否存在合同无法履行的重大风险</w:t>
            </w:r>
          </w:p>
        </w:tc>
        <w:tc>
          <w:tcPr>
            <w:tcW w:w="964"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合同未正常履行的说明</w:t>
            </w:r>
          </w:p>
        </w:tc>
      </w:tr>
      <w:tr w:rsidR="00E20B54">
        <w:trPr>
          <w:trHeight w:val="240"/>
        </w:trPr>
        <w:tc>
          <w:tcPr>
            <w:tcW w:w="964"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高性能服务器</w:t>
            </w:r>
          </w:p>
        </w:tc>
        <w:tc>
          <w:tcPr>
            <w:tcW w:w="964"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供应商</w:t>
            </w:r>
            <w:r>
              <w:rPr>
                <w:sz w:val="18"/>
                <w:szCs w:val="18"/>
              </w:rPr>
              <w:t>1</w:t>
            </w:r>
          </w:p>
        </w:tc>
        <w:tc>
          <w:tcPr>
            <w:tcW w:w="964"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8,750</w:t>
            </w:r>
          </w:p>
        </w:tc>
        <w:tc>
          <w:tcPr>
            <w:tcW w:w="964"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8,750</w:t>
            </w:r>
          </w:p>
        </w:tc>
        <w:tc>
          <w:tcPr>
            <w:tcW w:w="964"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3,375</w:t>
            </w:r>
          </w:p>
        </w:tc>
        <w:tc>
          <w:tcPr>
            <w:tcW w:w="964"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w:t>
            </w:r>
          </w:p>
        </w:tc>
        <w:tc>
          <w:tcPr>
            <w:tcW w:w="964"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是</w:t>
            </w:r>
          </w:p>
        </w:tc>
        <w:tc>
          <w:tcPr>
            <w:tcW w:w="964"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否</w:t>
            </w:r>
          </w:p>
        </w:tc>
        <w:tc>
          <w:tcPr>
            <w:tcW w:w="964"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否</w:t>
            </w:r>
          </w:p>
        </w:tc>
        <w:tc>
          <w:tcPr>
            <w:tcW w:w="964"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不适用</w:t>
            </w:r>
          </w:p>
        </w:tc>
      </w:tr>
      <w:tr w:rsidR="00E20B54">
        <w:trPr>
          <w:trHeight w:val="240"/>
        </w:trPr>
        <w:tc>
          <w:tcPr>
            <w:tcW w:w="964"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组网设备</w:t>
            </w:r>
          </w:p>
        </w:tc>
        <w:tc>
          <w:tcPr>
            <w:tcW w:w="964"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供应商</w:t>
            </w:r>
            <w:r>
              <w:rPr>
                <w:sz w:val="18"/>
                <w:szCs w:val="18"/>
              </w:rPr>
              <w:t>2</w:t>
            </w:r>
          </w:p>
        </w:tc>
        <w:tc>
          <w:tcPr>
            <w:tcW w:w="964"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1,500</w:t>
            </w:r>
          </w:p>
        </w:tc>
        <w:tc>
          <w:tcPr>
            <w:tcW w:w="964"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1,500</w:t>
            </w:r>
          </w:p>
        </w:tc>
        <w:tc>
          <w:tcPr>
            <w:tcW w:w="964"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900</w:t>
            </w:r>
          </w:p>
        </w:tc>
        <w:tc>
          <w:tcPr>
            <w:tcW w:w="964"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w:t>
            </w:r>
          </w:p>
        </w:tc>
        <w:tc>
          <w:tcPr>
            <w:tcW w:w="964"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是</w:t>
            </w:r>
          </w:p>
        </w:tc>
        <w:tc>
          <w:tcPr>
            <w:tcW w:w="964"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否</w:t>
            </w:r>
          </w:p>
        </w:tc>
        <w:tc>
          <w:tcPr>
            <w:tcW w:w="964"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否</w:t>
            </w:r>
          </w:p>
        </w:tc>
        <w:tc>
          <w:tcPr>
            <w:tcW w:w="964"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不适用</w:t>
            </w:r>
          </w:p>
        </w:tc>
      </w:tr>
      <w:tr w:rsidR="00E20B54">
        <w:trPr>
          <w:trHeight w:val="240"/>
        </w:trPr>
        <w:tc>
          <w:tcPr>
            <w:tcW w:w="964"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高性能服务器</w:t>
            </w:r>
          </w:p>
        </w:tc>
        <w:tc>
          <w:tcPr>
            <w:tcW w:w="964"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供应商</w:t>
            </w:r>
            <w:r>
              <w:rPr>
                <w:sz w:val="18"/>
                <w:szCs w:val="18"/>
              </w:rPr>
              <w:t>3</w:t>
            </w:r>
          </w:p>
        </w:tc>
        <w:tc>
          <w:tcPr>
            <w:tcW w:w="964"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14,250</w:t>
            </w:r>
          </w:p>
        </w:tc>
        <w:tc>
          <w:tcPr>
            <w:tcW w:w="964"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14,250</w:t>
            </w:r>
          </w:p>
        </w:tc>
        <w:tc>
          <w:tcPr>
            <w:tcW w:w="964"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14,250</w:t>
            </w:r>
          </w:p>
        </w:tc>
        <w:tc>
          <w:tcPr>
            <w:tcW w:w="964"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w:t>
            </w:r>
          </w:p>
        </w:tc>
        <w:tc>
          <w:tcPr>
            <w:tcW w:w="964"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是</w:t>
            </w:r>
          </w:p>
        </w:tc>
        <w:tc>
          <w:tcPr>
            <w:tcW w:w="964"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否</w:t>
            </w:r>
          </w:p>
        </w:tc>
        <w:tc>
          <w:tcPr>
            <w:tcW w:w="964"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否</w:t>
            </w:r>
          </w:p>
        </w:tc>
        <w:tc>
          <w:tcPr>
            <w:tcW w:w="964"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不适用</w:t>
            </w:r>
          </w:p>
        </w:tc>
      </w:tr>
      <w:tr w:rsidR="00E20B54">
        <w:trPr>
          <w:trHeight w:val="240"/>
        </w:trPr>
        <w:tc>
          <w:tcPr>
            <w:tcW w:w="964"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高性能服务器</w:t>
            </w:r>
          </w:p>
        </w:tc>
        <w:tc>
          <w:tcPr>
            <w:tcW w:w="964"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供应商</w:t>
            </w:r>
            <w:r>
              <w:rPr>
                <w:sz w:val="18"/>
                <w:szCs w:val="18"/>
              </w:rPr>
              <w:t>4</w:t>
            </w:r>
          </w:p>
        </w:tc>
        <w:tc>
          <w:tcPr>
            <w:tcW w:w="964"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8,750</w:t>
            </w:r>
          </w:p>
        </w:tc>
        <w:tc>
          <w:tcPr>
            <w:tcW w:w="964"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8,750</w:t>
            </w:r>
          </w:p>
        </w:tc>
        <w:tc>
          <w:tcPr>
            <w:tcW w:w="964"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4,750</w:t>
            </w:r>
          </w:p>
        </w:tc>
        <w:tc>
          <w:tcPr>
            <w:tcW w:w="964"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w:t>
            </w:r>
          </w:p>
        </w:tc>
        <w:tc>
          <w:tcPr>
            <w:tcW w:w="964"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是</w:t>
            </w:r>
          </w:p>
        </w:tc>
        <w:tc>
          <w:tcPr>
            <w:tcW w:w="964"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否</w:t>
            </w:r>
          </w:p>
        </w:tc>
        <w:tc>
          <w:tcPr>
            <w:tcW w:w="964"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否</w:t>
            </w:r>
          </w:p>
        </w:tc>
        <w:tc>
          <w:tcPr>
            <w:tcW w:w="964"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不适用</w:t>
            </w:r>
          </w:p>
        </w:tc>
      </w:tr>
    </w:tbl>
    <w:p w:rsidR="00E20B54" w:rsidRDefault="00733C9E">
      <w:pPr>
        <w:keepNext/>
        <w:keepLines/>
        <w:spacing w:before="300" w:after="300" w:line="280" w:lineRule="exact"/>
        <w:outlineLvl w:val="3"/>
        <w:rPr>
          <w:b/>
          <w:bCs/>
          <w:sz w:val="18"/>
          <w:szCs w:val="18"/>
        </w:rPr>
      </w:pPr>
      <w:bookmarkStart w:id="23" w:name="_Toc988912"/>
      <w:r>
        <w:rPr>
          <w:b/>
          <w:bCs/>
          <w:sz w:val="18"/>
          <w:szCs w:val="18"/>
        </w:rPr>
        <w:t>（</w:t>
      </w:r>
      <w:r>
        <w:rPr>
          <w:b/>
          <w:bCs/>
          <w:sz w:val="18"/>
          <w:szCs w:val="18"/>
        </w:rPr>
        <w:t>5</w:t>
      </w:r>
      <w:r>
        <w:rPr>
          <w:b/>
          <w:bCs/>
          <w:sz w:val="18"/>
          <w:szCs w:val="18"/>
        </w:rPr>
        <w:t>）</w:t>
      </w:r>
      <w:r>
        <w:rPr>
          <w:b/>
          <w:bCs/>
          <w:sz w:val="18"/>
          <w:szCs w:val="18"/>
        </w:rPr>
        <w:t xml:space="preserve"> </w:t>
      </w:r>
      <w:r>
        <w:rPr>
          <w:b/>
          <w:bCs/>
          <w:sz w:val="18"/>
          <w:szCs w:val="18"/>
        </w:rPr>
        <w:t>营业成本构成</w:t>
      </w:r>
      <w:bookmarkEnd w:id="23"/>
    </w:p>
    <w:p w:rsidR="00E20B54" w:rsidRDefault="00733C9E">
      <w:pPr>
        <w:spacing w:before="40" w:after="40" w:line="240" w:lineRule="exact"/>
        <w:rPr>
          <w:sz w:val="18"/>
          <w:szCs w:val="18"/>
        </w:rPr>
      </w:pPr>
      <w:r>
        <w:rPr>
          <w:sz w:val="18"/>
          <w:szCs w:val="18"/>
        </w:rPr>
        <w:t>行业和产品分类</w:t>
      </w:r>
    </w:p>
    <w:p w:rsidR="00E20B54" w:rsidRDefault="00733C9E">
      <w:pPr>
        <w:spacing w:before="40" w:after="40" w:line="240" w:lineRule="exact"/>
        <w:rPr>
          <w:sz w:val="18"/>
          <w:szCs w:val="18"/>
        </w:rPr>
      </w:pPr>
      <w:r>
        <w:rPr>
          <w:sz w:val="18"/>
          <w:szCs w:val="18"/>
        </w:rPr>
        <w:t>行业和产品分类</w:t>
      </w:r>
    </w:p>
    <w:p w:rsidR="00E20B54" w:rsidRDefault="00733C9E">
      <w:pPr>
        <w:spacing w:before="120" w:after="120" w:line="240" w:lineRule="exact"/>
        <w:jc w:val="right"/>
        <w:rPr>
          <w:sz w:val="18"/>
          <w:szCs w:val="18"/>
        </w:rPr>
      </w:pPr>
      <w:r>
        <w:rPr>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377"/>
        <w:gridCol w:w="1377"/>
        <w:gridCol w:w="1377"/>
        <w:gridCol w:w="1377"/>
        <w:gridCol w:w="1377"/>
        <w:gridCol w:w="1377"/>
        <w:gridCol w:w="1377"/>
      </w:tblGrid>
      <w:tr w:rsidR="00E20B54">
        <w:trPr>
          <w:trHeight w:val="240"/>
          <w:tblHeader/>
        </w:trPr>
        <w:tc>
          <w:tcPr>
            <w:tcW w:w="1377"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行业分类</w:t>
            </w:r>
          </w:p>
        </w:tc>
        <w:tc>
          <w:tcPr>
            <w:tcW w:w="1377"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项目</w:t>
            </w:r>
          </w:p>
        </w:tc>
        <w:tc>
          <w:tcPr>
            <w:tcW w:w="2754"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2025</w:t>
            </w:r>
            <w:r>
              <w:rPr>
                <w:sz w:val="18"/>
                <w:szCs w:val="18"/>
              </w:rPr>
              <w:t>年</w:t>
            </w:r>
          </w:p>
        </w:tc>
        <w:tc>
          <w:tcPr>
            <w:tcW w:w="2754"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2024</w:t>
            </w:r>
            <w:r>
              <w:rPr>
                <w:sz w:val="18"/>
                <w:szCs w:val="18"/>
              </w:rPr>
              <w:t>年</w:t>
            </w:r>
          </w:p>
        </w:tc>
        <w:tc>
          <w:tcPr>
            <w:tcW w:w="1377"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同比增减</w:t>
            </w:r>
          </w:p>
        </w:tc>
      </w:tr>
      <w:tr w:rsidR="00E20B54">
        <w:trPr>
          <w:trHeight w:val="240"/>
          <w:tblHeader/>
        </w:trPr>
        <w:tc>
          <w:tcPr>
            <w:tcW w:w="1377"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c>
          <w:tcPr>
            <w:tcW w:w="1377"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金额</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占营业成本比重</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金额</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占营业成本比重</w:t>
            </w:r>
          </w:p>
        </w:tc>
        <w:tc>
          <w:tcPr>
            <w:tcW w:w="1377"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r>
      <w:tr w:rsidR="00E20B54">
        <w:trPr>
          <w:trHeight w:val="240"/>
        </w:trPr>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智慧政务</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rPr>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82,233,648.09</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23.37%</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45,943,227.24</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23.66%</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78.99%</w:t>
            </w:r>
          </w:p>
        </w:tc>
      </w:tr>
      <w:tr w:rsidR="00E20B54">
        <w:trPr>
          <w:trHeight w:val="240"/>
        </w:trPr>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智慧教育</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rPr>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41,433,446.19</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11.77%</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73,132,458.49</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37.67%</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-43.34%</w:t>
            </w:r>
          </w:p>
        </w:tc>
      </w:tr>
      <w:tr w:rsidR="00E20B54">
        <w:trPr>
          <w:trHeight w:val="240"/>
        </w:trPr>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智慧医疗</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rPr>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49,941,774.34</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14.19%</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23,737,976.17</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12.23%</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110.39%</w:t>
            </w:r>
          </w:p>
        </w:tc>
      </w:tr>
      <w:tr w:rsidR="00E20B54">
        <w:trPr>
          <w:trHeight w:val="240"/>
        </w:trPr>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智慧企业</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rPr>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123,825,812.06</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35.19%</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32,092,342.16</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16.53%</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285.84%</w:t>
            </w:r>
          </w:p>
        </w:tc>
      </w:tr>
      <w:tr w:rsidR="00E20B54">
        <w:trPr>
          <w:trHeight w:val="240"/>
        </w:trPr>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轨道交通</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rPr>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11,776,944.25</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3.35%</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18,838,306.49</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9.70%</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-37.48%</w:t>
            </w:r>
          </w:p>
        </w:tc>
      </w:tr>
      <w:tr w:rsidR="00E20B54">
        <w:trPr>
          <w:trHeight w:val="240"/>
        </w:trPr>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新能源电力</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rPr>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7,715,488.78</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2.19%</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412,519.37</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0.21%</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1,770.33%</w:t>
            </w:r>
          </w:p>
        </w:tc>
      </w:tr>
      <w:tr w:rsidR="00E20B54">
        <w:trPr>
          <w:trHeight w:val="240"/>
        </w:trPr>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lastRenderedPageBreak/>
              <w:t>算力业务</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rPr>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34,988,018.50</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9.94%</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100.00%</w:t>
            </w:r>
          </w:p>
        </w:tc>
      </w:tr>
      <w:tr w:rsidR="00E20B54">
        <w:trPr>
          <w:trHeight w:val="240"/>
        </w:trPr>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其他业务</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rPr>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bl>
    <w:p w:rsidR="00E20B54" w:rsidRDefault="00733C9E">
      <w:pPr>
        <w:spacing w:before="120" w:after="120" w:line="240" w:lineRule="exact"/>
        <w:jc w:val="right"/>
        <w:rPr>
          <w:sz w:val="18"/>
          <w:szCs w:val="18"/>
        </w:rPr>
      </w:pPr>
      <w:r>
        <w:rPr>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377"/>
        <w:gridCol w:w="1377"/>
        <w:gridCol w:w="1377"/>
        <w:gridCol w:w="1377"/>
        <w:gridCol w:w="1377"/>
        <w:gridCol w:w="1377"/>
        <w:gridCol w:w="1377"/>
      </w:tblGrid>
      <w:tr w:rsidR="00E20B54">
        <w:trPr>
          <w:trHeight w:val="240"/>
          <w:tblHeader/>
        </w:trPr>
        <w:tc>
          <w:tcPr>
            <w:tcW w:w="1377"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产品分类</w:t>
            </w:r>
          </w:p>
        </w:tc>
        <w:tc>
          <w:tcPr>
            <w:tcW w:w="1377"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项目</w:t>
            </w:r>
          </w:p>
        </w:tc>
        <w:tc>
          <w:tcPr>
            <w:tcW w:w="2754"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2025</w:t>
            </w:r>
            <w:r>
              <w:rPr>
                <w:sz w:val="18"/>
                <w:szCs w:val="18"/>
              </w:rPr>
              <w:t>年</w:t>
            </w:r>
          </w:p>
        </w:tc>
        <w:tc>
          <w:tcPr>
            <w:tcW w:w="2754"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2024</w:t>
            </w:r>
            <w:r>
              <w:rPr>
                <w:sz w:val="18"/>
                <w:szCs w:val="18"/>
              </w:rPr>
              <w:t>年</w:t>
            </w:r>
          </w:p>
        </w:tc>
        <w:tc>
          <w:tcPr>
            <w:tcW w:w="1377"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同比增减</w:t>
            </w:r>
          </w:p>
        </w:tc>
      </w:tr>
      <w:tr w:rsidR="00E20B54">
        <w:trPr>
          <w:trHeight w:val="240"/>
          <w:tblHeader/>
        </w:trPr>
        <w:tc>
          <w:tcPr>
            <w:tcW w:w="1377"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c>
          <w:tcPr>
            <w:tcW w:w="1377"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金额</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占营业成本比重</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金额</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占营业成本比重</w:t>
            </w:r>
          </w:p>
        </w:tc>
        <w:tc>
          <w:tcPr>
            <w:tcW w:w="1377"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r>
      <w:tr w:rsidR="00E20B54">
        <w:trPr>
          <w:trHeight w:val="240"/>
        </w:trPr>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信息系统集成服务</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rPr>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191,584,103.48</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54.44%</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50,373,262.81</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25.94%</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280.33%</w:t>
            </w:r>
          </w:p>
        </w:tc>
      </w:tr>
      <w:tr w:rsidR="00E20B54">
        <w:trPr>
          <w:trHeight w:val="240"/>
        </w:trPr>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软件开发及技术服务</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rPr>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34,142,805.52</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9.70%</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30,639,722.97</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15.78%</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11.43%</w:t>
            </w:r>
          </w:p>
        </w:tc>
      </w:tr>
      <w:tr w:rsidR="00E20B54">
        <w:trPr>
          <w:trHeight w:val="240"/>
        </w:trPr>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信息系统运维服务</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rPr>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8,262,160.38</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2.35%</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6,074,450.70</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3.13%</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36.01%</w:t>
            </w:r>
          </w:p>
        </w:tc>
      </w:tr>
      <w:tr w:rsidR="00E20B54">
        <w:trPr>
          <w:trHeight w:val="240"/>
        </w:trPr>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信息设备销售</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rPr>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75,222,555.55</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21.38%</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106,656,874.07</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54.94%</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-29.47%</w:t>
            </w:r>
          </w:p>
        </w:tc>
      </w:tr>
      <w:tr w:rsidR="00E20B54">
        <w:trPr>
          <w:trHeight w:val="240"/>
        </w:trPr>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算力业务</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rPr>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34,988,018.50</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9.94%</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100.00%</w:t>
            </w:r>
          </w:p>
        </w:tc>
      </w:tr>
      <w:tr w:rsidR="00E20B54">
        <w:trPr>
          <w:trHeight w:val="240"/>
        </w:trPr>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光伏发电</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rPr>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7,715,488.78</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2.19%</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412,519.37</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0.21%</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1,770.33%</w:t>
            </w:r>
          </w:p>
        </w:tc>
      </w:tr>
      <w:tr w:rsidR="00E20B54">
        <w:trPr>
          <w:trHeight w:val="240"/>
        </w:trPr>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其他业务收入</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rPr>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bl>
    <w:p w:rsidR="00E20B54" w:rsidRDefault="00733C9E">
      <w:pPr>
        <w:spacing w:before="100" w:after="100" w:line="240" w:lineRule="exact"/>
        <w:rPr>
          <w:sz w:val="18"/>
          <w:szCs w:val="18"/>
        </w:rPr>
      </w:pPr>
      <w:r>
        <w:rPr>
          <w:sz w:val="18"/>
          <w:szCs w:val="18"/>
        </w:rPr>
        <w:t>说明</w:t>
      </w:r>
    </w:p>
    <w:p w:rsidR="00E20B54" w:rsidRDefault="00733C9E">
      <w:pPr>
        <w:pStyle w:val="a3"/>
        <w:widowControl/>
        <w:spacing w:before="100" w:beforeAutospacing="0" w:after="100" w:afterAutospacing="0" w:line="240" w:lineRule="atLeast"/>
        <w:rPr>
          <w:sz w:val="21"/>
          <w:szCs w:val="21"/>
        </w:rPr>
      </w:pPr>
      <w:r>
        <w:rPr>
          <w:sz w:val="18"/>
          <w:szCs w:val="18"/>
        </w:rPr>
        <w:t>报告期内，公司新增建设运营的分布式光伏电站情况如下：</w:t>
      </w:r>
    </w:p>
    <w:tbl>
      <w:tblPr>
        <w:tblW w:w="5001" w:type="pct"/>
        <w:tblInd w:w="-117" w:type="dxa"/>
        <w:tblCellMar>
          <w:top w:w="15" w:type="dxa"/>
          <w:left w:w="15" w:type="dxa"/>
          <w:bottom w:w="15" w:type="dxa"/>
          <w:right w:w="15" w:type="dxa"/>
        </w:tblCellMar>
        <w:tblLook w:val="04A0" w:firstRow="1" w:lastRow="0" w:firstColumn="1" w:lastColumn="0" w:noHBand="0" w:noVBand="1"/>
      </w:tblPr>
      <w:tblGrid>
        <w:gridCol w:w="4716"/>
        <w:gridCol w:w="1816"/>
        <w:gridCol w:w="1524"/>
        <w:gridCol w:w="1613"/>
      </w:tblGrid>
      <w:tr w:rsidR="00E20B54">
        <w:trPr>
          <w:trHeight w:val="271"/>
        </w:trPr>
        <w:tc>
          <w:tcPr>
            <w:tcW w:w="2437" w:type="pct"/>
            <w:tcBorders>
              <w:top w:val="single" w:sz="8" w:space="0" w:color="auto"/>
              <w:left w:val="single" w:sz="8" w:space="0" w:color="auto"/>
              <w:bottom w:val="single" w:sz="8" w:space="0" w:color="auto"/>
              <w:right w:val="single" w:sz="8" w:space="0" w:color="auto"/>
            </w:tcBorders>
            <w:shd w:val="clear" w:color="auto" w:fill="D8D8D8" w:themeFill="background1" w:themeFillShade="D8"/>
            <w:noWrap/>
            <w:tcMar>
              <w:bottom w:w="0" w:type="dxa"/>
            </w:tcMar>
            <w:vAlign w:val="center"/>
          </w:tcPr>
          <w:p w:rsidR="00E20B54" w:rsidRDefault="00733C9E">
            <w:pPr>
              <w:pStyle w:val="a3"/>
              <w:widowControl/>
              <w:spacing w:beforeAutospacing="0" w:afterAutospacing="0"/>
              <w:jc w:val="center"/>
              <w:textAlignment w:val="center"/>
              <w:rPr>
                <w:sz w:val="21"/>
                <w:szCs w:val="21"/>
              </w:rPr>
            </w:pPr>
            <w:r>
              <w:rPr>
                <w:rStyle w:val="a4"/>
                <w:b w:val="0"/>
                <w:color w:val="000000"/>
                <w:sz w:val="18"/>
                <w:szCs w:val="18"/>
              </w:rPr>
              <w:t>光伏项目名称</w:t>
            </w:r>
          </w:p>
        </w:tc>
        <w:tc>
          <w:tcPr>
            <w:tcW w:w="939" w:type="pct"/>
            <w:tcBorders>
              <w:top w:val="single" w:sz="8" w:space="0" w:color="auto"/>
              <w:left w:val="nil"/>
              <w:bottom w:val="single" w:sz="8" w:space="0" w:color="auto"/>
              <w:right w:val="single" w:sz="8" w:space="0" w:color="auto"/>
            </w:tcBorders>
            <w:shd w:val="clear" w:color="auto" w:fill="D8D8D8" w:themeFill="background1" w:themeFillShade="D8"/>
            <w:noWrap/>
            <w:tcMar>
              <w:bottom w:w="0" w:type="dxa"/>
            </w:tcMar>
            <w:vAlign w:val="center"/>
          </w:tcPr>
          <w:p w:rsidR="00E20B54" w:rsidRDefault="00733C9E">
            <w:pPr>
              <w:pStyle w:val="a3"/>
              <w:widowControl/>
              <w:spacing w:beforeAutospacing="0" w:afterAutospacing="0"/>
              <w:jc w:val="center"/>
              <w:textAlignment w:val="center"/>
              <w:rPr>
                <w:sz w:val="21"/>
                <w:szCs w:val="21"/>
              </w:rPr>
            </w:pPr>
            <w:r>
              <w:rPr>
                <w:rStyle w:val="a4"/>
                <w:b w:val="0"/>
                <w:color w:val="000000"/>
                <w:sz w:val="18"/>
                <w:szCs w:val="18"/>
              </w:rPr>
              <w:t>运营模式</w:t>
            </w:r>
          </w:p>
        </w:tc>
        <w:tc>
          <w:tcPr>
            <w:tcW w:w="788" w:type="pct"/>
            <w:tcBorders>
              <w:top w:val="single" w:sz="8" w:space="0" w:color="auto"/>
              <w:left w:val="nil"/>
              <w:bottom w:val="single" w:sz="8" w:space="0" w:color="auto"/>
              <w:right w:val="single" w:sz="8" w:space="0" w:color="auto"/>
            </w:tcBorders>
            <w:shd w:val="clear" w:color="auto" w:fill="D8D8D8" w:themeFill="background1" w:themeFillShade="D8"/>
            <w:noWrap/>
            <w:tcMar>
              <w:bottom w:w="0" w:type="dxa"/>
            </w:tcMar>
            <w:vAlign w:val="center"/>
          </w:tcPr>
          <w:p w:rsidR="00E20B54" w:rsidRDefault="00733C9E">
            <w:pPr>
              <w:pStyle w:val="a3"/>
              <w:widowControl/>
              <w:spacing w:beforeAutospacing="0" w:afterAutospacing="0"/>
              <w:jc w:val="center"/>
              <w:textAlignment w:val="center"/>
              <w:rPr>
                <w:sz w:val="21"/>
                <w:szCs w:val="21"/>
              </w:rPr>
            </w:pPr>
            <w:r>
              <w:rPr>
                <w:rStyle w:val="a4"/>
                <w:b w:val="0"/>
                <w:color w:val="000000"/>
                <w:sz w:val="18"/>
                <w:szCs w:val="18"/>
              </w:rPr>
              <w:t> </w:t>
            </w:r>
            <w:r>
              <w:rPr>
                <w:rStyle w:val="a4"/>
                <w:b w:val="0"/>
                <w:color w:val="000000"/>
                <w:sz w:val="18"/>
                <w:szCs w:val="18"/>
              </w:rPr>
              <w:t>发电量（万度）</w:t>
            </w:r>
            <w:r>
              <w:rPr>
                <w:rStyle w:val="a4"/>
                <w:b w:val="0"/>
                <w:color w:val="000000"/>
                <w:sz w:val="18"/>
                <w:szCs w:val="18"/>
              </w:rPr>
              <w:t> </w:t>
            </w:r>
          </w:p>
        </w:tc>
        <w:tc>
          <w:tcPr>
            <w:tcW w:w="834" w:type="pct"/>
            <w:tcBorders>
              <w:top w:val="single" w:sz="8" w:space="0" w:color="auto"/>
              <w:left w:val="nil"/>
              <w:bottom w:val="single" w:sz="8" w:space="0" w:color="auto"/>
              <w:right w:val="single" w:sz="8" w:space="0" w:color="auto"/>
            </w:tcBorders>
            <w:shd w:val="clear" w:color="auto" w:fill="D8D8D8" w:themeFill="background1" w:themeFillShade="D8"/>
            <w:noWrap/>
            <w:tcMar>
              <w:bottom w:w="0" w:type="dxa"/>
            </w:tcMar>
            <w:vAlign w:val="center"/>
          </w:tcPr>
          <w:p w:rsidR="00E20B54" w:rsidRDefault="00733C9E">
            <w:pPr>
              <w:pStyle w:val="a3"/>
              <w:widowControl/>
              <w:spacing w:beforeAutospacing="0" w:afterAutospacing="0"/>
              <w:jc w:val="center"/>
              <w:textAlignment w:val="center"/>
              <w:rPr>
                <w:sz w:val="21"/>
                <w:szCs w:val="21"/>
              </w:rPr>
            </w:pPr>
            <w:r>
              <w:rPr>
                <w:rStyle w:val="a4"/>
                <w:b w:val="0"/>
                <w:color w:val="000000"/>
                <w:sz w:val="18"/>
                <w:szCs w:val="18"/>
              </w:rPr>
              <w:t> </w:t>
            </w:r>
            <w:r>
              <w:rPr>
                <w:rStyle w:val="a4"/>
                <w:b w:val="0"/>
                <w:color w:val="000000"/>
                <w:sz w:val="18"/>
                <w:szCs w:val="18"/>
              </w:rPr>
              <w:t>电费收入（万元）</w:t>
            </w:r>
            <w:r>
              <w:rPr>
                <w:rStyle w:val="a4"/>
                <w:b w:val="0"/>
                <w:color w:val="000000"/>
                <w:sz w:val="18"/>
                <w:szCs w:val="18"/>
              </w:rPr>
              <w:t> </w:t>
            </w:r>
          </w:p>
        </w:tc>
      </w:tr>
      <w:tr w:rsidR="00E20B54">
        <w:trPr>
          <w:trHeight w:val="271"/>
        </w:trPr>
        <w:tc>
          <w:tcPr>
            <w:tcW w:w="2437" w:type="pct"/>
            <w:tcBorders>
              <w:top w:val="nil"/>
              <w:left w:val="single" w:sz="8" w:space="0" w:color="auto"/>
              <w:bottom w:val="single" w:sz="8" w:space="0" w:color="auto"/>
              <w:right w:val="single" w:sz="8" w:space="0" w:color="auto"/>
            </w:tcBorders>
            <w:shd w:val="clear" w:color="auto" w:fill="auto"/>
            <w:noWrap/>
            <w:tcMar>
              <w:bottom w:w="0" w:type="dxa"/>
            </w:tcMar>
            <w:vAlign w:val="center"/>
          </w:tcPr>
          <w:p w:rsidR="00E20B54" w:rsidRDefault="00733C9E">
            <w:pPr>
              <w:pStyle w:val="a3"/>
              <w:widowControl/>
              <w:spacing w:beforeAutospacing="0" w:afterAutospacing="0"/>
              <w:textAlignment w:val="center"/>
              <w:rPr>
                <w:sz w:val="21"/>
                <w:szCs w:val="21"/>
              </w:rPr>
            </w:pPr>
            <w:r>
              <w:rPr>
                <w:color w:val="000000"/>
                <w:sz w:val="18"/>
                <w:szCs w:val="18"/>
              </w:rPr>
              <w:t>河北省邯郸市复兴区</w:t>
            </w:r>
            <w:r>
              <w:rPr>
                <w:color w:val="000000"/>
                <w:sz w:val="18"/>
                <w:szCs w:val="18"/>
              </w:rPr>
              <w:t>24MW</w:t>
            </w:r>
            <w:r>
              <w:rPr>
                <w:color w:val="000000"/>
                <w:sz w:val="18"/>
                <w:szCs w:val="18"/>
              </w:rPr>
              <w:t>地面分布式光伏电站</w:t>
            </w:r>
          </w:p>
        </w:tc>
        <w:tc>
          <w:tcPr>
            <w:tcW w:w="939" w:type="pct"/>
            <w:tcBorders>
              <w:top w:val="nil"/>
              <w:left w:val="nil"/>
              <w:bottom w:val="single" w:sz="8" w:space="0" w:color="auto"/>
              <w:right w:val="single" w:sz="8" w:space="0" w:color="auto"/>
            </w:tcBorders>
            <w:shd w:val="clear" w:color="auto" w:fill="auto"/>
            <w:noWrap/>
            <w:tcMar>
              <w:bottom w:w="0" w:type="dxa"/>
            </w:tcMar>
            <w:vAlign w:val="center"/>
          </w:tcPr>
          <w:p w:rsidR="00E20B54" w:rsidRDefault="00733C9E">
            <w:pPr>
              <w:pStyle w:val="a3"/>
              <w:widowControl/>
              <w:spacing w:beforeAutospacing="0" w:afterAutospacing="0"/>
              <w:textAlignment w:val="center"/>
              <w:rPr>
                <w:sz w:val="21"/>
                <w:szCs w:val="21"/>
              </w:rPr>
            </w:pPr>
            <w:r>
              <w:rPr>
                <w:color w:val="000000"/>
                <w:sz w:val="18"/>
                <w:szCs w:val="18"/>
              </w:rPr>
              <w:t>全额上网</w:t>
            </w:r>
          </w:p>
        </w:tc>
        <w:tc>
          <w:tcPr>
            <w:tcW w:w="788" w:type="pct"/>
            <w:tcBorders>
              <w:top w:val="nil"/>
              <w:left w:val="nil"/>
              <w:bottom w:val="single" w:sz="8" w:space="0" w:color="auto"/>
              <w:right w:val="single" w:sz="8" w:space="0" w:color="auto"/>
            </w:tcBorders>
            <w:shd w:val="clear" w:color="auto" w:fill="auto"/>
            <w:noWrap/>
            <w:tcMar>
              <w:bottom w:w="0" w:type="dxa"/>
            </w:tcMar>
            <w:vAlign w:val="center"/>
          </w:tcPr>
          <w:p w:rsidR="00E20B54" w:rsidRDefault="00733C9E">
            <w:pPr>
              <w:pStyle w:val="a3"/>
              <w:widowControl/>
              <w:spacing w:beforeAutospacing="0" w:afterAutospacing="0"/>
              <w:jc w:val="right"/>
              <w:textAlignment w:val="center"/>
              <w:rPr>
                <w:sz w:val="21"/>
                <w:szCs w:val="21"/>
              </w:rPr>
            </w:pPr>
            <w:r>
              <w:rPr>
                <w:color w:val="000000"/>
                <w:sz w:val="18"/>
                <w:szCs w:val="18"/>
              </w:rPr>
              <w:t> 2,035.75 </w:t>
            </w:r>
          </w:p>
        </w:tc>
        <w:tc>
          <w:tcPr>
            <w:tcW w:w="834" w:type="pct"/>
            <w:tcBorders>
              <w:top w:val="nil"/>
              <w:left w:val="nil"/>
              <w:bottom w:val="single" w:sz="8" w:space="0" w:color="auto"/>
              <w:right w:val="single" w:sz="8" w:space="0" w:color="auto"/>
            </w:tcBorders>
            <w:shd w:val="clear" w:color="auto" w:fill="auto"/>
            <w:noWrap/>
            <w:tcMar>
              <w:bottom w:w="0" w:type="dxa"/>
            </w:tcMar>
            <w:vAlign w:val="center"/>
          </w:tcPr>
          <w:p w:rsidR="00E20B54" w:rsidRDefault="00733C9E">
            <w:pPr>
              <w:pStyle w:val="a3"/>
              <w:widowControl/>
              <w:spacing w:beforeAutospacing="0" w:afterAutospacing="0"/>
              <w:jc w:val="right"/>
              <w:textAlignment w:val="center"/>
              <w:rPr>
                <w:sz w:val="21"/>
                <w:szCs w:val="21"/>
              </w:rPr>
            </w:pPr>
            <w:r>
              <w:rPr>
                <w:color w:val="000000"/>
                <w:sz w:val="18"/>
                <w:szCs w:val="18"/>
              </w:rPr>
              <w:t> 654.72 </w:t>
            </w:r>
          </w:p>
        </w:tc>
      </w:tr>
      <w:tr w:rsidR="00E20B54">
        <w:trPr>
          <w:trHeight w:val="271"/>
        </w:trPr>
        <w:tc>
          <w:tcPr>
            <w:tcW w:w="2437" w:type="pct"/>
            <w:tcBorders>
              <w:top w:val="nil"/>
              <w:left w:val="single" w:sz="8" w:space="0" w:color="auto"/>
              <w:bottom w:val="single" w:sz="8" w:space="0" w:color="auto"/>
              <w:right w:val="single" w:sz="8" w:space="0" w:color="auto"/>
            </w:tcBorders>
            <w:shd w:val="clear" w:color="auto" w:fill="auto"/>
            <w:noWrap/>
            <w:tcMar>
              <w:bottom w:w="0" w:type="dxa"/>
            </w:tcMar>
            <w:vAlign w:val="center"/>
          </w:tcPr>
          <w:p w:rsidR="00E20B54" w:rsidRDefault="00733C9E">
            <w:pPr>
              <w:pStyle w:val="a3"/>
              <w:widowControl/>
              <w:spacing w:beforeAutospacing="0" w:afterAutospacing="0"/>
              <w:textAlignment w:val="center"/>
              <w:rPr>
                <w:sz w:val="21"/>
                <w:szCs w:val="21"/>
              </w:rPr>
            </w:pPr>
            <w:r>
              <w:rPr>
                <w:color w:val="000000"/>
                <w:sz w:val="18"/>
                <w:szCs w:val="18"/>
              </w:rPr>
              <w:t>天宝实业</w:t>
            </w:r>
            <w:r>
              <w:rPr>
                <w:color w:val="000000"/>
                <w:sz w:val="18"/>
                <w:szCs w:val="18"/>
              </w:rPr>
              <w:t>13.56MW</w:t>
            </w:r>
            <w:r>
              <w:rPr>
                <w:color w:val="000000"/>
                <w:sz w:val="18"/>
                <w:szCs w:val="18"/>
              </w:rPr>
              <w:t>分布式光伏发电项目</w:t>
            </w:r>
          </w:p>
        </w:tc>
        <w:tc>
          <w:tcPr>
            <w:tcW w:w="939" w:type="pct"/>
            <w:tcBorders>
              <w:top w:val="nil"/>
              <w:left w:val="nil"/>
              <w:bottom w:val="single" w:sz="8" w:space="0" w:color="auto"/>
              <w:right w:val="single" w:sz="8" w:space="0" w:color="auto"/>
            </w:tcBorders>
            <w:shd w:val="clear" w:color="auto" w:fill="auto"/>
            <w:noWrap/>
            <w:tcMar>
              <w:bottom w:w="0" w:type="dxa"/>
            </w:tcMar>
            <w:vAlign w:val="center"/>
          </w:tcPr>
          <w:p w:rsidR="00E20B54" w:rsidRDefault="00733C9E">
            <w:pPr>
              <w:pStyle w:val="a3"/>
              <w:widowControl/>
              <w:spacing w:beforeAutospacing="0" w:afterAutospacing="0"/>
              <w:textAlignment w:val="center"/>
              <w:rPr>
                <w:sz w:val="21"/>
                <w:szCs w:val="21"/>
              </w:rPr>
            </w:pPr>
            <w:r>
              <w:rPr>
                <w:color w:val="000000"/>
                <w:sz w:val="18"/>
                <w:szCs w:val="18"/>
              </w:rPr>
              <w:t>自发自用，余量上网</w:t>
            </w:r>
          </w:p>
        </w:tc>
        <w:tc>
          <w:tcPr>
            <w:tcW w:w="788" w:type="pct"/>
            <w:tcBorders>
              <w:top w:val="nil"/>
              <w:left w:val="nil"/>
              <w:bottom w:val="single" w:sz="8" w:space="0" w:color="auto"/>
              <w:right w:val="single" w:sz="8" w:space="0" w:color="auto"/>
            </w:tcBorders>
            <w:shd w:val="clear" w:color="auto" w:fill="auto"/>
            <w:noWrap/>
            <w:tcMar>
              <w:bottom w:w="0" w:type="dxa"/>
            </w:tcMar>
            <w:vAlign w:val="center"/>
          </w:tcPr>
          <w:p w:rsidR="00E20B54" w:rsidRDefault="00733C9E">
            <w:pPr>
              <w:pStyle w:val="a3"/>
              <w:widowControl/>
              <w:spacing w:beforeAutospacing="0" w:afterAutospacing="0"/>
              <w:jc w:val="right"/>
              <w:textAlignment w:val="center"/>
              <w:rPr>
                <w:sz w:val="21"/>
                <w:szCs w:val="21"/>
              </w:rPr>
            </w:pPr>
            <w:r>
              <w:rPr>
                <w:color w:val="000000"/>
                <w:sz w:val="18"/>
                <w:szCs w:val="18"/>
              </w:rPr>
              <w:t> 1,309.84 </w:t>
            </w:r>
          </w:p>
        </w:tc>
        <w:tc>
          <w:tcPr>
            <w:tcW w:w="834" w:type="pct"/>
            <w:tcBorders>
              <w:top w:val="nil"/>
              <w:left w:val="nil"/>
              <w:bottom w:val="single" w:sz="8" w:space="0" w:color="auto"/>
              <w:right w:val="single" w:sz="8" w:space="0" w:color="auto"/>
            </w:tcBorders>
            <w:shd w:val="clear" w:color="auto" w:fill="auto"/>
            <w:noWrap/>
            <w:tcMar>
              <w:bottom w:w="0" w:type="dxa"/>
            </w:tcMar>
            <w:vAlign w:val="center"/>
          </w:tcPr>
          <w:p w:rsidR="00E20B54" w:rsidRDefault="00733C9E">
            <w:pPr>
              <w:pStyle w:val="a3"/>
              <w:widowControl/>
              <w:spacing w:beforeAutospacing="0" w:afterAutospacing="0"/>
              <w:jc w:val="right"/>
              <w:textAlignment w:val="center"/>
              <w:rPr>
                <w:sz w:val="21"/>
                <w:szCs w:val="21"/>
              </w:rPr>
            </w:pPr>
            <w:r>
              <w:rPr>
                <w:color w:val="000000"/>
                <w:sz w:val="18"/>
                <w:szCs w:val="18"/>
              </w:rPr>
              <w:t> 931.73 </w:t>
            </w:r>
          </w:p>
        </w:tc>
      </w:tr>
      <w:tr w:rsidR="00E20B54">
        <w:trPr>
          <w:trHeight w:val="271"/>
        </w:trPr>
        <w:tc>
          <w:tcPr>
            <w:tcW w:w="2437" w:type="pct"/>
            <w:tcBorders>
              <w:top w:val="nil"/>
              <w:left w:val="single" w:sz="8" w:space="0" w:color="auto"/>
              <w:bottom w:val="single" w:sz="8" w:space="0" w:color="auto"/>
              <w:right w:val="single" w:sz="8" w:space="0" w:color="auto"/>
            </w:tcBorders>
            <w:shd w:val="clear" w:color="auto" w:fill="auto"/>
            <w:noWrap/>
            <w:tcMar>
              <w:bottom w:w="0" w:type="dxa"/>
            </w:tcMar>
            <w:vAlign w:val="center"/>
          </w:tcPr>
          <w:p w:rsidR="00E20B54" w:rsidRDefault="00733C9E">
            <w:pPr>
              <w:pStyle w:val="a3"/>
              <w:widowControl/>
              <w:spacing w:beforeAutospacing="0" w:afterAutospacing="0"/>
              <w:textAlignment w:val="center"/>
              <w:rPr>
                <w:sz w:val="21"/>
                <w:szCs w:val="21"/>
              </w:rPr>
            </w:pPr>
            <w:r>
              <w:rPr>
                <w:color w:val="000000"/>
                <w:sz w:val="18"/>
                <w:szCs w:val="18"/>
              </w:rPr>
              <w:t>锦江火浪</w:t>
            </w:r>
            <w:r>
              <w:rPr>
                <w:color w:val="000000"/>
                <w:sz w:val="18"/>
                <w:szCs w:val="18"/>
              </w:rPr>
              <w:t>3.3MWp</w:t>
            </w:r>
            <w:r>
              <w:rPr>
                <w:color w:val="000000"/>
                <w:sz w:val="18"/>
                <w:szCs w:val="18"/>
              </w:rPr>
              <w:t>分布式光伏</w:t>
            </w:r>
          </w:p>
        </w:tc>
        <w:tc>
          <w:tcPr>
            <w:tcW w:w="939" w:type="pct"/>
            <w:tcBorders>
              <w:top w:val="nil"/>
              <w:left w:val="nil"/>
              <w:bottom w:val="single" w:sz="8" w:space="0" w:color="auto"/>
              <w:right w:val="single" w:sz="8" w:space="0" w:color="auto"/>
            </w:tcBorders>
            <w:shd w:val="clear" w:color="auto" w:fill="auto"/>
            <w:noWrap/>
            <w:tcMar>
              <w:bottom w:w="0" w:type="dxa"/>
            </w:tcMar>
            <w:vAlign w:val="center"/>
          </w:tcPr>
          <w:p w:rsidR="00E20B54" w:rsidRDefault="00733C9E">
            <w:pPr>
              <w:pStyle w:val="a3"/>
              <w:widowControl/>
              <w:spacing w:beforeAutospacing="0" w:afterAutospacing="0"/>
              <w:textAlignment w:val="center"/>
              <w:rPr>
                <w:sz w:val="21"/>
                <w:szCs w:val="21"/>
              </w:rPr>
            </w:pPr>
            <w:r>
              <w:rPr>
                <w:color w:val="000000"/>
                <w:sz w:val="18"/>
                <w:szCs w:val="18"/>
              </w:rPr>
              <w:t>自发自用，余量上网</w:t>
            </w:r>
          </w:p>
        </w:tc>
        <w:tc>
          <w:tcPr>
            <w:tcW w:w="788" w:type="pct"/>
            <w:tcBorders>
              <w:top w:val="nil"/>
              <w:left w:val="nil"/>
              <w:bottom w:val="single" w:sz="8" w:space="0" w:color="auto"/>
              <w:right w:val="single" w:sz="8" w:space="0" w:color="auto"/>
            </w:tcBorders>
            <w:shd w:val="clear" w:color="auto" w:fill="auto"/>
            <w:noWrap/>
            <w:tcMar>
              <w:bottom w:w="0" w:type="dxa"/>
            </w:tcMar>
            <w:vAlign w:val="center"/>
          </w:tcPr>
          <w:p w:rsidR="00E20B54" w:rsidRDefault="00733C9E">
            <w:pPr>
              <w:pStyle w:val="a3"/>
              <w:widowControl/>
              <w:spacing w:beforeAutospacing="0" w:afterAutospacing="0"/>
              <w:jc w:val="right"/>
              <w:textAlignment w:val="center"/>
              <w:rPr>
                <w:sz w:val="21"/>
                <w:szCs w:val="21"/>
              </w:rPr>
            </w:pPr>
            <w:r>
              <w:rPr>
                <w:color w:val="000000"/>
                <w:sz w:val="18"/>
                <w:szCs w:val="18"/>
              </w:rPr>
              <w:t> 315.29 </w:t>
            </w:r>
          </w:p>
        </w:tc>
        <w:tc>
          <w:tcPr>
            <w:tcW w:w="834" w:type="pct"/>
            <w:tcBorders>
              <w:top w:val="nil"/>
              <w:left w:val="nil"/>
              <w:bottom w:val="single" w:sz="8" w:space="0" w:color="auto"/>
              <w:right w:val="single" w:sz="8" w:space="0" w:color="auto"/>
            </w:tcBorders>
            <w:shd w:val="clear" w:color="auto" w:fill="auto"/>
            <w:noWrap/>
            <w:tcMar>
              <w:bottom w:w="0" w:type="dxa"/>
            </w:tcMar>
            <w:vAlign w:val="center"/>
          </w:tcPr>
          <w:p w:rsidR="00E20B54" w:rsidRDefault="00733C9E">
            <w:pPr>
              <w:pStyle w:val="a3"/>
              <w:widowControl/>
              <w:spacing w:beforeAutospacing="0" w:afterAutospacing="0"/>
              <w:jc w:val="right"/>
              <w:textAlignment w:val="center"/>
              <w:rPr>
                <w:sz w:val="21"/>
                <w:szCs w:val="21"/>
              </w:rPr>
            </w:pPr>
            <w:r>
              <w:rPr>
                <w:color w:val="000000"/>
                <w:sz w:val="18"/>
                <w:szCs w:val="18"/>
              </w:rPr>
              <w:t> 120.99 </w:t>
            </w:r>
          </w:p>
        </w:tc>
      </w:tr>
      <w:tr w:rsidR="00E20B54">
        <w:trPr>
          <w:trHeight w:val="271"/>
        </w:trPr>
        <w:tc>
          <w:tcPr>
            <w:tcW w:w="2437" w:type="pct"/>
            <w:tcBorders>
              <w:top w:val="nil"/>
              <w:left w:val="single" w:sz="8" w:space="0" w:color="auto"/>
              <w:bottom w:val="single" w:sz="8" w:space="0" w:color="auto"/>
              <w:right w:val="single" w:sz="8" w:space="0" w:color="auto"/>
            </w:tcBorders>
            <w:shd w:val="clear" w:color="auto" w:fill="auto"/>
            <w:noWrap/>
            <w:tcMar>
              <w:bottom w:w="0" w:type="dxa"/>
            </w:tcMar>
            <w:vAlign w:val="center"/>
          </w:tcPr>
          <w:p w:rsidR="00E20B54" w:rsidRDefault="00733C9E">
            <w:pPr>
              <w:pStyle w:val="a3"/>
              <w:widowControl/>
              <w:spacing w:beforeAutospacing="0" w:afterAutospacing="0"/>
              <w:textAlignment w:val="center"/>
              <w:rPr>
                <w:sz w:val="21"/>
                <w:szCs w:val="21"/>
              </w:rPr>
            </w:pPr>
            <w:r>
              <w:rPr>
                <w:color w:val="000000"/>
                <w:sz w:val="18"/>
                <w:szCs w:val="18"/>
              </w:rPr>
              <w:t>汕头市周凯迪置业投资有限公司分布式光伏发电项目</w:t>
            </w:r>
          </w:p>
        </w:tc>
        <w:tc>
          <w:tcPr>
            <w:tcW w:w="939" w:type="pct"/>
            <w:tcBorders>
              <w:top w:val="nil"/>
              <w:left w:val="nil"/>
              <w:bottom w:val="single" w:sz="8" w:space="0" w:color="auto"/>
              <w:right w:val="single" w:sz="8" w:space="0" w:color="auto"/>
            </w:tcBorders>
            <w:shd w:val="clear" w:color="auto" w:fill="auto"/>
            <w:noWrap/>
            <w:tcMar>
              <w:bottom w:w="0" w:type="dxa"/>
            </w:tcMar>
            <w:vAlign w:val="center"/>
          </w:tcPr>
          <w:p w:rsidR="00E20B54" w:rsidRDefault="00733C9E">
            <w:pPr>
              <w:pStyle w:val="a3"/>
              <w:widowControl/>
              <w:spacing w:beforeAutospacing="0" w:afterAutospacing="0"/>
              <w:textAlignment w:val="center"/>
              <w:rPr>
                <w:sz w:val="21"/>
                <w:szCs w:val="21"/>
              </w:rPr>
            </w:pPr>
            <w:r>
              <w:rPr>
                <w:color w:val="000000"/>
                <w:sz w:val="18"/>
                <w:szCs w:val="18"/>
              </w:rPr>
              <w:t>自发自用，余量上网</w:t>
            </w:r>
          </w:p>
        </w:tc>
        <w:tc>
          <w:tcPr>
            <w:tcW w:w="788" w:type="pct"/>
            <w:tcBorders>
              <w:top w:val="nil"/>
              <w:left w:val="nil"/>
              <w:bottom w:val="single" w:sz="8" w:space="0" w:color="auto"/>
              <w:right w:val="single" w:sz="8" w:space="0" w:color="auto"/>
            </w:tcBorders>
            <w:shd w:val="clear" w:color="auto" w:fill="auto"/>
            <w:noWrap/>
            <w:tcMar>
              <w:bottom w:w="0" w:type="dxa"/>
            </w:tcMar>
            <w:vAlign w:val="center"/>
          </w:tcPr>
          <w:p w:rsidR="00E20B54" w:rsidRDefault="00733C9E">
            <w:pPr>
              <w:pStyle w:val="a3"/>
              <w:widowControl/>
              <w:spacing w:beforeAutospacing="0" w:afterAutospacing="0"/>
              <w:jc w:val="right"/>
              <w:textAlignment w:val="center"/>
              <w:rPr>
                <w:sz w:val="21"/>
                <w:szCs w:val="21"/>
              </w:rPr>
            </w:pPr>
            <w:r>
              <w:rPr>
                <w:color w:val="000000"/>
                <w:sz w:val="18"/>
                <w:szCs w:val="18"/>
              </w:rPr>
              <w:t> 26.42 </w:t>
            </w:r>
          </w:p>
        </w:tc>
        <w:tc>
          <w:tcPr>
            <w:tcW w:w="834" w:type="pct"/>
            <w:tcBorders>
              <w:top w:val="nil"/>
              <w:left w:val="nil"/>
              <w:bottom w:val="single" w:sz="8" w:space="0" w:color="auto"/>
              <w:right w:val="single" w:sz="8" w:space="0" w:color="auto"/>
            </w:tcBorders>
            <w:shd w:val="clear" w:color="auto" w:fill="auto"/>
            <w:noWrap/>
            <w:tcMar>
              <w:bottom w:w="0" w:type="dxa"/>
            </w:tcMar>
            <w:vAlign w:val="center"/>
          </w:tcPr>
          <w:p w:rsidR="00E20B54" w:rsidRDefault="00733C9E">
            <w:pPr>
              <w:pStyle w:val="a3"/>
              <w:widowControl/>
              <w:spacing w:beforeAutospacing="0" w:afterAutospacing="0"/>
              <w:jc w:val="right"/>
              <w:textAlignment w:val="center"/>
              <w:rPr>
                <w:sz w:val="21"/>
                <w:szCs w:val="21"/>
              </w:rPr>
            </w:pPr>
            <w:r>
              <w:rPr>
                <w:color w:val="000000"/>
                <w:sz w:val="18"/>
                <w:szCs w:val="18"/>
              </w:rPr>
              <w:t> 13.34 </w:t>
            </w:r>
          </w:p>
        </w:tc>
      </w:tr>
    </w:tbl>
    <w:p w:rsidR="00E20B54" w:rsidRDefault="00733C9E">
      <w:pPr>
        <w:spacing w:before="100" w:after="100" w:line="240" w:lineRule="exact"/>
        <w:rPr>
          <w:sz w:val="18"/>
          <w:szCs w:val="18"/>
        </w:rPr>
      </w:pPr>
      <w:r>
        <w:rPr>
          <w:sz w:val="18"/>
          <w:szCs w:val="18"/>
        </w:rPr>
        <w:t>公司需遵守《深圳证券交易所上市公司自律监管指引第</w:t>
      </w:r>
      <w:r>
        <w:rPr>
          <w:sz w:val="18"/>
          <w:szCs w:val="18"/>
        </w:rPr>
        <w:t>3</w:t>
      </w:r>
      <w:r>
        <w:rPr>
          <w:sz w:val="18"/>
          <w:szCs w:val="18"/>
        </w:rPr>
        <w:t>号</w:t>
      </w:r>
      <w:r>
        <w:rPr>
          <w:sz w:val="18"/>
          <w:szCs w:val="18"/>
        </w:rPr>
        <w:t>——</w:t>
      </w:r>
      <w:r>
        <w:rPr>
          <w:sz w:val="18"/>
          <w:szCs w:val="18"/>
        </w:rPr>
        <w:t>行业信息披露》中的</w:t>
      </w:r>
      <w:r>
        <w:rPr>
          <w:sz w:val="18"/>
          <w:szCs w:val="18"/>
        </w:rPr>
        <w:t>“</w:t>
      </w:r>
      <w:r>
        <w:rPr>
          <w:sz w:val="18"/>
          <w:szCs w:val="18"/>
        </w:rPr>
        <w:t>软件与信息技术服务业</w:t>
      </w:r>
      <w:r>
        <w:rPr>
          <w:sz w:val="18"/>
          <w:szCs w:val="18"/>
        </w:rPr>
        <w:t>”</w:t>
      </w:r>
      <w:r>
        <w:rPr>
          <w:sz w:val="18"/>
          <w:szCs w:val="18"/>
        </w:rPr>
        <w:t>的披露要求</w:t>
      </w:r>
    </w:p>
    <w:p w:rsidR="00E20B54" w:rsidRDefault="00733C9E">
      <w:pPr>
        <w:spacing w:before="100" w:after="100" w:line="240" w:lineRule="exact"/>
        <w:rPr>
          <w:sz w:val="18"/>
          <w:szCs w:val="18"/>
        </w:rPr>
      </w:pPr>
      <w:r>
        <w:rPr>
          <w:sz w:val="18"/>
          <w:szCs w:val="18"/>
        </w:rPr>
        <w:t>主营业务成本构成</w:t>
      </w:r>
    </w:p>
    <w:p w:rsidR="00E20B54" w:rsidRDefault="00733C9E">
      <w:pPr>
        <w:spacing w:before="120" w:after="120" w:line="240" w:lineRule="exact"/>
        <w:jc w:val="right"/>
        <w:rPr>
          <w:sz w:val="18"/>
          <w:szCs w:val="18"/>
        </w:rPr>
      </w:pPr>
      <w:r>
        <w:rPr>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607"/>
        <w:gridCol w:w="1606"/>
        <w:gridCol w:w="1607"/>
        <w:gridCol w:w="1606"/>
        <w:gridCol w:w="1607"/>
        <w:gridCol w:w="1606"/>
      </w:tblGrid>
      <w:tr w:rsidR="00E20B54">
        <w:trPr>
          <w:trHeight w:val="240"/>
        </w:trPr>
        <w:tc>
          <w:tcPr>
            <w:tcW w:w="1606"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成本构成</w:t>
            </w:r>
          </w:p>
        </w:tc>
        <w:tc>
          <w:tcPr>
            <w:tcW w:w="3213"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本报告期</w:t>
            </w:r>
          </w:p>
        </w:tc>
        <w:tc>
          <w:tcPr>
            <w:tcW w:w="3213"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上年同期</w:t>
            </w:r>
          </w:p>
        </w:tc>
        <w:tc>
          <w:tcPr>
            <w:tcW w:w="1606"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同比增减</w:t>
            </w:r>
          </w:p>
        </w:tc>
      </w:tr>
      <w:tr w:rsidR="00E20B54">
        <w:trPr>
          <w:trHeight w:val="240"/>
        </w:trPr>
        <w:tc>
          <w:tcPr>
            <w:tcW w:w="1606" w:type="dxa"/>
            <w:vMerge/>
            <w:tcBorders>
              <w:top w:val="single" w:sz="2" w:space="0" w:color="auto"/>
              <w:left w:val="single" w:sz="2" w:space="0" w:color="auto"/>
              <w:bottom w:val="single" w:sz="2" w:space="0" w:color="auto"/>
              <w:right w:val="single" w:sz="2" w:space="0" w:color="auto"/>
            </w:tcBorders>
            <w:vAlign w:val="center"/>
          </w:tcPr>
          <w:p w:rsidR="00E20B54" w:rsidRDefault="00E20B54"/>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金额</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占营业成本比重</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金额</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占营业成本比重</w:t>
            </w:r>
          </w:p>
        </w:tc>
        <w:tc>
          <w:tcPr>
            <w:tcW w:w="1606"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r>
      <w:tr w:rsidR="00E20B54">
        <w:trPr>
          <w:trHeight w:val="240"/>
        </w:trPr>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直接材料</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251,731,518.78</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71.53%</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153,760,821.94</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79.19%</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63.72%</w:t>
            </w:r>
          </w:p>
        </w:tc>
      </w:tr>
      <w:tr w:rsidR="00E20B54">
        <w:trPr>
          <w:trHeight w:val="240"/>
        </w:trPr>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直接人工</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13,050,478.62</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3.71%</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13,822,851.11</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7.12%</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-5.59%</w:t>
            </w:r>
          </w:p>
        </w:tc>
      </w:tr>
      <w:tr w:rsidR="00E20B54">
        <w:trPr>
          <w:trHeight w:val="240"/>
        </w:trPr>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劳务及服务</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44,241,553.77</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12.57%</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25,231,559.37</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13.00%</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75.34%</w:t>
            </w:r>
          </w:p>
        </w:tc>
      </w:tr>
      <w:tr w:rsidR="00E20B54">
        <w:trPr>
          <w:trHeight w:val="240"/>
        </w:trPr>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其他费用</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42,891,581.04</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12.19%</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1,341,597.50</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0.69%</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3,097.05%</w:t>
            </w:r>
          </w:p>
        </w:tc>
      </w:tr>
    </w:tbl>
    <w:p w:rsidR="00E20B54" w:rsidRDefault="00733C9E">
      <w:pPr>
        <w:keepNext/>
        <w:keepLines/>
        <w:spacing w:before="300" w:after="300" w:line="280" w:lineRule="exact"/>
        <w:outlineLvl w:val="3"/>
        <w:rPr>
          <w:b/>
          <w:bCs/>
          <w:sz w:val="18"/>
          <w:szCs w:val="18"/>
        </w:rPr>
      </w:pPr>
      <w:bookmarkStart w:id="24" w:name="_Toc988913"/>
      <w:r>
        <w:rPr>
          <w:b/>
          <w:bCs/>
          <w:sz w:val="18"/>
          <w:szCs w:val="18"/>
        </w:rPr>
        <w:t>（</w:t>
      </w:r>
      <w:r>
        <w:rPr>
          <w:b/>
          <w:bCs/>
          <w:sz w:val="18"/>
          <w:szCs w:val="18"/>
        </w:rPr>
        <w:t>6</w:t>
      </w:r>
      <w:r>
        <w:rPr>
          <w:b/>
          <w:bCs/>
          <w:sz w:val="18"/>
          <w:szCs w:val="18"/>
        </w:rPr>
        <w:t>）</w:t>
      </w:r>
      <w:r>
        <w:rPr>
          <w:b/>
          <w:bCs/>
          <w:sz w:val="18"/>
          <w:szCs w:val="18"/>
        </w:rPr>
        <w:t xml:space="preserve"> </w:t>
      </w:r>
      <w:r>
        <w:rPr>
          <w:b/>
          <w:bCs/>
          <w:sz w:val="18"/>
          <w:szCs w:val="18"/>
        </w:rPr>
        <w:t>报告期内合并范围是否发生变动</w:t>
      </w:r>
      <w:bookmarkEnd w:id="24"/>
    </w:p>
    <w:p w:rsidR="00E20B54" w:rsidRDefault="00733C9E">
      <w:pPr>
        <w:spacing w:before="100" w:after="100" w:line="240" w:lineRule="exact"/>
        <w:rPr>
          <w:sz w:val="18"/>
          <w:szCs w:val="18"/>
        </w:rPr>
      </w:pPr>
      <w:r>
        <w:rPr>
          <w:sz w:val="18"/>
          <w:szCs w:val="18"/>
        </w:rPr>
        <w:sym w:font="Wingdings 2" w:char="F052"/>
      </w:r>
      <w:r>
        <w:rPr>
          <w:sz w:val="18"/>
          <w:szCs w:val="18"/>
        </w:rPr>
        <w:t>是</w:t>
      </w:r>
      <w:r>
        <w:rPr>
          <w:sz w:val="18"/>
          <w:szCs w:val="18"/>
        </w:rPr>
        <w:t xml:space="preserve"> □</w:t>
      </w:r>
      <w:r>
        <w:rPr>
          <w:sz w:val="18"/>
          <w:szCs w:val="18"/>
        </w:rPr>
        <w:t>否</w:t>
      </w:r>
    </w:p>
    <w:tbl>
      <w:tblPr>
        <w:tblW w:w="4998" w:type="pct"/>
        <w:tblBorders>
          <w:top w:val="none" w:sz="6" w:space="0" w:color="auto"/>
          <w:left w:val="none" w:sz="6" w:space="0" w:color="auto"/>
          <w:bottom w:val="none" w:sz="6" w:space="0" w:color="auto"/>
          <w:right w:val="none" w:sz="6" w:space="0" w:color="auto"/>
          <w:insideH w:val="outset" w:sz="6" w:space="0" w:color="auto"/>
          <w:insideV w:val="outset" w:sz="6" w:space="0" w:color="auto"/>
        </w:tblBorders>
        <w:tblCellMar>
          <w:top w:w="15" w:type="dxa"/>
          <w:left w:w="15" w:type="dxa"/>
          <w:bottom w:w="15" w:type="dxa"/>
          <w:right w:w="15" w:type="dxa"/>
        </w:tblCellMar>
        <w:tblLook w:val="04A0" w:firstRow="1" w:lastRow="0" w:firstColumn="1" w:lastColumn="0" w:noHBand="0" w:noVBand="1"/>
      </w:tblPr>
      <w:tblGrid>
        <w:gridCol w:w="5844"/>
        <w:gridCol w:w="1119"/>
        <w:gridCol w:w="1119"/>
        <w:gridCol w:w="1767"/>
      </w:tblGrid>
      <w:tr w:rsidR="00E20B54">
        <w:trPr>
          <w:trHeight w:val="284"/>
          <w:tblHeader/>
        </w:trPr>
        <w:tc>
          <w:tcPr>
            <w:tcW w:w="2965" w:type="pct"/>
            <w:tcBorders>
              <w:top w:val="single" w:sz="8" w:space="0" w:color="auto"/>
              <w:left w:val="single" w:sz="8" w:space="0" w:color="auto"/>
              <w:bottom w:val="single" w:sz="8" w:space="0" w:color="auto"/>
              <w:right w:val="single" w:sz="8" w:space="0" w:color="auto"/>
            </w:tcBorders>
            <w:shd w:val="clear" w:color="auto" w:fill="D8D8D8" w:themeFill="background1" w:themeFillShade="D8"/>
            <w:tcMar>
              <w:top w:w="0" w:type="dxa"/>
              <w:left w:w="108" w:type="dxa"/>
              <w:bottom w:w="0" w:type="dxa"/>
              <w:right w:w="108" w:type="dxa"/>
            </w:tcMar>
            <w:vAlign w:val="center"/>
          </w:tcPr>
          <w:p w:rsidR="00E20B54" w:rsidRDefault="00733C9E">
            <w:pPr>
              <w:pStyle w:val="a3"/>
              <w:widowControl/>
              <w:spacing w:beforeAutospacing="0" w:afterAutospacing="0"/>
              <w:jc w:val="center"/>
              <w:textAlignment w:val="center"/>
              <w:rPr>
                <w:sz w:val="21"/>
                <w:szCs w:val="21"/>
              </w:rPr>
            </w:pPr>
            <w:r>
              <w:rPr>
                <w:rStyle w:val="a4"/>
                <w:b w:val="0"/>
                <w:sz w:val="18"/>
                <w:szCs w:val="18"/>
              </w:rPr>
              <w:t>名称</w:t>
            </w:r>
          </w:p>
        </w:tc>
        <w:tc>
          <w:tcPr>
            <w:tcW w:w="568" w:type="pct"/>
            <w:tcBorders>
              <w:top w:val="single" w:sz="8" w:space="0" w:color="auto"/>
              <w:left w:val="nil"/>
              <w:bottom w:val="single" w:sz="8" w:space="0" w:color="auto"/>
              <w:right w:val="single" w:sz="8" w:space="0" w:color="auto"/>
            </w:tcBorders>
            <w:shd w:val="clear" w:color="auto" w:fill="D8D8D8" w:themeFill="background1" w:themeFillShade="D8"/>
            <w:tcMar>
              <w:top w:w="0" w:type="dxa"/>
              <w:left w:w="108" w:type="dxa"/>
              <w:bottom w:w="0" w:type="dxa"/>
              <w:right w:w="108" w:type="dxa"/>
            </w:tcMar>
            <w:vAlign w:val="center"/>
          </w:tcPr>
          <w:p w:rsidR="00E20B54" w:rsidRDefault="00733C9E">
            <w:pPr>
              <w:pStyle w:val="a3"/>
              <w:widowControl/>
              <w:spacing w:beforeAutospacing="0" w:afterAutospacing="0"/>
              <w:jc w:val="center"/>
              <w:textAlignment w:val="center"/>
              <w:rPr>
                <w:sz w:val="21"/>
                <w:szCs w:val="21"/>
              </w:rPr>
            </w:pPr>
            <w:r>
              <w:rPr>
                <w:rStyle w:val="a4"/>
                <w:b w:val="0"/>
                <w:sz w:val="18"/>
                <w:szCs w:val="18"/>
              </w:rPr>
              <w:t>变动时间</w:t>
            </w:r>
          </w:p>
        </w:tc>
        <w:tc>
          <w:tcPr>
            <w:tcW w:w="568" w:type="pct"/>
            <w:tcBorders>
              <w:top w:val="single" w:sz="8" w:space="0" w:color="auto"/>
              <w:left w:val="nil"/>
              <w:bottom w:val="single" w:sz="8" w:space="0" w:color="auto"/>
              <w:right w:val="single" w:sz="8" w:space="0" w:color="auto"/>
            </w:tcBorders>
            <w:shd w:val="clear" w:color="auto" w:fill="D8D8D8" w:themeFill="background1" w:themeFillShade="D8"/>
            <w:tcMar>
              <w:top w:w="0" w:type="dxa"/>
              <w:left w:w="108" w:type="dxa"/>
              <w:bottom w:w="0" w:type="dxa"/>
              <w:right w:w="108" w:type="dxa"/>
            </w:tcMar>
            <w:vAlign w:val="center"/>
          </w:tcPr>
          <w:p w:rsidR="00E20B54" w:rsidRDefault="00733C9E">
            <w:pPr>
              <w:pStyle w:val="a3"/>
              <w:widowControl/>
              <w:spacing w:beforeAutospacing="0" w:afterAutospacing="0"/>
              <w:jc w:val="center"/>
              <w:textAlignment w:val="center"/>
              <w:rPr>
                <w:sz w:val="21"/>
                <w:szCs w:val="21"/>
              </w:rPr>
            </w:pPr>
            <w:r>
              <w:rPr>
                <w:rStyle w:val="a4"/>
                <w:b w:val="0"/>
                <w:sz w:val="18"/>
                <w:szCs w:val="18"/>
              </w:rPr>
              <w:t>变动原因</w:t>
            </w:r>
          </w:p>
        </w:tc>
        <w:tc>
          <w:tcPr>
            <w:tcW w:w="896" w:type="pct"/>
            <w:tcBorders>
              <w:top w:val="single" w:sz="8" w:space="0" w:color="auto"/>
              <w:left w:val="nil"/>
              <w:bottom w:val="single" w:sz="8" w:space="0" w:color="auto"/>
              <w:right w:val="single" w:sz="8" w:space="0" w:color="auto"/>
            </w:tcBorders>
            <w:shd w:val="clear" w:color="auto" w:fill="D8D8D8" w:themeFill="background1" w:themeFillShade="D8"/>
            <w:tcMar>
              <w:top w:w="0" w:type="dxa"/>
              <w:left w:w="108" w:type="dxa"/>
              <w:bottom w:w="0" w:type="dxa"/>
              <w:right w:w="108" w:type="dxa"/>
            </w:tcMar>
            <w:vAlign w:val="center"/>
          </w:tcPr>
          <w:p w:rsidR="00E20B54" w:rsidRDefault="00733C9E">
            <w:pPr>
              <w:pStyle w:val="a3"/>
              <w:widowControl/>
              <w:spacing w:beforeAutospacing="0" w:afterAutospacing="0"/>
              <w:jc w:val="center"/>
              <w:textAlignment w:val="center"/>
              <w:rPr>
                <w:sz w:val="21"/>
                <w:szCs w:val="21"/>
              </w:rPr>
            </w:pPr>
            <w:r>
              <w:rPr>
                <w:rStyle w:val="a4"/>
                <w:b w:val="0"/>
                <w:sz w:val="18"/>
                <w:szCs w:val="18"/>
              </w:rPr>
              <w:t>持股比例（</w:t>
            </w:r>
            <w:r>
              <w:rPr>
                <w:rStyle w:val="a4"/>
                <w:b w:val="0"/>
                <w:sz w:val="18"/>
                <w:szCs w:val="18"/>
              </w:rPr>
              <w:t>%</w:t>
            </w:r>
            <w:r>
              <w:rPr>
                <w:rStyle w:val="a4"/>
                <w:b w:val="0"/>
                <w:sz w:val="18"/>
                <w:szCs w:val="18"/>
              </w:rPr>
              <w:t>）</w:t>
            </w:r>
          </w:p>
        </w:tc>
      </w:tr>
      <w:tr w:rsidR="00E20B54">
        <w:trPr>
          <w:trHeight w:val="284"/>
        </w:trPr>
        <w:tc>
          <w:tcPr>
            <w:tcW w:w="2965" w:type="pct"/>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tcPr>
          <w:p w:rsidR="00E20B54" w:rsidRDefault="00733C9E">
            <w:pPr>
              <w:pStyle w:val="a3"/>
              <w:widowControl/>
              <w:spacing w:beforeAutospacing="0" w:afterAutospacing="0"/>
              <w:jc w:val="both"/>
              <w:textAlignment w:val="center"/>
              <w:rPr>
                <w:sz w:val="21"/>
                <w:szCs w:val="21"/>
              </w:rPr>
            </w:pPr>
            <w:r>
              <w:rPr>
                <w:sz w:val="18"/>
                <w:szCs w:val="18"/>
              </w:rPr>
              <w:t>重庆天亿马信息技术有限公司</w:t>
            </w:r>
          </w:p>
        </w:tc>
        <w:tc>
          <w:tcPr>
            <w:tcW w:w="568" w:type="pct"/>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E20B54" w:rsidRDefault="00733C9E">
            <w:pPr>
              <w:pStyle w:val="a3"/>
              <w:widowControl/>
              <w:spacing w:beforeAutospacing="0" w:afterAutospacing="0"/>
              <w:jc w:val="right"/>
              <w:textAlignment w:val="center"/>
              <w:rPr>
                <w:sz w:val="21"/>
                <w:szCs w:val="21"/>
              </w:rPr>
            </w:pPr>
            <w:r>
              <w:rPr>
                <w:sz w:val="18"/>
                <w:szCs w:val="18"/>
              </w:rPr>
              <w:t>2025</w:t>
            </w:r>
            <w:r>
              <w:rPr>
                <w:sz w:val="18"/>
                <w:szCs w:val="18"/>
              </w:rPr>
              <w:t>年</w:t>
            </w:r>
          </w:p>
        </w:tc>
        <w:tc>
          <w:tcPr>
            <w:tcW w:w="568" w:type="pct"/>
            <w:tcBorders>
              <w:top w:val="nil"/>
              <w:left w:val="nil"/>
              <w:bottom w:val="single" w:sz="8" w:space="0" w:color="auto"/>
              <w:right w:val="single" w:sz="8" w:space="0" w:color="auto"/>
            </w:tcBorders>
            <w:shd w:val="clear" w:color="auto" w:fill="auto"/>
            <w:tcMar>
              <w:top w:w="0" w:type="dxa"/>
              <w:bottom w:w="0" w:type="dxa"/>
              <w:right w:w="108" w:type="dxa"/>
            </w:tcMar>
            <w:vAlign w:val="center"/>
          </w:tcPr>
          <w:p w:rsidR="00E20B54" w:rsidRDefault="00733C9E">
            <w:pPr>
              <w:widowControl/>
              <w:jc w:val="right"/>
              <w:rPr>
                <w:sz w:val="20"/>
                <w:szCs w:val="20"/>
              </w:rPr>
            </w:pPr>
            <w:r>
              <w:rPr>
                <w:sz w:val="20"/>
                <w:szCs w:val="20"/>
                <w:lang w:bidi="ar"/>
              </w:rPr>
              <w:t>注销</w:t>
            </w:r>
          </w:p>
        </w:tc>
        <w:tc>
          <w:tcPr>
            <w:tcW w:w="896" w:type="pct"/>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E20B54" w:rsidRDefault="00733C9E">
            <w:pPr>
              <w:widowControl/>
              <w:jc w:val="right"/>
              <w:rPr>
                <w:sz w:val="20"/>
                <w:szCs w:val="20"/>
              </w:rPr>
            </w:pPr>
            <w:r>
              <w:rPr>
                <w:sz w:val="20"/>
                <w:szCs w:val="20"/>
                <w:lang w:bidi="ar"/>
              </w:rPr>
              <w:t>51.00</w:t>
            </w:r>
          </w:p>
        </w:tc>
      </w:tr>
      <w:tr w:rsidR="00E20B54">
        <w:trPr>
          <w:trHeight w:val="284"/>
        </w:trPr>
        <w:tc>
          <w:tcPr>
            <w:tcW w:w="2965" w:type="pct"/>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tcPr>
          <w:p w:rsidR="00E20B54" w:rsidRDefault="00733C9E">
            <w:pPr>
              <w:pStyle w:val="a3"/>
              <w:widowControl/>
              <w:spacing w:beforeAutospacing="0" w:afterAutospacing="0"/>
              <w:jc w:val="both"/>
              <w:textAlignment w:val="center"/>
              <w:rPr>
                <w:sz w:val="21"/>
                <w:szCs w:val="21"/>
              </w:rPr>
            </w:pPr>
            <w:r>
              <w:rPr>
                <w:sz w:val="18"/>
                <w:szCs w:val="18"/>
              </w:rPr>
              <w:t>靖州亿道电力有限公司（曾用名：湖南亿道电力有限公司）</w:t>
            </w:r>
          </w:p>
        </w:tc>
        <w:tc>
          <w:tcPr>
            <w:tcW w:w="568" w:type="pct"/>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E20B54" w:rsidRDefault="00733C9E">
            <w:pPr>
              <w:pStyle w:val="a3"/>
              <w:widowControl/>
              <w:spacing w:beforeAutospacing="0" w:afterAutospacing="0"/>
              <w:jc w:val="right"/>
              <w:textAlignment w:val="center"/>
              <w:rPr>
                <w:sz w:val="21"/>
                <w:szCs w:val="21"/>
              </w:rPr>
            </w:pPr>
            <w:r>
              <w:rPr>
                <w:sz w:val="18"/>
                <w:szCs w:val="18"/>
              </w:rPr>
              <w:t>2025</w:t>
            </w:r>
            <w:r>
              <w:rPr>
                <w:sz w:val="18"/>
                <w:szCs w:val="18"/>
              </w:rPr>
              <w:t>年</w:t>
            </w:r>
          </w:p>
        </w:tc>
        <w:tc>
          <w:tcPr>
            <w:tcW w:w="568" w:type="pct"/>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E20B54" w:rsidRDefault="00733C9E">
            <w:pPr>
              <w:pStyle w:val="a3"/>
              <w:widowControl/>
              <w:spacing w:beforeAutospacing="0" w:afterAutospacing="0"/>
              <w:jc w:val="right"/>
              <w:textAlignment w:val="center"/>
              <w:rPr>
                <w:sz w:val="21"/>
                <w:szCs w:val="21"/>
              </w:rPr>
            </w:pPr>
            <w:r>
              <w:rPr>
                <w:sz w:val="18"/>
                <w:szCs w:val="18"/>
              </w:rPr>
              <w:t>股权转让</w:t>
            </w:r>
          </w:p>
        </w:tc>
        <w:tc>
          <w:tcPr>
            <w:tcW w:w="896" w:type="pct"/>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E20B54" w:rsidRDefault="00733C9E">
            <w:pPr>
              <w:pStyle w:val="a3"/>
              <w:widowControl/>
              <w:spacing w:beforeAutospacing="0" w:afterAutospacing="0"/>
              <w:jc w:val="right"/>
              <w:textAlignment w:val="center"/>
              <w:rPr>
                <w:sz w:val="21"/>
                <w:szCs w:val="21"/>
              </w:rPr>
            </w:pPr>
            <w:r>
              <w:rPr>
                <w:sz w:val="18"/>
                <w:szCs w:val="18"/>
              </w:rPr>
              <w:t>65.00</w:t>
            </w:r>
          </w:p>
        </w:tc>
      </w:tr>
      <w:tr w:rsidR="00E20B54">
        <w:trPr>
          <w:trHeight w:val="284"/>
        </w:trPr>
        <w:tc>
          <w:tcPr>
            <w:tcW w:w="2965" w:type="pct"/>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tcPr>
          <w:p w:rsidR="00E20B54" w:rsidRDefault="00733C9E">
            <w:pPr>
              <w:pStyle w:val="a3"/>
              <w:widowControl/>
              <w:spacing w:beforeAutospacing="0" w:afterAutospacing="0"/>
              <w:jc w:val="both"/>
              <w:textAlignment w:val="center"/>
              <w:rPr>
                <w:sz w:val="21"/>
                <w:szCs w:val="21"/>
              </w:rPr>
            </w:pPr>
            <w:r>
              <w:rPr>
                <w:sz w:val="18"/>
                <w:szCs w:val="18"/>
              </w:rPr>
              <w:t>惠州市天亿马信息技术有限公司</w:t>
            </w:r>
          </w:p>
        </w:tc>
        <w:tc>
          <w:tcPr>
            <w:tcW w:w="568" w:type="pct"/>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E20B54" w:rsidRDefault="00733C9E">
            <w:pPr>
              <w:pStyle w:val="a3"/>
              <w:widowControl/>
              <w:spacing w:beforeAutospacing="0" w:afterAutospacing="0"/>
              <w:jc w:val="right"/>
              <w:textAlignment w:val="center"/>
              <w:rPr>
                <w:sz w:val="21"/>
                <w:szCs w:val="21"/>
              </w:rPr>
            </w:pPr>
            <w:r>
              <w:rPr>
                <w:sz w:val="18"/>
                <w:szCs w:val="18"/>
              </w:rPr>
              <w:t>2025</w:t>
            </w:r>
            <w:r>
              <w:rPr>
                <w:sz w:val="18"/>
                <w:szCs w:val="18"/>
              </w:rPr>
              <w:t>年</w:t>
            </w:r>
          </w:p>
        </w:tc>
        <w:tc>
          <w:tcPr>
            <w:tcW w:w="568" w:type="pct"/>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E20B54" w:rsidRDefault="00733C9E">
            <w:pPr>
              <w:pStyle w:val="a3"/>
              <w:widowControl/>
              <w:spacing w:beforeAutospacing="0" w:afterAutospacing="0"/>
              <w:jc w:val="right"/>
              <w:textAlignment w:val="center"/>
              <w:rPr>
                <w:sz w:val="21"/>
                <w:szCs w:val="21"/>
              </w:rPr>
            </w:pPr>
            <w:r>
              <w:rPr>
                <w:sz w:val="18"/>
                <w:szCs w:val="18"/>
              </w:rPr>
              <w:t>注销</w:t>
            </w:r>
          </w:p>
        </w:tc>
        <w:tc>
          <w:tcPr>
            <w:tcW w:w="896" w:type="pct"/>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E20B54" w:rsidRDefault="00733C9E">
            <w:pPr>
              <w:pStyle w:val="a3"/>
              <w:widowControl/>
              <w:spacing w:beforeAutospacing="0" w:afterAutospacing="0"/>
              <w:jc w:val="right"/>
              <w:textAlignment w:val="center"/>
              <w:rPr>
                <w:sz w:val="21"/>
                <w:szCs w:val="21"/>
              </w:rPr>
            </w:pPr>
            <w:r>
              <w:rPr>
                <w:sz w:val="18"/>
                <w:szCs w:val="18"/>
              </w:rPr>
              <w:t>51.00</w:t>
            </w:r>
          </w:p>
        </w:tc>
      </w:tr>
    </w:tbl>
    <w:p w:rsidR="00E20B54" w:rsidRDefault="00733C9E">
      <w:pPr>
        <w:keepNext/>
        <w:keepLines/>
        <w:spacing w:before="300" w:after="300" w:line="280" w:lineRule="exact"/>
        <w:outlineLvl w:val="3"/>
        <w:rPr>
          <w:b/>
          <w:bCs/>
          <w:sz w:val="18"/>
          <w:szCs w:val="18"/>
        </w:rPr>
      </w:pPr>
      <w:bookmarkStart w:id="25" w:name="_Toc988914"/>
      <w:r>
        <w:rPr>
          <w:b/>
          <w:bCs/>
          <w:sz w:val="18"/>
          <w:szCs w:val="18"/>
        </w:rPr>
        <w:lastRenderedPageBreak/>
        <w:t>（</w:t>
      </w:r>
      <w:r>
        <w:rPr>
          <w:b/>
          <w:bCs/>
          <w:sz w:val="18"/>
          <w:szCs w:val="18"/>
        </w:rPr>
        <w:t>7</w:t>
      </w:r>
      <w:r>
        <w:rPr>
          <w:b/>
          <w:bCs/>
          <w:sz w:val="18"/>
          <w:szCs w:val="18"/>
        </w:rPr>
        <w:t>）</w:t>
      </w:r>
      <w:r>
        <w:rPr>
          <w:b/>
          <w:bCs/>
          <w:sz w:val="18"/>
          <w:szCs w:val="18"/>
        </w:rPr>
        <w:t xml:space="preserve"> </w:t>
      </w:r>
      <w:r>
        <w:rPr>
          <w:b/>
          <w:bCs/>
          <w:sz w:val="18"/>
          <w:szCs w:val="18"/>
        </w:rPr>
        <w:t>公司报告期内业务、产品或服务发生重大变化或调整有关情况</w:t>
      </w:r>
      <w:bookmarkEnd w:id="25"/>
    </w:p>
    <w:p w:rsidR="00E20B54" w:rsidRDefault="00733C9E">
      <w:pPr>
        <w:spacing w:before="100" w:after="100" w:line="240" w:lineRule="exact"/>
        <w:rPr>
          <w:sz w:val="18"/>
          <w:szCs w:val="18"/>
        </w:rPr>
      </w:pPr>
      <w:r>
        <w:rPr>
          <w:sz w:val="18"/>
          <w:szCs w:val="18"/>
        </w:rPr>
        <w:t>□</w:t>
      </w:r>
      <w:r>
        <w:rPr>
          <w:sz w:val="18"/>
          <w:szCs w:val="18"/>
        </w:rPr>
        <w:t>适用</w:t>
      </w:r>
      <w:r>
        <w:rPr>
          <w:sz w:val="18"/>
          <w:szCs w:val="18"/>
        </w:rPr>
        <w:t xml:space="preserve"> </w:t>
      </w:r>
      <w:r>
        <w:rPr>
          <w:sz w:val="18"/>
          <w:szCs w:val="18"/>
        </w:rPr>
        <w:sym w:font="Wingdings 2" w:char="F052"/>
      </w:r>
      <w:r>
        <w:rPr>
          <w:sz w:val="18"/>
          <w:szCs w:val="18"/>
        </w:rPr>
        <w:t>不适用</w:t>
      </w:r>
    </w:p>
    <w:p w:rsidR="00E20B54" w:rsidRDefault="00733C9E">
      <w:pPr>
        <w:keepNext/>
        <w:keepLines/>
        <w:spacing w:before="300" w:after="300" w:line="280" w:lineRule="exact"/>
        <w:outlineLvl w:val="3"/>
        <w:rPr>
          <w:b/>
          <w:bCs/>
          <w:sz w:val="18"/>
          <w:szCs w:val="18"/>
        </w:rPr>
      </w:pPr>
      <w:bookmarkStart w:id="26" w:name="_Toc988915"/>
      <w:r>
        <w:rPr>
          <w:b/>
          <w:bCs/>
          <w:sz w:val="18"/>
          <w:szCs w:val="18"/>
        </w:rPr>
        <w:t>（</w:t>
      </w:r>
      <w:r>
        <w:rPr>
          <w:b/>
          <w:bCs/>
          <w:sz w:val="18"/>
          <w:szCs w:val="18"/>
        </w:rPr>
        <w:t>8</w:t>
      </w:r>
      <w:r>
        <w:rPr>
          <w:b/>
          <w:bCs/>
          <w:sz w:val="18"/>
          <w:szCs w:val="18"/>
        </w:rPr>
        <w:t>）</w:t>
      </w:r>
      <w:r>
        <w:rPr>
          <w:b/>
          <w:bCs/>
          <w:sz w:val="18"/>
          <w:szCs w:val="18"/>
        </w:rPr>
        <w:t xml:space="preserve"> </w:t>
      </w:r>
      <w:r>
        <w:rPr>
          <w:b/>
          <w:bCs/>
          <w:sz w:val="18"/>
          <w:szCs w:val="18"/>
        </w:rPr>
        <w:t>主要销售客户和主要供应商情况</w:t>
      </w:r>
      <w:bookmarkEnd w:id="26"/>
    </w:p>
    <w:p w:rsidR="00E20B54" w:rsidRDefault="00733C9E">
      <w:pPr>
        <w:spacing w:before="40" w:after="40" w:line="240" w:lineRule="exact"/>
        <w:rPr>
          <w:sz w:val="18"/>
          <w:szCs w:val="18"/>
        </w:rPr>
      </w:pPr>
      <w:r>
        <w:rPr>
          <w:sz w:val="18"/>
          <w:szCs w:val="18"/>
        </w:rPr>
        <w:t>公司主要销售客户情况</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4820"/>
        <w:gridCol w:w="4819"/>
      </w:tblGrid>
      <w:tr w:rsidR="00E20B54">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前五名客户合计销售金额（元）</w:t>
            </w:r>
          </w:p>
        </w:tc>
        <w:tc>
          <w:tcPr>
            <w:tcW w:w="482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252,819,864.64</w:t>
            </w:r>
          </w:p>
        </w:tc>
      </w:tr>
      <w:tr w:rsidR="00E20B54">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前五名客户合计销售金额占年度销售总额比例</w:t>
            </w:r>
          </w:p>
        </w:tc>
        <w:tc>
          <w:tcPr>
            <w:tcW w:w="482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53.00%</w:t>
            </w:r>
          </w:p>
        </w:tc>
      </w:tr>
      <w:tr w:rsidR="00E20B54">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前五名客户销售额中关联方销售额占年度销售总额比例</w:t>
            </w:r>
          </w:p>
        </w:tc>
        <w:tc>
          <w:tcPr>
            <w:tcW w:w="482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0.00%</w:t>
            </w:r>
          </w:p>
        </w:tc>
      </w:tr>
    </w:tbl>
    <w:p w:rsidR="00E20B54" w:rsidRDefault="00733C9E">
      <w:pPr>
        <w:spacing w:before="100" w:after="100" w:line="240" w:lineRule="exact"/>
        <w:rPr>
          <w:sz w:val="18"/>
          <w:szCs w:val="18"/>
        </w:rPr>
      </w:pPr>
      <w:r>
        <w:rPr>
          <w:sz w:val="18"/>
          <w:szCs w:val="18"/>
        </w:rPr>
        <w:t>公司前</w:t>
      </w:r>
      <w:r>
        <w:rPr>
          <w:sz w:val="18"/>
          <w:szCs w:val="18"/>
        </w:rPr>
        <w:t>5</w:t>
      </w:r>
      <w:r>
        <w:rPr>
          <w:sz w:val="18"/>
          <w:szCs w:val="18"/>
        </w:rPr>
        <w:t>大客户资料</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2409"/>
        <w:gridCol w:w="2410"/>
        <w:gridCol w:w="2410"/>
        <w:gridCol w:w="2410"/>
      </w:tblGrid>
      <w:tr w:rsidR="00E20B54">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序号</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客户名称</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销售额（元）</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占年度销售总额比例</w:t>
            </w:r>
          </w:p>
        </w:tc>
      </w:tr>
      <w:tr w:rsidR="00E20B54">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1</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第一名</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135,571,678.40</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28.42%</w:t>
            </w:r>
          </w:p>
        </w:tc>
      </w:tr>
      <w:tr w:rsidR="00E20B54">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2</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第二名</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52,098,738.63</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10.92%</w:t>
            </w:r>
          </w:p>
        </w:tc>
      </w:tr>
      <w:tr w:rsidR="00E20B54">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3</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第三名</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29,551,142.11</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6.20%</w:t>
            </w:r>
          </w:p>
        </w:tc>
      </w:tr>
      <w:tr w:rsidR="00E20B54">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4</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第四名</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21,316,384.05</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4.47%</w:t>
            </w:r>
          </w:p>
        </w:tc>
      </w:tr>
      <w:tr w:rsidR="00E20B54">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5</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第五名</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14,281,921.45</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2.99%</w:t>
            </w:r>
          </w:p>
        </w:tc>
      </w:tr>
      <w:tr w:rsidR="00E20B54">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合计</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252,819,864.64</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53.00%</w:t>
            </w:r>
          </w:p>
        </w:tc>
      </w:tr>
    </w:tbl>
    <w:p w:rsidR="00E20B54" w:rsidRDefault="00733C9E">
      <w:pPr>
        <w:spacing w:before="100" w:after="100" w:line="240" w:lineRule="exact"/>
        <w:rPr>
          <w:sz w:val="18"/>
          <w:szCs w:val="18"/>
        </w:rPr>
      </w:pPr>
      <w:r>
        <w:rPr>
          <w:sz w:val="18"/>
          <w:szCs w:val="18"/>
        </w:rPr>
        <w:t>主要客户其他情况说明</w:t>
      </w:r>
    </w:p>
    <w:p w:rsidR="00E20B54" w:rsidRDefault="00733C9E">
      <w:pPr>
        <w:spacing w:before="100" w:after="100" w:line="240" w:lineRule="exact"/>
        <w:rPr>
          <w:sz w:val="18"/>
          <w:szCs w:val="18"/>
        </w:rPr>
      </w:pPr>
      <w:r>
        <w:rPr>
          <w:sz w:val="18"/>
          <w:szCs w:val="18"/>
        </w:rPr>
        <w:t>□</w:t>
      </w:r>
      <w:r>
        <w:rPr>
          <w:sz w:val="18"/>
          <w:szCs w:val="18"/>
        </w:rPr>
        <w:t>适用</w:t>
      </w:r>
      <w:r>
        <w:rPr>
          <w:sz w:val="18"/>
          <w:szCs w:val="18"/>
        </w:rPr>
        <w:t xml:space="preserve"> </w:t>
      </w:r>
      <w:r>
        <w:rPr>
          <w:sz w:val="18"/>
          <w:szCs w:val="18"/>
        </w:rPr>
        <w:sym w:font="Wingdings 2" w:char="F052"/>
      </w:r>
      <w:r>
        <w:rPr>
          <w:sz w:val="18"/>
          <w:szCs w:val="18"/>
        </w:rPr>
        <w:t>不适用</w:t>
      </w:r>
    </w:p>
    <w:p w:rsidR="00E20B54" w:rsidRDefault="00733C9E">
      <w:pPr>
        <w:spacing w:before="40" w:after="40" w:line="240" w:lineRule="exact"/>
        <w:rPr>
          <w:sz w:val="18"/>
          <w:szCs w:val="18"/>
        </w:rPr>
      </w:pPr>
      <w:r>
        <w:rPr>
          <w:sz w:val="18"/>
          <w:szCs w:val="18"/>
        </w:rPr>
        <w:t>公司主要供应商情况</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4820"/>
        <w:gridCol w:w="4819"/>
      </w:tblGrid>
      <w:tr w:rsidR="00E20B54">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前五名供应商合计采购金额（元）</w:t>
            </w:r>
          </w:p>
        </w:tc>
        <w:tc>
          <w:tcPr>
            <w:tcW w:w="482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186,626,735.41</w:t>
            </w:r>
          </w:p>
        </w:tc>
      </w:tr>
      <w:tr w:rsidR="00E20B54">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前五名供应商合计采购金额占年度采购总额比例</w:t>
            </w:r>
          </w:p>
        </w:tc>
        <w:tc>
          <w:tcPr>
            <w:tcW w:w="482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47.28%</w:t>
            </w:r>
          </w:p>
        </w:tc>
      </w:tr>
      <w:tr w:rsidR="00E20B54">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前五名供应商采购额中关联方采购额占年度采购总额比例</w:t>
            </w:r>
          </w:p>
        </w:tc>
        <w:tc>
          <w:tcPr>
            <w:tcW w:w="482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0.00%</w:t>
            </w:r>
          </w:p>
        </w:tc>
      </w:tr>
    </w:tbl>
    <w:p w:rsidR="00E20B54" w:rsidRDefault="00733C9E">
      <w:pPr>
        <w:spacing w:before="40" w:after="40" w:line="240" w:lineRule="exact"/>
        <w:rPr>
          <w:sz w:val="18"/>
          <w:szCs w:val="18"/>
        </w:rPr>
      </w:pPr>
      <w:r>
        <w:rPr>
          <w:sz w:val="18"/>
          <w:szCs w:val="18"/>
        </w:rPr>
        <w:t>公司前</w:t>
      </w:r>
      <w:r>
        <w:rPr>
          <w:sz w:val="18"/>
          <w:szCs w:val="18"/>
        </w:rPr>
        <w:t>5</w:t>
      </w:r>
      <w:r>
        <w:rPr>
          <w:sz w:val="18"/>
          <w:szCs w:val="18"/>
        </w:rPr>
        <w:t>名供应商资料</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2409"/>
        <w:gridCol w:w="2410"/>
        <w:gridCol w:w="2410"/>
        <w:gridCol w:w="2410"/>
      </w:tblGrid>
      <w:tr w:rsidR="00E20B54">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序号</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供应商名称</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采购额（元）</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占年度采购总额比例</w:t>
            </w:r>
          </w:p>
        </w:tc>
      </w:tr>
      <w:tr w:rsidR="00E20B54">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1</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第一名</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68,728,735.72</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17.41%</w:t>
            </w:r>
          </w:p>
        </w:tc>
      </w:tr>
      <w:tr w:rsidR="00E20B54">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2</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第二名</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37,723,511.80</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9.56%</w:t>
            </w:r>
          </w:p>
        </w:tc>
      </w:tr>
      <w:tr w:rsidR="00E20B54">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3</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第三名</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37,380,530.96</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9.47%</w:t>
            </w:r>
          </w:p>
        </w:tc>
      </w:tr>
      <w:tr w:rsidR="00E20B54">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4</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第四名</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22,182,536.03</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5.62%</w:t>
            </w:r>
          </w:p>
        </w:tc>
      </w:tr>
      <w:tr w:rsidR="00E20B54">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5</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第五名</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20,611,420.90</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5.22%</w:t>
            </w:r>
          </w:p>
        </w:tc>
      </w:tr>
      <w:tr w:rsidR="00E20B54">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合计</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186,626,735.41</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47.28%</w:t>
            </w:r>
          </w:p>
        </w:tc>
      </w:tr>
    </w:tbl>
    <w:p w:rsidR="00E20B54" w:rsidRDefault="00733C9E">
      <w:pPr>
        <w:spacing w:before="100" w:after="100" w:line="240" w:lineRule="exact"/>
        <w:rPr>
          <w:sz w:val="18"/>
          <w:szCs w:val="18"/>
        </w:rPr>
      </w:pPr>
      <w:r>
        <w:rPr>
          <w:sz w:val="18"/>
          <w:szCs w:val="18"/>
        </w:rPr>
        <w:t>主要供应商其他情况说明</w:t>
      </w:r>
    </w:p>
    <w:p w:rsidR="00E20B54" w:rsidRDefault="00733C9E">
      <w:pPr>
        <w:spacing w:before="100" w:after="100" w:line="240" w:lineRule="exact"/>
        <w:rPr>
          <w:sz w:val="18"/>
          <w:szCs w:val="18"/>
        </w:rPr>
      </w:pPr>
      <w:r>
        <w:rPr>
          <w:sz w:val="18"/>
          <w:szCs w:val="18"/>
        </w:rPr>
        <w:t>□</w:t>
      </w:r>
      <w:r>
        <w:rPr>
          <w:sz w:val="18"/>
          <w:szCs w:val="18"/>
        </w:rPr>
        <w:t>适用</w:t>
      </w:r>
      <w:r>
        <w:rPr>
          <w:sz w:val="18"/>
          <w:szCs w:val="18"/>
        </w:rPr>
        <w:t xml:space="preserve"> </w:t>
      </w:r>
      <w:r>
        <w:rPr>
          <w:sz w:val="18"/>
          <w:szCs w:val="18"/>
        </w:rPr>
        <w:sym w:font="Wingdings 2" w:char="F052"/>
      </w:r>
      <w:r>
        <w:rPr>
          <w:sz w:val="18"/>
          <w:szCs w:val="18"/>
        </w:rPr>
        <w:t>不适用</w:t>
      </w:r>
    </w:p>
    <w:p w:rsidR="00E20B54" w:rsidRDefault="00733C9E">
      <w:pPr>
        <w:spacing w:before="40" w:after="40" w:line="240" w:lineRule="exact"/>
        <w:rPr>
          <w:sz w:val="18"/>
          <w:szCs w:val="18"/>
        </w:rPr>
      </w:pPr>
      <w:r>
        <w:rPr>
          <w:sz w:val="18"/>
          <w:szCs w:val="18"/>
        </w:rPr>
        <w:t>报告期内公司贸易业务收入占营业收入比例超过</w:t>
      </w:r>
      <w:r>
        <w:rPr>
          <w:sz w:val="18"/>
          <w:szCs w:val="18"/>
        </w:rPr>
        <w:t>10%</w:t>
      </w:r>
    </w:p>
    <w:p w:rsidR="00E20B54" w:rsidRDefault="00733C9E">
      <w:pPr>
        <w:spacing w:before="100" w:after="100" w:line="240" w:lineRule="exact"/>
        <w:rPr>
          <w:sz w:val="18"/>
          <w:szCs w:val="18"/>
        </w:rPr>
      </w:pPr>
      <w:r>
        <w:rPr>
          <w:sz w:val="18"/>
          <w:szCs w:val="18"/>
        </w:rPr>
        <w:t>□</w:t>
      </w:r>
      <w:r>
        <w:rPr>
          <w:sz w:val="18"/>
          <w:szCs w:val="18"/>
        </w:rPr>
        <w:t>适用</w:t>
      </w:r>
      <w:r>
        <w:rPr>
          <w:sz w:val="18"/>
          <w:szCs w:val="18"/>
        </w:rPr>
        <w:t xml:space="preserve"> </w:t>
      </w:r>
      <w:r>
        <w:rPr>
          <w:sz w:val="18"/>
          <w:szCs w:val="18"/>
        </w:rPr>
        <w:sym w:font="Wingdings 2" w:char="F052"/>
      </w:r>
      <w:r>
        <w:rPr>
          <w:sz w:val="18"/>
          <w:szCs w:val="18"/>
        </w:rPr>
        <w:t>不适用</w:t>
      </w:r>
    </w:p>
    <w:p w:rsidR="00E20B54" w:rsidRDefault="00733C9E">
      <w:pPr>
        <w:pStyle w:val="3"/>
        <w:spacing w:line="280" w:lineRule="exact"/>
        <w:jc w:val="left"/>
        <w:rPr>
          <w:b/>
          <w:bCs/>
        </w:rPr>
      </w:pPr>
      <w:bookmarkStart w:id="27" w:name="_Toc988916"/>
      <w:r>
        <w:rPr>
          <w:b/>
          <w:bCs/>
        </w:rPr>
        <w:t>3</w:t>
      </w:r>
      <w:r>
        <w:rPr>
          <w:b/>
          <w:bCs/>
        </w:rPr>
        <w:t>、费用</w:t>
      </w:r>
      <w:bookmarkEnd w:id="27"/>
    </w:p>
    <w:p w:rsidR="00E20B54" w:rsidRDefault="00733C9E">
      <w:pPr>
        <w:spacing w:before="40" w:after="40" w:line="240" w:lineRule="exact"/>
        <w:jc w:val="right"/>
        <w:rPr>
          <w:sz w:val="18"/>
          <w:szCs w:val="18"/>
        </w:rPr>
      </w:pPr>
      <w:r>
        <w:rPr>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927"/>
        <w:gridCol w:w="1928"/>
        <w:gridCol w:w="1928"/>
        <w:gridCol w:w="1928"/>
        <w:gridCol w:w="1928"/>
      </w:tblGrid>
      <w:tr w:rsidR="00E20B54">
        <w:trPr>
          <w:trHeight w:val="240"/>
          <w:tblHeader/>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2025</w:t>
            </w:r>
            <w:r>
              <w:rPr>
                <w:sz w:val="18"/>
                <w:szCs w:val="18"/>
              </w:rPr>
              <w:t>年</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2024</w:t>
            </w:r>
            <w:r>
              <w:rPr>
                <w:sz w:val="18"/>
                <w:szCs w:val="18"/>
              </w:rPr>
              <w:t>年</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同比增减</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重大变动说明</w:t>
            </w:r>
          </w:p>
        </w:tc>
      </w:tr>
      <w:tr w:rsidR="00E20B54">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销售费用</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22,379,652.95</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23,606,686.47</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-5.20%</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rPr>
                <w:sz w:val="18"/>
                <w:szCs w:val="18"/>
              </w:rPr>
            </w:pPr>
          </w:p>
        </w:tc>
      </w:tr>
      <w:tr w:rsidR="00E20B54">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管理费用</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39,064,953.77</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31,237,039.63</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25.06%</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rPr>
                <w:sz w:val="18"/>
                <w:szCs w:val="18"/>
              </w:rPr>
            </w:pPr>
          </w:p>
        </w:tc>
      </w:tr>
      <w:tr w:rsidR="00E20B54">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lastRenderedPageBreak/>
              <w:t>财务费用</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11,309,022.38</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-5,143,957.18</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319.85%</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主要系闲置资金进行现金管理减少导致理财收入减少，同时算力服务、新能源电力等项目融资支出的利息增加所致。</w:t>
            </w:r>
          </w:p>
        </w:tc>
      </w:tr>
      <w:tr w:rsidR="00E20B54">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研发费用</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17,278,343.33</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17,311,262.53</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-0.19%</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rPr>
                <w:sz w:val="18"/>
                <w:szCs w:val="18"/>
              </w:rPr>
            </w:pPr>
          </w:p>
        </w:tc>
      </w:tr>
    </w:tbl>
    <w:p w:rsidR="00E20B54" w:rsidRDefault="00733C9E">
      <w:pPr>
        <w:pStyle w:val="3"/>
        <w:spacing w:line="280" w:lineRule="exact"/>
        <w:jc w:val="left"/>
        <w:rPr>
          <w:b/>
          <w:bCs/>
        </w:rPr>
      </w:pPr>
      <w:bookmarkStart w:id="28" w:name="_Toc988917"/>
      <w:r>
        <w:rPr>
          <w:b/>
          <w:bCs/>
        </w:rPr>
        <w:t>4</w:t>
      </w:r>
      <w:r>
        <w:rPr>
          <w:b/>
          <w:bCs/>
        </w:rPr>
        <w:t>、研发投入</w:t>
      </w:r>
      <w:bookmarkEnd w:id="28"/>
    </w:p>
    <w:p w:rsidR="00E20B54" w:rsidRDefault="00733C9E">
      <w:pPr>
        <w:spacing w:line="240" w:lineRule="exact"/>
        <w:rPr>
          <w:sz w:val="18"/>
          <w:szCs w:val="18"/>
        </w:rPr>
      </w:pPr>
      <w:r>
        <w:rPr>
          <w:sz w:val="18"/>
          <w:szCs w:val="18"/>
        </w:rPr>
        <w:sym w:font="Wingdings 2" w:char="F052"/>
      </w:r>
      <w:r>
        <w:rPr>
          <w:sz w:val="18"/>
          <w:szCs w:val="18"/>
        </w:rPr>
        <w:t>适用</w:t>
      </w:r>
      <w:r>
        <w:rPr>
          <w:sz w:val="18"/>
          <w:szCs w:val="18"/>
        </w:rPr>
        <w:t xml:space="preserve"> □</w:t>
      </w:r>
      <w:r>
        <w:rPr>
          <w:sz w:val="18"/>
          <w:szCs w:val="18"/>
        </w:rPr>
        <w:t>不适用</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927"/>
        <w:gridCol w:w="1928"/>
        <w:gridCol w:w="1928"/>
        <w:gridCol w:w="1928"/>
        <w:gridCol w:w="1928"/>
      </w:tblGrid>
      <w:tr w:rsidR="00E20B54">
        <w:trPr>
          <w:trHeight w:val="240"/>
          <w:tblHeader/>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主要研发项目名称</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项目目的</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项目进展</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拟达到的目标</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预计对公司未来发展的影响</w:t>
            </w:r>
          </w:p>
        </w:tc>
      </w:tr>
      <w:tr w:rsidR="00E20B54">
        <w:trPr>
          <w:trHeight w:val="240"/>
        </w:trPr>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接地网腐蚀诊断在线监测平台</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综合运用先进的传感器技术、物联网通信技术、大数据分析以及人工智能算法，实现对接地网腐蚀状态的实时、在线、精准监测。通过在接地网关键部位部署智能传感器，实时采集腐蚀相关参数，借助物联网将数据传输至云端管理平台，利用大数据分析和人工智能算法对数据进行深度挖掘和分析，准确评估接地网腐蚀程度，预测腐蚀发展趋势，及时发出预警信息。</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研发阶段</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w:t>
            </w:r>
            <w:r>
              <w:rPr>
                <w:sz w:val="18"/>
                <w:szCs w:val="18"/>
              </w:rPr>
              <w:t>1</w:t>
            </w:r>
            <w:r>
              <w:rPr>
                <w:sz w:val="18"/>
                <w:szCs w:val="18"/>
              </w:rPr>
              <w:t>）数据管理：实现接地网从建设时期的施工验收、竣工图纸到运维阶段的巡检记录、故障诊断以及整改图纸、方案和记录的全寿命周期的数据管理。</w:t>
            </w:r>
          </w:p>
          <w:p w:rsidR="00E20B54" w:rsidRDefault="00733C9E">
            <w:pPr>
              <w:spacing w:line="240" w:lineRule="exact"/>
              <w:rPr>
                <w:sz w:val="18"/>
                <w:szCs w:val="18"/>
              </w:rPr>
            </w:pPr>
            <w:r>
              <w:rPr>
                <w:sz w:val="18"/>
                <w:szCs w:val="18"/>
              </w:rPr>
              <w:t>（</w:t>
            </w:r>
            <w:r>
              <w:rPr>
                <w:sz w:val="18"/>
                <w:szCs w:val="18"/>
              </w:rPr>
              <w:t>2</w:t>
            </w:r>
            <w:r>
              <w:rPr>
                <w:sz w:val="18"/>
                <w:szCs w:val="18"/>
              </w:rPr>
              <w:t>）业务管理：平台根据接地网的腐蚀程度自动生成巡检计划，支持巡检任务的创建、分配、执行和结果记录，根据巡检结果自动关联维修工单，同时根据诊断结果自动生成整改图纸和方案。</w:t>
            </w:r>
          </w:p>
          <w:p w:rsidR="00E20B54" w:rsidRDefault="00733C9E">
            <w:pPr>
              <w:spacing w:line="240" w:lineRule="exact"/>
              <w:rPr>
                <w:sz w:val="18"/>
                <w:szCs w:val="18"/>
              </w:rPr>
            </w:pPr>
            <w:r>
              <w:rPr>
                <w:sz w:val="18"/>
                <w:szCs w:val="18"/>
              </w:rPr>
              <w:t>（</w:t>
            </w:r>
            <w:r>
              <w:rPr>
                <w:sz w:val="18"/>
                <w:szCs w:val="18"/>
              </w:rPr>
              <w:t>3</w:t>
            </w:r>
            <w:r>
              <w:rPr>
                <w:sz w:val="18"/>
                <w:szCs w:val="18"/>
              </w:rPr>
              <w:t>）健康管理：通过定期巡检的可视化结果，实现接地网的健康监测和故障预警，自动分析巡检数据。</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提升企业在腐蚀监测领域的科技含量和创新能力，增强市场竞争力。</w:t>
            </w:r>
          </w:p>
        </w:tc>
      </w:tr>
      <w:tr w:rsidR="00E20B54">
        <w:trPr>
          <w:trHeight w:val="240"/>
        </w:trPr>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工学人才培养模式支撑平台</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我国高等教育虽已形成规模优势，但部分高校工科专业设置与产业需求脱节，学生创新能力和解决复杂问题的能力亟待提升。平台将通过优化课程体系、强化实践教学、促进跨学科协作，为培养适应未来科技与产业发展需求的高素质工程人才提供系统性支撑。</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研发阶段</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w:t>
            </w:r>
            <w:r>
              <w:rPr>
                <w:sz w:val="18"/>
                <w:szCs w:val="18"/>
              </w:rPr>
              <w:t>1</w:t>
            </w:r>
            <w:r>
              <w:rPr>
                <w:sz w:val="18"/>
                <w:szCs w:val="18"/>
              </w:rPr>
              <w:t>）构建一个产学研深度融合、跨学科协同育人的创新生态系统。</w:t>
            </w:r>
          </w:p>
          <w:p w:rsidR="00E20B54" w:rsidRDefault="00733C9E">
            <w:pPr>
              <w:spacing w:line="240" w:lineRule="exact"/>
              <w:rPr>
                <w:sz w:val="18"/>
                <w:szCs w:val="18"/>
              </w:rPr>
            </w:pPr>
            <w:r>
              <w:rPr>
                <w:sz w:val="18"/>
                <w:szCs w:val="18"/>
              </w:rPr>
              <w:t>（</w:t>
            </w:r>
            <w:r>
              <w:rPr>
                <w:sz w:val="18"/>
                <w:szCs w:val="18"/>
              </w:rPr>
              <w:t>2</w:t>
            </w:r>
            <w:r>
              <w:rPr>
                <w:sz w:val="18"/>
                <w:szCs w:val="18"/>
              </w:rPr>
              <w:t>）通过整合高校学科资源与企业实践场景，打造模块化、可定制的课程体系，将行业前沿技术、工程伦理与创新能力培养融入教学全流程，使学生具备解决复杂工程问题的核心能力。</w:t>
            </w:r>
          </w:p>
          <w:p w:rsidR="00E20B54" w:rsidRDefault="00733C9E">
            <w:pPr>
              <w:spacing w:line="240" w:lineRule="exact"/>
              <w:rPr>
                <w:sz w:val="18"/>
                <w:szCs w:val="18"/>
              </w:rPr>
            </w:pPr>
            <w:r>
              <w:rPr>
                <w:sz w:val="18"/>
                <w:szCs w:val="18"/>
              </w:rPr>
              <w:t>（</w:t>
            </w:r>
            <w:r>
              <w:rPr>
                <w:sz w:val="18"/>
                <w:szCs w:val="18"/>
              </w:rPr>
              <w:t>3</w:t>
            </w:r>
            <w:r>
              <w:rPr>
                <w:sz w:val="18"/>
                <w:szCs w:val="18"/>
              </w:rPr>
              <w:t>）通过动态对接产业技术变革，平台将逐步建成集课程开发、实践教学、科研转化于一体的支撑体系，确保人才培养与</w:t>
            </w:r>
            <w:r>
              <w:rPr>
                <w:sz w:val="18"/>
                <w:szCs w:val="18"/>
              </w:rPr>
              <w:lastRenderedPageBreak/>
              <w:t>新兴产业发展同向同行，最终提升工程教育的竞争力与产业适配度。</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lastRenderedPageBreak/>
              <w:t>为公司进入教育科技领域提供了契机，拓展教育服务市场，开辟新的收入来源渠道。</w:t>
            </w:r>
          </w:p>
        </w:tc>
      </w:tr>
      <w:tr w:rsidR="00E20B54">
        <w:trPr>
          <w:trHeight w:val="240"/>
        </w:trPr>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lastRenderedPageBreak/>
              <w:t>智慧云脑平台</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通过三大技术目标实现算力资源的全局优化与智能调度，构建算力网络集群的统一调度框架、创新异构算力抽象与动态匹配机制、开发全局优化调度引擎，为人工智能、元宇宙、工业互联网等新兴产业提供低成本、高可靠、低延迟的算力基础设施支撑，助力在算力竞争中构建技术壁垒，推动数字经济高质量发展。</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研发阶段</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w:t>
            </w:r>
            <w:r>
              <w:rPr>
                <w:sz w:val="18"/>
                <w:szCs w:val="18"/>
              </w:rPr>
              <w:t>1</w:t>
            </w:r>
            <w:r>
              <w:rPr>
                <w:sz w:val="18"/>
                <w:szCs w:val="18"/>
              </w:rPr>
              <w:t>）构建算力网络集群的统一调度框架：打破数据孤岛，建立覆盖多地域、多层级（中心云</w:t>
            </w:r>
            <w:r>
              <w:rPr>
                <w:sz w:val="18"/>
                <w:szCs w:val="18"/>
              </w:rPr>
              <w:t>-</w:t>
            </w:r>
            <w:r>
              <w:rPr>
                <w:sz w:val="18"/>
                <w:szCs w:val="18"/>
              </w:rPr>
              <w:t>边缘节点</w:t>
            </w:r>
            <w:r>
              <w:rPr>
                <w:sz w:val="18"/>
                <w:szCs w:val="18"/>
              </w:rPr>
              <w:t>-</w:t>
            </w:r>
            <w:r>
              <w:rPr>
                <w:sz w:val="18"/>
                <w:szCs w:val="18"/>
              </w:rPr>
              <w:t>终端设备）的算力资源池，实现算力按需流动与弹性扩展，支撑万亿级智能设备接入下的算力洪流；</w:t>
            </w:r>
          </w:p>
          <w:p w:rsidR="00E20B54" w:rsidRDefault="00733C9E">
            <w:pPr>
              <w:spacing w:line="240" w:lineRule="exact"/>
              <w:rPr>
                <w:sz w:val="18"/>
                <w:szCs w:val="18"/>
              </w:rPr>
            </w:pPr>
            <w:r>
              <w:rPr>
                <w:sz w:val="18"/>
                <w:szCs w:val="18"/>
              </w:rPr>
              <w:t>（</w:t>
            </w:r>
            <w:r>
              <w:rPr>
                <w:sz w:val="18"/>
                <w:szCs w:val="18"/>
              </w:rPr>
              <w:t>2</w:t>
            </w:r>
            <w:r>
              <w:rPr>
                <w:sz w:val="18"/>
                <w:szCs w:val="18"/>
              </w:rPr>
              <w:t>）创新异构算力抽象与动态匹配机制：设计通用算力描述模型，将异构算力解耦为可量化的</w:t>
            </w:r>
            <w:r>
              <w:rPr>
                <w:sz w:val="18"/>
                <w:szCs w:val="18"/>
              </w:rPr>
              <w:t>“</w:t>
            </w:r>
            <w:r>
              <w:rPr>
                <w:sz w:val="18"/>
                <w:szCs w:val="18"/>
              </w:rPr>
              <w:t>算力单元</w:t>
            </w:r>
            <w:r>
              <w:rPr>
                <w:sz w:val="18"/>
                <w:szCs w:val="18"/>
              </w:rPr>
              <w:t>”</w:t>
            </w:r>
            <w:r>
              <w:rPr>
                <w:sz w:val="18"/>
                <w:szCs w:val="18"/>
              </w:rPr>
              <w:t>，结合任务特征与资源状态（如负载、网络延迟、能耗），实现算力与任务的毫秒级精准匹配；</w:t>
            </w:r>
          </w:p>
          <w:p w:rsidR="00E20B54" w:rsidRDefault="00733C9E">
            <w:pPr>
              <w:spacing w:line="240" w:lineRule="exact"/>
              <w:rPr>
                <w:sz w:val="18"/>
                <w:szCs w:val="18"/>
              </w:rPr>
            </w:pPr>
            <w:r>
              <w:rPr>
                <w:sz w:val="18"/>
                <w:szCs w:val="18"/>
              </w:rPr>
              <w:t>（</w:t>
            </w:r>
            <w:r>
              <w:rPr>
                <w:sz w:val="18"/>
                <w:szCs w:val="18"/>
              </w:rPr>
              <w:t>3</w:t>
            </w:r>
            <w:r>
              <w:rPr>
                <w:sz w:val="18"/>
                <w:szCs w:val="18"/>
              </w:rPr>
              <w:t>）开发全局优化调度引擎：融合强化学习与多目标优化算法，构建</w:t>
            </w:r>
            <w:r>
              <w:rPr>
                <w:sz w:val="18"/>
                <w:szCs w:val="18"/>
              </w:rPr>
              <w:t>“</w:t>
            </w:r>
            <w:r>
              <w:rPr>
                <w:sz w:val="18"/>
                <w:szCs w:val="18"/>
              </w:rPr>
              <w:t>成本</w:t>
            </w:r>
            <w:r>
              <w:rPr>
                <w:sz w:val="18"/>
                <w:szCs w:val="18"/>
              </w:rPr>
              <w:t>-</w:t>
            </w:r>
            <w:r>
              <w:rPr>
                <w:sz w:val="18"/>
                <w:szCs w:val="18"/>
              </w:rPr>
              <w:t>时延</w:t>
            </w:r>
            <w:r>
              <w:rPr>
                <w:sz w:val="18"/>
                <w:szCs w:val="18"/>
              </w:rPr>
              <w:t>-</w:t>
            </w:r>
            <w:r>
              <w:rPr>
                <w:sz w:val="18"/>
                <w:szCs w:val="18"/>
              </w:rPr>
              <w:t>能效</w:t>
            </w:r>
            <w:r>
              <w:rPr>
                <w:sz w:val="18"/>
                <w:szCs w:val="18"/>
              </w:rPr>
              <w:t>-</w:t>
            </w:r>
            <w:r>
              <w:rPr>
                <w:sz w:val="18"/>
                <w:szCs w:val="18"/>
              </w:rPr>
              <w:t>可靠性</w:t>
            </w:r>
            <w:r>
              <w:rPr>
                <w:sz w:val="18"/>
                <w:szCs w:val="18"/>
              </w:rPr>
              <w:t>”</w:t>
            </w:r>
            <w:r>
              <w:rPr>
                <w:sz w:val="18"/>
                <w:szCs w:val="18"/>
              </w:rPr>
              <w:t>四维调度模型，降低整体算力运营成本，推动算力从</w:t>
            </w:r>
            <w:r>
              <w:rPr>
                <w:sz w:val="18"/>
                <w:szCs w:val="18"/>
              </w:rPr>
              <w:t>“</w:t>
            </w:r>
            <w:r>
              <w:rPr>
                <w:sz w:val="18"/>
                <w:szCs w:val="18"/>
              </w:rPr>
              <w:t>粗放供给</w:t>
            </w:r>
            <w:r>
              <w:rPr>
                <w:sz w:val="18"/>
                <w:szCs w:val="18"/>
              </w:rPr>
              <w:t>”</w:t>
            </w:r>
            <w:r>
              <w:rPr>
                <w:sz w:val="18"/>
                <w:szCs w:val="18"/>
              </w:rPr>
              <w:t>向</w:t>
            </w:r>
            <w:r>
              <w:rPr>
                <w:sz w:val="18"/>
                <w:szCs w:val="18"/>
              </w:rPr>
              <w:t>“</w:t>
            </w:r>
            <w:r>
              <w:rPr>
                <w:sz w:val="18"/>
                <w:szCs w:val="18"/>
              </w:rPr>
              <w:t>精细服务</w:t>
            </w:r>
            <w:r>
              <w:rPr>
                <w:sz w:val="18"/>
                <w:szCs w:val="18"/>
              </w:rPr>
              <w:t>”</w:t>
            </w:r>
            <w:r>
              <w:rPr>
                <w:sz w:val="18"/>
                <w:szCs w:val="18"/>
              </w:rPr>
              <w:t>升级。</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通过提供高效、便捷、个性化的服务，提升客户满意度和忠诚度，从而增强公司在市场中的竞争力。</w:t>
            </w:r>
          </w:p>
        </w:tc>
      </w:tr>
      <w:tr w:rsidR="00E20B54">
        <w:trPr>
          <w:trHeight w:val="240"/>
        </w:trPr>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工会智管平台</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平台以</w:t>
            </w:r>
            <w:r>
              <w:rPr>
                <w:sz w:val="18"/>
                <w:szCs w:val="18"/>
              </w:rPr>
              <w:t>"</w:t>
            </w:r>
            <w:r>
              <w:rPr>
                <w:sz w:val="18"/>
                <w:szCs w:val="18"/>
              </w:rPr>
              <w:t>数据驱动、智能服务</w:t>
            </w:r>
            <w:r>
              <w:rPr>
                <w:sz w:val="18"/>
                <w:szCs w:val="18"/>
              </w:rPr>
              <w:t>"</w:t>
            </w:r>
            <w:r>
              <w:rPr>
                <w:sz w:val="18"/>
                <w:szCs w:val="18"/>
              </w:rPr>
              <w:t>为核心，通过集成云计算、大数据、人工智能等技术，实现会员信息动态管理、活动线上化组织、权益一键式维护、福利精准化推送等功能，不仅可以打破地域与层级壁垒，促进工会资源高效配置，还能通过数据分析洞察职工需求，为决策提供科学依据，推动服务从</w:t>
            </w:r>
            <w:r>
              <w:rPr>
                <w:sz w:val="18"/>
                <w:szCs w:val="18"/>
              </w:rPr>
              <w:t>"</w:t>
            </w:r>
            <w:r>
              <w:rPr>
                <w:sz w:val="18"/>
                <w:szCs w:val="18"/>
              </w:rPr>
              <w:t>大水漫灌</w:t>
            </w:r>
            <w:r>
              <w:rPr>
                <w:sz w:val="18"/>
                <w:szCs w:val="18"/>
              </w:rPr>
              <w:t>"</w:t>
            </w:r>
            <w:r>
              <w:rPr>
                <w:sz w:val="18"/>
                <w:szCs w:val="18"/>
              </w:rPr>
              <w:t>向</w:t>
            </w:r>
            <w:r>
              <w:rPr>
                <w:sz w:val="18"/>
                <w:szCs w:val="18"/>
              </w:rPr>
              <w:t>"</w:t>
            </w:r>
            <w:r>
              <w:rPr>
                <w:sz w:val="18"/>
                <w:szCs w:val="18"/>
              </w:rPr>
              <w:t>精准滴灌</w:t>
            </w:r>
            <w:r>
              <w:rPr>
                <w:sz w:val="18"/>
                <w:szCs w:val="18"/>
              </w:rPr>
              <w:t>"</w:t>
            </w:r>
            <w:r>
              <w:rPr>
                <w:sz w:val="18"/>
                <w:szCs w:val="18"/>
              </w:rPr>
              <w:t>转型。</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研发阶段</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w:t>
            </w:r>
            <w:r>
              <w:rPr>
                <w:sz w:val="18"/>
                <w:szCs w:val="18"/>
              </w:rPr>
              <w:t>1</w:t>
            </w:r>
            <w:r>
              <w:rPr>
                <w:sz w:val="18"/>
                <w:szCs w:val="18"/>
              </w:rPr>
              <w:t>）实现基础资料管理的精准化与动态化。能够便捷地录入、更新和查询会员的详细信息，确保资料的准确性和时效性，为后续的推荐、代表及委员选拔等工作提供坚实的数据支撑。</w:t>
            </w:r>
          </w:p>
          <w:p w:rsidR="00E20B54" w:rsidRDefault="00733C9E">
            <w:pPr>
              <w:spacing w:line="240" w:lineRule="exact"/>
              <w:rPr>
                <w:sz w:val="18"/>
                <w:szCs w:val="18"/>
              </w:rPr>
            </w:pPr>
            <w:r>
              <w:rPr>
                <w:sz w:val="18"/>
                <w:szCs w:val="18"/>
              </w:rPr>
              <w:t>（</w:t>
            </w:r>
            <w:r>
              <w:rPr>
                <w:sz w:val="18"/>
                <w:szCs w:val="18"/>
              </w:rPr>
              <w:t>2</w:t>
            </w:r>
            <w:r>
              <w:rPr>
                <w:sz w:val="18"/>
                <w:szCs w:val="18"/>
              </w:rPr>
              <w:t>）特邀管理与委员管理模块，将实现对特邀人员和委员信息的集中管理，明确其职责与权限，规范工作流程，提升管理的规范化与专业化水平。（</w:t>
            </w:r>
            <w:r>
              <w:rPr>
                <w:sz w:val="18"/>
                <w:szCs w:val="18"/>
              </w:rPr>
              <w:t>3</w:t>
            </w:r>
            <w:r>
              <w:rPr>
                <w:sz w:val="18"/>
                <w:szCs w:val="18"/>
              </w:rPr>
              <w:t>）表单管理与活动管理功能，通过线上表单的定制与流转，减少纸质文件的使用，实现信息的快</w:t>
            </w:r>
            <w:r>
              <w:rPr>
                <w:sz w:val="18"/>
                <w:szCs w:val="18"/>
              </w:rPr>
              <w:lastRenderedPageBreak/>
              <w:t>速传递与审批；精心策划与组织各类工会活动，并实现活动的线上报名、签到、反馈等全流程管理，增强职工的参与度与互动性。</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lastRenderedPageBreak/>
              <w:t>工会智管平台面向工会组织这一特定客户群体，软件公司借此进入工会管理软件细分市场。这为公司开辟了新的业务方向，突破了原有业务可能存在的局限，接触到不同类型的客户和需求，扩大业务覆盖范围。</w:t>
            </w:r>
          </w:p>
        </w:tc>
      </w:tr>
      <w:tr w:rsidR="00E20B54">
        <w:trPr>
          <w:trHeight w:val="240"/>
        </w:trPr>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lastRenderedPageBreak/>
              <w:t>远程医疗与数字健康服务平台</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利用现代信息技术手段，打破传统医疗服务的时空限制，提高医疗资源的利用效率，满足人民群众日益增长的多元化医疗健康需求。通过平台的建设和运营，将为用户提供便捷、高效、个性化的远程医疗服务。</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研发完成</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w:t>
            </w:r>
            <w:r>
              <w:rPr>
                <w:sz w:val="18"/>
                <w:szCs w:val="18"/>
              </w:rPr>
              <w:t>1</w:t>
            </w:r>
            <w:r>
              <w:rPr>
                <w:sz w:val="18"/>
                <w:szCs w:val="18"/>
              </w:rPr>
              <w:t>）通过数字化手段简化就医流程，减少患者等待时间，提高医生工作效率。利用远程医疗技术，使医生能够更准确地诊断病情，提供更高质量的医疗服务。</w:t>
            </w:r>
          </w:p>
          <w:p w:rsidR="00E20B54" w:rsidRDefault="00733C9E">
            <w:pPr>
              <w:spacing w:line="240" w:lineRule="exact"/>
              <w:rPr>
                <w:sz w:val="18"/>
                <w:szCs w:val="18"/>
              </w:rPr>
            </w:pPr>
            <w:r>
              <w:rPr>
                <w:sz w:val="18"/>
                <w:szCs w:val="18"/>
              </w:rPr>
              <w:t>（</w:t>
            </w:r>
            <w:r>
              <w:rPr>
                <w:sz w:val="18"/>
                <w:szCs w:val="18"/>
              </w:rPr>
              <w:t>2</w:t>
            </w:r>
            <w:r>
              <w:rPr>
                <w:sz w:val="18"/>
                <w:szCs w:val="18"/>
              </w:rPr>
              <w:t>）建立医疗健康信息共享机制，促进医疗机构、医生、患者之间的信息交流与合作，推动医疗健康知识的普及和传播。</w:t>
            </w:r>
          </w:p>
          <w:p w:rsidR="00E20B54" w:rsidRDefault="00733C9E">
            <w:pPr>
              <w:spacing w:line="240" w:lineRule="exact"/>
              <w:rPr>
                <w:sz w:val="18"/>
                <w:szCs w:val="18"/>
              </w:rPr>
            </w:pPr>
            <w:r>
              <w:rPr>
                <w:sz w:val="18"/>
                <w:szCs w:val="18"/>
              </w:rPr>
              <w:t>（</w:t>
            </w:r>
            <w:r>
              <w:rPr>
                <w:sz w:val="18"/>
                <w:szCs w:val="18"/>
              </w:rPr>
              <w:t>3</w:t>
            </w:r>
            <w:r>
              <w:rPr>
                <w:sz w:val="18"/>
                <w:szCs w:val="18"/>
              </w:rPr>
              <w:t>）结合大数据和人工智能技术，为用户提供定制化的健康管理方案。</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开发远程医疗与数字健康服务平台将使公司进入医疗行业这一广阔市场，为公司带来新的业务增长点和收入来源。</w:t>
            </w:r>
          </w:p>
        </w:tc>
      </w:tr>
      <w:tr w:rsidR="00E20B54">
        <w:trPr>
          <w:trHeight w:val="240"/>
        </w:trPr>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城市文化建设推广管理平台</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通过建设推广管理平台，将城市的文化特色、文化品牌进行集中展示和宣传，提升城市的文化知名度和美誉度。助于吸引更多的游客、投资者和文化爱好者关注城市，促进城市的经济社会发展，增强城市的综合竞争力。平台整合城市内外的文化资源，包括文化场馆、文化机构、文化团体等，实现资源的共享和优化配置。通过数字化手段，打破地域和行业的界限，让文化资源得到更广泛的传播和利用，提高文化资源的利用效率和价值。</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研发完成</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w:t>
            </w:r>
            <w:r>
              <w:rPr>
                <w:sz w:val="18"/>
                <w:szCs w:val="18"/>
              </w:rPr>
              <w:t>1</w:t>
            </w:r>
            <w:r>
              <w:rPr>
                <w:sz w:val="18"/>
                <w:szCs w:val="18"/>
              </w:rPr>
              <w:t>）通过数字化手段简化就医流程，减少患者等待时间，提高医生工作效率。利用远程医疗技术，使医生能够更准确地诊断病情，提供更高质量的医疗服务。</w:t>
            </w:r>
          </w:p>
          <w:p w:rsidR="00E20B54" w:rsidRDefault="00733C9E">
            <w:pPr>
              <w:spacing w:line="240" w:lineRule="exact"/>
              <w:rPr>
                <w:sz w:val="18"/>
                <w:szCs w:val="18"/>
              </w:rPr>
            </w:pPr>
            <w:r>
              <w:rPr>
                <w:sz w:val="18"/>
                <w:szCs w:val="18"/>
              </w:rPr>
              <w:t>（</w:t>
            </w:r>
            <w:r>
              <w:rPr>
                <w:sz w:val="18"/>
                <w:szCs w:val="18"/>
              </w:rPr>
              <w:t>2</w:t>
            </w:r>
            <w:r>
              <w:rPr>
                <w:sz w:val="18"/>
                <w:szCs w:val="18"/>
              </w:rPr>
              <w:t>）建立医疗健康信息共享机制，促进医疗机构、医生、患者之间的信息交流与合作，推动医疗健康知识的普及和传播。</w:t>
            </w:r>
          </w:p>
          <w:p w:rsidR="00E20B54" w:rsidRDefault="00733C9E">
            <w:pPr>
              <w:spacing w:line="240" w:lineRule="exact"/>
              <w:rPr>
                <w:sz w:val="18"/>
                <w:szCs w:val="18"/>
              </w:rPr>
            </w:pPr>
            <w:r>
              <w:rPr>
                <w:sz w:val="18"/>
                <w:szCs w:val="18"/>
              </w:rPr>
              <w:t>（</w:t>
            </w:r>
            <w:r>
              <w:rPr>
                <w:sz w:val="18"/>
                <w:szCs w:val="18"/>
              </w:rPr>
              <w:t>3</w:t>
            </w:r>
            <w:r>
              <w:rPr>
                <w:sz w:val="18"/>
                <w:szCs w:val="18"/>
              </w:rPr>
              <w:t>）结合大数据和人工智能技术，为用户提供定制化的健康管理方案。</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城市文化建设推广管理平台面向政府文化部门、文化机构、文化企业等客户群体，为软件公司开辟了全新的市场领域。这使公司有机会突破原有业务局限，接触到不同行业和需求的客户，扩大业务覆盖范围。</w:t>
            </w:r>
          </w:p>
        </w:tc>
      </w:tr>
      <w:tr w:rsidR="00E20B54">
        <w:trPr>
          <w:trHeight w:val="240"/>
        </w:trPr>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智能弱电信息系统</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通过集成视频监控、门禁控制、智能照明、环境监测等子系统，该系统旨在构建一个全面的智能化环境，为用户提供安全、舒适、节能的生活或工作空间。致力</w:t>
            </w:r>
            <w:r>
              <w:rPr>
                <w:sz w:val="18"/>
                <w:szCs w:val="18"/>
              </w:rPr>
              <w:lastRenderedPageBreak/>
              <w:t>提高资源利用效率，通过智能控制和管理，实现对能源、设备等资源的合理分配和优化使用，从而降低运营成本，实现可持续发展。</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lastRenderedPageBreak/>
              <w:t>研发完成</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w:t>
            </w:r>
            <w:r>
              <w:rPr>
                <w:sz w:val="18"/>
                <w:szCs w:val="18"/>
              </w:rPr>
              <w:t>1</w:t>
            </w:r>
            <w:r>
              <w:rPr>
                <w:sz w:val="18"/>
                <w:szCs w:val="18"/>
              </w:rPr>
              <w:t>）通过统一的平台和协议，将多个弱电智能化子系统（如安防监控、门禁考勤等）进行整合，确保信息能够在各个系统之间高效传递和共享，实现系统的协同</w:t>
            </w:r>
            <w:r>
              <w:rPr>
                <w:sz w:val="18"/>
                <w:szCs w:val="18"/>
              </w:rPr>
              <w:lastRenderedPageBreak/>
              <w:t>工作和集中管理。（</w:t>
            </w:r>
            <w:r>
              <w:rPr>
                <w:sz w:val="18"/>
                <w:szCs w:val="18"/>
              </w:rPr>
              <w:t>2</w:t>
            </w:r>
            <w:r>
              <w:rPr>
                <w:sz w:val="18"/>
                <w:szCs w:val="18"/>
              </w:rPr>
              <w:t>）利用智能控制技术和算法，实现对设备的自动控制和优化运行，提高系统的响应速度和运行效率。同时，通过集成先进的传感器和检测技术，系统能够实时感知环境变化并作出相应调整。</w:t>
            </w:r>
          </w:p>
          <w:p w:rsidR="00E20B54" w:rsidRDefault="00733C9E">
            <w:pPr>
              <w:spacing w:line="240" w:lineRule="exact"/>
              <w:rPr>
                <w:sz w:val="18"/>
                <w:szCs w:val="18"/>
              </w:rPr>
            </w:pPr>
            <w:r>
              <w:rPr>
                <w:sz w:val="18"/>
                <w:szCs w:val="18"/>
              </w:rPr>
              <w:t>（</w:t>
            </w:r>
            <w:r>
              <w:rPr>
                <w:sz w:val="18"/>
                <w:szCs w:val="18"/>
              </w:rPr>
              <w:t>3</w:t>
            </w:r>
            <w:r>
              <w:rPr>
                <w:sz w:val="18"/>
                <w:szCs w:val="18"/>
              </w:rPr>
              <w:t>）注重系统的安全防护机制，防止信息泄露和非法访问。同时，通过冗余设计和故障检测手段，确保系统能够在各种复杂环境下稳定运行，为用户提供持续、可靠的服务。</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lastRenderedPageBreak/>
              <w:t>该系统是公司在轨道交通新领域的产品补充，有效提升铁路运维管理效益，进而提升公司竞争力。</w:t>
            </w:r>
          </w:p>
        </w:tc>
      </w:tr>
      <w:tr w:rsidR="00E20B54">
        <w:trPr>
          <w:trHeight w:val="240"/>
        </w:trPr>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lastRenderedPageBreak/>
              <w:t>高压设备检测巡检系统</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通过实时监测关键参数，结合大数据分析，提前识别潜在故障风险，实现</w:t>
            </w:r>
            <w:r>
              <w:rPr>
                <w:sz w:val="18"/>
                <w:szCs w:val="18"/>
              </w:rPr>
              <w:t>“</w:t>
            </w:r>
            <w:r>
              <w:rPr>
                <w:sz w:val="18"/>
                <w:szCs w:val="18"/>
              </w:rPr>
              <w:t>预防性维护</w:t>
            </w:r>
            <w:r>
              <w:rPr>
                <w:sz w:val="18"/>
                <w:szCs w:val="18"/>
              </w:rPr>
              <w:t>”</w:t>
            </w:r>
            <w:r>
              <w:rPr>
                <w:sz w:val="18"/>
                <w:szCs w:val="18"/>
              </w:rPr>
              <w:t>替代</w:t>
            </w:r>
            <w:r>
              <w:rPr>
                <w:sz w:val="18"/>
                <w:szCs w:val="18"/>
              </w:rPr>
              <w:t>“</w:t>
            </w:r>
            <w:r>
              <w:rPr>
                <w:sz w:val="18"/>
                <w:szCs w:val="18"/>
              </w:rPr>
              <w:t>事后抢修</w:t>
            </w:r>
            <w:r>
              <w:rPr>
                <w:sz w:val="18"/>
                <w:szCs w:val="18"/>
              </w:rPr>
              <w:t>”</w:t>
            </w:r>
            <w:r>
              <w:rPr>
                <w:sz w:val="18"/>
                <w:szCs w:val="18"/>
              </w:rPr>
              <w:t>。</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研发完成</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w:t>
            </w:r>
            <w:r>
              <w:rPr>
                <w:sz w:val="18"/>
                <w:szCs w:val="18"/>
              </w:rPr>
              <w:t>1</w:t>
            </w:r>
            <w:r>
              <w:rPr>
                <w:sz w:val="18"/>
                <w:szCs w:val="18"/>
              </w:rPr>
              <w:t>）通过统一的平台和协议，将多个弱电智能化子系统（如安防监控、门禁考勤等）进行整合，确保信息能够在各个系统之间高效传递和共享，实现系统的协同工作和集中管理。（</w:t>
            </w:r>
            <w:r>
              <w:rPr>
                <w:sz w:val="18"/>
                <w:szCs w:val="18"/>
              </w:rPr>
              <w:t>2</w:t>
            </w:r>
            <w:r>
              <w:rPr>
                <w:sz w:val="18"/>
                <w:szCs w:val="18"/>
              </w:rPr>
              <w:t>）利用智能控制技术和算法，实现对设备的自动控制和优化运行，提高系统的响应速度和运行效率。同时，通过集成先进的传感器和检测技术，系统能够实时感知环境变化并作出相应调整。</w:t>
            </w:r>
          </w:p>
          <w:p w:rsidR="00E20B54" w:rsidRDefault="00733C9E">
            <w:pPr>
              <w:spacing w:line="240" w:lineRule="exact"/>
              <w:rPr>
                <w:sz w:val="18"/>
                <w:szCs w:val="18"/>
              </w:rPr>
            </w:pPr>
            <w:r>
              <w:rPr>
                <w:sz w:val="18"/>
                <w:szCs w:val="18"/>
              </w:rPr>
              <w:t>（</w:t>
            </w:r>
            <w:r>
              <w:rPr>
                <w:sz w:val="18"/>
                <w:szCs w:val="18"/>
              </w:rPr>
              <w:t>3</w:t>
            </w:r>
            <w:r>
              <w:rPr>
                <w:sz w:val="18"/>
                <w:szCs w:val="18"/>
              </w:rPr>
              <w:t>）注重系统的安全防护机制，防止信息泄露和非法访问。同时，通过冗余设计和故障检测手段，确保系统能够在各种复杂环境下稳定运行，为用户提供持续、可靠的服务。</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该系统是公司在轨道交通新领域的产品补充，有效提升铁路运维管理效益，进而提升公司竞争力。</w:t>
            </w:r>
          </w:p>
        </w:tc>
      </w:tr>
      <w:tr w:rsidR="00E20B54">
        <w:trPr>
          <w:trHeight w:val="240"/>
        </w:trPr>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纺织服装综合产业服务云平台</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利用云计算、大数据、物联网、区块链、人工智能等先进技术，实现纺织服装产业各环节的数字化、网络化和智能化。通过数字化转型</w:t>
            </w:r>
            <w:r>
              <w:rPr>
                <w:sz w:val="18"/>
                <w:szCs w:val="18"/>
              </w:rPr>
              <w:lastRenderedPageBreak/>
              <w:t>来提高生产效率、优化供应链管理、降低成本并满足市场需求。</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lastRenderedPageBreak/>
              <w:t>研发阶段</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w:t>
            </w:r>
            <w:r>
              <w:rPr>
                <w:sz w:val="18"/>
                <w:szCs w:val="18"/>
              </w:rPr>
              <w:t>1</w:t>
            </w:r>
            <w:r>
              <w:rPr>
                <w:sz w:val="18"/>
                <w:szCs w:val="18"/>
              </w:rPr>
              <w:t>）通过云平台收集和分析市场数据，包括消费者行为、市场趋势、竞争对手动态等，为企业提供决策支持，增强市场响应能力。</w:t>
            </w:r>
          </w:p>
          <w:p w:rsidR="00E20B54" w:rsidRDefault="00733C9E">
            <w:pPr>
              <w:spacing w:line="240" w:lineRule="exact"/>
              <w:rPr>
                <w:sz w:val="18"/>
                <w:szCs w:val="18"/>
              </w:rPr>
            </w:pPr>
            <w:r>
              <w:rPr>
                <w:sz w:val="18"/>
                <w:szCs w:val="18"/>
              </w:rPr>
              <w:lastRenderedPageBreak/>
              <w:t>（</w:t>
            </w:r>
            <w:r>
              <w:rPr>
                <w:sz w:val="18"/>
                <w:szCs w:val="18"/>
              </w:rPr>
              <w:t>2</w:t>
            </w:r>
            <w:r>
              <w:rPr>
                <w:sz w:val="18"/>
                <w:szCs w:val="18"/>
              </w:rPr>
              <w:t>）促进品牌建设和营销推广，通过云平台的在线展示、直播带货、社交媒体营销等方式，扩大品牌影响力，提高市场份额。</w:t>
            </w:r>
          </w:p>
          <w:p w:rsidR="00E20B54" w:rsidRDefault="00733C9E">
            <w:pPr>
              <w:spacing w:line="240" w:lineRule="exact"/>
              <w:rPr>
                <w:sz w:val="18"/>
                <w:szCs w:val="18"/>
              </w:rPr>
            </w:pPr>
            <w:r>
              <w:rPr>
                <w:sz w:val="18"/>
                <w:szCs w:val="18"/>
              </w:rPr>
              <w:t>（</w:t>
            </w:r>
            <w:r>
              <w:rPr>
                <w:sz w:val="18"/>
                <w:szCs w:val="18"/>
              </w:rPr>
              <w:t>3</w:t>
            </w:r>
            <w:r>
              <w:rPr>
                <w:sz w:val="18"/>
                <w:szCs w:val="18"/>
              </w:rPr>
              <w:t>）利用大数据和人工智能技术，分析用户需求和偏好，提供个性化服务和产品推荐，提升用户体验。</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lastRenderedPageBreak/>
              <w:t>该平台是公司面向纺织服装产业，是公司在企业数字化领域的开拓创新，有助于提高公司核心竞争力。</w:t>
            </w:r>
          </w:p>
        </w:tc>
      </w:tr>
      <w:tr w:rsidR="00E20B54">
        <w:trPr>
          <w:trHeight w:val="240"/>
        </w:trPr>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lastRenderedPageBreak/>
              <w:t>智能辅助监控系统</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集成先进技术物联网、人工智能、大数据分析，实现对设备、环境、人员及业务流程的全方位智能化监控与管理，提升系统安全性、运行效率及决策科学性。</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研发阶段</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辅助监控系统应实现对全所视频监视、环境信息监测、安全防范、火灾报警、动力照明控制、设备巡检等功能的高度集成和一体化监控，支持采集接入、数据存储、告警处理、</w:t>
            </w:r>
            <w:r>
              <w:rPr>
                <w:sz w:val="18"/>
                <w:szCs w:val="18"/>
              </w:rPr>
              <w:t xml:space="preserve"> </w:t>
            </w:r>
            <w:r>
              <w:rPr>
                <w:sz w:val="18"/>
                <w:szCs w:val="18"/>
              </w:rPr>
              <w:t>传输通信、联动和监控等功能。</w:t>
            </w:r>
            <w:r>
              <w:rPr>
                <w:sz w:val="18"/>
                <w:szCs w:val="18"/>
              </w:rPr>
              <w:t xml:space="preserve"> </w:t>
            </w:r>
            <w:r>
              <w:rPr>
                <w:sz w:val="18"/>
                <w:szCs w:val="18"/>
              </w:rPr>
              <w:t>辅助监控系统应能与其他系统进行信息交互，纵向上与供电调度系统、上级视频管理系统等进行信息交互，横向上应能与所内保护测控系统进行信息交互。</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该项目是公司根据客户需求开展的定制化研发，有效解决铁路监控系统自动化、智能化运维的难点，有助于提高公司在轨道交通领域的竞争力。</w:t>
            </w:r>
          </w:p>
        </w:tc>
      </w:tr>
      <w:tr w:rsidR="00E20B54">
        <w:trPr>
          <w:trHeight w:val="240"/>
        </w:trPr>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乡村生态环境建设与治理管理平台</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通过利用现代信息技术手段，实现对乡村生态环境的实时监测、数据分析和科学决策，提高治理效率和效果，通过信息化手段加强公众参与和监督，形成全社会共同关注、共同参与的乡村生态环境治理格局。</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研发完成</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w:t>
            </w:r>
            <w:r>
              <w:rPr>
                <w:sz w:val="18"/>
                <w:szCs w:val="18"/>
              </w:rPr>
              <w:t>1</w:t>
            </w:r>
            <w:r>
              <w:rPr>
                <w:sz w:val="18"/>
                <w:szCs w:val="18"/>
              </w:rPr>
              <w:t>）通过实时监测、数据分析与治理策略制定，减少污染排放，改善乡村空气质量、水质和土壤状况，提升整体生态环境质量。</w:t>
            </w:r>
          </w:p>
          <w:p w:rsidR="00E20B54" w:rsidRDefault="00733C9E">
            <w:pPr>
              <w:spacing w:line="240" w:lineRule="exact"/>
              <w:rPr>
                <w:sz w:val="18"/>
                <w:szCs w:val="18"/>
              </w:rPr>
            </w:pPr>
            <w:r>
              <w:rPr>
                <w:sz w:val="18"/>
                <w:szCs w:val="18"/>
              </w:rPr>
              <w:t>（</w:t>
            </w:r>
            <w:r>
              <w:rPr>
                <w:sz w:val="18"/>
                <w:szCs w:val="18"/>
              </w:rPr>
              <w:t>2</w:t>
            </w:r>
            <w:r>
              <w:rPr>
                <w:sz w:val="18"/>
                <w:szCs w:val="18"/>
              </w:rPr>
              <w:t>）建立完善的乡村环境治理体系，加强污染源监管和生态保护区管理，防止生态环境破坏，确保乡村生态环境的安全与稳定。</w:t>
            </w:r>
          </w:p>
          <w:p w:rsidR="00E20B54" w:rsidRDefault="00733C9E">
            <w:pPr>
              <w:spacing w:line="240" w:lineRule="exact"/>
              <w:rPr>
                <w:sz w:val="18"/>
                <w:szCs w:val="18"/>
              </w:rPr>
            </w:pPr>
            <w:r>
              <w:rPr>
                <w:sz w:val="18"/>
                <w:szCs w:val="18"/>
              </w:rPr>
              <w:t>（</w:t>
            </w:r>
            <w:r>
              <w:rPr>
                <w:sz w:val="18"/>
                <w:szCs w:val="18"/>
              </w:rPr>
              <w:t>3</w:t>
            </w:r>
            <w:r>
              <w:rPr>
                <w:sz w:val="18"/>
                <w:szCs w:val="18"/>
              </w:rPr>
              <w:t>）通过平台提供的信息公开、参与渠道和教育培训等功能，鼓励村民积极参与乡村生态环境建设与治理，提高公众对生态环境保护的认知和参与度。</w:t>
            </w:r>
          </w:p>
          <w:p w:rsidR="00E20B54" w:rsidRDefault="00733C9E">
            <w:pPr>
              <w:spacing w:line="240" w:lineRule="exact"/>
              <w:rPr>
                <w:sz w:val="18"/>
                <w:szCs w:val="18"/>
              </w:rPr>
            </w:pPr>
            <w:r>
              <w:rPr>
                <w:sz w:val="18"/>
                <w:szCs w:val="18"/>
              </w:rPr>
              <w:t>（</w:t>
            </w:r>
            <w:r>
              <w:rPr>
                <w:sz w:val="18"/>
                <w:szCs w:val="18"/>
              </w:rPr>
              <w:t>4</w:t>
            </w:r>
            <w:r>
              <w:rPr>
                <w:sz w:val="18"/>
                <w:szCs w:val="18"/>
              </w:rPr>
              <w:t>）建立完善的应急响应机制，通过平台提供的应急资源和调</w:t>
            </w:r>
            <w:r>
              <w:rPr>
                <w:sz w:val="18"/>
                <w:szCs w:val="18"/>
              </w:rPr>
              <w:lastRenderedPageBreak/>
              <w:t>度服务，提高乡村对突发环境事件的应对能力，保障乡村生态环境的安全。</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lastRenderedPageBreak/>
              <w:t>该研究服务于公司乡村振兴解决方案的创新战略，通过大数据、人工智能技术相融合，提高乡村基层</w:t>
            </w:r>
            <w:r>
              <w:rPr>
                <w:sz w:val="18"/>
                <w:szCs w:val="18"/>
              </w:rPr>
              <w:t xml:space="preserve"> </w:t>
            </w:r>
            <w:r>
              <w:rPr>
                <w:sz w:val="18"/>
                <w:szCs w:val="18"/>
              </w:rPr>
              <w:t>治理及生态监管水平，从而为公司深耕乡村振兴领域助力。</w:t>
            </w:r>
          </w:p>
        </w:tc>
      </w:tr>
      <w:tr w:rsidR="00E20B54">
        <w:trPr>
          <w:trHeight w:val="240"/>
        </w:trPr>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lastRenderedPageBreak/>
              <w:t>基于卫星应急通信的医疗体系后勤保障综合信息化平台项目</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确保战时的后勤保障准确无误，促进军民融合、协同发展。</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研发阶段</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w:t>
            </w:r>
            <w:r>
              <w:rPr>
                <w:sz w:val="18"/>
                <w:szCs w:val="18"/>
              </w:rPr>
              <w:t>1</w:t>
            </w:r>
            <w:r>
              <w:rPr>
                <w:sz w:val="18"/>
                <w:szCs w:val="18"/>
              </w:rPr>
              <w:t>）提升平战双场景立体化卫生应急综合救援能力。</w:t>
            </w:r>
          </w:p>
          <w:p w:rsidR="00E20B54" w:rsidRDefault="00733C9E">
            <w:pPr>
              <w:spacing w:line="240" w:lineRule="exact"/>
              <w:rPr>
                <w:sz w:val="18"/>
                <w:szCs w:val="18"/>
              </w:rPr>
            </w:pPr>
            <w:r>
              <w:rPr>
                <w:sz w:val="18"/>
                <w:szCs w:val="18"/>
              </w:rPr>
              <w:t>（</w:t>
            </w:r>
            <w:r>
              <w:rPr>
                <w:sz w:val="18"/>
                <w:szCs w:val="18"/>
              </w:rPr>
              <w:t>2</w:t>
            </w:r>
            <w:r>
              <w:rPr>
                <w:sz w:val="18"/>
                <w:szCs w:val="18"/>
              </w:rPr>
              <w:t>）实施疾病预防控制机构能力提升工程，编织疾病防控网格，强化现场调查处置能力。（</w:t>
            </w:r>
            <w:r>
              <w:rPr>
                <w:sz w:val="18"/>
                <w:szCs w:val="18"/>
              </w:rPr>
              <w:t>3</w:t>
            </w:r>
            <w:r>
              <w:rPr>
                <w:sz w:val="18"/>
                <w:szCs w:val="18"/>
              </w:rPr>
              <w:t>）利用卫星系统通、导、遥的三位一体的能力，实现对战地前后方的全方位通信保障。（</w:t>
            </w:r>
            <w:r>
              <w:rPr>
                <w:sz w:val="18"/>
                <w:szCs w:val="18"/>
              </w:rPr>
              <w:t>4</w:t>
            </w:r>
            <w:r>
              <w:rPr>
                <w:sz w:val="18"/>
                <w:szCs w:val="18"/>
              </w:rPr>
              <w:t>）集合融合通信系统、医疗专家远程指挥、医疗骨干现场施救的立体救援体系。</w:t>
            </w:r>
          </w:p>
          <w:p w:rsidR="00E20B54" w:rsidRDefault="00733C9E">
            <w:pPr>
              <w:spacing w:line="240" w:lineRule="exact"/>
              <w:rPr>
                <w:sz w:val="18"/>
                <w:szCs w:val="18"/>
              </w:rPr>
            </w:pPr>
            <w:r>
              <w:rPr>
                <w:sz w:val="18"/>
                <w:szCs w:val="18"/>
              </w:rPr>
              <w:t>（</w:t>
            </w:r>
            <w:r>
              <w:rPr>
                <w:sz w:val="18"/>
                <w:szCs w:val="18"/>
              </w:rPr>
              <w:t>5</w:t>
            </w:r>
            <w:r>
              <w:rPr>
                <w:sz w:val="18"/>
                <w:szCs w:val="18"/>
              </w:rPr>
              <w:t>）实现医疗信息资源数据及系统资源共享及专题服务、信息模型快速展现、突发战事智能仿真推演及辅助决策、公共服务快速响应及效能评估等一系列平战管理与民生医疗服务。</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该系统系公司军民融合领域的创新产品，有助于补充完善公司智慧城市产品矩阵，提高公司竞争力。</w:t>
            </w:r>
          </w:p>
        </w:tc>
      </w:tr>
      <w:tr w:rsidR="00E20B54">
        <w:trPr>
          <w:trHeight w:val="240"/>
        </w:trPr>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三维</w:t>
            </w:r>
            <w:r>
              <w:rPr>
                <w:sz w:val="18"/>
                <w:szCs w:val="18"/>
              </w:rPr>
              <w:t>GIS</w:t>
            </w:r>
            <w:r>
              <w:rPr>
                <w:sz w:val="18"/>
                <w:szCs w:val="18"/>
              </w:rPr>
              <w:t>地理信息技术研发与应用</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以</w:t>
            </w:r>
            <w:r>
              <w:rPr>
                <w:sz w:val="18"/>
                <w:szCs w:val="18"/>
              </w:rPr>
              <w:t>GIS</w:t>
            </w:r>
            <w:r>
              <w:rPr>
                <w:sz w:val="18"/>
                <w:szCs w:val="18"/>
              </w:rPr>
              <w:t>空间地理信息为基本框架，通过地图实现行政区域管理、网格划分、综治管控，方便管理；跨平台、分布式以及基于</w:t>
            </w:r>
            <w:r>
              <w:rPr>
                <w:sz w:val="18"/>
                <w:szCs w:val="18"/>
              </w:rPr>
              <w:t>Hadoop</w:t>
            </w:r>
            <w:r>
              <w:rPr>
                <w:sz w:val="18"/>
                <w:szCs w:val="18"/>
              </w:rPr>
              <w:t>的</w:t>
            </w:r>
            <w:r>
              <w:rPr>
                <w:sz w:val="18"/>
                <w:szCs w:val="18"/>
              </w:rPr>
              <w:t>HDFS</w:t>
            </w:r>
            <w:r>
              <w:rPr>
                <w:sz w:val="18"/>
                <w:szCs w:val="18"/>
              </w:rPr>
              <w:t>实现非结构化数据存储和采用</w:t>
            </w:r>
            <w:r>
              <w:rPr>
                <w:sz w:val="18"/>
                <w:szCs w:val="18"/>
              </w:rPr>
              <w:t>Spark</w:t>
            </w:r>
            <w:r>
              <w:rPr>
                <w:sz w:val="18"/>
                <w:szCs w:val="18"/>
              </w:rPr>
              <w:t>大数据计算框架、仿射变换地理坐标转换算法等技术结合到现有技术中。各类数据可以实现完全共享，并进行精准分析和应用，支持对人、单位、房屋、事件、自然资源、城市部件、时空数据进行综合管理。</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研发完成</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将三维</w:t>
            </w:r>
            <w:r>
              <w:rPr>
                <w:sz w:val="18"/>
                <w:szCs w:val="18"/>
              </w:rPr>
              <w:t>GIS</w:t>
            </w:r>
            <w:r>
              <w:rPr>
                <w:sz w:val="18"/>
                <w:szCs w:val="18"/>
              </w:rPr>
              <w:t>地理信息技术应用到</w:t>
            </w:r>
            <w:r>
              <w:rPr>
                <w:sz w:val="18"/>
                <w:szCs w:val="18"/>
              </w:rPr>
              <w:t>“</w:t>
            </w:r>
            <w:r>
              <w:rPr>
                <w:sz w:val="18"/>
                <w:szCs w:val="18"/>
              </w:rPr>
              <w:t>数字城市</w:t>
            </w:r>
            <w:r>
              <w:rPr>
                <w:sz w:val="18"/>
                <w:szCs w:val="18"/>
              </w:rPr>
              <w:t>”</w:t>
            </w:r>
            <w:r>
              <w:rPr>
                <w:sz w:val="18"/>
                <w:szCs w:val="18"/>
              </w:rPr>
              <w:t>的成果转化及产业化项目的建设，能够充分整合计生、城管、综治、经济、安监、劳保、残疾、党建等多个职能部门的各类管理服务资源，搭建以人、地、物、情、事、组织六大要素为核心的数据中心，以</w:t>
            </w:r>
            <w:r>
              <w:rPr>
                <w:sz w:val="18"/>
                <w:szCs w:val="18"/>
              </w:rPr>
              <w:t>“</w:t>
            </w:r>
            <w:r>
              <w:rPr>
                <w:sz w:val="18"/>
                <w:szCs w:val="18"/>
              </w:rPr>
              <w:t>六步闭环</w:t>
            </w:r>
            <w:r>
              <w:rPr>
                <w:sz w:val="18"/>
                <w:szCs w:val="18"/>
              </w:rPr>
              <w:t>”</w:t>
            </w:r>
            <w:r>
              <w:rPr>
                <w:sz w:val="18"/>
                <w:szCs w:val="18"/>
              </w:rPr>
              <w:t>事件处理流程为主线的业务平台，构建区域性、网络化、社会化、信息化的社会综合治理服务平台；实现资源共享、联动共管、动态跟踪、全面覆盖、高效快捷、科学管理社会和服务民生的信息化管理体系，提升智慧社区网格化管理服务，推进市域社会治理现代</w:t>
            </w:r>
            <w:r>
              <w:rPr>
                <w:sz w:val="18"/>
                <w:szCs w:val="18"/>
              </w:rPr>
              <w:lastRenderedPageBreak/>
              <w:t>化。</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lastRenderedPageBreak/>
              <w:t>三维</w:t>
            </w:r>
            <w:r>
              <w:rPr>
                <w:sz w:val="18"/>
                <w:szCs w:val="18"/>
              </w:rPr>
              <w:t>GIS</w:t>
            </w:r>
            <w:r>
              <w:rPr>
                <w:sz w:val="18"/>
                <w:szCs w:val="18"/>
              </w:rPr>
              <w:t>作为智慧城市建设的核心工具，可应用于城市规划模拟、交通流量实时监测、应急管理虚拟仿真等场景，为公司未来发展带来多维度的积极影响，涵盖技术突破、市场拓展、业务多元化、品牌提升及战略布局。</w:t>
            </w:r>
          </w:p>
        </w:tc>
      </w:tr>
      <w:tr w:rsidR="00E20B54">
        <w:trPr>
          <w:trHeight w:val="240"/>
        </w:trPr>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lastRenderedPageBreak/>
              <w:t>企业全栈数字化系统</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解决企业各部门数据分散、流程割裂，导致信息传递滞后、决策效率低下、难以快速响应市场变化痛点，通过技术手段打通企业运营全链条，实现数据、流程与资源的深度整合。</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研发阶段</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w:t>
            </w:r>
            <w:r>
              <w:rPr>
                <w:sz w:val="18"/>
                <w:szCs w:val="18"/>
              </w:rPr>
              <w:t>1)</w:t>
            </w:r>
            <w:r>
              <w:rPr>
                <w:sz w:val="18"/>
                <w:szCs w:val="18"/>
              </w:rPr>
              <w:t>全栈系统深度集成与协同：实现企业全栈数字化系统各模块之间的深度集成与协同工作，包括前端业务系统、中台管理系统与后端技术支撑系统。打破系统间的壁垒，实现数据的实时共享与交互，提升企业整体运营协同性。</w:t>
            </w:r>
          </w:p>
          <w:p w:rsidR="00E20B54" w:rsidRDefault="00733C9E">
            <w:pPr>
              <w:spacing w:line="240" w:lineRule="exact"/>
              <w:rPr>
                <w:sz w:val="18"/>
                <w:szCs w:val="18"/>
              </w:rPr>
            </w:pPr>
            <w:r>
              <w:rPr>
                <w:sz w:val="18"/>
                <w:szCs w:val="18"/>
              </w:rPr>
              <w:t>（</w:t>
            </w:r>
            <w:r>
              <w:rPr>
                <w:sz w:val="18"/>
                <w:szCs w:val="18"/>
              </w:rPr>
              <w:t>2)</w:t>
            </w:r>
            <w:r>
              <w:rPr>
                <w:sz w:val="18"/>
                <w:szCs w:val="18"/>
              </w:rPr>
              <w:t>智能化应用拓展：在数据分析基础上，引入人工智能与机器学习技术，实现部分业务的智能化决策与预测。构建数字化生态体系：以企业全栈数字化系统为核心，构建开放的数字化生态体系，实现数据互联互通与业务协同。</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集成企业运营全流程数据，推动公司从</w:t>
            </w:r>
            <w:r>
              <w:rPr>
                <w:sz w:val="18"/>
                <w:szCs w:val="18"/>
              </w:rPr>
              <w:t>“</w:t>
            </w:r>
            <w:r>
              <w:rPr>
                <w:sz w:val="18"/>
                <w:szCs w:val="18"/>
              </w:rPr>
              <w:t>功能开发</w:t>
            </w:r>
            <w:r>
              <w:rPr>
                <w:sz w:val="18"/>
                <w:szCs w:val="18"/>
              </w:rPr>
              <w:t>”</w:t>
            </w:r>
            <w:r>
              <w:rPr>
                <w:sz w:val="18"/>
                <w:szCs w:val="18"/>
              </w:rPr>
              <w:t>向</w:t>
            </w:r>
            <w:r>
              <w:rPr>
                <w:sz w:val="18"/>
                <w:szCs w:val="18"/>
              </w:rPr>
              <w:t>“</w:t>
            </w:r>
            <w:r>
              <w:rPr>
                <w:sz w:val="18"/>
                <w:szCs w:val="18"/>
              </w:rPr>
              <w:t>数据智能</w:t>
            </w:r>
            <w:r>
              <w:rPr>
                <w:sz w:val="18"/>
                <w:szCs w:val="18"/>
              </w:rPr>
              <w:t>”</w:t>
            </w:r>
            <w:r>
              <w:rPr>
                <w:sz w:val="18"/>
                <w:szCs w:val="18"/>
              </w:rPr>
              <w:t>转型。</w:t>
            </w:r>
          </w:p>
        </w:tc>
      </w:tr>
      <w:tr w:rsidR="00E20B54">
        <w:trPr>
          <w:trHeight w:val="240"/>
        </w:trPr>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集群调度中枢平台</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为中大型数据中心提供一套高效、智能、安全的分布式资源管理解决方案，应对企业数字化转型中资源利用率低、调度效率不足、监控能力薄弱等核心挑战。通过虚拟化技术打破计算、存储、网络的物理边界，构建统一资源池，实现资源的动态聚合与按需分配；结合智能调度算法与优先级管理机制，支持多业务场景的自动化任务编排，减少人工干预，确保关键业务优先执行，提升整体调度效率；同时集成全链路监控模块，从硬件状态到应用性能实现实时可视化，并依托</w:t>
            </w:r>
            <w:r>
              <w:rPr>
                <w:sz w:val="18"/>
                <w:szCs w:val="18"/>
              </w:rPr>
              <w:t>AI</w:t>
            </w:r>
            <w:r>
              <w:rPr>
                <w:sz w:val="18"/>
                <w:szCs w:val="18"/>
              </w:rPr>
              <w:t>异常检测与自动化运维联动，快速定位与修复故障。</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研发完成</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w:t>
            </w:r>
            <w:r>
              <w:rPr>
                <w:sz w:val="18"/>
                <w:szCs w:val="18"/>
              </w:rPr>
              <w:t>1</w:t>
            </w:r>
            <w:r>
              <w:rPr>
                <w:sz w:val="18"/>
                <w:szCs w:val="18"/>
              </w:rPr>
              <w:t>）提升资源利用与调度效能：通过虚拟化技术构建统一资源池，实现计算、存储、网络的动态聚合与按需分配，结合智能调度算法优化多类型任务的资源匹配，确保关键业务高效稳定运行。</w:t>
            </w:r>
          </w:p>
          <w:p w:rsidR="00E20B54" w:rsidRDefault="00733C9E">
            <w:pPr>
              <w:spacing w:line="240" w:lineRule="exact"/>
              <w:rPr>
                <w:sz w:val="18"/>
                <w:szCs w:val="18"/>
              </w:rPr>
            </w:pPr>
            <w:r>
              <w:rPr>
                <w:sz w:val="18"/>
                <w:szCs w:val="18"/>
              </w:rPr>
              <w:t>（</w:t>
            </w:r>
            <w:r>
              <w:rPr>
                <w:sz w:val="18"/>
                <w:szCs w:val="18"/>
              </w:rPr>
              <w:t>2</w:t>
            </w:r>
            <w:r>
              <w:rPr>
                <w:sz w:val="18"/>
                <w:szCs w:val="18"/>
              </w:rPr>
              <w:t>）构建全链路智能监控体系：集成从硬件状态（如</w:t>
            </w:r>
            <w:r>
              <w:rPr>
                <w:sz w:val="18"/>
                <w:szCs w:val="18"/>
              </w:rPr>
              <w:t>CPU</w:t>
            </w:r>
            <w:r>
              <w:rPr>
                <w:sz w:val="18"/>
                <w:szCs w:val="18"/>
              </w:rPr>
              <w:t>温度、磁盘健康）到应用性能（如响应时间、吞吐量）的实时可视化监控，实现异常检测与根因分析，将故障定位时间从小时级压缩至分钟级，并联动自动化运维工具完成自愈修复。</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推动公司从</w:t>
            </w:r>
            <w:r>
              <w:rPr>
                <w:sz w:val="18"/>
                <w:szCs w:val="18"/>
              </w:rPr>
              <w:t>“</w:t>
            </w:r>
            <w:r>
              <w:rPr>
                <w:sz w:val="18"/>
                <w:szCs w:val="18"/>
              </w:rPr>
              <w:t>工具提供商</w:t>
            </w:r>
            <w:r>
              <w:rPr>
                <w:sz w:val="18"/>
                <w:szCs w:val="18"/>
              </w:rPr>
              <w:t>”</w:t>
            </w:r>
            <w:r>
              <w:rPr>
                <w:sz w:val="18"/>
                <w:szCs w:val="18"/>
              </w:rPr>
              <w:t>向</w:t>
            </w:r>
            <w:r>
              <w:rPr>
                <w:sz w:val="18"/>
                <w:szCs w:val="18"/>
              </w:rPr>
              <w:t>“</w:t>
            </w:r>
            <w:r>
              <w:rPr>
                <w:sz w:val="18"/>
                <w:szCs w:val="18"/>
              </w:rPr>
              <w:t>资源优化伙伴</w:t>
            </w:r>
            <w:r>
              <w:rPr>
                <w:sz w:val="18"/>
                <w:szCs w:val="18"/>
              </w:rPr>
              <w:t>”</w:t>
            </w:r>
            <w:r>
              <w:rPr>
                <w:sz w:val="18"/>
                <w:szCs w:val="18"/>
              </w:rPr>
              <w:t>转型，短期通过技术壁垒与行业解决方案提升溢价能力，中期通过订阅制与数据服务实现收入多元化，长期构建平台生态。</w:t>
            </w:r>
          </w:p>
        </w:tc>
      </w:tr>
      <w:tr w:rsidR="00E20B54">
        <w:trPr>
          <w:trHeight w:val="240"/>
        </w:trPr>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新能源运维监控平台</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解决新能源产业快速发展中面临的运维效率低、故障响应慢、资源调度不优等核心</w:t>
            </w:r>
            <w:r>
              <w:rPr>
                <w:sz w:val="18"/>
                <w:szCs w:val="18"/>
              </w:rPr>
              <w:lastRenderedPageBreak/>
              <w:t>痛点，集成物联网、大数据、人工智能及数字孪生技术，构建覆盖新能源全场景的智能化运维体系。</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lastRenderedPageBreak/>
              <w:t>研发阶段</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w:t>
            </w:r>
            <w:r>
              <w:rPr>
                <w:sz w:val="18"/>
                <w:szCs w:val="18"/>
              </w:rPr>
              <w:t>1</w:t>
            </w:r>
            <w:r>
              <w:rPr>
                <w:sz w:val="18"/>
                <w:szCs w:val="18"/>
              </w:rPr>
              <w:t>）提供决策支持与数据分析服务：提供丰富的数据可视化报表与决策分析工具，</w:t>
            </w:r>
            <w:r>
              <w:rPr>
                <w:sz w:val="18"/>
                <w:szCs w:val="18"/>
              </w:rPr>
              <w:lastRenderedPageBreak/>
              <w:t>帮助管理层深入了解新能源项目的运营状况、发电效率、成本构成等关键指标。</w:t>
            </w:r>
          </w:p>
          <w:p w:rsidR="00E20B54" w:rsidRDefault="00733C9E">
            <w:pPr>
              <w:spacing w:line="240" w:lineRule="exact"/>
              <w:rPr>
                <w:sz w:val="18"/>
                <w:szCs w:val="18"/>
              </w:rPr>
            </w:pPr>
            <w:r>
              <w:rPr>
                <w:sz w:val="18"/>
                <w:szCs w:val="18"/>
              </w:rPr>
              <w:t>（</w:t>
            </w:r>
            <w:r>
              <w:rPr>
                <w:sz w:val="18"/>
                <w:szCs w:val="18"/>
              </w:rPr>
              <w:t>2</w:t>
            </w:r>
            <w:r>
              <w:rPr>
                <w:sz w:val="18"/>
                <w:szCs w:val="18"/>
              </w:rPr>
              <w:t>）实现设备状态实时监控与预警：借助物联网技术，对新能源设备进行</w:t>
            </w:r>
            <w:r>
              <w:rPr>
                <w:sz w:val="18"/>
                <w:szCs w:val="18"/>
              </w:rPr>
              <w:t xml:space="preserve"> 7×24 </w:t>
            </w:r>
            <w:r>
              <w:rPr>
                <w:sz w:val="18"/>
                <w:szCs w:val="18"/>
              </w:rPr>
              <w:t>小时实时监控，精准掌握设备运行状态。</w:t>
            </w:r>
          </w:p>
          <w:p w:rsidR="00E20B54" w:rsidRDefault="00733C9E">
            <w:pPr>
              <w:spacing w:line="240" w:lineRule="exact"/>
              <w:rPr>
                <w:sz w:val="18"/>
                <w:szCs w:val="18"/>
              </w:rPr>
            </w:pPr>
            <w:r>
              <w:rPr>
                <w:sz w:val="18"/>
                <w:szCs w:val="18"/>
              </w:rPr>
              <w:t>（</w:t>
            </w:r>
            <w:r>
              <w:rPr>
                <w:sz w:val="18"/>
                <w:szCs w:val="18"/>
              </w:rPr>
              <w:t>3</w:t>
            </w:r>
            <w:r>
              <w:rPr>
                <w:sz w:val="18"/>
                <w:szCs w:val="18"/>
              </w:rPr>
              <w:t>）提升数据整合与处理能力：整合来自不同新能源设备及系统的海量数据，涵盖发电量、设备状态、环境参数等。通过先进的数据处理算法，实现数据的实时采集、清洗、分析与存储，确保数据的准确性和及时性，为运维决策提供可靠依据。</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lastRenderedPageBreak/>
              <w:t>依托技术壁垒与行业场景深度绑定，快速抢占新能源运维千亿级市场，同时通过订</w:t>
            </w:r>
            <w:r>
              <w:rPr>
                <w:sz w:val="18"/>
                <w:szCs w:val="18"/>
              </w:rPr>
              <w:lastRenderedPageBreak/>
              <w:t>阅制与数据增值服务构建可持续收入模式，助力公司成为能源互联网生态的核心参与者。</w:t>
            </w:r>
          </w:p>
        </w:tc>
      </w:tr>
      <w:tr w:rsidR="00E20B54">
        <w:trPr>
          <w:trHeight w:val="240"/>
        </w:trPr>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lastRenderedPageBreak/>
              <w:t>智关巡控平台</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破解传统海关监管模式效率低、覆盖不全、风险预警滞后等核心痛点，通过数字化手段重构口岸监管体系。平台搭建统一数据中台，整合业务系统，形成全流程管控机制，有效提升监管精准度。平台支持多部门协同作业，通过移动执法终端实现任务派发、现场取证、结果反馈的线上化，推动监管模式从</w:t>
            </w:r>
            <w:r>
              <w:rPr>
                <w:sz w:val="18"/>
                <w:szCs w:val="18"/>
              </w:rPr>
              <w:t>“</w:t>
            </w:r>
            <w:r>
              <w:rPr>
                <w:sz w:val="18"/>
                <w:szCs w:val="18"/>
              </w:rPr>
              <w:t>人工巡查</w:t>
            </w:r>
            <w:r>
              <w:rPr>
                <w:sz w:val="18"/>
                <w:szCs w:val="18"/>
              </w:rPr>
              <w:t>”</w:t>
            </w:r>
            <w:r>
              <w:rPr>
                <w:sz w:val="18"/>
                <w:szCs w:val="18"/>
              </w:rPr>
              <w:t>向</w:t>
            </w:r>
            <w:r>
              <w:rPr>
                <w:sz w:val="18"/>
                <w:szCs w:val="18"/>
              </w:rPr>
              <w:t>“</w:t>
            </w:r>
            <w:r>
              <w:rPr>
                <w:sz w:val="18"/>
                <w:szCs w:val="18"/>
              </w:rPr>
              <w:t>智能巡控</w:t>
            </w:r>
            <w:r>
              <w:rPr>
                <w:sz w:val="18"/>
                <w:szCs w:val="18"/>
              </w:rPr>
              <w:t>+</w:t>
            </w:r>
            <w:r>
              <w:rPr>
                <w:sz w:val="18"/>
                <w:szCs w:val="18"/>
              </w:rPr>
              <w:t>精准执法</w:t>
            </w:r>
            <w:r>
              <w:rPr>
                <w:sz w:val="18"/>
                <w:szCs w:val="18"/>
              </w:rPr>
              <w:t>”</w:t>
            </w:r>
            <w:r>
              <w:rPr>
                <w:sz w:val="18"/>
                <w:szCs w:val="18"/>
              </w:rPr>
              <w:t>转型。</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研发阶段</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w:t>
            </w:r>
            <w:r>
              <w:rPr>
                <w:sz w:val="18"/>
                <w:szCs w:val="18"/>
              </w:rPr>
              <w:t>1</w:t>
            </w:r>
            <w:r>
              <w:rPr>
                <w:sz w:val="18"/>
                <w:szCs w:val="18"/>
              </w:rPr>
              <w:t>）构建智能化、标准化、协同化的监督管理体系，实现</w:t>
            </w:r>
            <w:r>
              <w:rPr>
                <w:sz w:val="18"/>
                <w:szCs w:val="18"/>
              </w:rPr>
              <w:t>“</w:t>
            </w:r>
            <w:r>
              <w:rPr>
                <w:sz w:val="18"/>
                <w:szCs w:val="18"/>
              </w:rPr>
              <w:t>全流程数字化、问题发现精准化、处置反馈高效化、决策支持科学化。</w:t>
            </w:r>
          </w:p>
          <w:p w:rsidR="00E20B54" w:rsidRDefault="00733C9E">
            <w:pPr>
              <w:spacing w:line="240" w:lineRule="exact"/>
              <w:rPr>
                <w:sz w:val="18"/>
                <w:szCs w:val="18"/>
              </w:rPr>
            </w:pPr>
            <w:r>
              <w:rPr>
                <w:sz w:val="18"/>
                <w:szCs w:val="18"/>
              </w:rPr>
              <w:t>（</w:t>
            </w:r>
            <w:r>
              <w:rPr>
                <w:sz w:val="18"/>
                <w:szCs w:val="18"/>
              </w:rPr>
              <w:t>2</w:t>
            </w:r>
            <w:r>
              <w:rPr>
                <w:sz w:val="18"/>
                <w:szCs w:val="18"/>
              </w:rPr>
              <w:t>）精准定位违规行为或隐患点，生成带定位的整改工单并实时追踪处置进度。</w:t>
            </w:r>
          </w:p>
          <w:p w:rsidR="00E20B54" w:rsidRDefault="00733C9E">
            <w:pPr>
              <w:spacing w:line="240" w:lineRule="exact"/>
              <w:rPr>
                <w:sz w:val="18"/>
                <w:szCs w:val="18"/>
              </w:rPr>
            </w:pPr>
            <w:r>
              <w:rPr>
                <w:sz w:val="18"/>
                <w:szCs w:val="18"/>
              </w:rPr>
              <w:t>（</w:t>
            </w:r>
            <w:r>
              <w:rPr>
                <w:sz w:val="18"/>
                <w:szCs w:val="18"/>
              </w:rPr>
              <w:t>3</w:t>
            </w:r>
            <w:r>
              <w:rPr>
                <w:sz w:val="18"/>
                <w:szCs w:val="18"/>
              </w:rPr>
              <w:t>）兼顾多层级用户需求，支持上级部门实时调阅巡查数据、跨区域协同处置，以及基层人员便捷操作。</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智关巡控平台通过整合人事管理、智能调度、数据可视化及闭环整改等核心功能模块，快速形成行业解决方案壁垒，拓展数字政府应用场景。</w:t>
            </w:r>
          </w:p>
        </w:tc>
      </w:tr>
      <w:tr w:rsidR="00E20B54">
        <w:trPr>
          <w:trHeight w:val="240"/>
        </w:trPr>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人工智能大模型业务应用一体化建设项目</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借助人工智能大模型的强大能力，构建业务应用一体化平台，实现技术与业务的深度融合与创新。通过整合企业内外部海量数据，利用大模型进行深度挖掘与分析，打破数据壁垒，释放数据潜在价值，为企业提供精准、全面的决策依据，提升决策的科学性和时效性。</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研发阶段</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w:t>
            </w:r>
            <w:r>
              <w:rPr>
                <w:sz w:val="18"/>
                <w:szCs w:val="18"/>
              </w:rPr>
              <w:t>1</w:t>
            </w:r>
            <w:r>
              <w:rPr>
                <w:sz w:val="18"/>
                <w:szCs w:val="18"/>
              </w:rPr>
              <w:t>）打造一个高效、安全、可持续发展的智能化平台，以推动公司在人工智能领域的业务拓展与技术创新。</w:t>
            </w:r>
          </w:p>
          <w:p w:rsidR="00E20B54" w:rsidRDefault="00733C9E">
            <w:pPr>
              <w:spacing w:line="240" w:lineRule="exact"/>
              <w:rPr>
                <w:sz w:val="18"/>
                <w:szCs w:val="18"/>
              </w:rPr>
            </w:pPr>
            <w:r>
              <w:rPr>
                <w:sz w:val="18"/>
                <w:szCs w:val="18"/>
              </w:rPr>
              <w:t>（</w:t>
            </w:r>
            <w:r>
              <w:rPr>
                <w:sz w:val="18"/>
                <w:szCs w:val="18"/>
              </w:rPr>
              <w:t>2</w:t>
            </w:r>
            <w:r>
              <w:rPr>
                <w:sz w:val="18"/>
                <w:szCs w:val="18"/>
              </w:rPr>
              <w:t>）通过机房基础设施建设，确保项目具备稳定可靠的运行环境；安全建设将全方位保障数据与系统的安全，防止信息泄露与网络攻击；人工智能算力资源建设及基础环境部署，为大模型训练与应用提供强</w:t>
            </w:r>
            <w:r>
              <w:rPr>
                <w:sz w:val="18"/>
                <w:szCs w:val="18"/>
              </w:rPr>
              <w:lastRenderedPageBreak/>
              <w:t>大的计算支持；大模型应用场景建设则聚焦于业务需求，实现人工智能技术与公司业务的深度融合，提升业务效率与竞争力，助力公司实现数字化转型与智能化升级。</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lastRenderedPageBreak/>
              <w:t>开发人工智能大模型业务应用一体化项目将推动公司从传统软件服务向</w:t>
            </w:r>
            <w:r>
              <w:rPr>
                <w:sz w:val="18"/>
                <w:szCs w:val="18"/>
              </w:rPr>
              <w:t>AI</w:t>
            </w:r>
            <w:r>
              <w:rPr>
                <w:sz w:val="18"/>
                <w:szCs w:val="18"/>
              </w:rPr>
              <w:t>原生技术服务商跃迁，以垂直场景大模型构建行业智能化新基建，快速抢占</w:t>
            </w:r>
            <w:r>
              <w:rPr>
                <w:sz w:val="18"/>
                <w:szCs w:val="18"/>
              </w:rPr>
              <w:t>AI+</w:t>
            </w:r>
            <w:r>
              <w:rPr>
                <w:sz w:val="18"/>
                <w:szCs w:val="18"/>
              </w:rPr>
              <w:t>产业变革红利并形成高壁垒解决方案，驱动公司成为企业智能化转型的核心赋能者。</w:t>
            </w:r>
          </w:p>
        </w:tc>
      </w:tr>
      <w:tr w:rsidR="00E20B54">
        <w:trPr>
          <w:trHeight w:val="240"/>
        </w:trPr>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lastRenderedPageBreak/>
              <w:t>乡村数智人应用平台</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借助数智人智能交互、知识渊博的特性，搭建乡村信息高速通道，为村民提供精准及时的政策解读、农业科普、医疗教育等一站式服务，提升乡村公共服务水平；依托数智人对市场数据的分析处理能力，为乡村产业提供智能决策支持，助力农产品精准营销、产业模式创新，推动乡村产业智能化、数字化升级；同时，以数智人为载体，挖掘和传承乡村特色文化，丰富村民精神文化生活。</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研发阶段</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w:t>
            </w:r>
            <w:r>
              <w:rPr>
                <w:sz w:val="18"/>
                <w:szCs w:val="18"/>
              </w:rPr>
              <w:t>1</w:t>
            </w:r>
            <w:r>
              <w:rPr>
                <w:sz w:val="18"/>
                <w:szCs w:val="18"/>
              </w:rPr>
              <w:t>）数智人能精准推送政策资讯、气象预警等实用信息，提升村民信息获取效率。</w:t>
            </w:r>
          </w:p>
          <w:p w:rsidR="00E20B54" w:rsidRDefault="00733C9E">
            <w:pPr>
              <w:spacing w:line="240" w:lineRule="exact"/>
              <w:rPr>
                <w:sz w:val="18"/>
                <w:szCs w:val="18"/>
              </w:rPr>
            </w:pPr>
            <w:r>
              <w:rPr>
                <w:sz w:val="18"/>
                <w:szCs w:val="18"/>
              </w:rPr>
              <w:t>（</w:t>
            </w:r>
            <w:r>
              <w:rPr>
                <w:sz w:val="18"/>
                <w:szCs w:val="18"/>
              </w:rPr>
              <w:t>2</w:t>
            </w:r>
            <w:r>
              <w:rPr>
                <w:sz w:val="18"/>
                <w:szCs w:val="18"/>
              </w:rPr>
              <w:t>）深度融入乡村生产生活，为农户提供智能技术指导与设备管理服务，助力农产品产量与质量双提升，打造成乡村治理与发展的核心枢纽，通过村务公开监督、矛盾纠纷调解等功能，推动乡村治理现代化，同时依托文化展示与活动组织，传承弘扬乡村特色文化，增强村民文化认同感。</w:t>
            </w:r>
          </w:p>
          <w:p w:rsidR="00E20B54" w:rsidRDefault="00733C9E">
            <w:pPr>
              <w:spacing w:line="240" w:lineRule="exact"/>
              <w:rPr>
                <w:sz w:val="18"/>
                <w:szCs w:val="18"/>
              </w:rPr>
            </w:pPr>
            <w:r>
              <w:rPr>
                <w:sz w:val="18"/>
                <w:szCs w:val="18"/>
              </w:rPr>
              <w:t>（</w:t>
            </w:r>
            <w:r>
              <w:rPr>
                <w:sz w:val="18"/>
                <w:szCs w:val="18"/>
              </w:rPr>
              <w:t>3</w:t>
            </w:r>
            <w:r>
              <w:rPr>
                <w:sz w:val="18"/>
                <w:szCs w:val="18"/>
              </w:rPr>
              <w:t>）借助数智人平台缩小城乡数字差距，实现乡村经济社会的可持续发展。</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将助力公司切入县域数字化与乡村振兴新赛道，以</w:t>
            </w:r>
            <w:r>
              <w:rPr>
                <w:sz w:val="18"/>
                <w:szCs w:val="18"/>
              </w:rPr>
              <w:t>AI</w:t>
            </w:r>
            <w:r>
              <w:rPr>
                <w:sz w:val="18"/>
                <w:szCs w:val="18"/>
              </w:rPr>
              <w:t>虚拟人技术重构乡村服务场景，快速形成</w:t>
            </w:r>
            <w:r>
              <w:rPr>
                <w:sz w:val="18"/>
                <w:szCs w:val="18"/>
              </w:rPr>
              <w:t>“</w:t>
            </w:r>
            <w:r>
              <w:rPr>
                <w:sz w:val="18"/>
                <w:szCs w:val="18"/>
              </w:rPr>
              <w:t>技术</w:t>
            </w:r>
            <w:r>
              <w:rPr>
                <w:sz w:val="18"/>
                <w:szCs w:val="18"/>
              </w:rPr>
              <w:t>+</w:t>
            </w:r>
            <w:r>
              <w:rPr>
                <w:sz w:val="18"/>
                <w:szCs w:val="18"/>
              </w:rPr>
              <w:t>场景</w:t>
            </w:r>
            <w:r>
              <w:rPr>
                <w:sz w:val="18"/>
                <w:szCs w:val="18"/>
              </w:rPr>
              <w:t>+</w:t>
            </w:r>
            <w:r>
              <w:rPr>
                <w:sz w:val="18"/>
                <w:szCs w:val="18"/>
              </w:rPr>
              <w:t>运营</w:t>
            </w:r>
            <w:r>
              <w:rPr>
                <w:sz w:val="18"/>
                <w:szCs w:val="18"/>
              </w:rPr>
              <w:t>”</w:t>
            </w:r>
            <w:r>
              <w:rPr>
                <w:sz w:val="18"/>
                <w:szCs w:val="18"/>
              </w:rPr>
              <w:t>闭环，驱动公司从软件工具商向乡村数字化综合服务商转型。</w:t>
            </w:r>
          </w:p>
        </w:tc>
      </w:tr>
      <w:tr w:rsidR="00E20B54">
        <w:trPr>
          <w:trHeight w:val="240"/>
        </w:trPr>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农村青年就业管理平台</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构建</w:t>
            </w:r>
            <w:r>
              <w:rPr>
                <w:sz w:val="18"/>
                <w:szCs w:val="18"/>
              </w:rPr>
              <w:t>“</w:t>
            </w:r>
            <w:r>
              <w:rPr>
                <w:sz w:val="18"/>
                <w:szCs w:val="18"/>
              </w:rPr>
              <w:t>精准化、全链条、可持续</w:t>
            </w:r>
            <w:r>
              <w:rPr>
                <w:sz w:val="18"/>
                <w:szCs w:val="18"/>
              </w:rPr>
              <w:t>”</w:t>
            </w:r>
            <w:r>
              <w:rPr>
                <w:sz w:val="18"/>
                <w:szCs w:val="18"/>
              </w:rPr>
              <w:t>的农村青年就业服务体系：通过整合政府就业政策、企业岗位需求、乡村产业规划等数据，运用智能算法实现人岗精准匹配，破解信息不对称难题；联合职业院校、龙头企业开发</w:t>
            </w:r>
            <w:r>
              <w:rPr>
                <w:sz w:val="18"/>
                <w:szCs w:val="18"/>
              </w:rPr>
              <w:t>“</w:t>
            </w:r>
            <w:r>
              <w:rPr>
                <w:sz w:val="18"/>
                <w:szCs w:val="18"/>
              </w:rPr>
              <w:t>理论</w:t>
            </w:r>
            <w:r>
              <w:rPr>
                <w:sz w:val="18"/>
                <w:szCs w:val="18"/>
              </w:rPr>
              <w:t>+</w:t>
            </w:r>
            <w:r>
              <w:rPr>
                <w:sz w:val="18"/>
                <w:szCs w:val="18"/>
              </w:rPr>
              <w:t>实操</w:t>
            </w:r>
            <w:r>
              <w:rPr>
                <w:sz w:val="18"/>
                <w:szCs w:val="18"/>
              </w:rPr>
              <w:t>”</w:t>
            </w:r>
            <w:r>
              <w:rPr>
                <w:sz w:val="18"/>
                <w:szCs w:val="18"/>
              </w:rPr>
              <w:t>定制化培训课程，提升青年农业技术、电商运营等实用技能，弥补传统教育短板；搭建创业项目孵化中心，提供从市场调研、资金对接到营销推广的一站式服务，降低青年返乡创业门槛与风险。</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研发完成</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w:t>
            </w:r>
            <w:r>
              <w:rPr>
                <w:sz w:val="18"/>
                <w:szCs w:val="18"/>
              </w:rPr>
              <w:t>1</w:t>
            </w:r>
            <w:r>
              <w:rPr>
                <w:sz w:val="18"/>
                <w:szCs w:val="18"/>
              </w:rPr>
              <w:t>）搭建一个功能完备、操作便捷的农村青年就业管理平台，涵盖岗位推荐与管理、创业管理、培训管理等基础功能，实现岗位与求职者的高效初步匹配，提高农村青年就业信息获取的及时性和准确性，降低求职成本。</w:t>
            </w:r>
          </w:p>
          <w:p w:rsidR="00E20B54" w:rsidRDefault="00733C9E">
            <w:pPr>
              <w:spacing w:line="240" w:lineRule="exact"/>
              <w:rPr>
                <w:sz w:val="18"/>
                <w:szCs w:val="18"/>
              </w:rPr>
            </w:pPr>
            <w:r>
              <w:rPr>
                <w:sz w:val="18"/>
                <w:szCs w:val="18"/>
              </w:rPr>
              <w:t>（</w:t>
            </w:r>
            <w:r>
              <w:rPr>
                <w:sz w:val="18"/>
                <w:szCs w:val="18"/>
              </w:rPr>
              <w:t>2</w:t>
            </w:r>
            <w:r>
              <w:rPr>
                <w:sz w:val="18"/>
                <w:szCs w:val="18"/>
              </w:rPr>
              <w:t>）增加技能培训课程板块、就业指导咨询模块以及创业项目孵化专区。</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开发农村青年就业管理平台将助力公司切入乡村振兴人才服务赛道，以数字化工具打通就业供需匹配与技能培训闭环，快速构建县域就业服务生态并形成政策</w:t>
            </w:r>
            <w:r>
              <w:rPr>
                <w:sz w:val="18"/>
                <w:szCs w:val="18"/>
              </w:rPr>
              <w:t>+</w:t>
            </w:r>
            <w:r>
              <w:rPr>
                <w:sz w:val="18"/>
                <w:szCs w:val="18"/>
              </w:rPr>
              <w:t>市场双驱动增长模式。</w:t>
            </w:r>
          </w:p>
        </w:tc>
      </w:tr>
      <w:tr w:rsidR="00E20B54">
        <w:trPr>
          <w:trHeight w:val="240"/>
        </w:trPr>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智学未来教育资源共享平台</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通过信息化手段，打破地域限制，实现教</w:t>
            </w:r>
            <w:r>
              <w:rPr>
                <w:sz w:val="18"/>
                <w:szCs w:val="18"/>
              </w:rPr>
              <w:lastRenderedPageBreak/>
              <w:t>育资源的均衡分布，为学习者提供持续、系统的学习资源，支持终身学习和发展。</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lastRenderedPageBreak/>
              <w:t>研发完成</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w:t>
            </w:r>
            <w:r>
              <w:rPr>
                <w:sz w:val="18"/>
                <w:szCs w:val="18"/>
              </w:rPr>
              <w:t>1</w:t>
            </w:r>
            <w:r>
              <w:rPr>
                <w:sz w:val="18"/>
                <w:szCs w:val="18"/>
              </w:rPr>
              <w:t>）整合各类优质教育资源，形成丰富多</w:t>
            </w:r>
            <w:r>
              <w:rPr>
                <w:sz w:val="18"/>
                <w:szCs w:val="18"/>
              </w:rPr>
              <w:lastRenderedPageBreak/>
              <w:t>样的资源库，通过智能化技术手段，实现教育资源的最大化利用，减少资源浪费，提高资源使用效率。</w:t>
            </w:r>
          </w:p>
          <w:p w:rsidR="00E20B54" w:rsidRDefault="00733C9E">
            <w:pPr>
              <w:spacing w:line="240" w:lineRule="exact"/>
              <w:rPr>
                <w:sz w:val="18"/>
                <w:szCs w:val="18"/>
              </w:rPr>
            </w:pPr>
            <w:r>
              <w:rPr>
                <w:sz w:val="18"/>
                <w:szCs w:val="18"/>
              </w:rPr>
              <w:t>（</w:t>
            </w:r>
            <w:r>
              <w:rPr>
                <w:sz w:val="18"/>
                <w:szCs w:val="18"/>
              </w:rPr>
              <w:t>2</w:t>
            </w:r>
            <w:r>
              <w:rPr>
                <w:sz w:val="18"/>
                <w:szCs w:val="18"/>
              </w:rPr>
              <w:t>）提供个性化学习资源推荐和学习计划制定功能，满足不同学生的学习需求，提升学习效果。</w:t>
            </w:r>
          </w:p>
          <w:p w:rsidR="00E20B54" w:rsidRDefault="00733C9E">
            <w:pPr>
              <w:spacing w:line="240" w:lineRule="exact"/>
              <w:rPr>
                <w:sz w:val="18"/>
                <w:szCs w:val="18"/>
              </w:rPr>
            </w:pPr>
            <w:r>
              <w:rPr>
                <w:sz w:val="18"/>
                <w:szCs w:val="18"/>
              </w:rPr>
              <w:t>（</w:t>
            </w:r>
            <w:r>
              <w:rPr>
                <w:sz w:val="18"/>
                <w:szCs w:val="18"/>
              </w:rPr>
              <w:t>3</w:t>
            </w:r>
            <w:r>
              <w:rPr>
                <w:sz w:val="18"/>
                <w:szCs w:val="18"/>
              </w:rPr>
              <w:t>）平台采用云计算、大数据等先进技术，推动教育行业的智能化发展，</w:t>
            </w:r>
            <w:r w:rsidR="00C219A7">
              <w:rPr>
                <w:sz w:val="18"/>
                <w:szCs w:val="18"/>
              </w:rPr>
              <w:t>提高教学效率和管理水平，通过构建智慧教育平台，打破时间与空间的</w:t>
            </w:r>
            <w:r w:rsidR="00C219A7">
              <w:rPr>
                <w:rFonts w:hint="eastAsia"/>
                <w:sz w:val="18"/>
                <w:szCs w:val="18"/>
              </w:rPr>
              <w:t>限制</w:t>
            </w:r>
            <w:r>
              <w:rPr>
                <w:sz w:val="18"/>
                <w:szCs w:val="18"/>
              </w:rPr>
              <w:t>。</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lastRenderedPageBreak/>
              <w:t>推动公司从传统软件服务向教育生态化运</w:t>
            </w:r>
            <w:r>
              <w:rPr>
                <w:sz w:val="18"/>
                <w:szCs w:val="18"/>
              </w:rPr>
              <w:lastRenderedPageBreak/>
              <w:t>营升级。</w:t>
            </w:r>
          </w:p>
        </w:tc>
      </w:tr>
      <w:tr w:rsidR="00E20B54">
        <w:trPr>
          <w:trHeight w:val="240"/>
        </w:trPr>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lastRenderedPageBreak/>
              <w:t>多维灾害预警及应急响应系统</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融合气象、地质、水文、交通等多源数据，利用</w:t>
            </w:r>
            <w:r>
              <w:rPr>
                <w:sz w:val="18"/>
                <w:szCs w:val="18"/>
              </w:rPr>
              <w:t>AI</w:t>
            </w:r>
            <w:r>
              <w:rPr>
                <w:sz w:val="18"/>
                <w:szCs w:val="18"/>
              </w:rPr>
              <w:t>算法与仿真模型，构建灾害链风险评估体系，实现灾害发生前的早期预警与动态研判，打通应急指挥、资源调度、社会力量参与等环节，实现跨部门、跨层级的协同响应，建立公众参与机制，提升全民防灾减灾意识与自救互救能力。</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研发完成</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w:t>
            </w:r>
            <w:r>
              <w:rPr>
                <w:sz w:val="18"/>
                <w:szCs w:val="18"/>
              </w:rPr>
              <w:t>1</w:t>
            </w:r>
            <w:r>
              <w:rPr>
                <w:sz w:val="18"/>
                <w:szCs w:val="18"/>
              </w:rPr>
              <w:t>）整合多源灾害数据，实现跨灾种风险耦合分析。</w:t>
            </w:r>
          </w:p>
          <w:p w:rsidR="00E20B54" w:rsidRDefault="00733C9E">
            <w:pPr>
              <w:spacing w:line="240" w:lineRule="exact"/>
              <w:rPr>
                <w:sz w:val="18"/>
                <w:szCs w:val="18"/>
              </w:rPr>
            </w:pPr>
            <w:r>
              <w:rPr>
                <w:sz w:val="18"/>
                <w:szCs w:val="18"/>
              </w:rPr>
              <w:t>（</w:t>
            </w:r>
            <w:r>
              <w:rPr>
                <w:sz w:val="18"/>
                <w:szCs w:val="18"/>
              </w:rPr>
              <w:t>2</w:t>
            </w:r>
            <w:r>
              <w:rPr>
                <w:sz w:val="18"/>
                <w:szCs w:val="18"/>
              </w:rPr>
              <w:t>）实时更新灾害影响范围、强度及脆弱性数据，支持动态决策。</w:t>
            </w:r>
          </w:p>
          <w:p w:rsidR="00E20B54" w:rsidRDefault="00733C9E">
            <w:pPr>
              <w:spacing w:line="240" w:lineRule="exact"/>
              <w:rPr>
                <w:sz w:val="18"/>
                <w:szCs w:val="18"/>
              </w:rPr>
            </w:pPr>
            <w:r>
              <w:rPr>
                <w:sz w:val="18"/>
                <w:szCs w:val="18"/>
              </w:rPr>
              <w:t>（</w:t>
            </w:r>
            <w:r>
              <w:rPr>
                <w:sz w:val="18"/>
                <w:szCs w:val="18"/>
              </w:rPr>
              <w:t>3</w:t>
            </w:r>
            <w:r>
              <w:rPr>
                <w:sz w:val="18"/>
                <w:szCs w:val="18"/>
              </w:rPr>
              <w:t>）打通政府、企业、社会组织数据壁垒，实现跨部门信息共享与任务协同。</w:t>
            </w:r>
          </w:p>
          <w:p w:rsidR="00E20B54" w:rsidRDefault="00733C9E">
            <w:pPr>
              <w:spacing w:line="240" w:lineRule="exact"/>
              <w:rPr>
                <w:sz w:val="18"/>
                <w:szCs w:val="18"/>
              </w:rPr>
            </w:pPr>
            <w:r>
              <w:rPr>
                <w:sz w:val="18"/>
                <w:szCs w:val="18"/>
              </w:rPr>
              <w:t>（</w:t>
            </w:r>
            <w:r>
              <w:rPr>
                <w:sz w:val="18"/>
                <w:szCs w:val="18"/>
              </w:rPr>
              <w:t>4</w:t>
            </w:r>
            <w:r>
              <w:rPr>
                <w:sz w:val="18"/>
                <w:szCs w:val="18"/>
              </w:rPr>
              <w:t>）生成社区级灾害风险地图，辅助城市规划。</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通过技术融合、场景深化与生态协同构建竞争壁垒，通过</w:t>
            </w:r>
            <w:r>
              <w:rPr>
                <w:sz w:val="18"/>
                <w:szCs w:val="18"/>
              </w:rPr>
              <w:t>“</w:t>
            </w:r>
            <w:r>
              <w:rPr>
                <w:sz w:val="18"/>
                <w:szCs w:val="18"/>
              </w:rPr>
              <w:t>硬件</w:t>
            </w:r>
            <w:r>
              <w:rPr>
                <w:sz w:val="18"/>
                <w:szCs w:val="18"/>
              </w:rPr>
              <w:t>+</w:t>
            </w:r>
            <w:r>
              <w:rPr>
                <w:sz w:val="18"/>
                <w:szCs w:val="18"/>
              </w:rPr>
              <w:t>软件</w:t>
            </w:r>
            <w:r>
              <w:rPr>
                <w:sz w:val="18"/>
                <w:szCs w:val="18"/>
              </w:rPr>
              <w:t>+</w:t>
            </w:r>
            <w:r>
              <w:rPr>
                <w:sz w:val="18"/>
                <w:szCs w:val="18"/>
              </w:rPr>
              <w:t>服务</w:t>
            </w:r>
            <w:r>
              <w:rPr>
                <w:sz w:val="18"/>
                <w:szCs w:val="18"/>
              </w:rPr>
              <w:t>”</w:t>
            </w:r>
            <w:r>
              <w:rPr>
                <w:sz w:val="18"/>
                <w:szCs w:val="18"/>
              </w:rPr>
              <w:t>一体化模式提供持续盈利闭环。</w:t>
            </w:r>
          </w:p>
        </w:tc>
      </w:tr>
      <w:tr w:rsidR="00E20B54">
        <w:trPr>
          <w:trHeight w:val="240"/>
        </w:trPr>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医护人员业务档案管理系统</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通过信息化手段，实现医护人员业务档案的集中存储、动态更新、快速检索与安全共享，提高档案管理效率与质量。系统将涵盖个人基本信息、教育背景、工作经历、专业技能、科研成果、培训记录等多个维度，为医院提供全面、准确的医护人员业务档案数据支持，助力医院科学决策与精细化管理。</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研发完成</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w:t>
            </w:r>
            <w:r>
              <w:rPr>
                <w:sz w:val="18"/>
                <w:szCs w:val="18"/>
              </w:rPr>
              <w:t>1</w:t>
            </w:r>
            <w:r>
              <w:rPr>
                <w:sz w:val="18"/>
                <w:szCs w:val="18"/>
              </w:rPr>
              <w:t>）构建全面覆盖、动态更新的医护人员业务档案数据库，涵盖个人基本信息、教育背景、工作履历、专业技能、培训记录等信息，确保档案信息的完整性与时效性。</w:t>
            </w:r>
          </w:p>
          <w:p w:rsidR="00E20B54" w:rsidRDefault="00733C9E">
            <w:pPr>
              <w:spacing w:line="240" w:lineRule="exact"/>
              <w:rPr>
                <w:sz w:val="18"/>
                <w:szCs w:val="18"/>
              </w:rPr>
            </w:pPr>
            <w:r>
              <w:rPr>
                <w:sz w:val="18"/>
                <w:szCs w:val="18"/>
              </w:rPr>
              <w:t>（</w:t>
            </w:r>
            <w:r>
              <w:rPr>
                <w:sz w:val="18"/>
                <w:szCs w:val="18"/>
              </w:rPr>
              <w:t>2</w:t>
            </w:r>
            <w:r>
              <w:rPr>
                <w:sz w:val="18"/>
                <w:szCs w:val="18"/>
              </w:rPr>
              <w:t>）是通过信息化手段优化档案管理流程，实现档案的电子化存储、提升档案管理效率与准确性，降低人工操作成本。（</w:t>
            </w:r>
            <w:r>
              <w:rPr>
                <w:sz w:val="18"/>
                <w:szCs w:val="18"/>
              </w:rPr>
              <w:t>3</w:t>
            </w:r>
            <w:r>
              <w:rPr>
                <w:sz w:val="18"/>
                <w:szCs w:val="18"/>
              </w:rPr>
              <w:t>）是强化数据安全与隐私保护机制，采用加密技术、访问控制等手段，确保医护人员业务档案信息的安全性与保密性。</w:t>
            </w:r>
          </w:p>
          <w:p w:rsidR="00E20B54" w:rsidRDefault="00733C9E">
            <w:pPr>
              <w:spacing w:line="240" w:lineRule="exact"/>
              <w:rPr>
                <w:sz w:val="18"/>
                <w:szCs w:val="18"/>
              </w:rPr>
            </w:pPr>
            <w:r>
              <w:rPr>
                <w:sz w:val="18"/>
                <w:szCs w:val="18"/>
              </w:rPr>
              <w:t>（</w:t>
            </w:r>
            <w:r>
              <w:rPr>
                <w:sz w:val="18"/>
                <w:szCs w:val="18"/>
              </w:rPr>
              <w:t>4</w:t>
            </w:r>
            <w:r>
              <w:rPr>
                <w:sz w:val="18"/>
                <w:szCs w:val="18"/>
              </w:rPr>
              <w:t>）是提供决策支持功能，为医院管理层</w:t>
            </w:r>
            <w:r>
              <w:rPr>
                <w:sz w:val="18"/>
                <w:szCs w:val="18"/>
              </w:rPr>
              <w:lastRenderedPageBreak/>
              <w:t>提供医护人员职业发展、人才梯队建设等方面的数据洞察。</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lastRenderedPageBreak/>
              <w:t>通过技术赋能医疗人力资源管理的核心场景，在政策驱动、行业痛点与生态协同的三重机遇下实现业务突破。</w:t>
            </w:r>
          </w:p>
        </w:tc>
      </w:tr>
      <w:tr w:rsidR="00E20B54">
        <w:trPr>
          <w:trHeight w:val="240"/>
        </w:trPr>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lastRenderedPageBreak/>
              <w:t>社会工作平台</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构建一个全面、高效、协同的综合服务体系，以科技赋能社会工作，促进社会福祉与和谐发展。通过整合线上线下资源，搭建起一个连接政府、社会组织、志愿者及广大民众的桥梁，整合社区资源和社会组织，推动社会各界在社区事务上的合作与交流，共同为社区发展贡献力量。</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研发完成</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w:t>
            </w:r>
            <w:r>
              <w:rPr>
                <w:sz w:val="18"/>
                <w:szCs w:val="18"/>
              </w:rPr>
              <w:t>1</w:t>
            </w:r>
            <w:r>
              <w:rPr>
                <w:sz w:val="18"/>
                <w:szCs w:val="18"/>
              </w:rPr>
              <w:t>）技术架构优化：采用先进、稳定的技术架构，确保平台在高并发、大数据量等复杂环境下仍能稳定运行。</w:t>
            </w:r>
          </w:p>
          <w:p w:rsidR="00E20B54" w:rsidRDefault="00733C9E">
            <w:pPr>
              <w:spacing w:line="240" w:lineRule="exact"/>
              <w:rPr>
                <w:sz w:val="18"/>
                <w:szCs w:val="18"/>
              </w:rPr>
            </w:pPr>
            <w:r>
              <w:rPr>
                <w:sz w:val="18"/>
                <w:szCs w:val="18"/>
              </w:rPr>
              <w:t>（</w:t>
            </w:r>
            <w:r>
              <w:rPr>
                <w:sz w:val="18"/>
                <w:szCs w:val="18"/>
              </w:rPr>
              <w:t>2</w:t>
            </w:r>
            <w:r>
              <w:rPr>
                <w:sz w:val="18"/>
                <w:szCs w:val="18"/>
              </w:rPr>
              <w:t>）安全防护：建立完善的安全防护体系，包括数据加密、防火墙设置、入侵检测等，保障用户信息和平台数据的安全。</w:t>
            </w:r>
          </w:p>
          <w:p w:rsidR="00E20B54" w:rsidRDefault="00733C9E">
            <w:pPr>
              <w:spacing w:line="240" w:lineRule="exact"/>
              <w:rPr>
                <w:sz w:val="18"/>
                <w:szCs w:val="18"/>
              </w:rPr>
            </w:pPr>
            <w:r>
              <w:rPr>
                <w:sz w:val="18"/>
                <w:szCs w:val="18"/>
              </w:rPr>
              <w:t>（</w:t>
            </w:r>
            <w:r>
              <w:rPr>
                <w:sz w:val="18"/>
                <w:szCs w:val="18"/>
              </w:rPr>
              <w:t>3</w:t>
            </w:r>
            <w:r>
              <w:rPr>
                <w:sz w:val="18"/>
                <w:szCs w:val="18"/>
              </w:rPr>
              <w:t>）自动化流程：通过流程自动化工具和技术，实现服务流程的自动化处理，提高工作效率和准确性。</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该系统在公司智慧政务类产品基础上优化升级，有助于提升产品竞争力，进而提高公司竞争力。</w:t>
            </w:r>
          </w:p>
        </w:tc>
      </w:tr>
      <w:tr w:rsidR="00E20B54">
        <w:trPr>
          <w:trHeight w:val="240"/>
        </w:trPr>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ntgis</w:t>
            </w:r>
            <w:r>
              <w:rPr>
                <w:sz w:val="18"/>
                <w:szCs w:val="18"/>
              </w:rPr>
              <w:t>空间引擎服务平台</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突破传统</w:t>
            </w:r>
            <w:r>
              <w:rPr>
                <w:sz w:val="18"/>
                <w:szCs w:val="18"/>
              </w:rPr>
              <w:t>GIS</w:t>
            </w:r>
            <w:r>
              <w:rPr>
                <w:sz w:val="18"/>
                <w:szCs w:val="18"/>
              </w:rPr>
              <w:t>在三维数据处理、多源数据融合及分布式部署方面的技术瓶颈，通过集成地形、影像、矢量、</w:t>
            </w:r>
            <w:r>
              <w:rPr>
                <w:sz w:val="18"/>
                <w:szCs w:val="18"/>
              </w:rPr>
              <w:t>BIM</w:t>
            </w:r>
            <w:r>
              <w:rPr>
                <w:sz w:val="18"/>
                <w:szCs w:val="18"/>
              </w:rPr>
              <w:t>模型等多源数据，实现城市基础信息、电子政务及行业应用信息的直观三维可视化与智能化分析，为政府及行业客户提供一站式空间信息服务，助力智慧城市、应急指挥、国土规划、公共安全等领域实现数字化转型。</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研发阶段</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w:t>
            </w:r>
            <w:r>
              <w:rPr>
                <w:sz w:val="18"/>
                <w:szCs w:val="18"/>
              </w:rPr>
              <w:t>1</w:t>
            </w:r>
            <w:r>
              <w:rPr>
                <w:sz w:val="18"/>
                <w:szCs w:val="18"/>
              </w:rPr>
              <w:t>）构建高性能的空间数据引擎，实现地形、影像、矢量、</w:t>
            </w:r>
            <w:r>
              <w:rPr>
                <w:sz w:val="18"/>
                <w:szCs w:val="18"/>
              </w:rPr>
              <w:t>BIM</w:t>
            </w:r>
            <w:r>
              <w:rPr>
                <w:sz w:val="18"/>
                <w:szCs w:val="18"/>
              </w:rPr>
              <w:t>模型等海量异构数据的实时加载与高效渲染。</w:t>
            </w:r>
          </w:p>
          <w:p w:rsidR="00E20B54" w:rsidRDefault="00733C9E">
            <w:pPr>
              <w:spacing w:line="240" w:lineRule="exact"/>
              <w:rPr>
                <w:sz w:val="18"/>
                <w:szCs w:val="18"/>
              </w:rPr>
            </w:pPr>
            <w:r>
              <w:rPr>
                <w:sz w:val="18"/>
                <w:szCs w:val="18"/>
              </w:rPr>
              <w:t>（</w:t>
            </w:r>
            <w:r>
              <w:rPr>
                <w:sz w:val="18"/>
                <w:szCs w:val="18"/>
              </w:rPr>
              <w:t>2</w:t>
            </w:r>
            <w:r>
              <w:rPr>
                <w:sz w:val="18"/>
                <w:szCs w:val="18"/>
              </w:rPr>
              <w:t>）整合二维地图与三维仿真技术，实现城市基础信息、电子政务信息及行业应用信息的无缝集成与直观展示。</w:t>
            </w:r>
          </w:p>
          <w:p w:rsidR="00E20B54" w:rsidRDefault="00733C9E">
            <w:pPr>
              <w:spacing w:line="240" w:lineRule="exact"/>
              <w:rPr>
                <w:sz w:val="18"/>
                <w:szCs w:val="18"/>
              </w:rPr>
            </w:pPr>
            <w:r>
              <w:rPr>
                <w:sz w:val="18"/>
                <w:szCs w:val="18"/>
              </w:rPr>
              <w:t>（</w:t>
            </w:r>
            <w:r>
              <w:rPr>
                <w:sz w:val="18"/>
                <w:szCs w:val="18"/>
              </w:rPr>
              <w:t>3</w:t>
            </w:r>
            <w:r>
              <w:rPr>
                <w:sz w:val="18"/>
                <w:szCs w:val="18"/>
              </w:rPr>
              <w:t>）分布式架构与跨平台设计，支持高并发访问与多源数据融合，确保系统稳定性与扩展性，满足不同规模客户的定制化需求。四、标准化接口与模块化设计，降低二次开发成本，快速适配不同业务场景。</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GIS</w:t>
            </w:r>
            <w:r>
              <w:rPr>
                <w:sz w:val="18"/>
                <w:szCs w:val="18"/>
              </w:rPr>
              <w:t>技术将与其他技术进一步融合应用，提升</w:t>
            </w:r>
            <w:r>
              <w:rPr>
                <w:sz w:val="18"/>
                <w:szCs w:val="18"/>
              </w:rPr>
              <w:t>ntGIS</w:t>
            </w:r>
            <w:r>
              <w:rPr>
                <w:sz w:val="18"/>
                <w:szCs w:val="18"/>
              </w:rPr>
              <w:t>平台的技术含量和附加值，以应对技术融合带来的挑战。</w:t>
            </w:r>
          </w:p>
        </w:tc>
      </w:tr>
      <w:tr w:rsidR="00E20B54">
        <w:trPr>
          <w:trHeight w:val="240"/>
        </w:trPr>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分布式智能采集系统</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通过高效的数据采集和处理，为企业提供更加准确和及时的数据支持，助力企业做出更加明智的决策。</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研发阶段</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w:t>
            </w:r>
            <w:r>
              <w:rPr>
                <w:sz w:val="18"/>
                <w:szCs w:val="18"/>
              </w:rPr>
              <w:t>1</w:t>
            </w:r>
            <w:r>
              <w:rPr>
                <w:sz w:val="18"/>
                <w:szCs w:val="18"/>
              </w:rPr>
              <w:t>）实现高效的数据采集。通过采用分布式架构，系统能够并行、独立地从多个数据源采集数据，提高数据采集的效率和速度。同时，系统还支持多种数据接口和协议，能够兼容不同的设备和数据源，确保数据采集的广泛性和准确性。</w:t>
            </w:r>
          </w:p>
          <w:p w:rsidR="00E20B54" w:rsidRDefault="00733C9E">
            <w:pPr>
              <w:spacing w:line="240" w:lineRule="exact"/>
              <w:rPr>
                <w:sz w:val="18"/>
                <w:szCs w:val="18"/>
              </w:rPr>
            </w:pPr>
            <w:r>
              <w:rPr>
                <w:sz w:val="18"/>
                <w:szCs w:val="18"/>
              </w:rPr>
              <w:t>（</w:t>
            </w:r>
            <w:r>
              <w:rPr>
                <w:sz w:val="18"/>
                <w:szCs w:val="18"/>
              </w:rPr>
              <w:t>2</w:t>
            </w:r>
            <w:r>
              <w:rPr>
                <w:sz w:val="18"/>
                <w:szCs w:val="18"/>
              </w:rPr>
              <w:t>）在数据采集和传</w:t>
            </w:r>
            <w:r>
              <w:rPr>
                <w:sz w:val="18"/>
                <w:szCs w:val="18"/>
              </w:rPr>
              <w:lastRenderedPageBreak/>
              <w:t>输过程中，系统需要确保数据的安全性和隐私保护。通过采用加密算法对数据进行加密处理，系统能够保护数据不被窃取或篡改，确保数据的完整性和真实性。同时，系统还需要建立严格的数据访问权限控制机制，防止未经授权的访问和操作。</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lastRenderedPageBreak/>
              <w:t>推动公司向智能化、数据驱动型方向转型，在工业互联网、智慧城市、环境监测等领域构建技术壁垒，形成</w:t>
            </w:r>
            <w:r>
              <w:rPr>
                <w:sz w:val="18"/>
                <w:szCs w:val="18"/>
              </w:rPr>
              <w:t>“</w:t>
            </w:r>
            <w:r>
              <w:rPr>
                <w:sz w:val="18"/>
                <w:szCs w:val="18"/>
              </w:rPr>
              <w:t>硬件</w:t>
            </w:r>
            <w:r>
              <w:rPr>
                <w:sz w:val="18"/>
                <w:szCs w:val="18"/>
              </w:rPr>
              <w:t>+</w:t>
            </w:r>
            <w:r>
              <w:rPr>
                <w:sz w:val="18"/>
                <w:szCs w:val="18"/>
              </w:rPr>
              <w:t>软件</w:t>
            </w:r>
            <w:r>
              <w:rPr>
                <w:sz w:val="18"/>
                <w:szCs w:val="18"/>
              </w:rPr>
              <w:t>+</w:t>
            </w:r>
            <w:r>
              <w:rPr>
                <w:sz w:val="18"/>
                <w:szCs w:val="18"/>
              </w:rPr>
              <w:t>数据服务</w:t>
            </w:r>
            <w:r>
              <w:rPr>
                <w:sz w:val="18"/>
                <w:szCs w:val="18"/>
              </w:rPr>
              <w:t>”</w:t>
            </w:r>
            <w:r>
              <w:rPr>
                <w:sz w:val="18"/>
                <w:szCs w:val="18"/>
              </w:rPr>
              <w:t>的生态闭环。</w:t>
            </w:r>
          </w:p>
        </w:tc>
      </w:tr>
      <w:tr w:rsidR="00E20B54">
        <w:trPr>
          <w:trHeight w:val="240"/>
        </w:trPr>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lastRenderedPageBreak/>
              <w:t>智慧养老综合服务信息平台</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整合医疗、家政、餐饮、娱乐等多元化服务资源，为老年人提供一站式解决方案，满足其多样化的服务需求。</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研发完成</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w:t>
            </w:r>
            <w:r>
              <w:rPr>
                <w:sz w:val="18"/>
                <w:szCs w:val="18"/>
              </w:rPr>
              <w:t>1</w:t>
            </w:r>
            <w:r>
              <w:rPr>
                <w:sz w:val="18"/>
                <w:szCs w:val="18"/>
              </w:rPr>
              <w:t>）通过资源整合与数据驱动，精准匹配老年人需求与服务供给，缩短服务响应时间，提高服务覆盖率。</w:t>
            </w:r>
          </w:p>
          <w:p w:rsidR="00E20B54" w:rsidRDefault="00733C9E">
            <w:pPr>
              <w:spacing w:line="240" w:lineRule="exact"/>
              <w:rPr>
                <w:sz w:val="18"/>
                <w:szCs w:val="18"/>
              </w:rPr>
            </w:pPr>
            <w:r>
              <w:rPr>
                <w:sz w:val="18"/>
                <w:szCs w:val="18"/>
              </w:rPr>
              <w:t>（</w:t>
            </w:r>
            <w:r>
              <w:rPr>
                <w:sz w:val="18"/>
                <w:szCs w:val="18"/>
              </w:rPr>
              <w:t>2</w:t>
            </w:r>
            <w:r>
              <w:rPr>
                <w:sz w:val="18"/>
                <w:szCs w:val="18"/>
              </w:rPr>
              <w:t>）标准化服务流程，降低人力成本，提升服务机构的运营效率。建立全周期健康管理体系，通过远程监测、健康干预等手段，减少慢性病并发症，延缓失能进程。</w:t>
            </w:r>
          </w:p>
          <w:p w:rsidR="00E20B54" w:rsidRDefault="00733C9E">
            <w:pPr>
              <w:spacing w:line="240" w:lineRule="exact"/>
              <w:rPr>
                <w:sz w:val="18"/>
                <w:szCs w:val="18"/>
              </w:rPr>
            </w:pPr>
            <w:r>
              <w:rPr>
                <w:sz w:val="18"/>
                <w:szCs w:val="18"/>
              </w:rPr>
              <w:t>（</w:t>
            </w:r>
            <w:r>
              <w:rPr>
                <w:sz w:val="18"/>
                <w:szCs w:val="18"/>
              </w:rPr>
              <w:t>3</w:t>
            </w:r>
            <w:r>
              <w:rPr>
                <w:sz w:val="18"/>
                <w:szCs w:val="18"/>
              </w:rPr>
              <w:t>）普及健康知识，培养老年人自我健康管理意识。提供便捷、个性化的生活服务，提升生活独立性。丰富精神文化生活，缓解孤独感，增强社会参与感。</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构建以数据为核心的养老服务闭环，形成</w:t>
            </w:r>
            <w:r>
              <w:rPr>
                <w:sz w:val="18"/>
                <w:szCs w:val="18"/>
              </w:rPr>
              <w:t>“</w:t>
            </w:r>
            <w:r>
              <w:rPr>
                <w:sz w:val="18"/>
                <w:szCs w:val="18"/>
              </w:rPr>
              <w:t>硬件</w:t>
            </w:r>
            <w:r>
              <w:rPr>
                <w:sz w:val="18"/>
                <w:szCs w:val="18"/>
              </w:rPr>
              <w:t>+</w:t>
            </w:r>
            <w:r>
              <w:rPr>
                <w:sz w:val="18"/>
                <w:szCs w:val="18"/>
              </w:rPr>
              <w:t>平台</w:t>
            </w:r>
            <w:r>
              <w:rPr>
                <w:sz w:val="18"/>
                <w:szCs w:val="18"/>
              </w:rPr>
              <w:t>+</w:t>
            </w:r>
            <w:r>
              <w:rPr>
                <w:sz w:val="18"/>
                <w:szCs w:val="18"/>
              </w:rPr>
              <w:t>服务</w:t>
            </w:r>
            <w:r>
              <w:rPr>
                <w:sz w:val="18"/>
                <w:szCs w:val="18"/>
              </w:rPr>
              <w:t>”</w:t>
            </w:r>
            <w:r>
              <w:rPr>
                <w:sz w:val="18"/>
                <w:szCs w:val="18"/>
              </w:rPr>
              <w:t>的商业模式。</w:t>
            </w:r>
          </w:p>
        </w:tc>
      </w:tr>
      <w:tr w:rsidR="00E20B54">
        <w:trPr>
          <w:trHeight w:val="240"/>
        </w:trPr>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多场景应用预约管理平台</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运用</w:t>
            </w:r>
            <w:r>
              <w:rPr>
                <w:sz w:val="18"/>
                <w:szCs w:val="18"/>
              </w:rPr>
              <w:t>AI</w:t>
            </w:r>
            <w:r>
              <w:rPr>
                <w:sz w:val="18"/>
                <w:szCs w:val="18"/>
              </w:rPr>
              <w:t>算法动态分析供需数据，自动优化排期规则，减少设备闲置与人员等待时间，提供一站式入口、实时状态推送、智能推荐替代方案等功能。</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研发完成</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w:t>
            </w:r>
            <w:r>
              <w:rPr>
                <w:sz w:val="18"/>
                <w:szCs w:val="18"/>
              </w:rPr>
              <w:t>1</w:t>
            </w:r>
            <w:r>
              <w:rPr>
                <w:sz w:val="18"/>
                <w:szCs w:val="18"/>
              </w:rPr>
              <w:t>）旨在通过技术创新与需求深度融合，实现资源高效配置与社会服务升级。</w:t>
            </w:r>
          </w:p>
          <w:p w:rsidR="00E20B54" w:rsidRDefault="00733C9E">
            <w:pPr>
              <w:spacing w:line="240" w:lineRule="exact"/>
              <w:rPr>
                <w:sz w:val="18"/>
                <w:szCs w:val="18"/>
              </w:rPr>
            </w:pPr>
            <w:r>
              <w:rPr>
                <w:sz w:val="18"/>
                <w:szCs w:val="18"/>
              </w:rPr>
              <w:t>（</w:t>
            </w:r>
            <w:r>
              <w:rPr>
                <w:sz w:val="18"/>
                <w:szCs w:val="18"/>
              </w:rPr>
              <w:t>2</w:t>
            </w:r>
            <w:r>
              <w:rPr>
                <w:sz w:val="18"/>
                <w:szCs w:val="18"/>
              </w:rPr>
              <w:t>）技术目标上，平台将搭建基于微服务架构的智能调度中台，集成</w:t>
            </w:r>
            <w:r>
              <w:rPr>
                <w:sz w:val="18"/>
                <w:szCs w:val="18"/>
              </w:rPr>
              <w:t>AI</w:t>
            </w:r>
            <w:r>
              <w:rPr>
                <w:sz w:val="18"/>
                <w:szCs w:val="18"/>
              </w:rPr>
              <w:t>算法实现多场景资源动态分配。</w:t>
            </w:r>
          </w:p>
          <w:p w:rsidR="00E20B54" w:rsidRDefault="00733C9E">
            <w:pPr>
              <w:spacing w:line="240" w:lineRule="exact"/>
              <w:rPr>
                <w:sz w:val="18"/>
                <w:szCs w:val="18"/>
              </w:rPr>
            </w:pPr>
            <w:r>
              <w:rPr>
                <w:sz w:val="18"/>
                <w:szCs w:val="18"/>
              </w:rPr>
              <w:t>（</w:t>
            </w:r>
            <w:r>
              <w:rPr>
                <w:sz w:val="18"/>
                <w:szCs w:val="18"/>
              </w:rPr>
              <w:t>3</w:t>
            </w:r>
            <w:r>
              <w:rPr>
                <w:sz w:val="18"/>
                <w:szCs w:val="18"/>
              </w:rPr>
              <w:t>）采用分布式云计算与容器化技术，支撑每秒万级并发访问，保障系统高可用性与弹性扩展能力；同时开发低代码配置模块，支持非技术人员快速定制预约流程，降低跨行业系统对接成本。</w:t>
            </w:r>
          </w:p>
          <w:p w:rsidR="00E20B54" w:rsidRDefault="00733C9E">
            <w:pPr>
              <w:spacing w:line="240" w:lineRule="exact"/>
              <w:rPr>
                <w:sz w:val="18"/>
                <w:szCs w:val="18"/>
              </w:rPr>
            </w:pPr>
            <w:r>
              <w:rPr>
                <w:sz w:val="18"/>
                <w:szCs w:val="18"/>
              </w:rPr>
              <w:lastRenderedPageBreak/>
              <w:t>（</w:t>
            </w:r>
            <w:r>
              <w:rPr>
                <w:sz w:val="18"/>
                <w:szCs w:val="18"/>
              </w:rPr>
              <w:t>4</w:t>
            </w:r>
            <w:r>
              <w:rPr>
                <w:sz w:val="18"/>
                <w:szCs w:val="18"/>
              </w:rPr>
              <w:t>）整合多维度预约行为数据，为机构提供资源使用热力图、需求预测模型等决策工具，助力精细化管理。</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lastRenderedPageBreak/>
              <w:t>构建覆盖多行业、多场景的预约服务生态，形成</w:t>
            </w:r>
            <w:r>
              <w:rPr>
                <w:sz w:val="18"/>
                <w:szCs w:val="18"/>
              </w:rPr>
              <w:t>“</w:t>
            </w:r>
            <w:r>
              <w:rPr>
                <w:sz w:val="18"/>
                <w:szCs w:val="18"/>
              </w:rPr>
              <w:t>平台</w:t>
            </w:r>
            <w:r>
              <w:rPr>
                <w:sz w:val="18"/>
                <w:szCs w:val="18"/>
              </w:rPr>
              <w:t>+</w:t>
            </w:r>
            <w:r>
              <w:rPr>
                <w:sz w:val="18"/>
                <w:szCs w:val="18"/>
              </w:rPr>
              <w:t>数据</w:t>
            </w:r>
            <w:r>
              <w:rPr>
                <w:sz w:val="18"/>
                <w:szCs w:val="18"/>
              </w:rPr>
              <w:t>+</w:t>
            </w:r>
            <w:r>
              <w:rPr>
                <w:sz w:val="18"/>
                <w:szCs w:val="18"/>
              </w:rPr>
              <w:t>服务</w:t>
            </w:r>
            <w:r>
              <w:rPr>
                <w:sz w:val="18"/>
                <w:szCs w:val="18"/>
              </w:rPr>
              <w:t>”</w:t>
            </w:r>
            <w:r>
              <w:rPr>
                <w:sz w:val="18"/>
                <w:szCs w:val="18"/>
              </w:rPr>
              <w:t>的商业模式。</w:t>
            </w:r>
          </w:p>
        </w:tc>
      </w:tr>
      <w:tr w:rsidR="00E20B54">
        <w:trPr>
          <w:trHeight w:val="240"/>
        </w:trPr>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lastRenderedPageBreak/>
              <w:t>社区文化交流与学习平台</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整合社区内的文化资源，搭建开放、共享的交流空间</w:t>
            </w:r>
            <w:r>
              <w:rPr>
                <w:sz w:val="18"/>
                <w:szCs w:val="18"/>
              </w:rPr>
              <w:t>,</w:t>
            </w:r>
            <w:r>
              <w:rPr>
                <w:sz w:val="18"/>
                <w:szCs w:val="18"/>
              </w:rPr>
              <w:t>通过平台，居民可以轻松地发布自己的文化作品、分享学习心得，也可以参与线上线下的文化活动和培训课程，满足个性化的学习需求</w:t>
            </w:r>
            <w:r>
              <w:rPr>
                <w:sz w:val="18"/>
                <w:szCs w:val="18"/>
              </w:rPr>
              <w:t>,</w:t>
            </w:r>
            <w:r>
              <w:rPr>
                <w:sz w:val="18"/>
                <w:szCs w:val="18"/>
              </w:rPr>
              <w:t>为智慧城市的社区治理提供有力支持。</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研发完成</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w:t>
            </w:r>
            <w:r>
              <w:rPr>
                <w:sz w:val="18"/>
                <w:szCs w:val="18"/>
              </w:rPr>
              <w:t>1</w:t>
            </w:r>
            <w:r>
              <w:rPr>
                <w:sz w:val="18"/>
                <w:szCs w:val="18"/>
              </w:rPr>
              <w:t>）提供一个直观、易用的界面，使社区居民能够轻松地发布、浏览和参与文化交流活动。</w:t>
            </w:r>
          </w:p>
          <w:p w:rsidR="00E20B54" w:rsidRDefault="00733C9E">
            <w:pPr>
              <w:spacing w:line="240" w:lineRule="exact"/>
              <w:rPr>
                <w:sz w:val="18"/>
                <w:szCs w:val="18"/>
              </w:rPr>
            </w:pPr>
            <w:r>
              <w:rPr>
                <w:sz w:val="18"/>
                <w:szCs w:val="18"/>
              </w:rPr>
              <w:t>（</w:t>
            </w:r>
            <w:r>
              <w:rPr>
                <w:sz w:val="18"/>
                <w:szCs w:val="18"/>
              </w:rPr>
              <w:t>2</w:t>
            </w:r>
            <w:r>
              <w:rPr>
                <w:sz w:val="18"/>
                <w:szCs w:val="18"/>
              </w:rPr>
              <w:t>）开发智能化的学习推荐系统，根据用户的学习历史和兴趣偏好，为其推荐合适的学习内容。</w:t>
            </w:r>
          </w:p>
          <w:p w:rsidR="00E20B54" w:rsidRDefault="00733C9E">
            <w:pPr>
              <w:spacing w:line="240" w:lineRule="exact"/>
              <w:rPr>
                <w:sz w:val="18"/>
                <w:szCs w:val="18"/>
              </w:rPr>
            </w:pPr>
            <w:r>
              <w:rPr>
                <w:sz w:val="18"/>
                <w:szCs w:val="18"/>
              </w:rPr>
              <w:t>（</w:t>
            </w:r>
            <w:r>
              <w:rPr>
                <w:sz w:val="18"/>
                <w:szCs w:val="18"/>
              </w:rPr>
              <w:t>3</w:t>
            </w:r>
            <w:r>
              <w:rPr>
                <w:sz w:val="18"/>
                <w:szCs w:val="18"/>
              </w:rPr>
              <w:t>）提供个性化的服务，如定制化学习路径、个性化推荐等，提高用户满意度和忠诚度。</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聚焦垂直行业深耕、强化数据驱动能力并构建开放生态，提升公司市场竞争力、拓展业务领域并增强客户粘性，推动公司实现多元化可持续发展</w:t>
            </w:r>
            <w:r>
              <w:rPr>
                <w:sz w:val="18"/>
                <w:szCs w:val="18"/>
              </w:rPr>
              <w:t xml:space="preserve"> </w:t>
            </w:r>
            <w:r>
              <w:rPr>
                <w:sz w:val="18"/>
                <w:szCs w:val="18"/>
              </w:rPr>
              <w:t>。</w:t>
            </w:r>
          </w:p>
        </w:tc>
      </w:tr>
      <w:tr w:rsidR="00E20B54">
        <w:trPr>
          <w:trHeight w:val="240"/>
        </w:trPr>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物联网中台系统</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连接城市中的各种智能设备和传感器，实现城市基础设施的智能化管理和运营，提高城市治理水平和居民生活质量。</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研发完成</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w:t>
            </w:r>
            <w:r>
              <w:rPr>
                <w:sz w:val="18"/>
                <w:szCs w:val="18"/>
              </w:rPr>
              <w:t>1</w:t>
            </w:r>
            <w:r>
              <w:rPr>
                <w:sz w:val="18"/>
                <w:szCs w:val="18"/>
              </w:rPr>
              <w:t>）对接入的物联网设备数据进行统一采集、存储、处理和分析，确保数据的准确性和一致性。</w:t>
            </w:r>
          </w:p>
          <w:p w:rsidR="00E20B54" w:rsidRDefault="00733C9E">
            <w:pPr>
              <w:spacing w:line="240" w:lineRule="exact"/>
              <w:rPr>
                <w:sz w:val="18"/>
                <w:szCs w:val="18"/>
              </w:rPr>
            </w:pPr>
            <w:r>
              <w:rPr>
                <w:sz w:val="18"/>
                <w:szCs w:val="18"/>
              </w:rPr>
              <w:t>（</w:t>
            </w:r>
            <w:r>
              <w:rPr>
                <w:sz w:val="18"/>
                <w:szCs w:val="18"/>
              </w:rPr>
              <w:t>2</w:t>
            </w:r>
            <w:r>
              <w:rPr>
                <w:sz w:val="18"/>
                <w:szCs w:val="18"/>
              </w:rPr>
              <w:t>）提供数据安全保障措施，确保数据在传输、存储和处理过程中的安全性和隐私保护。（</w:t>
            </w:r>
            <w:r>
              <w:rPr>
                <w:sz w:val="18"/>
                <w:szCs w:val="18"/>
              </w:rPr>
              <w:t>3</w:t>
            </w:r>
            <w:r>
              <w:rPr>
                <w:sz w:val="18"/>
                <w:szCs w:val="18"/>
              </w:rPr>
              <w:t>）通过可视化平台展现设备运行情况、报警分析、接口调用、应用场景分析等信息，帮助用户更好地理解和利用物联网数据。</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物联网中台系统促进了不同行业之间的跨界合作，在智慧城市、智慧医疗等领域的应用，可以提升公共服务水平，进而加强公司的综合实力。</w:t>
            </w:r>
          </w:p>
        </w:tc>
      </w:tr>
      <w:tr w:rsidR="00E20B54">
        <w:trPr>
          <w:trHeight w:val="240"/>
        </w:trPr>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AI</w:t>
            </w:r>
            <w:r>
              <w:rPr>
                <w:sz w:val="18"/>
                <w:szCs w:val="18"/>
              </w:rPr>
              <w:t>数字人</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通过高度智能化的交互方式，能够为用户提供更加便捷、高效、个性化的服务体验。</w:t>
            </w:r>
            <w:r>
              <w:rPr>
                <w:sz w:val="18"/>
                <w:szCs w:val="18"/>
              </w:rPr>
              <w:t>AI</w:t>
            </w:r>
            <w:r>
              <w:rPr>
                <w:sz w:val="18"/>
                <w:szCs w:val="18"/>
              </w:rPr>
              <w:t>数字人的普及和应用将推动社会的信息化和智能化水平不断提升。通过减少对传统劳动力的依赖，</w:t>
            </w:r>
            <w:r>
              <w:rPr>
                <w:sz w:val="18"/>
                <w:szCs w:val="18"/>
              </w:rPr>
              <w:t>AI</w:t>
            </w:r>
            <w:r>
              <w:rPr>
                <w:sz w:val="18"/>
                <w:szCs w:val="18"/>
              </w:rPr>
              <w:t>数字人可以降低人力成本，提高生产效率，从而实现经济的可持续发展</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研发完成</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w:t>
            </w:r>
            <w:r>
              <w:rPr>
                <w:sz w:val="18"/>
                <w:szCs w:val="18"/>
              </w:rPr>
              <w:t>1</w:t>
            </w:r>
            <w:r>
              <w:rPr>
                <w:sz w:val="18"/>
                <w:szCs w:val="18"/>
              </w:rPr>
              <w:t>）实现拟人形象：运用计算机图形学、计算机视觉、语音合成等技术，生成逼真的图像、动作和声音。</w:t>
            </w:r>
          </w:p>
          <w:p w:rsidR="00E20B54" w:rsidRDefault="00733C9E">
            <w:pPr>
              <w:spacing w:line="240" w:lineRule="exact"/>
              <w:rPr>
                <w:sz w:val="18"/>
                <w:szCs w:val="18"/>
              </w:rPr>
            </w:pPr>
            <w:r>
              <w:rPr>
                <w:sz w:val="18"/>
                <w:szCs w:val="18"/>
              </w:rPr>
              <w:t>（</w:t>
            </w:r>
            <w:r>
              <w:rPr>
                <w:sz w:val="18"/>
                <w:szCs w:val="18"/>
              </w:rPr>
              <w:t>2</w:t>
            </w:r>
            <w:r>
              <w:rPr>
                <w:sz w:val="18"/>
                <w:szCs w:val="18"/>
              </w:rPr>
              <w:t>）实现生动的交互能力：</w:t>
            </w:r>
            <w:r>
              <w:rPr>
                <w:sz w:val="18"/>
                <w:szCs w:val="18"/>
              </w:rPr>
              <w:t>AI</w:t>
            </w:r>
            <w:r>
              <w:rPr>
                <w:sz w:val="18"/>
                <w:szCs w:val="18"/>
              </w:rPr>
              <w:t>具备与用户进行沟通和对话的能力，可以生成合适的回应和反馈，实现拟人化的对话和沟通。</w:t>
            </w:r>
          </w:p>
          <w:p w:rsidR="00E20B54" w:rsidRDefault="00733C9E">
            <w:pPr>
              <w:spacing w:line="240" w:lineRule="exact"/>
              <w:rPr>
                <w:sz w:val="18"/>
                <w:szCs w:val="18"/>
              </w:rPr>
            </w:pPr>
            <w:r>
              <w:rPr>
                <w:sz w:val="18"/>
                <w:szCs w:val="18"/>
              </w:rPr>
              <w:t>（</w:t>
            </w:r>
            <w:r>
              <w:rPr>
                <w:sz w:val="18"/>
                <w:szCs w:val="18"/>
              </w:rPr>
              <w:t>3</w:t>
            </w:r>
            <w:r>
              <w:rPr>
                <w:sz w:val="18"/>
                <w:szCs w:val="18"/>
              </w:rPr>
              <w:t>）多终端部署能力：实现在不同的平台和设备上运行，实现高清晰度和低时延的用户体验。</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AI</w:t>
            </w:r>
            <w:r>
              <w:rPr>
                <w:sz w:val="18"/>
                <w:szCs w:val="18"/>
              </w:rPr>
              <w:t>数字人能够广泛应用于娱乐、教育、商业等多个领域，是公司智慧城市全领域产品的创新补充，有助于提升公司产品竞争力。</w:t>
            </w:r>
          </w:p>
        </w:tc>
      </w:tr>
      <w:tr w:rsidR="00E20B54">
        <w:trPr>
          <w:trHeight w:val="240"/>
        </w:trPr>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水利安全监测系统</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确保水利工程设施的</w:t>
            </w:r>
            <w:r>
              <w:rPr>
                <w:sz w:val="18"/>
                <w:szCs w:val="18"/>
              </w:rPr>
              <w:lastRenderedPageBreak/>
              <w:t>安全运行，预防潜在的风险和灾害，提升水利管理的效率和科学性。通过实时监测和预警，发现并解决潜在的安全隐患，有效避免或减少工程事故的发生。自动采集和处理监测数据，减轻人工负担，提高管理效率。数据分析结果能够为管理人员提供决策支持。</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lastRenderedPageBreak/>
              <w:t>研发完成</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w:t>
            </w:r>
            <w:r>
              <w:rPr>
                <w:sz w:val="18"/>
                <w:szCs w:val="18"/>
              </w:rPr>
              <w:t>1</w:t>
            </w:r>
            <w:r>
              <w:rPr>
                <w:sz w:val="18"/>
                <w:szCs w:val="18"/>
              </w:rPr>
              <w:t>）风险评估与防</w:t>
            </w:r>
            <w:r>
              <w:rPr>
                <w:sz w:val="18"/>
                <w:szCs w:val="18"/>
              </w:rPr>
              <w:lastRenderedPageBreak/>
              <w:t>范：结合监测数据和历史数据，对水利工程的安全性进行风险评估，制定相应的防范措施，降低工程运行风险。</w:t>
            </w:r>
          </w:p>
          <w:p w:rsidR="00E20B54" w:rsidRDefault="00733C9E">
            <w:pPr>
              <w:spacing w:line="240" w:lineRule="exact"/>
              <w:rPr>
                <w:sz w:val="18"/>
                <w:szCs w:val="18"/>
              </w:rPr>
            </w:pPr>
            <w:r>
              <w:rPr>
                <w:sz w:val="18"/>
                <w:szCs w:val="18"/>
              </w:rPr>
              <w:t>（</w:t>
            </w:r>
            <w:r>
              <w:rPr>
                <w:sz w:val="18"/>
                <w:szCs w:val="18"/>
              </w:rPr>
              <w:t>2</w:t>
            </w:r>
            <w:r>
              <w:rPr>
                <w:sz w:val="18"/>
                <w:szCs w:val="18"/>
              </w:rPr>
              <w:t>）数据支撑与决策支持：水利安全监测系统提供的大量、准确的数据，为水资源管理部门的决策提供科学依据，提高决策的科学性和准确性。</w:t>
            </w:r>
          </w:p>
          <w:p w:rsidR="00E20B54" w:rsidRDefault="00733C9E">
            <w:pPr>
              <w:spacing w:line="240" w:lineRule="exact"/>
              <w:rPr>
                <w:sz w:val="18"/>
                <w:szCs w:val="18"/>
              </w:rPr>
            </w:pPr>
            <w:r>
              <w:rPr>
                <w:sz w:val="18"/>
                <w:szCs w:val="18"/>
              </w:rPr>
              <w:t>（</w:t>
            </w:r>
            <w:r>
              <w:rPr>
                <w:sz w:val="18"/>
                <w:szCs w:val="18"/>
              </w:rPr>
              <w:t>3</w:t>
            </w:r>
            <w:r>
              <w:rPr>
                <w:sz w:val="18"/>
                <w:szCs w:val="18"/>
              </w:rPr>
              <w:t>）科学研究与技术创新：监测数据还可用于科学研究和技术创新，推动水利工程技术的发展和水资源管理的现代化。</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lastRenderedPageBreak/>
              <w:t>该项目是公司在智慧</w:t>
            </w:r>
            <w:r>
              <w:rPr>
                <w:sz w:val="18"/>
                <w:szCs w:val="18"/>
              </w:rPr>
              <w:lastRenderedPageBreak/>
              <w:t>城市政务领域的产品补充，有助于提升公司核心竞争力。</w:t>
            </w:r>
          </w:p>
        </w:tc>
      </w:tr>
    </w:tbl>
    <w:p w:rsidR="00E20B54" w:rsidRDefault="00733C9E">
      <w:pPr>
        <w:spacing w:before="40" w:after="40" w:line="240" w:lineRule="exact"/>
        <w:rPr>
          <w:sz w:val="18"/>
          <w:szCs w:val="18"/>
        </w:rPr>
      </w:pPr>
      <w:r>
        <w:rPr>
          <w:sz w:val="18"/>
          <w:szCs w:val="18"/>
        </w:rPr>
        <w:lastRenderedPageBreak/>
        <w:t>公司研发人员情况</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2409"/>
        <w:gridCol w:w="2410"/>
        <w:gridCol w:w="2410"/>
        <w:gridCol w:w="2410"/>
      </w:tblGrid>
      <w:tr w:rsidR="00E20B54">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2025</w:t>
            </w:r>
            <w:r>
              <w:rPr>
                <w:sz w:val="18"/>
                <w:szCs w:val="18"/>
              </w:rPr>
              <w:t>年</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2024</w:t>
            </w:r>
            <w:r>
              <w:rPr>
                <w:sz w:val="18"/>
                <w:szCs w:val="18"/>
              </w:rPr>
              <w:t>年</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变动比例</w:t>
            </w:r>
          </w:p>
        </w:tc>
      </w:tr>
      <w:tr w:rsidR="00E20B54">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研发人员数量（人）</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100</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109</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-8.26%</w:t>
            </w:r>
          </w:p>
        </w:tc>
      </w:tr>
      <w:tr w:rsidR="00E20B54">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研发人员数量占比</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29.60%</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29.22%</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0.38%</w:t>
            </w:r>
          </w:p>
        </w:tc>
      </w:tr>
      <w:tr w:rsidR="00E20B54">
        <w:trPr>
          <w:trHeight w:val="240"/>
        </w:trPr>
        <w:tc>
          <w:tcPr>
            <w:tcW w:w="9639" w:type="dxa"/>
            <w:gridSpan w:val="4"/>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研发人员学历</w:t>
            </w:r>
          </w:p>
        </w:tc>
      </w:tr>
      <w:tr w:rsidR="00E20B54">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本科</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60</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63</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-4.76%</w:t>
            </w:r>
          </w:p>
        </w:tc>
      </w:tr>
      <w:tr w:rsidR="00E20B54">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硕士</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-50.00%</w:t>
            </w:r>
          </w:p>
        </w:tc>
      </w:tr>
      <w:tr w:rsidR="00E20B54">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8D8D8" w:themeFill="background1" w:themeFillShade="D8"/>
            <w:vAlign w:val="center"/>
          </w:tcPr>
          <w:p w:rsidR="00E20B54" w:rsidRDefault="00733C9E">
            <w:pPr>
              <w:spacing w:line="240" w:lineRule="exact"/>
              <w:rPr>
                <w:sz w:val="18"/>
                <w:szCs w:val="18"/>
              </w:rPr>
            </w:pPr>
            <w:r>
              <w:rPr>
                <w:sz w:val="18"/>
                <w:szCs w:val="18"/>
              </w:rPr>
              <w:t>大专</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39</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44</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-9.10%</w:t>
            </w:r>
          </w:p>
        </w:tc>
      </w:tr>
      <w:tr w:rsidR="00E20B54">
        <w:trPr>
          <w:trHeight w:val="240"/>
        </w:trPr>
        <w:tc>
          <w:tcPr>
            <w:tcW w:w="9639" w:type="dxa"/>
            <w:gridSpan w:val="4"/>
            <w:tcBorders>
              <w:top w:val="single" w:sz="2" w:space="0" w:color="auto"/>
              <w:left w:val="single" w:sz="2" w:space="0" w:color="auto"/>
              <w:bottom w:val="single" w:sz="2" w:space="0" w:color="auto"/>
              <w:right w:val="single" w:sz="2" w:space="0" w:color="auto"/>
            </w:tcBorders>
            <w:shd w:val="clear" w:color="auto" w:fill="D8D8D8" w:themeFill="background1" w:themeFillShade="D8"/>
            <w:vAlign w:val="center"/>
          </w:tcPr>
          <w:p w:rsidR="00E20B54" w:rsidRDefault="00733C9E">
            <w:pPr>
              <w:spacing w:before="40" w:after="40" w:line="240" w:lineRule="exact"/>
              <w:rPr>
                <w:sz w:val="18"/>
                <w:szCs w:val="18"/>
              </w:rPr>
            </w:pPr>
            <w:r>
              <w:rPr>
                <w:sz w:val="18"/>
                <w:szCs w:val="18"/>
              </w:rPr>
              <w:t>研发人员年龄构成</w:t>
            </w:r>
          </w:p>
        </w:tc>
      </w:tr>
      <w:tr w:rsidR="00E20B54">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8D8D8" w:themeFill="background1" w:themeFillShade="D8"/>
            <w:vAlign w:val="center"/>
          </w:tcPr>
          <w:p w:rsidR="00E20B54" w:rsidRDefault="00733C9E">
            <w:pPr>
              <w:spacing w:before="40" w:after="40" w:line="240" w:lineRule="exact"/>
              <w:rPr>
                <w:sz w:val="18"/>
                <w:szCs w:val="18"/>
              </w:rPr>
            </w:pPr>
            <w:r>
              <w:rPr>
                <w:sz w:val="18"/>
                <w:szCs w:val="18"/>
              </w:rPr>
              <w:t>30</w:t>
            </w:r>
            <w:r>
              <w:rPr>
                <w:sz w:val="18"/>
                <w:szCs w:val="18"/>
              </w:rPr>
              <w:t>岁以下</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21</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35</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-40.00%</w:t>
            </w:r>
          </w:p>
        </w:tc>
      </w:tr>
      <w:tr w:rsidR="00E20B54">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8D8D8" w:themeFill="background1" w:themeFillShade="D8"/>
            <w:vAlign w:val="center"/>
          </w:tcPr>
          <w:p w:rsidR="00E20B54" w:rsidRDefault="00733C9E">
            <w:pPr>
              <w:spacing w:before="40" w:after="40" w:line="240" w:lineRule="exact"/>
              <w:rPr>
                <w:sz w:val="18"/>
                <w:szCs w:val="18"/>
              </w:rPr>
            </w:pPr>
            <w:r>
              <w:rPr>
                <w:sz w:val="18"/>
                <w:szCs w:val="18"/>
              </w:rPr>
              <w:t>30~40</w:t>
            </w:r>
            <w:r>
              <w:rPr>
                <w:sz w:val="18"/>
                <w:szCs w:val="18"/>
              </w:rPr>
              <w:t>岁</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65</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62</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4.84%</w:t>
            </w:r>
          </w:p>
        </w:tc>
      </w:tr>
      <w:tr w:rsidR="00E20B54">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8D8D8" w:themeFill="background1" w:themeFillShade="D8"/>
            <w:vAlign w:val="center"/>
          </w:tcPr>
          <w:p w:rsidR="00E20B54" w:rsidRDefault="00733C9E">
            <w:pPr>
              <w:spacing w:line="240" w:lineRule="exact"/>
              <w:rPr>
                <w:sz w:val="18"/>
                <w:szCs w:val="18"/>
              </w:rPr>
            </w:pPr>
            <w:r>
              <w:rPr>
                <w:sz w:val="18"/>
                <w:szCs w:val="18"/>
              </w:rPr>
              <w:t>40</w:t>
            </w:r>
            <w:r>
              <w:rPr>
                <w:sz w:val="18"/>
                <w:szCs w:val="18"/>
              </w:rPr>
              <w:t>岁以上</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14</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12</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16.67%</w:t>
            </w:r>
          </w:p>
        </w:tc>
      </w:tr>
    </w:tbl>
    <w:p w:rsidR="00E20B54" w:rsidRDefault="00733C9E">
      <w:pPr>
        <w:spacing w:before="40" w:after="40" w:line="240" w:lineRule="exact"/>
        <w:rPr>
          <w:sz w:val="18"/>
          <w:szCs w:val="18"/>
        </w:rPr>
      </w:pPr>
      <w:r>
        <w:rPr>
          <w:sz w:val="18"/>
          <w:szCs w:val="18"/>
        </w:rPr>
        <w:t>近三年公司研发投入金额及占营业收入的比例</w:t>
      </w:r>
    </w:p>
    <w:tbl>
      <w:tblPr>
        <w:tblW w:w="9640"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2410"/>
        <w:gridCol w:w="2410"/>
        <w:gridCol w:w="2410"/>
        <w:gridCol w:w="2410"/>
      </w:tblGrid>
      <w:tr w:rsidR="00E20B54">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2025</w:t>
            </w:r>
            <w:r>
              <w:rPr>
                <w:sz w:val="18"/>
                <w:szCs w:val="18"/>
              </w:rPr>
              <w:t>年</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2024</w:t>
            </w:r>
            <w:r>
              <w:rPr>
                <w:sz w:val="18"/>
                <w:szCs w:val="18"/>
              </w:rPr>
              <w:t>年</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2023</w:t>
            </w:r>
            <w:r>
              <w:rPr>
                <w:sz w:val="18"/>
                <w:szCs w:val="18"/>
              </w:rPr>
              <w:t>年</w:t>
            </w:r>
          </w:p>
        </w:tc>
      </w:tr>
      <w:tr w:rsidR="00E20B54">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研发投入金额（元）</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17,389,057.32</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17,311,262.53</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17,886,140.10</w:t>
            </w:r>
          </w:p>
        </w:tc>
      </w:tr>
      <w:tr w:rsidR="00E20B54">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研发投入占营业收入比例</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3.65%</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7.74%</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4.36%</w:t>
            </w:r>
          </w:p>
        </w:tc>
      </w:tr>
      <w:tr w:rsidR="00E20B54">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研发支出资本化的金额（元）</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110,713.99</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0.00</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0.00</w:t>
            </w:r>
          </w:p>
        </w:tc>
      </w:tr>
      <w:tr w:rsidR="00E20B54">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资本化研发支出占研发投入的比例</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0.64%</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0.00%</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0.00%</w:t>
            </w:r>
          </w:p>
        </w:tc>
      </w:tr>
      <w:tr w:rsidR="00E20B54">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资本化研发支出占当期净利润的比重</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1.18%</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0.00%</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0.00%</w:t>
            </w:r>
          </w:p>
        </w:tc>
      </w:tr>
    </w:tbl>
    <w:p w:rsidR="00E20B54" w:rsidRDefault="00733C9E">
      <w:pPr>
        <w:spacing w:before="100" w:after="100" w:line="240" w:lineRule="exact"/>
        <w:rPr>
          <w:sz w:val="18"/>
          <w:szCs w:val="18"/>
        </w:rPr>
      </w:pPr>
      <w:r>
        <w:rPr>
          <w:sz w:val="18"/>
          <w:szCs w:val="18"/>
        </w:rPr>
        <w:t>公司研发人员构成发生重大变化的原因及影响</w:t>
      </w:r>
    </w:p>
    <w:p w:rsidR="00E20B54" w:rsidRDefault="00733C9E">
      <w:pPr>
        <w:spacing w:before="100" w:after="100" w:line="240" w:lineRule="exact"/>
        <w:rPr>
          <w:sz w:val="18"/>
          <w:szCs w:val="18"/>
        </w:rPr>
      </w:pPr>
      <w:r>
        <w:rPr>
          <w:sz w:val="18"/>
          <w:szCs w:val="18"/>
        </w:rPr>
        <w:t>□</w:t>
      </w:r>
      <w:r>
        <w:rPr>
          <w:sz w:val="18"/>
          <w:szCs w:val="18"/>
        </w:rPr>
        <w:t>适用</w:t>
      </w:r>
      <w:r>
        <w:rPr>
          <w:sz w:val="18"/>
          <w:szCs w:val="18"/>
        </w:rPr>
        <w:t xml:space="preserve"> </w:t>
      </w:r>
      <w:r>
        <w:rPr>
          <w:sz w:val="18"/>
          <w:szCs w:val="18"/>
        </w:rPr>
        <w:sym w:font="Wingdings 2" w:char="F052"/>
      </w:r>
      <w:r>
        <w:rPr>
          <w:sz w:val="18"/>
          <w:szCs w:val="18"/>
        </w:rPr>
        <w:t>不适用</w:t>
      </w:r>
    </w:p>
    <w:p w:rsidR="00E20B54" w:rsidRDefault="00733C9E">
      <w:pPr>
        <w:spacing w:before="100" w:after="100" w:line="240" w:lineRule="exact"/>
        <w:rPr>
          <w:sz w:val="18"/>
          <w:szCs w:val="18"/>
        </w:rPr>
      </w:pPr>
      <w:r>
        <w:rPr>
          <w:sz w:val="18"/>
          <w:szCs w:val="18"/>
        </w:rPr>
        <w:t>研发投入总额占营业收入的比重较上年发生显著变化的原因</w:t>
      </w:r>
    </w:p>
    <w:p w:rsidR="00E20B54" w:rsidRDefault="00733C9E">
      <w:pPr>
        <w:spacing w:before="100" w:after="100" w:line="240" w:lineRule="exact"/>
        <w:rPr>
          <w:sz w:val="18"/>
          <w:szCs w:val="18"/>
        </w:rPr>
      </w:pPr>
      <w:r>
        <w:rPr>
          <w:sz w:val="18"/>
          <w:szCs w:val="18"/>
        </w:rPr>
        <w:t>□</w:t>
      </w:r>
      <w:r>
        <w:rPr>
          <w:sz w:val="18"/>
          <w:szCs w:val="18"/>
        </w:rPr>
        <w:t>适用</w:t>
      </w:r>
      <w:r>
        <w:rPr>
          <w:sz w:val="18"/>
          <w:szCs w:val="18"/>
        </w:rPr>
        <w:t xml:space="preserve"> </w:t>
      </w:r>
      <w:r>
        <w:rPr>
          <w:sz w:val="18"/>
          <w:szCs w:val="18"/>
        </w:rPr>
        <w:sym w:font="Wingdings 2" w:char="F052"/>
      </w:r>
      <w:r>
        <w:rPr>
          <w:sz w:val="18"/>
          <w:szCs w:val="18"/>
        </w:rPr>
        <w:t>不适用</w:t>
      </w:r>
    </w:p>
    <w:p w:rsidR="00E20B54" w:rsidRDefault="00733C9E">
      <w:pPr>
        <w:spacing w:before="100" w:after="100" w:line="240" w:lineRule="exact"/>
        <w:rPr>
          <w:sz w:val="18"/>
          <w:szCs w:val="18"/>
        </w:rPr>
      </w:pPr>
      <w:r>
        <w:rPr>
          <w:sz w:val="18"/>
          <w:szCs w:val="18"/>
        </w:rPr>
        <w:t>研发投入资本化率大幅变动的原因及其合理性说明</w:t>
      </w:r>
    </w:p>
    <w:p w:rsidR="00E20B54" w:rsidRDefault="00733C9E">
      <w:pPr>
        <w:spacing w:before="100" w:after="100" w:line="240" w:lineRule="exact"/>
        <w:rPr>
          <w:sz w:val="18"/>
          <w:szCs w:val="18"/>
        </w:rPr>
      </w:pPr>
      <w:r>
        <w:rPr>
          <w:sz w:val="18"/>
          <w:szCs w:val="18"/>
        </w:rPr>
        <w:t>□</w:t>
      </w:r>
      <w:r>
        <w:rPr>
          <w:sz w:val="18"/>
          <w:szCs w:val="18"/>
        </w:rPr>
        <w:t>适用</w:t>
      </w:r>
      <w:r>
        <w:rPr>
          <w:sz w:val="18"/>
          <w:szCs w:val="18"/>
        </w:rPr>
        <w:t xml:space="preserve"> </w:t>
      </w:r>
      <w:r>
        <w:rPr>
          <w:sz w:val="18"/>
          <w:szCs w:val="18"/>
        </w:rPr>
        <w:sym w:font="Wingdings 2" w:char="F052"/>
      </w:r>
      <w:r>
        <w:rPr>
          <w:sz w:val="18"/>
          <w:szCs w:val="18"/>
        </w:rPr>
        <w:t>不适用</w:t>
      </w:r>
    </w:p>
    <w:p w:rsidR="00E20B54" w:rsidRDefault="00733C9E">
      <w:pPr>
        <w:spacing w:before="100" w:after="100" w:line="240" w:lineRule="exact"/>
        <w:rPr>
          <w:sz w:val="18"/>
          <w:szCs w:val="18"/>
        </w:rPr>
      </w:pPr>
      <w:r>
        <w:rPr>
          <w:sz w:val="18"/>
          <w:szCs w:val="18"/>
        </w:rPr>
        <w:lastRenderedPageBreak/>
        <w:t>公司需遵守《深圳证券交易所上市公司自律监管指引第</w:t>
      </w:r>
      <w:r>
        <w:rPr>
          <w:sz w:val="18"/>
          <w:szCs w:val="18"/>
        </w:rPr>
        <w:t>3</w:t>
      </w:r>
      <w:r>
        <w:rPr>
          <w:sz w:val="18"/>
          <w:szCs w:val="18"/>
        </w:rPr>
        <w:t>号</w:t>
      </w:r>
      <w:r>
        <w:rPr>
          <w:sz w:val="18"/>
          <w:szCs w:val="18"/>
        </w:rPr>
        <w:t>——</w:t>
      </w:r>
      <w:r>
        <w:rPr>
          <w:sz w:val="18"/>
          <w:szCs w:val="18"/>
        </w:rPr>
        <w:t>行业信息披露》中的</w:t>
      </w:r>
      <w:r>
        <w:rPr>
          <w:sz w:val="18"/>
          <w:szCs w:val="18"/>
        </w:rPr>
        <w:t>“</w:t>
      </w:r>
      <w:r>
        <w:rPr>
          <w:sz w:val="18"/>
          <w:szCs w:val="18"/>
        </w:rPr>
        <w:t>软件与信息技术服务业</w:t>
      </w:r>
      <w:r>
        <w:rPr>
          <w:sz w:val="18"/>
          <w:szCs w:val="18"/>
        </w:rPr>
        <w:t>”</w:t>
      </w:r>
      <w:r>
        <w:rPr>
          <w:sz w:val="18"/>
          <w:szCs w:val="18"/>
        </w:rPr>
        <w:t>的披露要求</w:t>
      </w:r>
    </w:p>
    <w:p w:rsidR="00E20B54" w:rsidRDefault="00733C9E">
      <w:pPr>
        <w:spacing w:before="120" w:after="120" w:line="240" w:lineRule="exact"/>
        <w:jc w:val="right"/>
        <w:rPr>
          <w:sz w:val="18"/>
          <w:szCs w:val="18"/>
        </w:rPr>
      </w:pPr>
      <w:r>
        <w:rPr>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2409"/>
        <w:gridCol w:w="2410"/>
        <w:gridCol w:w="2410"/>
        <w:gridCol w:w="2410"/>
      </w:tblGrid>
      <w:tr w:rsidR="00E20B54">
        <w:trPr>
          <w:trHeight w:val="240"/>
          <w:tblHeader/>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项目名称</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研发资本化金额</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相关项目的基本情况</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实施进度</w:t>
            </w:r>
          </w:p>
        </w:tc>
      </w:tr>
      <w:tr w:rsidR="00E20B54">
        <w:trPr>
          <w:trHeight w:val="240"/>
        </w:trPr>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翼启</w:t>
            </w:r>
            <w:r>
              <w:rPr>
                <w:sz w:val="18"/>
                <w:szCs w:val="18"/>
              </w:rPr>
              <w:t>AI</w:t>
            </w:r>
            <w:r>
              <w:rPr>
                <w:sz w:val="18"/>
                <w:szCs w:val="18"/>
              </w:rPr>
              <w:t>政策计算器</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110,713.99</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w:t>
            </w:r>
            <w:r>
              <w:rPr>
                <w:sz w:val="18"/>
                <w:szCs w:val="18"/>
              </w:rPr>
              <w:t>翼启</w:t>
            </w:r>
            <w:r>
              <w:rPr>
                <w:sz w:val="18"/>
                <w:szCs w:val="18"/>
              </w:rPr>
              <w:t>AI</w:t>
            </w:r>
            <w:r>
              <w:rPr>
                <w:sz w:val="18"/>
                <w:szCs w:val="18"/>
              </w:rPr>
              <w:t>政策计算器</w:t>
            </w:r>
            <w:r>
              <w:rPr>
                <w:sz w:val="18"/>
                <w:szCs w:val="18"/>
              </w:rPr>
              <w:t>”</w:t>
            </w:r>
            <w:r>
              <w:rPr>
                <w:sz w:val="18"/>
                <w:szCs w:val="18"/>
              </w:rPr>
              <w:t>利用人工智能技术对政府部门发布的政策文件进行收集、分析和整理，实现政策的精准匹配、推荐和详细解读，为用户提供政策查询精准匹配、个性化的政策推荐等服务，助力企业和群众更好地享受政策红利。同时也作为政策宣传和推广的辅助工具，帮助政府部门更好地服务企业和群众，从而为企业带来经济效益。公司通过数据治理和挖掘，确保数据的准确性、有效性和合法性。</w:t>
            </w:r>
            <w:r>
              <w:rPr>
                <w:sz w:val="18"/>
                <w:szCs w:val="18"/>
              </w:rPr>
              <w:t>“</w:t>
            </w:r>
            <w:r>
              <w:rPr>
                <w:sz w:val="18"/>
                <w:szCs w:val="18"/>
              </w:rPr>
              <w:t>翼启</w:t>
            </w:r>
            <w:r>
              <w:rPr>
                <w:sz w:val="18"/>
                <w:szCs w:val="18"/>
              </w:rPr>
              <w:t>AI</w:t>
            </w:r>
            <w:r>
              <w:rPr>
                <w:sz w:val="18"/>
                <w:szCs w:val="18"/>
              </w:rPr>
              <w:t>政策计算器</w:t>
            </w:r>
            <w:r>
              <w:rPr>
                <w:sz w:val="18"/>
                <w:szCs w:val="18"/>
              </w:rPr>
              <w:t>”</w:t>
            </w:r>
            <w:r>
              <w:rPr>
                <w:sz w:val="18"/>
                <w:szCs w:val="18"/>
              </w:rPr>
              <w:t>已于</w:t>
            </w:r>
            <w:r>
              <w:rPr>
                <w:sz w:val="18"/>
                <w:szCs w:val="18"/>
              </w:rPr>
              <w:t>2025</w:t>
            </w:r>
            <w:r>
              <w:rPr>
                <w:sz w:val="18"/>
                <w:szCs w:val="18"/>
              </w:rPr>
              <w:t>年</w:t>
            </w:r>
            <w:r>
              <w:rPr>
                <w:sz w:val="18"/>
                <w:szCs w:val="18"/>
              </w:rPr>
              <w:t>7</w:t>
            </w:r>
            <w:r>
              <w:rPr>
                <w:sz w:val="18"/>
                <w:szCs w:val="18"/>
              </w:rPr>
              <w:t>月完成深圳数据交易所数据商品上市流程，取得数据产权登记证书，数据</w:t>
            </w:r>
            <w:r>
              <w:rPr>
                <w:sz w:val="18"/>
                <w:szCs w:val="18"/>
              </w:rPr>
              <w:t>(</w:t>
            </w:r>
            <w:r>
              <w:rPr>
                <w:sz w:val="18"/>
                <w:szCs w:val="18"/>
              </w:rPr>
              <w:t>商品</w:t>
            </w:r>
            <w:r>
              <w:rPr>
                <w:sz w:val="18"/>
                <w:szCs w:val="18"/>
              </w:rPr>
              <w:t>)</w:t>
            </w:r>
            <w:r>
              <w:rPr>
                <w:sz w:val="18"/>
                <w:szCs w:val="18"/>
              </w:rPr>
              <w:t>上市证书，数据产权正式确权，可正式公开流通交易。根据市场调研和初步估算，该数据资产预计将带来一定的经济效益，未来该资产也可复制到全国的其他城市，其服务计费方式可能与产品销售、使用许可等相关。</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已完成</w:t>
            </w:r>
          </w:p>
        </w:tc>
      </w:tr>
    </w:tbl>
    <w:p w:rsidR="00E20B54" w:rsidRDefault="00733C9E">
      <w:pPr>
        <w:pStyle w:val="a3"/>
        <w:widowControl/>
        <w:spacing w:beforeAutospacing="0" w:afterAutospacing="0"/>
        <w:ind w:firstLine="420"/>
        <w:jc w:val="both"/>
        <w:rPr>
          <w:sz w:val="21"/>
          <w:szCs w:val="21"/>
        </w:rPr>
      </w:pPr>
      <w:r>
        <w:rPr>
          <w:sz w:val="21"/>
          <w:szCs w:val="21"/>
        </w:rPr>
        <w:t>公司严格按照《企业会计准则第</w:t>
      </w:r>
      <w:r>
        <w:rPr>
          <w:sz w:val="21"/>
          <w:szCs w:val="21"/>
        </w:rPr>
        <w:t>6</w:t>
      </w:r>
      <w:r>
        <w:rPr>
          <w:sz w:val="21"/>
          <w:szCs w:val="21"/>
        </w:rPr>
        <w:t>号</w:t>
      </w:r>
      <w:r>
        <w:rPr>
          <w:sz w:val="21"/>
          <w:szCs w:val="21"/>
        </w:rPr>
        <w:t>—</w:t>
      </w:r>
      <w:r>
        <w:rPr>
          <w:sz w:val="21"/>
          <w:szCs w:val="21"/>
        </w:rPr>
        <w:t>无形资产》及创业板相关监管要求的规定，将内部研究开发项目</w:t>
      </w:r>
      <w:r>
        <w:rPr>
          <w:rFonts w:ascii="宋体" w:hAnsi="宋体" w:cs="宋体" w:hint="eastAsia"/>
          <w:sz w:val="21"/>
          <w:szCs w:val="21"/>
        </w:rPr>
        <w:t>“</w:t>
      </w:r>
      <w:r>
        <w:rPr>
          <w:sz w:val="21"/>
          <w:szCs w:val="21"/>
        </w:rPr>
        <w:t>翼启</w:t>
      </w:r>
      <w:r>
        <w:rPr>
          <w:sz w:val="21"/>
          <w:szCs w:val="21"/>
        </w:rPr>
        <w:t>AI</w:t>
      </w:r>
      <w:r>
        <w:rPr>
          <w:sz w:val="21"/>
          <w:szCs w:val="21"/>
        </w:rPr>
        <w:t>政策计算</w:t>
      </w:r>
      <w:r>
        <w:rPr>
          <w:rFonts w:ascii="宋体" w:hAnsi="宋体" w:cs="宋体"/>
          <w:sz w:val="21"/>
          <w:szCs w:val="21"/>
        </w:rPr>
        <w:t>器”</w:t>
      </w:r>
      <w:r>
        <w:rPr>
          <w:sz w:val="21"/>
          <w:szCs w:val="21"/>
        </w:rPr>
        <w:t>的支出划分为研究阶段与开发阶段。对于研究阶段发生的支出全部计入当期损益费用化；对于开发阶段发生的支出在同时满足准则规定的条件且完成深圳数据交易所数据商品上市流程，数据产权正式确权，可正式公开流通交易，预计能带来经济效益的基础上，并取得项目立项报告、项目可行性分析报告、项目验收报告、数据产权登记证书、数据</w:t>
      </w:r>
      <w:r>
        <w:rPr>
          <w:sz w:val="21"/>
          <w:szCs w:val="21"/>
        </w:rPr>
        <w:t>(</w:t>
      </w:r>
      <w:r>
        <w:rPr>
          <w:sz w:val="21"/>
          <w:szCs w:val="21"/>
        </w:rPr>
        <w:t>商品</w:t>
      </w:r>
      <w:r>
        <w:rPr>
          <w:sz w:val="21"/>
          <w:szCs w:val="21"/>
        </w:rPr>
        <w:t>)</w:t>
      </w:r>
      <w:r>
        <w:rPr>
          <w:sz w:val="21"/>
          <w:szCs w:val="21"/>
        </w:rPr>
        <w:t>上市证书、软件测试报告时予以资本化。公司已制定并有效执行</w:t>
      </w:r>
      <w:r>
        <w:rPr>
          <w:sz w:val="21"/>
          <w:szCs w:val="21"/>
        </w:rPr>
        <w:t xml:space="preserve"> </w:t>
      </w:r>
      <w:r>
        <w:rPr>
          <w:sz w:val="21"/>
          <w:szCs w:val="21"/>
        </w:rPr>
        <w:t>《研发项目管理制度》，对研发项目全生命周期实施规范化管理，研发项目资本化依据充分、核算规范。</w:t>
      </w:r>
    </w:p>
    <w:p w:rsidR="00E20B54" w:rsidRDefault="00733C9E">
      <w:pPr>
        <w:pStyle w:val="3"/>
        <w:spacing w:line="280" w:lineRule="exact"/>
        <w:jc w:val="left"/>
        <w:rPr>
          <w:b/>
          <w:bCs/>
        </w:rPr>
      </w:pPr>
      <w:bookmarkStart w:id="29" w:name="_Toc988918"/>
      <w:r>
        <w:rPr>
          <w:b/>
          <w:bCs/>
        </w:rPr>
        <w:t>5</w:t>
      </w:r>
      <w:r>
        <w:rPr>
          <w:b/>
          <w:bCs/>
        </w:rPr>
        <w:t>、现金流</w:t>
      </w:r>
      <w:bookmarkEnd w:id="29"/>
    </w:p>
    <w:p w:rsidR="00E20B54" w:rsidRDefault="00733C9E">
      <w:pPr>
        <w:spacing w:before="40" w:after="40" w:line="240" w:lineRule="exact"/>
        <w:jc w:val="right"/>
        <w:rPr>
          <w:sz w:val="18"/>
          <w:szCs w:val="18"/>
        </w:rPr>
      </w:pPr>
      <w:r>
        <w:rPr>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2409"/>
        <w:gridCol w:w="2410"/>
        <w:gridCol w:w="2410"/>
        <w:gridCol w:w="2410"/>
      </w:tblGrid>
      <w:tr w:rsidR="00E20B54">
        <w:trPr>
          <w:trHeight w:val="240"/>
          <w:tblHeader/>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项目</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2025</w:t>
            </w:r>
            <w:r>
              <w:rPr>
                <w:sz w:val="18"/>
                <w:szCs w:val="18"/>
              </w:rPr>
              <w:t>年</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2024</w:t>
            </w:r>
            <w:r>
              <w:rPr>
                <w:sz w:val="18"/>
                <w:szCs w:val="18"/>
              </w:rPr>
              <w:t>年</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同比增减</w:t>
            </w:r>
          </w:p>
        </w:tc>
      </w:tr>
      <w:tr w:rsidR="00E20B54">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经营活动现金流入小计</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441,547,672.74</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324,194,023.92</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36.20%</w:t>
            </w:r>
          </w:p>
        </w:tc>
      </w:tr>
      <w:tr w:rsidR="00E20B54">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经营活动现金流出小计</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409,371,925.82</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378,433,528.30</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8.18%</w:t>
            </w:r>
          </w:p>
        </w:tc>
      </w:tr>
      <w:tr w:rsidR="00E20B54">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经营活动产生的现金流量净额</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32,175,746.92</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-54,239,504.38</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159.32%</w:t>
            </w:r>
          </w:p>
        </w:tc>
      </w:tr>
      <w:tr w:rsidR="00E20B54">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投资活动现金流入小计</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163,271,752.44</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551,034,534.47</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-70.37%</w:t>
            </w:r>
          </w:p>
        </w:tc>
      </w:tr>
      <w:tr w:rsidR="00E20B54">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投资活动现金流出小计</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427,915,360.48</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497,534,898.25</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-13.99%</w:t>
            </w:r>
          </w:p>
        </w:tc>
      </w:tr>
      <w:tr w:rsidR="00E20B54">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投资活动产生的现金流量净</w:t>
            </w:r>
            <w:r>
              <w:rPr>
                <w:sz w:val="18"/>
                <w:szCs w:val="18"/>
              </w:rPr>
              <w:lastRenderedPageBreak/>
              <w:t>额</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lastRenderedPageBreak/>
              <w:t>-264,643,608.04</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53,499,636.22</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-594.66%</w:t>
            </w:r>
          </w:p>
        </w:tc>
      </w:tr>
      <w:tr w:rsidR="00E20B54">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lastRenderedPageBreak/>
              <w:t>筹资活动现金流入小计</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449,696,959.32</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163,339,514.26</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175.31%</w:t>
            </w:r>
          </w:p>
        </w:tc>
      </w:tr>
      <w:tr w:rsidR="00E20B54">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筹资活动现金流出小计</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181,800,112.93</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105,500,664.66</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72.32%</w:t>
            </w:r>
          </w:p>
        </w:tc>
      </w:tr>
      <w:tr w:rsidR="00E20B54">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筹资活动产生的现金流量净额</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267,896,846.39</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57,838,849.60</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363.18%</w:t>
            </w:r>
          </w:p>
        </w:tc>
      </w:tr>
      <w:tr w:rsidR="00E20B54">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现金及现金等价物净增加额</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35,356,039.26</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57,177,551.33</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-38.16%</w:t>
            </w:r>
          </w:p>
        </w:tc>
      </w:tr>
    </w:tbl>
    <w:p w:rsidR="00E20B54" w:rsidRDefault="00733C9E">
      <w:pPr>
        <w:spacing w:before="100" w:after="100" w:line="240" w:lineRule="exact"/>
        <w:rPr>
          <w:sz w:val="18"/>
          <w:szCs w:val="18"/>
        </w:rPr>
      </w:pPr>
      <w:r>
        <w:rPr>
          <w:sz w:val="18"/>
          <w:szCs w:val="18"/>
        </w:rPr>
        <w:t>相关数据同比发生重大变动的主要影响因素说明</w:t>
      </w:r>
    </w:p>
    <w:p w:rsidR="00E20B54" w:rsidRDefault="00733C9E">
      <w:pPr>
        <w:spacing w:before="100" w:after="100" w:line="240" w:lineRule="exact"/>
        <w:rPr>
          <w:sz w:val="18"/>
          <w:szCs w:val="18"/>
        </w:rPr>
      </w:pPr>
      <w:r>
        <w:rPr>
          <w:sz w:val="18"/>
          <w:szCs w:val="18"/>
        </w:rPr>
        <w:sym w:font="Wingdings 2" w:char="F052"/>
      </w:r>
      <w:r>
        <w:rPr>
          <w:sz w:val="18"/>
          <w:szCs w:val="18"/>
        </w:rPr>
        <w:t>适用</w:t>
      </w:r>
      <w:r>
        <w:rPr>
          <w:sz w:val="18"/>
          <w:szCs w:val="18"/>
        </w:rPr>
        <w:t xml:space="preserve"> □</w:t>
      </w:r>
      <w:r>
        <w:rPr>
          <w:sz w:val="18"/>
          <w:szCs w:val="18"/>
        </w:rPr>
        <w:t>不适用</w:t>
      </w:r>
    </w:p>
    <w:p w:rsidR="00E20B54" w:rsidRDefault="00733C9E">
      <w:pPr>
        <w:pStyle w:val="a3"/>
        <w:widowControl/>
        <w:spacing w:before="100" w:beforeAutospacing="0" w:after="100" w:afterAutospacing="0"/>
        <w:jc w:val="both"/>
        <w:rPr>
          <w:szCs w:val="24"/>
        </w:rPr>
      </w:pPr>
      <w:r>
        <w:rPr>
          <w:sz w:val="18"/>
          <w:szCs w:val="18"/>
        </w:rPr>
        <w:t>（</w:t>
      </w:r>
      <w:r>
        <w:rPr>
          <w:sz w:val="18"/>
          <w:szCs w:val="18"/>
        </w:rPr>
        <w:t>1</w:t>
      </w:r>
      <w:r>
        <w:rPr>
          <w:sz w:val="18"/>
          <w:szCs w:val="18"/>
        </w:rPr>
        <w:t>）经营活动现金流入小计较上年同比上升</w:t>
      </w:r>
      <w:r>
        <w:rPr>
          <w:sz w:val="18"/>
          <w:szCs w:val="18"/>
        </w:rPr>
        <w:t>36.2%</w:t>
      </w:r>
      <w:r>
        <w:rPr>
          <w:sz w:val="18"/>
          <w:szCs w:val="18"/>
        </w:rPr>
        <w:t>，主要系外部国家宏观政策加大对地方政府负债解决力度，公司内部加大对应收账款的催收力度，重视回款等现金流管理，销售收入有效回升；</w:t>
      </w:r>
    </w:p>
    <w:p w:rsidR="00E20B54" w:rsidRDefault="00733C9E">
      <w:pPr>
        <w:pStyle w:val="a3"/>
        <w:widowControl/>
        <w:spacing w:before="100" w:beforeAutospacing="0" w:after="100" w:afterAutospacing="0"/>
        <w:jc w:val="both"/>
        <w:rPr>
          <w:szCs w:val="24"/>
        </w:rPr>
      </w:pPr>
      <w:r>
        <w:rPr>
          <w:sz w:val="18"/>
          <w:szCs w:val="18"/>
        </w:rPr>
        <w:t>（</w:t>
      </w:r>
      <w:r>
        <w:rPr>
          <w:sz w:val="18"/>
          <w:szCs w:val="18"/>
        </w:rPr>
        <w:t>2</w:t>
      </w:r>
      <w:r>
        <w:rPr>
          <w:sz w:val="18"/>
          <w:szCs w:val="18"/>
        </w:rPr>
        <w:t>）投资活动现金流入小计较上年同比下降</w:t>
      </w:r>
      <w:r>
        <w:rPr>
          <w:sz w:val="18"/>
          <w:szCs w:val="18"/>
        </w:rPr>
        <w:t>70.37%</w:t>
      </w:r>
      <w:r>
        <w:rPr>
          <w:sz w:val="18"/>
          <w:szCs w:val="18"/>
        </w:rPr>
        <w:t>，主要系公司闲置资金减少，投资流动性定期存款等理财产品减少，从而收回的投资款减少；</w:t>
      </w:r>
    </w:p>
    <w:p w:rsidR="00E20B54" w:rsidRDefault="00733C9E">
      <w:pPr>
        <w:pStyle w:val="a3"/>
        <w:widowControl/>
        <w:spacing w:before="100" w:beforeAutospacing="0" w:after="100" w:afterAutospacing="0"/>
        <w:jc w:val="both"/>
        <w:rPr>
          <w:szCs w:val="24"/>
        </w:rPr>
      </w:pPr>
      <w:r>
        <w:rPr>
          <w:sz w:val="18"/>
          <w:szCs w:val="18"/>
        </w:rPr>
        <w:t>（</w:t>
      </w:r>
      <w:r>
        <w:rPr>
          <w:sz w:val="18"/>
          <w:szCs w:val="18"/>
        </w:rPr>
        <w:t>3</w:t>
      </w:r>
      <w:r>
        <w:rPr>
          <w:sz w:val="18"/>
          <w:szCs w:val="18"/>
        </w:rPr>
        <w:t>）投资活动产生的现金流量净额较上年同比下降</w:t>
      </w:r>
      <w:r>
        <w:rPr>
          <w:sz w:val="18"/>
          <w:szCs w:val="18"/>
        </w:rPr>
        <w:t>594.66%</w:t>
      </w:r>
      <w:r>
        <w:rPr>
          <w:sz w:val="18"/>
          <w:szCs w:val="18"/>
        </w:rPr>
        <w:t>，主要系公司增加对算力服务项目及新能源光伏项目的投资，闲置资金减少，致使用于投资净流量减少；</w:t>
      </w:r>
    </w:p>
    <w:p w:rsidR="00E20B54" w:rsidRDefault="00733C9E">
      <w:pPr>
        <w:pStyle w:val="a3"/>
        <w:widowControl/>
        <w:spacing w:before="100" w:beforeAutospacing="0" w:after="100" w:afterAutospacing="0"/>
        <w:jc w:val="both"/>
        <w:rPr>
          <w:szCs w:val="24"/>
        </w:rPr>
      </w:pPr>
      <w:r>
        <w:rPr>
          <w:sz w:val="18"/>
          <w:szCs w:val="18"/>
        </w:rPr>
        <w:t>（</w:t>
      </w:r>
      <w:r>
        <w:rPr>
          <w:sz w:val="18"/>
          <w:szCs w:val="18"/>
        </w:rPr>
        <w:t>4</w:t>
      </w:r>
      <w:r>
        <w:rPr>
          <w:sz w:val="18"/>
          <w:szCs w:val="18"/>
        </w:rPr>
        <w:t>）筹资活动现金流入小计较上年同比上升</w:t>
      </w:r>
      <w:r>
        <w:rPr>
          <w:sz w:val="18"/>
          <w:szCs w:val="18"/>
        </w:rPr>
        <w:t>175.31%</w:t>
      </w:r>
      <w:r>
        <w:rPr>
          <w:sz w:val="18"/>
          <w:szCs w:val="18"/>
        </w:rPr>
        <w:t>，主要系公司适当使用杠杆，增加对算力服务项目的融资；</w:t>
      </w:r>
    </w:p>
    <w:p w:rsidR="00E20B54" w:rsidRDefault="00733C9E">
      <w:pPr>
        <w:pStyle w:val="a3"/>
        <w:widowControl/>
        <w:spacing w:before="100" w:beforeAutospacing="0" w:after="100" w:afterAutospacing="0"/>
        <w:jc w:val="both"/>
        <w:rPr>
          <w:szCs w:val="24"/>
        </w:rPr>
      </w:pPr>
      <w:r>
        <w:rPr>
          <w:sz w:val="18"/>
          <w:szCs w:val="18"/>
        </w:rPr>
        <w:t>（</w:t>
      </w:r>
      <w:r>
        <w:rPr>
          <w:sz w:val="18"/>
          <w:szCs w:val="18"/>
        </w:rPr>
        <w:t>5</w:t>
      </w:r>
      <w:r>
        <w:rPr>
          <w:sz w:val="18"/>
          <w:szCs w:val="18"/>
        </w:rPr>
        <w:t>）筹资活动现金流出小计较上年同比上升</w:t>
      </w:r>
      <w:r>
        <w:rPr>
          <w:sz w:val="18"/>
          <w:szCs w:val="18"/>
        </w:rPr>
        <w:t>72.32%</w:t>
      </w:r>
      <w:r>
        <w:rPr>
          <w:sz w:val="18"/>
          <w:szCs w:val="18"/>
        </w:rPr>
        <w:t>，主要系公司融资增加，定期归还的本金有所增加；</w:t>
      </w:r>
    </w:p>
    <w:p w:rsidR="00E20B54" w:rsidRDefault="00733C9E">
      <w:pPr>
        <w:pStyle w:val="a3"/>
        <w:widowControl/>
        <w:spacing w:before="100" w:beforeAutospacing="0" w:after="100" w:afterAutospacing="0"/>
        <w:jc w:val="both"/>
        <w:rPr>
          <w:szCs w:val="24"/>
        </w:rPr>
      </w:pPr>
      <w:r>
        <w:rPr>
          <w:sz w:val="18"/>
          <w:szCs w:val="18"/>
        </w:rPr>
        <w:t>（</w:t>
      </w:r>
      <w:r>
        <w:rPr>
          <w:sz w:val="18"/>
          <w:szCs w:val="18"/>
        </w:rPr>
        <w:t>6</w:t>
      </w:r>
      <w:r>
        <w:rPr>
          <w:sz w:val="18"/>
          <w:szCs w:val="18"/>
        </w:rPr>
        <w:t>）筹资活动产生的现金流量净额较上年同比上升</w:t>
      </w:r>
      <w:r>
        <w:rPr>
          <w:sz w:val="18"/>
          <w:szCs w:val="18"/>
        </w:rPr>
        <w:t>363.18%</w:t>
      </w:r>
      <w:r>
        <w:rPr>
          <w:sz w:val="18"/>
          <w:szCs w:val="18"/>
        </w:rPr>
        <w:t>，主要系公司适当使用杠杆，增加对算力服务项目的融资；</w:t>
      </w:r>
    </w:p>
    <w:p w:rsidR="00E20B54" w:rsidRDefault="00733C9E">
      <w:pPr>
        <w:pStyle w:val="a3"/>
        <w:widowControl/>
        <w:spacing w:before="100" w:beforeAutospacing="0" w:after="100" w:afterAutospacing="0"/>
        <w:jc w:val="both"/>
        <w:rPr>
          <w:szCs w:val="24"/>
        </w:rPr>
      </w:pPr>
      <w:r>
        <w:rPr>
          <w:sz w:val="18"/>
          <w:szCs w:val="18"/>
        </w:rPr>
        <w:t>（</w:t>
      </w:r>
      <w:r>
        <w:rPr>
          <w:sz w:val="18"/>
          <w:szCs w:val="18"/>
        </w:rPr>
        <w:t>7</w:t>
      </w:r>
      <w:r>
        <w:rPr>
          <w:sz w:val="18"/>
          <w:szCs w:val="18"/>
        </w:rPr>
        <w:t>）现金及现金等价物净增加额较上年同比下降</w:t>
      </w:r>
      <w:r>
        <w:rPr>
          <w:sz w:val="18"/>
          <w:szCs w:val="18"/>
        </w:rPr>
        <w:t>38.16%</w:t>
      </w:r>
      <w:r>
        <w:rPr>
          <w:sz w:val="18"/>
          <w:szCs w:val="18"/>
        </w:rPr>
        <w:t>，主要系经营现金流及使用杠杆增加的筹资活动使用的现金净流量有所增加所致。</w:t>
      </w:r>
    </w:p>
    <w:p w:rsidR="00E20B54" w:rsidRDefault="00733C9E">
      <w:pPr>
        <w:spacing w:before="100" w:after="100" w:line="240" w:lineRule="exact"/>
        <w:rPr>
          <w:sz w:val="18"/>
          <w:szCs w:val="18"/>
        </w:rPr>
      </w:pPr>
      <w:r>
        <w:rPr>
          <w:sz w:val="18"/>
          <w:szCs w:val="18"/>
        </w:rPr>
        <w:t>报告期内公司经营活动产生的现金净流量与本年度净利润存在重大差异的原因说明</w:t>
      </w:r>
    </w:p>
    <w:p w:rsidR="00E20B54" w:rsidRDefault="00733C9E">
      <w:pPr>
        <w:spacing w:before="100" w:after="100" w:line="240" w:lineRule="exact"/>
        <w:rPr>
          <w:sz w:val="18"/>
          <w:szCs w:val="18"/>
        </w:rPr>
      </w:pPr>
      <w:r>
        <w:rPr>
          <w:sz w:val="18"/>
          <w:szCs w:val="18"/>
        </w:rPr>
        <w:t>□</w:t>
      </w:r>
      <w:r>
        <w:rPr>
          <w:sz w:val="18"/>
          <w:szCs w:val="18"/>
        </w:rPr>
        <w:t>适用</w:t>
      </w:r>
      <w:r>
        <w:rPr>
          <w:sz w:val="18"/>
          <w:szCs w:val="18"/>
        </w:rPr>
        <w:t xml:space="preserve"> </w:t>
      </w:r>
      <w:r>
        <w:rPr>
          <w:sz w:val="18"/>
          <w:szCs w:val="18"/>
        </w:rPr>
        <w:sym w:font="Wingdings 2" w:char="F052"/>
      </w:r>
      <w:r>
        <w:rPr>
          <w:sz w:val="18"/>
          <w:szCs w:val="18"/>
        </w:rPr>
        <w:t>不适用</w:t>
      </w:r>
    </w:p>
    <w:p w:rsidR="00E20B54" w:rsidRDefault="00733C9E">
      <w:pPr>
        <w:pStyle w:val="2"/>
        <w:spacing w:before="300" w:after="300" w:line="320" w:lineRule="exact"/>
        <w:rPr>
          <w:b/>
          <w:bCs/>
          <w:sz w:val="24"/>
          <w:szCs w:val="24"/>
        </w:rPr>
      </w:pPr>
      <w:bookmarkStart w:id="30" w:name="_Toc988919"/>
      <w:r>
        <w:rPr>
          <w:b/>
          <w:bCs/>
          <w:sz w:val="24"/>
          <w:szCs w:val="24"/>
        </w:rPr>
        <w:t>五、非主营业务情况</w:t>
      </w:r>
      <w:bookmarkEnd w:id="30"/>
    </w:p>
    <w:p w:rsidR="00E20B54" w:rsidRDefault="00733C9E">
      <w:pPr>
        <w:spacing w:before="40" w:after="40" w:line="240" w:lineRule="exact"/>
        <w:rPr>
          <w:sz w:val="18"/>
          <w:szCs w:val="18"/>
        </w:rPr>
      </w:pPr>
      <w:r>
        <w:rPr>
          <w:sz w:val="18"/>
          <w:szCs w:val="18"/>
        </w:rPr>
        <w:sym w:font="Wingdings 2" w:char="F052"/>
      </w:r>
      <w:r>
        <w:rPr>
          <w:sz w:val="18"/>
          <w:szCs w:val="18"/>
        </w:rPr>
        <w:t>适用</w:t>
      </w:r>
      <w:r>
        <w:rPr>
          <w:sz w:val="18"/>
          <w:szCs w:val="18"/>
        </w:rPr>
        <w:t xml:space="preserve"> □</w:t>
      </w:r>
      <w:r>
        <w:rPr>
          <w:sz w:val="18"/>
          <w:szCs w:val="18"/>
        </w:rPr>
        <w:t>不适用</w:t>
      </w:r>
    </w:p>
    <w:p w:rsidR="00E20B54" w:rsidRDefault="00733C9E">
      <w:pPr>
        <w:spacing w:before="120" w:after="120" w:line="240" w:lineRule="exact"/>
        <w:jc w:val="right"/>
        <w:rPr>
          <w:sz w:val="18"/>
          <w:szCs w:val="18"/>
        </w:rPr>
      </w:pPr>
      <w:r>
        <w:rPr>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927"/>
        <w:gridCol w:w="1928"/>
        <w:gridCol w:w="1928"/>
        <w:gridCol w:w="1928"/>
        <w:gridCol w:w="1928"/>
      </w:tblGrid>
      <w:tr w:rsidR="00E20B54">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金额</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占利润总额比例</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形成原因说明</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是否具有可持续性</w:t>
            </w:r>
          </w:p>
        </w:tc>
      </w:tr>
      <w:tr w:rsidR="00E20B54">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投资收益</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5,467,769.79</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93.61%</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主要系地方客户应收账款债务重组形成投资收益。</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否</w:t>
            </w:r>
          </w:p>
        </w:tc>
      </w:tr>
      <w:tr w:rsidR="00E20B54">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资产减值</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842,298.72</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14.42%</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rPr>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rPr>
                <w:sz w:val="18"/>
                <w:szCs w:val="18"/>
              </w:rPr>
            </w:pPr>
          </w:p>
        </w:tc>
      </w:tr>
      <w:tr w:rsidR="00E20B54">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营业外收入</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110,271.44</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1.89%</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rPr>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rPr>
                <w:sz w:val="18"/>
                <w:szCs w:val="18"/>
              </w:rPr>
            </w:pPr>
          </w:p>
        </w:tc>
      </w:tr>
      <w:tr w:rsidR="00E20B54">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营业外支出</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1,087,580.17</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18.62%</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rPr>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rPr>
                <w:sz w:val="18"/>
                <w:szCs w:val="18"/>
              </w:rPr>
            </w:pPr>
          </w:p>
        </w:tc>
      </w:tr>
    </w:tbl>
    <w:p w:rsidR="00E20B54" w:rsidRDefault="00733C9E">
      <w:pPr>
        <w:pStyle w:val="2"/>
        <w:spacing w:before="300" w:after="300" w:line="320" w:lineRule="exact"/>
        <w:rPr>
          <w:b/>
          <w:bCs/>
          <w:sz w:val="24"/>
          <w:szCs w:val="24"/>
        </w:rPr>
      </w:pPr>
      <w:bookmarkStart w:id="31" w:name="_Toc988920"/>
      <w:r>
        <w:rPr>
          <w:b/>
          <w:bCs/>
          <w:sz w:val="24"/>
          <w:szCs w:val="24"/>
        </w:rPr>
        <w:t>六、资产及负债状况分析</w:t>
      </w:r>
      <w:bookmarkEnd w:id="31"/>
    </w:p>
    <w:p w:rsidR="00E20B54" w:rsidRDefault="00733C9E">
      <w:pPr>
        <w:pStyle w:val="3"/>
        <w:spacing w:line="280" w:lineRule="exact"/>
        <w:jc w:val="left"/>
        <w:rPr>
          <w:b/>
          <w:bCs/>
        </w:rPr>
      </w:pPr>
      <w:bookmarkStart w:id="32" w:name="_Toc988921"/>
      <w:r>
        <w:rPr>
          <w:b/>
          <w:bCs/>
        </w:rPr>
        <w:t>1</w:t>
      </w:r>
      <w:r>
        <w:rPr>
          <w:b/>
          <w:bCs/>
        </w:rPr>
        <w:t>、资产构成重大变动情况</w:t>
      </w:r>
      <w:bookmarkEnd w:id="32"/>
    </w:p>
    <w:p w:rsidR="00E20B54" w:rsidRDefault="00733C9E">
      <w:pPr>
        <w:spacing w:before="40" w:after="40" w:line="240" w:lineRule="exact"/>
        <w:jc w:val="right"/>
        <w:rPr>
          <w:sz w:val="18"/>
          <w:szCs w:val="18"/>
        </w:rPr>
      </w:pPr>
      <w:r>
        <w:rPr>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377"/>
        <w:gridCol w:w="1377"/>
        <w:gridCol w:w="1377"/>
        <w:gridCol w:w="1377"/>
        <w:gridCol w:w="1377"/>
        <w:gridCol w:w="1377"/>
        <w:gridCol w:w="1377"/>
      </w:tblGrid>
      <w:tr w:rsidR="00E20B54">
        <w:trPr>
          <w:trHeight w:val="240"/>
          <w:tblHeader/>
        </w:trPr>
        <w:tc>
          <w:tcPr>
            <w:tcW w:w="1377"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c>
          <w:tcPr>
            <w:tcW w:w="2754"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2025</w:t>
            </w:r>
            <w:r>
              <w:rPr>
                <w:sz w:val="18"/>
                <w:szCs w:val="18"/>
              </w:rPr>
              <w:t>年末</w:t>
            </w:r>
          </w:p>
        </w:tc>
        <w:tc>
          <w:tcPr>
            <w:tcW w:w="2754"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2025</w:t>
            </w:r>
            <w:r>
              <w:rPr>
                <w:sz w:val="18"/>
                <w:szCs w:val="18"/>
              </w:rPr>
              <w:t>年初</w:t>
            </w:r>
          </w:p>
        </w:tc>
        <w:tc>
          <w:tcPr>
            <w:tcW w:w="1377"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比重增减</w:t>
            </w:r>
          </w:p>
        </w:tc>
        <w:tc>
          <w:tcPr>
            <w:tcW w:w="1377"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重大变动说明</w:t>
            </w:r>
          </w:p>
        </w:tc>
      </w:tr>
      <w:tr w:rsidR="00E20B54">
        <w:trPr>
          <w:trHeight w:val="240"/>
          <w:tblHeader/>
        </w:trPr>
        <w:tc>
          <w:tcPr>
            <w:tcW w:w="1377"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金额</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占总资产比例</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金额</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占总资产比例</w:t>
            </w:r>
          </w:p>
        </w:tc>
        <w:tc>
          <w:tcPr>
            <w:tcW w:w="1377"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c>
          <w:tcPr>
            <w:tcW w:w="1377"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r>
      <w:tr w:rsidR="00E20B54">
        <w:trPr>
          <w:trHeight w:val="240"/>
        </w:trPr>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lastRenderedPageBreak/>
              <w:t>货币资金</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307,384,611.49</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21.26%</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334,623,835.24</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25.09%</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-3.83%</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无</w:t>
            </w:r>
          </w:p>
        </w:tc>
      </w:tr>
      <w:tr w:rsidR="00E20B54">
        <w:trPr>
          <w:trHeight w:val="240"/>
        </w:trPr>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应收账款</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289,612,998.20</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20.03%</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274,869,881.73</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20.61%</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-0.58%</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无</w:t>
            </w:r>
          </w:p>
        </w:tc>
      </w:tr>
      <w:tr w:rsidR="00E20B54">
        <w:trPr>
          <w:trHeight w:val="240"/>
        </w:trPr>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合同资产</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834,811.62</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0.06%</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4,631,369.93</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0.35%</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-0.29%</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无</w:t>
            </w:r>
          </w:p>
        </w:tc>
      </w:tr>
      <w:tr w:rsidR="00E20B54">
        <w:trPr>
          <w:trHeight w:val="240"/>
        </w:trPr>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存货</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89,756,796.04</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6.21%</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81,221,817.39</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6.09%</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0.12%</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无</w:t>
            </w:r>
          </w:p>
        </w:tc>
      </w:tr>
      <w:tr w:rsidR="00E20B54">
        <w:trPr>
          <w:trHeight w:val="240"/>
        </w:trPr>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固定资产</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513,494,392.57</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35.52%</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125,026,382.09</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9.37%</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26.15%</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无</w:t>
            </w:r>
          </w:p>
        </w:tc>
      </w:tr>
      <w:tr w:rsidR="00E20B54">
        <w:trPr>
          <w:trHeight w:val="240"/>
        </w:trPr>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在建工程</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350,737,899.50</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26.30%</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-26.30%</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无</w:t>
            </w:r>
          </w:p>
        </w:tc>
      </w:tr>
      <w:tr w:rsidR="00E20B54">
        <w:trPr>
          <w:trHeight w:val="240"/>
        </w:trPr>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使用权资产</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14,586,503.66</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1.01%</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8,594,708.86</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0.64%</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0.37%</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无</w:t>
            </w:r>
          </w:p>
        </w:tc>
      </w:tr>
      <w:tr w:rsidR="00E20B54">
        <w:trPr>
          <w:trHeight w:val="240"/>
        </w:trPr>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短期借款</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75,386,370.12</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5.21%</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46,223,781.13</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3.47%</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1.74%</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无</w:t>
            </w:r>
          </w:p>
        </w:tc>
      </w:tr>
      <w:tr w:rsidR="00E20B54">
        <w:trPr>
          <w:trHeight w:val="240"/>
        </w:trPr>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合同负债</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42,612,287.12</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2.95%</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48,564,228.45</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3.64%</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-0.69%</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无</w:t>
            </w:r>
          </w:p>
        </w:tc>
      </w:tr>
      <w:tr w:rsidR="00E20B54">
        <w:trPr>
          <w:trHeight w:val="240"/>
        </w:trPr>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长期借款</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213,518,051.31</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14.77%</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31,937,786.17</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2.39%</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12.38%</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无</w:t>
            </w:r>
          </w:p>
        </w:tc>
      </w:tr>
      <w:tr w:rsidR="00E20B54">
        <w:trPr>
          <w:trHeight w:val="240"/>
        </w:trPr>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租赁负债</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11,001,175.61</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0.76%</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5,786,073.08</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0.43%</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0.33%</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无</w:t>
            </w:r>
          </w:p>
        </w:tc>
      </w:tr>
    </w:tbl>
    <w:p w:rsidR="00E20B54" w:rsidRDefault="00733C9E">
      <w:pPr>
        <w:spacing w:before="100" w:after="100" w:line="240" w:lineRule="exact"/>
        <w:rPr>
          <w:sz w:val="18"/>
          <w:szCs w:val="18"/>
        </w:rPr>
      </w:pPr>
      <w:r>
        <w:rPr>
          <w:sz w:val="18"/>
          <w:szCs w:val="18"/>
        </w:rPr>
        <w:t>境外资产占比较高</w:t>
      </w:r>
    </w:p>
    <w:p w:rsidR="00E20B54" w:rsidRDefault="00733C9E">
      <w:pPr>
        <w:spacing w:before="100" w:after="100" w:line="240" w:lineRule="exact"/>
        <w:rPr>
          <w:sz w:val="18"/>
          <w:szCs w:val="18"/>
        </w:rPr>
      </w:pPr>
      <w:r>
        <w:rPr>
          <w:sz w:val="18"/>
          <w:szCs w:val="18"/>
        </w:rPr>
        <w:t>□</w:t>
      </w:r>
      <w:r>
        <w:rPr>
          <w:sz w:val="18"/>
          <w:szCs w:val="18"/>
        </w:rPr>
        <w:t>适用</w:t>
      </w:r>
      <w:r>
        <w:rPr>
          <w:sz w:val="18"/>
          <w:szCs w:val="18"/>
        </w:rPr>
        <w:t xml:space="preserve"> </w:t>
      </w:r>
      <w:r>
        <w:rPr>
          <w:sz w:val="18"/>
          <w:szCs w:val="18"/>
        </w:rPr>
        <w:sym w:font="Wingdings 2" w:char="F052"/>
      </w:r>
      <w:r>
        <w:rPr>
          <w:sz w:val="18"/>
          <w:szCs w:val="18"/>
        </w:rPr>
        <w:t>不适用</w:t>
      </w:r>
    </w:p>
    <w:p w:rsidR="00E20B54" w:rsidRDefault="00733C9E">
      <w:pPr>
        <w:pStyle w:val="3"/>
        <w:spacing w:line="280" w:lineRule="exact"/>
        <w:jc w:val="left"/>
        <w:rPr>
          <w:b/>
          <w:bCs/>
        </w:rPr>
      </w:pPr>
      <w:bookmarkStart w:id="33" w:name="_Toc988922"/>
      <w:r>
        <w:rPr>
          <w:b/>
          <w:bCs/>
        </w:rPr>
        <w:t>2</w:t>
      </w:r>
      <w:r>
        <w:rPr>
          <w:b/>
          <w:bCs/>
        </w:rPr>
        <w:t>、以公允价值计量的资产和负债</w:t>
      </w:r>
      <w:bookmarkEnd w:id="33"/>
    </w:p>
    <w:p w:rsidR="00E20B54" w:rsidRDefault="00733C9E">
      <w:pPr>
        <w:spacing w:before="100" w:after="100" w:line="240" w:lineRule="exact"/>
        <w:rPr>
          <w:sz w:val="18"/>
          <w:szCs w:val="18"/>
        </w:rPr>
      </w:pPr>
      <w:r>
        <w:rPr>
          <w:sz w:val="18"/>
          <w:szCs w:val="18"/>
        </w:rPr>
        <w:sym w:font="Wingdings 2" w:char="F052"/>
      </w:r>
      <w:r>
        <w:rPr>
          <w:sz w:val="18"/>
          <w:szCs w:val="18"/>
        </w:rPr>
        <w:t>适用</w:t>
      </w:r>
      <w:r>
        <w:rPr>
          <w:sz w:val="18"/>
          <w:szCs w:val="18"/>
        </w:rPr>
        <w:t xml:space="preserve"> □</w:t>
      </w:r>
      <w:r>
        <w:rPr>
          <w:sz w:val="18"/>
          <w:szCs w:val="18"/>
        </w:rPr>
        <w:t>不适用</w:t>
      </w:r>
    </w:p>
    <w:p w:rsidR="00E20B54" w:rsidRDefault="00733C9E">
      <w:pPr>
        <w:spacing w:before="120" w:after="120" w:line="240" w:lineRule="exact"/>
        <w:jc w:val="right"/>
        <w:rPr>
          <w:sz w:val="18"/>
          <w:szCs w:val="18"/>
        </w:rPr>
      </w:pPr>
      <w:r>
        <w:rPr>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071"/>
        <w:gridCol w:w="1071"/>
        <w:gridCol w:w="1071"/>
        <w:gridCol w:w="1071"/>
        <w:gridCol w:w="1071"/>
        <w:gridCol w:w="1071"/>
        <w:gridCol w:w="1071"/>
        <w:gridCol w:w="1071"/>
        <w:gridCol w:w="1071"/>
      </w:tblGrid>
      <w:tr w:rsidR="00E20B54">
        <w:trPr>
          <w:trHeight w:val="240"/>
          <w:tblHeader/>
        </w:trPr>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项目</w:t>
            </w:r>
          </w:p>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期初数</w:t>
            </w:r>
          </w:p>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本期公允价值变动损益</w:t>
            </w:r>
          </w:p>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计入权益的累计公允价值变动</w:t>
            </w:r>
          </w:p>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本期计提的减值</w:t>
            </w:r>
          </w:p>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本期购买金额</w:t>
            </w:r>
          </w:p>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本期出售金额</w:t>
            </w:r>
          </w:p>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其他变动</w:t>
            </w:r>
          </w:p>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期末数</w:t>
            </w:r>
          </w:p>
        </w:tc>
      </w:tr>
      <w:tr w:rsidR="00E20B54">
        <w:trPr>
          <w:trHeight w:val="240"/>
        </w:trPr>
        <w:tc>
          <w:tcPr>
            <w:tcW w:w="9639" w:type="dxa"/>
            <w:gridSpan w:val="9"/>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金融资产</w:t>
            </w:r>
          </w:p>
        </w:tc>
      </w:tr>
      <w:tr w:rsidR="00E20B54">
        <w:trPr>
          <w:trHeight w:val="240"/>
        </w:trPr>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4.</w:t>
            </w:r>
            <w:r>
              <w:rPr>
                <w:sz w:val="18"/>
                <w:szCs w:val="18"/>
              </w:rPr>
              <w:t>其他权益工具投资</w:t>
            </w:r>
          </w:p>
        </w:tc>
        <w:tc>
          <w:tcPr>
            <w:tcW w:w="1071"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4,083,400.00</w:t>
            </w:r>
          </w:p>
        </w:tc>
        <w:tc>
          <w:tcPr>
            <w:tcW w:w="1071"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-316,600.00</w:t>
            </w:r>
          </w:p>
        </w:tc>
        <w:tc>
          <w:tcPr>
            <w:tcW w:w="1071"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4,083,400.00</w:t>
            </w:r>
          </w:p>
        </w:tc>
      </w:tr>
      <w:tr w:rsidR="00E20B54">
        <w:trPr>
          <w:trHeight w:val="90"/>
        </w:trPr>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金融资产小计</w:t>
            </w:r>
          </w:p>
        </w:tc>
        <w:tc>
          <w:tcPr>
            <w:tcW w:w="1071"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4,083,400.00</w:t>
            </w:r>
          </w:p>
        </w:tc>
        <w:tc>
          <w:tcPr>
            <w:tcW w:w="1071"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-316,600.00</w:t>
            </w:r>
          </w:p>
        </w:tc>
        <w:tc>
          <w:tcPr>
            <w:tcW w:w="1071"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4,083,400.00</w:t>
            </w:r>
          </w:p>
        </w:tc>
      </w:tr>
      <w:tr w:rsidR="00E20B54">
        <w:trPr>
          <w:trHeight w:val="240"/>
        </w:trPr>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上述合计</w:t>
            </w:r>
          </w:p>
        </w:tc>
        <w:tc>
          <w:tcPr>
            <w:tcW w:w="1071"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4,083,400.00</w:t>
            </w:r>
          </w:p>
        </w:tc>
        <w:tc>
          <w:tcPr>
            <w:tcW w:w="1071"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-316,600.00</w:t>
            </w:r>
          </w:p>
        </w:tc>
        <w:tc>
          <w:tcPr>
            <w:tcW w:w="1071"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4,083,400.00</w:t>
            </w:r>
          </w:p>
        </w:tc>
      </w:tr>
      <w:tr w:rsidR="00E20B54">
        <w:trPr>
          <w:trHeight w:val="240"/>
        </w:trPr>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金融负债</w:t>
            </w:r>
          </w:p>
        </w:tc>
        <w:tc>
          <w:tcPr>
            <w:tcW w:w="1071"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0.00</w:t>
            </w:r>
          </w:p>
        </w:tc>
        <w:tc>
          <w:tcPr>
            <w:tcW w:w="1071"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0.00</w:t>
            </w:r>
          </w:p>
        </w:tc>
      </w:tr>
    </w:tbl>
    <w:p w:rsidR="00E20B54" w:rsidRDefault="00733C9E">
      <w:pPr>
        <w:spacing w:before="100" w:after="100" w:line="240" w:lineRule="exact"/>
        <w:rPr>
          <w:sz w:val="18"/>
          <w:szCs w:val="18"/>
        </w:rPr>
      </w:pPr>
      <w:r>
        <w:rPr>
          <w:sz w:val="18"/>
          <w:szCs w:val="18"/>
        </w:rPr>
        <w:t>其他变动的内容</w:t>
      </w:r>
    </w:p>
    <w:p w:rsidR="00E20B54" w:rsidRDefault="00733C9E">
      <w:pPr>
        <w:pStyle w:val="a3"/>
        <w:widowControl/>
      </w:pPr>
      <w:r>
        <w:rPr>
          <w:sz w:val="18"/>
          <w:szCs w:val="18"/>
        </w:rPr>
        <w:t>无。</w:t>
      </w:r>
    </w:p>
    <w:p w:rsidR="00E20B54" w:rsidRDefault="00733C9E">
      <w:pPr>
        <w:spacing w:before="100" w:after="100" w:line="240" w:lineRule="exact"/>
        <w:rPr>
          <w:sz w:val="18"/>
          <w:szCs w:val="18"/>
        </w:rPr>
      </w:pPr>
      <w:r>
        <w:rPr>
          <w:sz w:val="18"/>
          <w:szCs w:val="18"/>
        </w:rPr>
        <w:t>报告期内公司主要资产计量属性是否发生重大变化</w:t>
      </w:r>
    </w:p>
    <w:p w:rsidR="00E20B54" w:rsidRDefault="00733C9E">
      <w:pPr>
        <w:spacing w:before="100" w:after="100" w:line="240" w:lineRule="exact"/>
        <w:rPr>
          <w:sz w:val="18"/>
          <w:szCs w:val="18"/>
        </w:rPr>
      </w:pPr>
      <w:r>
        <w:rPr>
          <w:sz w:val="18"/>
          <w:szCs w:val="18"/>
        </w:rPr>
        <w:t>□</w:t>
      </w:r>
      <w:r>
        <w:rPr>
          <w:sz w:val="18"/>
          <w:szCs w:val="18"/>
        </w:rPr>
        <w:t>是</w:t>
      </w:r>
      <w:r>
        <w:rPr>
          <w:sz w:val="18"/>
          <w:szCs w:val="18"/>
        </w:rPr>
        <w:t xml:space="preserve"> </w:t>
      </w:r>
      <w:r>
        <w:rPr>
          <w:sz w:val="18"/>
          <w:szCs w:val="18"/>
        </w:rPr>
        <w:sym w:font="Wingdings 2" w:char="F052"/>
      </w:r>
      <w:r>
        <w:rPr>
          <w:sz w:val="18"/>
          <w:szCs w:val="18"/>
        </w:rPr>
        <w:t>否</w:t>
      </w:r>
    </w:p>
    <w:p w:rsidR="00E20B54" w:rsidRDefault="00733C9E">
      <w:pPr>
        <w:pStyle w:val="3"/>
        <w:spacing w:line="280" w:lineRule="exact"/>
        <w:jc w:val="left"/>
        <w:rPr>
          <w:b/>
          <w:bCs/>
        </w:rPr>
      </w:pPr>
      <w:bookmarkStart w:id="34" w:name="_Toc988923"/>
      <w:r>
        <w:rPr>
          <w:b/>
          <w:bCs/>
        </w:rPr>
        <w:t>3</w:t>
      </w:r>
      <w:r>
        <w:rPr>
          <w:b/>
          <w:bCs/>
        </w:rPr>
        <w:t>、截至报告期末的资产权利受限情况</w:t>
      </w:r>
      <w:bookmarkEnd w:id="34"/>
    </w:p>
    <w:tbl>
      <w:tblPr>
        <w:tblW w:w="5000" w:type="pct"/>
        <w:jc w:val="center"/>
        <w:tblBorders>
          <w:top w:val="none" w:sz="6" w:space="0" w:color="auto"/>
          <w:left w:val="none" w:sz="6" w:space="0" w:color="auto"/>
          <w:bottom w:val="none" w:sz="6" w:space="0" w:color="auto"/>
          <w:right w:val="none" w:sz="6" w:space="0" w:color="auto"/>
          <w:insideH w:val="outset" w:sz="6" w:space="0" w:color="auto"/>
          <w:insideV w:val="outset" w:sz="6" w:space="0" w:color="auto"/>
        </w:tblBorders>
        <w:tblCellMar>
          <w:top w:w="15" w:type="dxa"/>
          <w:left w:w="15" w:type="dxa"/>
          <w:bottom w:w="15" w:type="dxa"/>
          <w:right w:w="15" w:type="dxa"/>
        </w:tblCellMar>
        <w:tblLook w:val="04A0" w:firstRow="1" w:lastRow="0" w:firstColumn="1" w:lastColumn="0" w:noHBand="0" w:noVBand="1"/>
      </w:tblPr>
      <w:tblGrid>
        <w:gridCol w:w="2844"/>
        <w:gridCol w:w="2437"/>
        <w:gridCol w:w="2432"/>
        <w:gridCol w:w="2150"/>
      </w:tblGrid>
      <w:tr w:rsidR="00E20B54">
        <w:trPr>
          <w:trHeight w:val="170"/>
          <w:tblHeader/>
          <w:jc w:val="center"/>
        </w:trPr>
        <w:tc>
          <w:tcPr>
            <w:tcW w:w="1441" w:type="pct"/>
            <w:tcBorders>
              <w:top w:val="single" w:sz="8" w:space="0" w:color="auto"/>
              <w:left w:val="single" w:sz="8" w:space="0" w:color="auto"/>
              <w:bottom w:val="single" w:sz="8" w:space="0" w:color="auto"/>
              <w:right w:val="single" w:sz="8" w:space="0" w:color="auto"/>
            </w:tcBorders>
            <w:shd w:val="clear" w:color="auto" w:fill="D8D8D8" w:themeFill="background1" w:themeFillShade="D8"/>
            <w:tcMar>
              <w:top w:w="0" w:type="dxa"/>
              <w:left w:w="113" w:type="dxa"/>
              <w:bottom w:w="0" w:type="dxa"/>
              <w:right w:w="113" w:type="dxa"/>
            </w:tcMar>
            <w:vAlign w:val="center"/>
          </w:tcPr>
          <w:p w:rsidR="00E20B54" w:rsidRDefault="00733C9E">
            <w:pPr>
              <w:pStyle w:val="a3"/>
              <w:widowControl/>
              <w:spacing w:beforeAutospacing="0" w:afterAutospacing="0"/>
              <w:jc w:val="center"/>
              <w:rPr>
                <w:sz w:val="18"/>
                <w:szCs w:val="18"/>
              </w:rPr>
            </w:pPr>
            <w:r>
              <w:rPr>
                <w:sz w:val="18"/>
                <w:szCs w:val="18"/>
              </w:rPr>
              <w:t>项目</w:t>
            </w:r>
          </w:p>
        </w:tc>
        <w:tc>
          <w:tcPr>
            <w:tcW w:w="1235" w:type="pct"/>
            <w:tcBorders>
              <w:top w:val="single" w:sz="8" w:space="0" w:color="auto"/>
              <w:left w:val="nil"/>
              <w:bottom w:val="single" w:sz="8" w:space="0" w:color="auto"/>
              <w:right w:val="single" w:sz="8" w:space="0" w:color="auto"/>
            </w:tcBorders>
            <w:shd w:val="clear" w:color="auto" w:fill="D8D8D8" w:themeFill="background1" w:themeFillShade="D8"/>
            <w:tcMar>
              <w:top w:w="0" w:type="dxa"/>
              <w:left w:w="113" w:type="dxa"/>
              <w:bottom w:w="0" w:type="dxa"/>
              <w:right w:w="113" w:type="dxa"/>
            </w:tcMar>
            <w:vAlign w:val="center"/>
          </w:tcPr>
          <w:p w:rsidR="00E20B54" w:rsidRDefault="00733C9E">
            <w:pPr>
              <w:pStyle w:val="a3"/>
              <w:widowControl/>
              <w:spacing w:beforeAutospacing="0" w:afterAutospacing="0"/>
              <w:jc w:val="center"/>
              <w:rPr>
                <w:sz w:val="18"/>
                <w:szCs w:val="18"/>
              </w:rPr>
            </w:pPr>
            <w:r>
              <w:rPr>
                <w:sz w:val="18"/>
                <w:szCs w:val="18"/>
              </w:rPr>
              <w:t>期末账面价值（元）</w:t>
            </w:r>
          </w:p>
        </w:tc>
        <w:tc>
          <w:tcPr>
            <w:tcW w:w="1233" w:type="pct"/>
            <w:tcBorders>
              <w:top w:val="single" w:sz="8" w:space="0" w:color="auto"/>
              <w:left w:val="nil"/>
              <w:bottom w:val="single" w:sz="8" w:space="0" w:color="auto"/>
              <w:right w:val="single" w:sz="8" w:space="0" w:color="auto"/>
            </w:tcBorders>
            <w:shd w:val="clear" w:color="auto" w:fill="D8D8D8" w:themeFill="background1" w:themeFillShade="D8"/>
            <w:tcMar>
              <w:top w:w="0" w:type="dxa"/>
              <w:left w:w="113" w:type="dxa"/>
              <w:bottom w:w="0" w:type="dxa"/>
              <w:right w:w="113" w:type="dxa"/>
            </w:tcMar>
            <w:vAlign w:val="center"/>
          </w:tcPr>
          <w:p w:rsidR="00E20B54" w:rsidRDefault="00733C9E">
            <w:pPr>
              <w:pStyle w:val="a3"/>
              <w:widowControl/>
              <w:spacing w:beforeAutospacing="0" w:afterAutospacing="0"/>
              <w:jc w:val="center"/>
              <w:rPr>
                <w:sz w:val="18"/>
                <w:szCs w:val="18"/>
              </w:rPr>
            </w:pPr>
            <w:r>
              <w:rPr>
                <w:sz w:val="18"/>
                <w:szCs w:val="18"/>
              </w:rPr>
              <w:t>期初账面价值（元）</w:t>
            </w:r>
          </w:p>
        </w:tc>
        <w:tc>
          <w:tcPr>
            <w:tcW w:w="1090" w:type="pct"/>
            <w:tcBorders>
              <w:top w:val="single" w:sz="8" w:space="0" w:color="auto"/>
              <w:left w:val="nil"/>
              <w:bottom w:val="single" w:sz="8" w:space="0" w:color="auto"/>
              <w:right w:val="single" w:sz="8" w:space="0" w:color="auto"/>
            </w:tcBorders>
            <w:shd w:val="clear" w:color="auto" w:fill="D8D8D8" w:themeFill="background1" w:themeFillShade="D8"/>
            <w:tcMar>
              <w:top w:w="0" w:type="dxa"/>
              <w:left w:w="113" w:type="dxa"/>
              <w:bottom w:w="0" w:type="dxa"/>
              <w:right w:w="113" w:type="dxa"/>
            </w:tcMar>
            <w:vAlign w:val="center"/>
          </w:tcPr>
          <w:p w:rsidR="00E20B54" w:rsidRDefault="00733C9E">
            <w:pPr>
              <w:pStyle w:val="a3"/>
              <w:widowControl/>
              <w:spacing w:beforeAutospacing="0" w:afterAutospacing="0"/>
              <w:jc w:val="center"/>
              <w:rPr>
                <w:sz w:val="18"/>
                <w:szCs w:val="18"/>
              </w:rPr>
            </w:pPr>
            <w:r>
              <w:rPr>
                <w:sz w:val="18"/>
                <w:szCs w:val="18"/>
              </w:rPr>
              <w:t>受限原因</w:t>
            </w:r>
          </w:p>
        </w:tc>
      </w:tr>
      <w:tr w:rsidR="00E20B54">
        <w:trPr>
          <w:trHeight w:val="170"/>
          <w:jc w:val="center"/>
        </w:trPr>
        <w:tc>
          <w:tcPr>
            <w:tcW w:w="1441" w:type="pct"/>
            <w:tcBorders>
              <w:top w:val="nil"/>
              <w:left w:val="single" w:sz="8" w:space="0" w:color="auto"/>
              <w:bottom w:val="single" w:sz="8" w:space="0" w:color="auto"/>
              <w:right w:val="single" w:sz="8" w:space="0" w:color="auto"/>
            </w:tcBorders>
            <w:shd w:val="clear" w:color="auto" w:fill="auto"/>
            <w:tcMar>
              <w:top w:w="0" w:type="dxa"/>
              <w:left w:w="113" w:type="dxa"/>
              <w:bottom w:w="0" w:type="dxa"/>
              <w:right w:w="113" w:type="dxa"/>
            </w:tcMar>
            <w:vAlign w:val="center"/>
          </w:tcPr>
          <w:p w:rsidR="00E20B54" w:rsidRDefault="00733C9E">
            <w:pPr>
              <w:pStyle w:val="a3"/>
              <w:widowControl/>
              <w:spacing w:beforeAutospacing="0" w:afterAutospacing="0"/>
              <w:textAlignment w:val="center"/>
              <w:rPr>
                <w:sz w:val="18"/>
                <w:szCs w:val="18"/>
              </w:rPr>
            </w:pPr>
            <w:r>
              <w:rPr>
                <w:sz w:val="18"/>
                <w:szCs w:val="18"/>
              </w:rPr>
              <w:t>货币资金</w:t>
            </w:r>
          </w:p>
        </w:tc>
        <w:tc>
          <w:tcPr>
            <w:tcW w:w="1235" w:type="pct"/>
            <w:tcBorders>
              <w:top w:val="nil"/>
              <w:left w:val="nil"/>
              <w:bottom w:val="single" w:sz="8" w:space="0" w:color="auto"/>
              <w:right w:val="single" w:sz="8" w:space="0" w:color="auto"/>
            </w:tcBorders>
            <w:shd w:val="clear" w:color="auto" w:fill="auto"/>
            <w:tcMar>
              <w:top w:w="0" w:type="dxa"/>
              <w:left w:w="113" w:type="dxa"/>
              <w:bottom w:w="0" w:type="dxa"/>
              <w:right w:w="113" w:type="dxa"/>
            </w:tcMar>
            <w:vAlign w:val="center"/>
          </w:tcPr>
          <w:p w:rsidR="00E20B54" w:rsidRDefault="00733C9E">
            <w:pPr>
              <w:pStyle w:val="a3"/>
              <w:widowControl/>
              <w:spacing w:beforeAutospacing="0" w:afterAutospacing="0"/>
              <w:jc w:val="right"/>
              <w:textAlignment w:val="center"/>
              <w:rPr>
                <w:sz w:val="18"/>
                <w:szCs w:val="18"/>
              </w:rPr>
            </w:pPr>
            <w:r>
              <w:rPr>
                <w:sz w:val="18"/>
                <w:szCs w:val="18"/>
              </w:rPr>
              <w:t xml:space="preserve">306,390.45 </w:t>
            </w:r>
          </w:p>
        </w:tc>
        <w:tc>
          <w:tcPr>
            <w:tcW w:w="1233" w:type="pct"/>
            <w:tcBorders>
              <w:top w:val="nil"/>
              <w:left w:val="nil"/>
              <w:bottom w:val="single" w:sz="8" w:space="0" w:color="auto"/>
              <w:right w:val="single" w:sz="8" w:space="0" w:color="auto"/>
            </w:tcBorders>
            <w:shd w:val="clear" w:color="auto" w:fill="auto"/>
            <w:tcMar>
              <w:top w:w="0" w:type="dxa"/>
              <w:left w:w="113" w:type="dxa"/>
              <w:bottom w:w="0" w:type="dxa"/>
              <w:right w:w="113" w:type="dxa"/>
            </w:tcMar>
            <w:vAlign w:val="center"/>
          </w:tcPr>
          <w:p w:rsidR="00E20B54" w:rsidRDefault="00733C9E">
            <w:pPr>
              <w:pStyle w:val="a3"/>
              <w:widowControl/>
              <w:spacing w:beforeAutospacing="0" w:afterAutospacing="0"/>
              <w:jc w:val="right"/>
              <w:textAlignment w:val="center"/>
              <w:rPr>
                <w:sz w:val="18"/>
                <w:szCs w:val="18"/>
              </w:rPr>
            </w:pPr>
            <w:r>
              <w:rPr>
                <w:sz w:val="18"/>
                <w:szCs w:val="18"/>
              </w:rPr>
              <w:t>62,901,653.46</w:t>
            </w:r>
          </w:p>
        </w:tc>
        <w:tc>
          <w:tcPr>
            <w:tcW w:w="1090" w:type="pct"/>
            <w:tcBorders>
              <w:top w:val="nil"/>
              <w:left w:val="nil"/>
              <w:bottom w:val="single" w:sz="8" w:space="0" w:color="auto"/>
              <w:right w:val="single" w:sz="8" w:space="0" w:color="auto"/>
            </w:tcBorders>
            <w:shd w:val="clear" w:color="auto" w:fill="auto"/>
            <w:tcMar>
              <w:top w:w="0" w:type="dxa"/>
              <w:left w:w="113" w:type="dxa"/>
              <w:bottom w:w="0" w:type="dxa"/>
              <w:right w:w="113" w:type="dxa"/>
            </w:tcMar>
            <w:vAlign w:val="center"/>
          </w:tcPr>
          <w:p w:rsidR="00E20B54" w:rsidRDefault="00733C9E">
            <w:pPr>
              <w:pStyle w:val="a3"/>
              <w:widowControl/>
              <w:spacing w:beforeAutospacing="0" w:afterAutospacing="0"/>
              <w:jc w:val="center"/>
              <w:textAlignment w:val="center"/>
              <w:rPr>
                <w:sz w:val="18"/>
                <w:szCs w:val="18"/>
              </w:rPr>
            </w:pPr>
            <w:r>
              <w:rPr>
                <w:sz w:val="18"/>
                <w:szCs w:val="18"/>
              </w:rPr>
              <w:t>承兑保证金、冻结</w:t>
            </w:r>
          </w:p>
        </w:tc>
      </w:tr>
      <w:tr w:rsidR="00E20B54">
        <w:trPr>
          <w:trHeight w:val="259"/>
          <w:jc w:val="center"/>
        </w:trPr>
        <w:tc>
          <w:tcPr>
            <w:tcW w:w="1441" w:type="pct"/>
            <w:tcBorders>
              <w:top w:val="nil"/>
              <w:left w:val="single" w:sz="8" w:space="0" w:color="auto"/>
              <w:bottom w:val="single" w:sz="8" w:space="0" w:color="auto"/>
              <w:right w:val="single" w:sz="8" w:space="0" w:color="auto"/>
            </w:tcBorders>
            <w:shd w:val="clear" w:color="auto" w:fill="auto"/>
            <w:tcMar>
              <w:top w:w="0" w:type="dxa"/>
              <w:left w:w="113" w:type="dxa"/>
              <w:bottom w:w="0" w:type="dxa"/>
              <w:right w:w="113" w:type="dxa"/>
            </w:tcMar>
            <w:vAlign w:val="center"/>
          </w:tcPr>
          <w:p w:rsidR="00E20B54" w:rsidRDefault="00733C9E">
            <w:pPr>
              <w:pStyle w:val="a3"/>
              <w:widowControl/>
              <w:spacing w:beforeAutospacing="0" w:afterAutospacing="0"/>
              <w:textAlignment w:val="center"/>
              <w:rPr>
                <w:sz w:val="18"/>
                <w:szCs w:val="18"/>
              </w:rPr>
            </w:pPr>
            <w:r>
              <w:rPr>
                <w:sz w:val="18"/>
                <w:szCs w:val="18"/>
              </w:rPr>
              <w:t>应收账款</w:t>
            </w:r>
          </w:p>
        </w:tc>
        <w:tc>
          <w:tcPr>
            <w:tcW w:w="1235" w:type="pct"/>
            <w:tcBorders>
              <w:top w:val="nil"/>
              <w:left w:val="nil"/>
              <w:bottom w:val="single" w:sz="8" w:space="0" w:color="auto"/>
              <w:right w:val="single" w:sz="8" w:space="0" w:color="auto"/>
            </w:tcBorders>
            <w:shd w:val="clear" w:color="auto" w:fill="auto"/>
            <w:tcMar>
              <w:top w:w="0" w:type="dxa"/>
              <w:left w:w="113" w:type="dxa"/>
              <w:bottom w:w="0" w:type="dxa"/>
              <w:right w:w="113" w:type="dxa"/>
            </w:tcMar>
            <w:vAlign w:val="center"/>
          </w:tcPr>
          <w:p w:rsidR="00E20B54" w:rsidRDefault="00733C9E">
            <w:pPr>
              <w:pStyle w:val="a3"/>
              <w:widowControl/>
              <w:spacing w:beforeAutospacing="0" w:afterAutospacing="0"/>
              <w:jc w:val="right"/>
              <w:textAlignment w:val="center"/>
              <w:rPr>
                <w:sz w:val="18"/>
                <w:szCs w:val="18"/>
              </w:rPr>
            </w:pPr>
            <w:r>
              <w:rPr>
                <w:sz w:val="18"/>
                <w:szCs w:val="18"/>
              </w:rPr>
              <w:t xml:space="preserve">18,123,926.90 </w:t>
            </w:r>
          </w:p>
        </w:tc>
        <w:tc>
          <w:tcPr>
            <w:tcW w:w="1233" w:type="pct"/>
            <w:tcBorders>
              <w:top w:val="nil"/>
              <w:left w:val="nil"/>
              <w:bottom w:val="single" w:sz="8" w:space="0" w:color="auto"/>
              <w:right w:val="single" w:sz="8" w:space="0" w:color="auto"/>
            </w:tcBorders>
            <w:shd w:val="clear" w:color="auto" w:fill="auto"/>
            <w:tcMar>
              <w:top w:w="0" w:type="dxa"/>
              <w:left w:w="113" w:type="dxa"/>
              <w:bottom w:w="0" w:type="dxa"/>
              <w:right w:w="113" w:type="dxa"/>
            </w:tcMar>
            <w:vAlign w:val="center"/>
          </w:tcPr>
          <w:p w:rsidR="00E20B54" w:rsidRDefault="00733C9E">
            <w:pPr>
              <w:pStyle w:val="a3"/>
              <w:widowControl/>
              <w:spacing w:beforeAutospacing="0" w:afterAutospacing="0"/>
              <w:jc w:val="right"/>
              <w:textAlignment w:val="center"/>
              <w:rPr>
                <w:sz w:val="18"/>
                <w:szCs w:val="18"/>
              </w:rPr>
            </w:pPr>
            <w:r>
              <w:rPr>
                <w:sz w:val="18"/>
                <w:szCs w:val="18"/>
              </w:rPr>
              <w:t> </w:t>
            </w:r>
          </w:p>
        </w:tc>
        <w:tc>
          <w:tcPr>
            <w:tcW w:w="1090" w:type="pct"/>
            <w:tcBorders>
              <w:top w:val="nil"/>
              <w:left w:val="nil"/>
              <w:bottom w:val="single" w:sz="8" w:space="0" w:color="auto"/>
              <w:right w:val="single" w:sz="8" w:space="0" w:color="auto"/>
            </w:tcBorders>
            <w:shd w:val="clear" w:color="auto" w:fill="auto"/>
            <w:tcMar>
              <w:top w:w="0" w:type="dxa"/>
              <w:left w:w="113" w:type="dxa"/>
              <w:bottom w:w="0" w:type="dxa"/>
              <w:right w:w="113" w:type="dxa"/>
            </w:tcMar>
            <w:vAlign w:val="center"/>
          </w:tcPr>
          <w:p w:rsidR="00E20B54" w:rsidRDefault="00733C9E">
            <w:pPr>
              <w:pStyle w:val="a3"/>
              <w:widowControl/>
              <w:spacing w:beforeAutospacing="0" w:afterAutospacing="0"/>
              <w:jc w:val="center"/>
              <w:textAlignment w:val="center"/>
              <w:rPr>
                <w:sz w:val="18"/>
                <w:szCs w:val="18"/>
              </w:rPr>
            </w:pPr>
            <w:r>
              <w:rPr>
                <w:sz w:val="18"/>
                <w:szCs w:val="18"/>
              </w:rPr>
              <w:t>借款质押</w:t>
            </w:r>
          </w:p>
        </w:tc>
      </w:tr>
      <w:tr w:rsidR="00E20B54">
        <w:trPr>
          <w:trHeight w:val="170"/>
          <w:jc w:val="center"/>
        </w:trPr>
        <w:tc>
          <w:tcPr>
            <w:tcW w:w="1441" w:type="pct"/>
            <w:tcBorders>
              <w:top w:val="nil"/>
              <w:left w:val="single" w:sz="8" w:space="0" w:color="auto"/>
              <w:bottom w:val="single" w:sz="8" w:space="0" w:color="auto"/>
              <w:right w:val="single" w:sz="8" w:space="0" w:color="auto"/>
            </w:tcBorders>
            <w:shd w:val="clear" w:color="auto" w:fill="auto"/>
            <w:tcMar>
              <w:top w:w="0" w:type="dxa"/>
              <w:left w:w="113" w:type="dxa"/>
              <w:bottom w:w="0" w:type="dxa"/>
              <w:right w:w="113" w:type="dxa"/>
            </w:tcMar>
            <w:vAlign w:val="center"/>
          </w:tcPr>
          <w:p w:rsidR="00E20B54" w:rsidRDefault="00733C9E">
            <w:pPr>
              <w:pStyle w:val="a3"/>
              <w:widowControl/>
              <w:spacing w:beforeAutospacing="0" w:afterAutospacing="0"/>
              <w:textAlignment w:val="center"/>
              <w:rPr>
                <w:sz w:val="18"/>
                <w:szCs w:val="18"/>
              </w:rPr>
            </w:pPr>
            <w:r>
              <w:rPr>
                <w:sz w:val="18"/>
                <w:szCs w:val="18"/>
              </w:rPr>
              <w:t>一年内到期的非流动资产</w:t>
            </w:r>
          </w:p>
        </w:tc>
        <w:tc>
          <w:tcPr>
            <w:tcW w:w="1235" w:type="pct"/>
            <w:tcBorders>
              <w:top w:val="nil"/>
              <w:left w:val="nil"/>
              <w:bottom w:val="single" w:sz="8" w:space="0" w:color="auto"/>
              <w:right w:val="single" w:sz="8" w:space="0" w:color="auto"/>
            </w:tcBorders>
            <w:shd w:val="clear" w:color="auto" w:fill="auto"/>
            <w:tcMar>
              <w:top w:w="0" w:type="dxa"/>
              <w:left w:w="113" w:type="dxa"/>
              <w:bottom w:w="0" w:type="dxa"/>
              <w:right w:w="113" w:type="dxa"/>
            </w:tcMar>
            <w:vAlign w:val="center"/>
          </w:tcPr>
          <w:p w:rsidR="00E20B54" w:rsidRDefault="00733C9E">
            <w:pPr>
              <w:pStyle w:val="a3"/>
              <w:widowControl/>
              <w:spacing w:beforeAutospacing="0" w:afterAutospacing="0"/>
              <w:jc w:val="right"/>
              <w:textAlignment w:val="center"/>
              <w:rPr>
                <w:sz w:val="18"/>
                <w:szCs w:val="18"/>
              </w:rPr>
            </w:pPr>
            <w:r>
              <w:rPr>
                <w:sz w:val="18"/>
                <w:szCs w:val="18"/>
              </w:rPr>
              <w:t xml:space="preserve">19,935,383.60 </w:t>
            </w:r>
          </w:p>
        </w:tc>
        <w:tc>
          <w:tcPr>
            <w:tcW w:w="1233" w:type="pct"/>
            <w:tcBorders>
              <w:top w:val="nil"/>
              <w:left w:val="nil"/>
              <w:bottom w:val="single" w:sz="8" w:space="0" w:color="auto"/>
              <w:right w:val="single" w:sz="8" w:space="0" w:color="auto"/>
            </w:tcBorders>
            <w:shd w:val="clear" w:color="auto" w:fill="auto"/>
            <w:tcMar>
              <w:top w:w="0" w:type="dxa"/>
              <w:left w:w="113" w:type="dxa"/>
              <w:bottom w:w="0" w:type="dxa"/>
              <w:right w:w="113" w:type="dxa"/>
            </w:tcMar>
            <w:vAlign w:val="center"/>
          </w:tcPr>
          <w:p w:rsidR="00E20B54" w:rsidRDefault="00733C9E">
            <w:pPr>
              <w:pStyle w:val="a3"/>
              <w:widowControl/>
              <w:spacing w:beforeAutospacing="0" w:afterAutospacing="0"/>
              <w:jc w:val="right"/>
              <w:textAlignment w:val="center"/>
              <w:rPr>
                <w:sz w:val="18"/>
                <w:szCs w:val="18"/>
              </w:rPr>
            </w:pPr>
            <w:r>
              <w:rPr>
                <w:sz w:val="18"/>
                <w:szCs w:val="18"/>
              </w:rPr>
              <w:t> </w:t>
            </w:r>
          </w:p>
        </w:tc>
        <w:tc>
          <w:tcPr>
            <w:tcW w:w="1090" w:type="pct"/>
            <w:tcBorders>
              <w:top w:val="nil"/>
              <w:left w:val="nil"/>
              <w:bottom w:val="single" w:sz="8" w:space="0" w:color="auto"/>
              <w:right w:val="single" w:sz="8" w:space="0" w:color="auto"/>
            </w:tcBorders>
            <w:shd w:val="clear" w:color="auto" w:fill="auto"/>
            <w:tcMar>
              <w:top w:w="0" w:type="dxa"/>
              <w:left w:w="113" w:type="dxa"/>
              <w:bottom w:w="0" w:type="dxa"/>
              <w:right w:w="113" w:type="dxa"/>
            </w:tcMar>
            <w:vAlign w:val="center"/>
          </w:tcPr>
          <w:p w:rsidR="00E20B54" w:rsidRDefault="00733C9E">
            <w:pPr>
              <w:pStyle w:val="a3"/>
              <w:widowControl/>
              <w:spacing w:beforeAutospacing="0" w:afterAutospacing="0"/>
              <w:jc w:val="center"/>
              <w:textAlignment w:val="center"/>
              <w:rPr>
                <w:sz w:val="18"/>
                <w:szCs w:val="18"/>
              </w:rPr>
            </w:pPr>
            <w:r>
              <w:rPr>
                <w:sz w:val="18"/>
                <w:szCs w:val="18"/>
              </w:rPr>
              <w:t>借款质押</w:t>
            </w:r>
          </w:p>
        </w:tc>
      </w:tr>
      <w:tr w:rsidR="00E20B54">
        <w:trPr>
          <w:trHeight w:val="170"/>
          <w:jc w:val="center"/>
        </w:trPr>
        <w:tc>
          <w:tcPr>
            <w:tcW w:w="1441" w:type="pct"/>
            <w:tcBorders>
              <w:top w:val="nil"/>
              <w:left w:val="single" w:sz="8" w:space="0" w:color="auto"/>
              <w:bottom w:val="single" w:sz="8" w:space="0" w:color="auto"/>
              <w:right w:val="single" w:sz="8" w:space="0" w:color="auto"/>
            </w:tcBorders>
            <w:shd w:val="clear" w:color="auto" w:fill="auto"/>
            <w:tcMar>
              <w:top w:w="0" w:type="dxa"/>
              <w:left w:w="113" w:type="dxa"/>
              <w:bottom w:w="0" w:type="dxa"/>
              <w:right w:w="113" w:type="dxa"/>
            </w:tcMar>
            <w:vAlign w:val="center"/>
          </w:tcPr>
          <w:p w:rsidR="00E20B54" w:rsidRDefault="00733C9E">
            <w:pPr>
              <w:pStyle w:val="a3"/>
              <w:widowControl/>
              <w:spacing w:beforeAutospacing="0" w:afterAutospacing="0"/>
              <w:textAlignment w:val="center"/>
              <w:rPr>
                <w:sz w:val="18"/>
                <w:szCs w:val="18"/>
              </w:rPr>
            </w:pPr>
            <w:r>
              <w:rPr>
                <w:sz w:val="18"/>
                <w:szCs w:val="18"/>
              </w:rPr>
              <w:t>长期应收款</w:t>
            </w:r>
          </w:p>
        </w:tc>
        <w:tc>
          <w:tcPr>
            <w:tcW w:w="1235" w:type="pct"/>
            <w:tcBorders>
              <w:top w:val="nil"/>
              <w:left w:val="nil"/>
              <w:bottom w:val="single" w:sz="8" w:space="0" w:color="auto"/>
              <w:right w:val="single" w:sz="8" w:space="0" w:color="auto"/>
            </w:tcBorders>
            <w:shd w:val="clear" w:color="auto" w:fill="auto"/>
            <w:tcMar>
              <w:top w:w="0" w:type="dxa"/>
              <w:left w:w="113" w:type="dxa"/>
              <w:bottom w:w="0" w:type="dxa"/>
              <w:right w:w="113" w:type="dxa"/>
            </w:tcMar>
            <w:vAlign w:val="center"/>
          </w:tcPr>
          <w:p w:rsidR="00E20B54" w:rsidRDefault="00733C9E">
            <w:pPr>
              <w:pStyle w:val="a3"/>
              <w:widowControl/>
              <w:spacing w:beforeAutospacing="0" w:afterAutospacing="0"/>
              <w:jc w:val="right"/>
              <w:textAlignment w:val="center"/>
              <w:rPr>
                <w:sz w:val="18"/>
                <w:szCs w:val="18"/>
              </w:rPr>
            </w:pPr>
            <w:r>
              <w:rPr>
                <w:sz w:val="18"/>
                <w:szCs w:val="18"/>
              </w:rPr>
              <w:t xml:space="preserve">46,102,879.70 </w:t>
            </w:r>
          </w:p>
        </w:tc>
        <w:tc>
          <w:tcPr>
            <w:tcW w:w="1233" w:type="pct"/>
            <w:tcBorders>
              <w:top w:val="nil"/>
              <w:left w:val="nil"/>
              <w:bottom w:val="single" w:sz="8" w:space="0" w:color="auto"/>
              <w:right w:val="single" w:sz="8" w:space="0" w:color="auto"/>
            </w:tcBorders>
            <w:shd w:val="clear" w:color="auto" w:fill="auto"/>
            <w:tcMar>
              <w:top w:w="0" w:type="dxa"/>
              <w:left w:w="113" w:type="dxa"/>
              <w:bottom w:w="0" w:type="dxa"/>
              <w:right w:w="113" w:type="dxa"/>
            </w:tcMar>
            <w:vAlign w:val="center"/>
          </w:tcPr>
          <w:p w:rsidR="00E20B54" w:rsidRDefault="00733C9E">
            <w:pPr>
              <w:pStyle w:val="a3"/>
              <w:widowControl/>
              <w:spacing w:beforeAutospacing="0" w:afterAutospacing="0"/>
              <w:jc w:val="right"/>
              <w:textAlignment w:val="center"/>
              <w:rPr>
                <w:sz w:val="18"/>
                <w:szCs w:val="18"/>
              </w:rPr>
            </w:pPr>
            <w:r>
              <w:rPr>
                <w:sz w:val="18"/>
                <w:szCs w:val="18"/>
              </w:rPr>
              <w:t> </w:t>
            </w:r>
          </w:p>
        </w:tc>
        <w:tc>
          <w:tcPr>
            <w:tcW w:w="1090" w:type="pct"/>
            <w:tcBorders>
              <w:top w:val="nil"/>
              <w:left w:val="nil"/>
              <w:bottom w:val="single" w:sz="8" w:space="0" w:color="auto"/>
              <w:right w:val="single" w:sz="8" w:space="0" w:color="auto"/>
            </w:tcBorders>
            <w:shd w:val="clear" w:color="auto" w:fill="auto"/>
            <w:tcMar>
              <w:top w:w="0" w:type="dxa"/>
              <w:left w:w="113" w:type="dxa"/>
              <w:bottom w:w="0" w:type="dxa"/>
              <w:right w:w="113" w:type="dxa"/>
            </w:tcMar>
            <w:vAlign w:val="center"/>
          </w:tcPr>
          <w:p w:rsidR="00E20B54" w:rsidRDefault="00733C9E">
            <w:pPr>
              <w:pStyle w:val="a3"/>
              <w:widowControl/>
              <w:spacing w:beforeAutospacing="0" w:afterAutospacing="0"/>
              <w:jc w:val="center"/>
              <w:textAlignment w:val="center"/>
              <w:rPr>
                <w:sz w:val="18"/>
                <w:szCs w:val="18"/>
              </w:rPr>
            </w:pPr>
            <w:r>
              <w:rPr>
                <w:sz w:val="18"/>
                <w:szCs w:val="18"/>
              </w:rPr>
              <w:t>借款质押</w:t>
            </w:r>
          </w:p>
        </w:tc>
      </w:tr>
      <w:tr w:rsidR="00E20B54">
        <w:trPr>
          <w:trHeight w:val="369"/>
          <w:jc w:val="center"/>
        </w:trPr>
        <w:tc>
          <w:tcPr>
            <w:tcW w:w="1441" w:type="pct"/>
            <w:tcBorders>
              <w:top w:val="nil"/>
              <w:left w:val="single" w:sz="8" w:space="0" w:color="auto"/>
              <w:bottom w:val="single" w:sz="8" w:space="0" w:color="auto"/>
              <w:right w:val="single" w:sz="8" w:space="0" w:color="auto"/>
            </w:tcBorders>
            <w:shd w:val="clear" w:color="auto" w:fill="auto"/>
            <w:tcMar>
              <w:top w:w="0" w:type="dxa"/>
              <w:left w:w="113" w:type="dxa"/>
              <w:bottom w:w="0" w:type="dxa"/>
              <w:right w:w="113" w:type="dxa"/>
            </w:tcMar>
            <w:vAlign w:val="center"/>
          </w:tcPr>
          <w:p w:rsidR="00E20B54" w:rsidRDefault="00733C9E">
            <w:pPr>
              <w:pStyle w:val="a3"/>
              <w:widowControl/>
              <w:spacing w:beforeAutospacing="0" w:afterAutospacing="0"/>
              <w:textAlignment w:val="center"/>
              <w:rPr>
                <w:sz w:val="18"/>
                <w:szCs w:val="18"/>
              </w:rPr>
            </w:pPr>
            <w:r>
              <w:rPr>
                <w:sz w:val="18"/>
                <w:szCs w:val="18"/>
              </w:rPr>
              <w:lastRenderedPageBreak/>
              <w:t>固定资产</w:t>
            </w:r>
          </w:p>
        </w:tc>
        <w:tc>
          <w:tcPr>
            <w:tcW w:w="1235" w:type="pct"/>
            <w:tcBorders>
              <w:top w:val="nil"/>
              <w:left w:val="nil"/>
              <w:bottom w:val="single" w:sz="8" w:space="0" w:color="auto"/>
              <w:right w:val="single" w:sz="8" w:space="0" w:color="auto"/>
            </w:tcBorders>
            <w:shd w:val="clear" w:color="auto" w:fill="auto"/>
            <w:tcMar>
              <w:top w:w="0" w:type="dxa"/>
              <w:left w:w="113" w:type="dxa"/>
              <w:bottom w:w="0" w:type="dxa"/>
              <w:right w:w="113" w:type="dxa"/>
            </w:tcMar>
            <w:vAlign w:val="center"/>
          </w:tcPr>
          <w:p w:rsidR="00E20B54" w:rsidRDefault="00733C9E">
            <w:pPr>
              <w:pStyle w:val="a3"/>
              <w:widowControl/>
              <w:spacing w:beforeAutospacing="0" w:afterAutospacing="0"/>
              <w:jc w:val="right"/>
              <w:textAlignment w:val="center"/>
              <w:rPr>
                <w:sz w:val="18"/>
                <w:szCs w:val="18"/>
              </w:rPr>
            </w:pPr>
            <w:r>
              <w:rPr>
                <w:sz w:val="18"/>
                <w:szCs w:val="18"/>
              </w:rPr>
              <w:t xml:space="preserve">269,856,906.35 </w:t>
            </w:r>
          </w:p>
        </w:tc>
        <w:tc>
          <w:tcPr>
            <w:tcW w:w="1233" w:type="pct"/>
            <w:tcBorders>
              <w:top w:val="nil"/>
              <w:left w:val="nil"/>
              <w:bottom w:val="single" w:sz="8" w:space="0" w:color="auto"/>
              <w:right w:val="single" w:sz="8" w:space="0" w:color="auto"/>
            </w:tcBorders>
            <w:shd w:val="clear" w:color="auto" w:fill="auto"/>
            <w:tcMar>
              <w:top w:w="0" w:type="dxa"/>
              <w:left w:w="113" w:type="dxa"/>
              <w:bottom w:w="0" w:type="dxa"/>
              <w:right w:w="113" w:type="dxa"/>
            </w:tcMar>
            <w:vAlign w:val="center"/>
          </w:tcPr>
          <w:p w:rsidR="00E20B54" w:rsidRDefault="00733C9E">
            <w:pPr>
              <w:pStyle w:val="a3"/>
              <w:widowControl/>
              <w:spacing w:beforeAutospacing="0" w:afterAutospacing="0"/>
              <w:jc w:val="right"/>
              <w:textAlignment w:val="center"/>
              <w:rPr>
                <w:sz w:val="18"/>
                <w:szCs w:val="18"/>
              </w:rPr>
            </w:pPr>
            <w:r>
              <w:rPr>
                <w:sz w:val="18"/>
                <w:szCs w:val="18"/>
              </w:rPr>
              <w:t> </w:t>
            </w:r>
          </w:p>
        </w:tc>
        <w:tc>
          <w:tcPr>
            <w:tcW w:w="1090" w:type="pct"/>
            <w:tcBorders>
              <w:top w:val="nil"/>
              <w:left w:val="nil"/>
              <w:bottom w:val="single" w:sz="8" w:space="0" w:color="auto"/>
              <w:right w:val="single" w:sz="8" w:space="0" w:color="auto"/>
            </w:tcBorders>
            <w:shd w:val="clear" w:color="auto" w:fill="auto"/>
            <w:tcMar>
              <w:top w:w="0" w:type="dxa"/>
              <w:left w:w="113" w:type="dxa"/>
              <w:bottom w:w="0" w:type="dxa"/>
              <w:right w:w="113" w:type="dxa"/>
            </w:tcMar>
            <w:vAlign w:val="center"/>
          </w:tcPr>
          <w:p w:rsidR="00E20B54" w:rsidRDefault="00733C9E">
            <w:pPr>
              <w:pStyle w:val="a3"/>
              <w:widowControl/>
              <w:spacing w:beforeAutospacing="0" w:afterAutospacing="0"/>
              <w:jc w:val="center"/>
              <w:textAlignment w:val="center"/>
              <w:rPr>
                <w:sz w:val="18"/>
                <w:szCs w:val="18"/>
              </w:rPr>
            </w:pPr>
            <w:r>
              <w:rPr>
                <w:sz w:val="18"/>
                <w:szCs w:val="18"/>
              </w:rPr>
              <w:t>借款抵押</w:t>
            </w:r>
          </w:p>
        </w:tc>
      </w:tr>
    </w:tbl>
    <w:p w:rsidR="00E20B54" w:rsidRDefault="00733C9E">
      <w:pPr>
        <w:pStyle w:val="2"/>
        <w:spacing w:before="300" w:after="300" w:line="320" w:lineRule="exact"/>
        <w:rPr>
          <w:b/>
          <w:bCs/>
          <w:sz w:val="24"/>
          <w:szCs w:val="24"/>
        </w:rPr>
      </w:pPr>
      <w:bookmarkStart w:id="35" w:name="_Toc988924"/>
      <w:r>
        <w:rPr>
          <w:b/>
          <w:bCs/>
          <w:sz w:val="24"/>
          <w:szCs w:val="24"/>
        </w:rPr>
        <w:t>七、投资状况分析</w:t>
      </w:r>
      <w:bookmarkEnd w:id="35"/>
    </w:p>
    <w:p w:rsidR="00E20B54" w:rsidRDefault="00733C9E">
      <w:pPr>
        <w:pStyle w:val="3"/>
        <w:spacing w:line="280" w:lineRule="exact"/>
        <w:jc w:val="left"/>
        <w:rPr>
          <w:b/>
          <w:bCs/>
        </w:rPr>
      </w:pPr>
      <w:bookmarkStart w:id="36" w:name="_Toc988925"/>
      <w:r>
        <w:rPr>
          <w:b/>
          <w:bCs/>
        </w:rPr>
        <w:t>1</w:t>
      </w:r>
      <w:r>
        <w:rPr>
          <w:b/>
          <w:bCs/>
        </w:rPr>
        <w:t>、总体情况</w:t>
      </w:r>
      <w:bookmarkEnd w:id="36"/>
    </w:p>
    <w:p w:rsidR="00E20B54" w:rsidRDefault="00733C9E">
      <w:pPr>
        <w:spacing w:before="100" w:after="100" w:line="240" w:lineRule="exact"/>
        <w:rPr>
          <w:sz w:val="18"/>
          <w:szCs w:val="18"/>
        </w:rPr>
      </w:pPr>
      <w:r>
        <w:rPr>
          <w:sz w:val="18"/>
          <w:szCs w:val="18"/>
        </w:rPr>
        <w:sym w:font="Wingdings 2" w:char="F052"/>
      </w:r>
      <w:r>
        <w:rPr>
          <w:sz w:val="18"/>
          <w:szCs w:val="18"/>
        </w:rPr>
        <w:t>适用</w:t>
      </w:r>
      <w:r>
        <w:rPr>
          <w:sz w:val="18"/>
          <w:szCs w:val="18"/>
        </w:rPr>
        <w:t xml:space="preserve"> □</w:t>
      </w:r>
      <w:r>
        <w:rPr>
          <w:sz w:val="18"/>
          <w:szCs w:val="18"/>
        </w:rPr>
        <w:t>不适用</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报告期投资额（元）</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上年同期投资额（元）</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变动幅度</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327,915,360.48</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377,534,898.25</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-13.14%</w:t>
            </w:r>
          </w:p>
        </w:tc>
      </w:tr>
    </w:tbl>
    <w:p w:rsidR="00E20B54" w:rsidRDefault="00733C9E">
      <w:pPr>
        <w:pStyle w:val="3"/>
        <w:spacing w:line="280" w:lineRule="exact"/>
        <w:jc w:val="left"/>
        <w:rPr>
          <w:b/>
          <w:bCs/>
        </w:rPr>
      </w:pPr>
      <w:bookmarkStart w:id="37" w:name="_Toc988926"/>
      <w:r>
        <w:rPr>
          <w:b/>
          <w:bCs/>
        </w:rPr>
        <w:t>2</w:t>
      </w:r>
      <w:r>
        <w:rPr>
          <w:b/>
          <w:bCs/>
        </w:rPr>
        <w:t>、报告期内获取的重大的股权投资情况</w:t>
      </w:r>
      <w:bookmarkEnd w:id="37"/>
    </w:p>
    <w:p w:rsidR="00E20B54" w:rsidRDefault="00733C9E">
      <w:pPr>
        <w:spacing w:before="40" w:after="40" w:line="240" w:lineRule="exact"/>
        <w:rPr>
          <w:sz w:val="18"/>
          <w:szCs w:val="18"/>
        </w:rPr>
      </w:pPr>
      <w:r>
        <w:rPr>
          <w:sz w:val="18"/>
          <w:szCs w:val="18"/>
        </w:rPr>
        <w:t>□</w:t>
      </w:r>
      <w:r>
        <w:rPr>
          <w:sz w:val="18"/>
          <w:szCs w:val="18"/>
        </w:rPr>
        <w:t>适用</w:t>
      </w:r>
      <w:r>
        <w:rPr>
          <w:sz w:val="18"/>
          <w:szCs w:val="18"/>
        </w:rPr>
        <w:t xml:space="preserve"> </w:t>
      </w:r>
      <w:r>
        <w:rPr>
          <w:sz w:val="18"/>
          <w:szCs w:val="18"/>
        </w:rPr>
        <w:sym w:font="Wingdings 2" w:char="F052"/>
      </w:r>
      <w:r>
        <w:rPr>
          <w:sz w:val="18"/>
          <w:szCs w:val="18"/>
        </w:rPr>
        <w:t>不适用</w:t>
      </w:r>
    </w:p>
    <w:p w:rsidR="00E20B54" w:rsidRDefault="00733C9E">
      <w:pPr>
        <w:pStyle w:val="3"/>
        <w:spacing w:line="280" w:lineRule="exact"/>
        <w:jc w:val="left"/>
        <w:rPr>
          <w:b/>
          <w:bCs/>
        </w:rPr>
      </w:pPr>
      <w:bookmarkStart w:id="38" w:name="_Toc988927"/>
      <w:r>
        <w:rPr>
          <w:b/>
          <w:bCs/>
        </w:rPr>
        <w:t>3</w:t>
      </w:r>
      <w:r>
        <w:rPr>
          <w:b/>
          <w:bCs/>
        </w:rPr>
        <w:t>、报告期内正在进行的重大的非股权投资情况</w:t>
      </w:r>
      <w:bookmarkEnd w:id="38"/>
    </w:p>
    <w:p w:rsidR="00E20B54" w:rsidRDefault="00733C9E">
      <w:pPr>
        <w:spacing w:before="40" w:after="40" w:line="240" w:lineRule="exact"/>
        <w:rPr>
          <w:sz w:val="18"/>
          <w:szCs w:val="18"/>
        </w:rPr>
      </w:pPr>
      <w:r>
        <w:rPr>
          <w:sz w:val="18"/>
          <w:szCs w:val="18"/>
        </w:rPr>
        <w:t>□</w:t>
      </w:r>
      <w:r>
        <w:rPr>
          <w:sz w:val="18"/>
          <w:szCs w:val="18"/>
        </w:rPr>
        <w:t>适用</w:t>
      </w:r>
      <w:r>
        <w:rPr>
          <w:sz w:val="18"/>
          <w:szCs w:val="18"/>
        </w:rPr>
        <w:t xml:space="preserve"> </w:t>
      </w:r>
      <w:r>
        <w:rPr>
          <w:sz w:val="18"/>
          <w:szCs w:val="18"/>
        </w:rPr>
        <w:sym w:font="Wingdings 2" w:char="F052"/>
      </w:r>
      <w:r>
        <w:rPr>
          <w:sz w:val="18"/>
          <w:szCs w:val="18"/>
        </w:rPr>
        <w:t>不适用</w:t>
      </w:r>
    </w:p>
    <w:p w:rsidR="00E20B54" w:rsidRDefault="00733C9E">
      <w:pPr>
        <w:pStyle w:val="3"/>
        <w:spacing w:line="280" w:lineRule="exact"/>
        <w:jc w:val="left"/>
        <w:rPr>
          <w:b/>
          <w:bCs/>
        </w:rPr>
      </w:pPr>
      <w:bookmarkStart w:id="39" w:name="_Toc988928"/>
      <w:r>
        <w:rPr>
          <w:b/>
          <w:bCs/>
        </w:rPr>
        <w:t>4</w:t>
      </w:r>
      <w:r>
        <w:rPr>
          <w:b/>
          <w:bCs/>
        </w:rPr>
        <w:t>、金融资产投资</w:t>
      </w:r>
      <w:bookmarkEnd w:id="39"/>
    </w:p>
    <w:p w:rsidR="00E20B54" w:rsidRDefault="00733C9E">
      <w:pPr>
        <w:keepNext/>
        <w:keepLines/>
        <w:spacing w:before="300" w:after="300" w:line="280" w:lineRule="exact"/>
        <w:outlineLvl w:val="3"/>
        <w:rPr>
          <w:b/>
          <w:bCs/>
          <w:sz w:val="18"/>
          <w:szCs w:val="18"/>
        </w:rPr>
      </w:pPr>
      <w:bookmarkStart w:id="40" w:name="_Toc988929"/>
      <w:r>
        <w:rPr>
          <w:b/>
          <w:bCs/>
          <w:sz w:val="18"/>
          <w:szCs w:val="18"/>
        </w:rPr>
        <w:t>（</w:t>
      </w:r>
      <w:r>
        <w:rPr>
          <w:b/>
          <w:bCs/>
          <w:sz w:val="18"/>
          <w:szCs w:val="18"/>
        </w:rPr>
        <w:t>1</w:t>
      </w:r>
      <w:r>
        <w:rPr>
          <w:b/>
          <w:bCs/>
          <w:sz w:val="18"/>
          <w:szCs w:val="18"/>
        </w:rPr>
        <w:t>）</w:t>
      </w:r>
      <w:r>
        <w:rPr>
          <w:b/>
          <w:bCs/>
          <w:sz w:val="18"/>
          <w:szCs w:val="18"/>
        </w:rPr>
        <w:t xml:space="preserve"> </w:t>
      </w:r>
      <w:r>
        <w:rPr>
          <w:b/>
          <w:bCs/>
          <w:sz w:val="18"/>
          <w:szCs w:val="18"/>
        </w:rPr>
        <w:t>证券投资情况</w:t>
      </w:r>
      <w:bookmarkEnd w:id="40"/>
    </w:p>
    <w:p w:rsidR="00E20B54" w:rsidRDefault="00733C9E">
      <w:pPr>
        <w:spacing w:before="100" w:after="100" w:line="240" w:lineRule="exact"/>
        <w:rPr>
          <w:sz w:val="18"/>
          <w:szCs w:val="18"/>
        </w:rPr>
      </w:pPr>
      <w:r>
        <w:rPr>
          <w:sz w:val="18"/>
          <w:szCs w:val="18"/>
        </w:rPr>
        <w:t>□</w:t>
      </w:r>
      <w:r>
        <w:rPr>
          <w:sz w:val="18"/>
          <w:szCs w:val="18"/>
        </w:rPr>
        <w:t>适用</w:t>
      </w:r>
      <w:r>
        <w:rPr>
          <w:sz w:val="18"/>
          <w:szCs w:val="18"/>
        </w:rPr>
        <w:t xml:space="preserve"> </w:t>
      </w:r>
      <w:r>
        <w:rPr>
          <w:sz w:val="18"/>
          <w:szCs w:val="18"/>
        </w:rPr>
        <w:sym w:font="Wingdings 2" w:char="F052"/>
      </w:r>
      <w:r>
        <w:rPr>
          <w:sz w:val="18"/>
          <w:szCs w:val="18"/>
        </w:rPr>
        <w:t>不适用</w:t>
      </w:r>
    </w:p>
    <w:p w:rsidR="00E20B54" w:rsidRDefault="00733C9E">
      <w:pPr>
        <w:spacing w:before="40" w:after="40" w:line="240" w:lineRule="exact"/>
        <w:rPr>
          <w:sz w:val="18"/>
          <w:szCs w:val="18"/>
        </w:rPr>
      </w:pPr>
      <w:r>
        <w:rPr>
          <w:sz w:val="18"/>
          <w:szCs w:val="18"/>
        </w:rPr>
        <w:t>公司报告期不存在证券投资。</w:t>
      </w:r>
    </w:p>
    <w:p w:rsidR="00E20B54" w:rsidRDefault="00733C9E">
      <w:pPr>
        <w:keepNext/>
        <w:keepLines/>
        <w:spacing w:before="300" w:after="300" w:line="280" w:lineRule="exact"/>
        <w:outlineLvl w:val="3"/>
        <w:rPr>
          <w:b/>
          <w:bCs/>
          <w:sz w:val="18"/>
          <w:szCs w:val="18"/>
        </w:rPr>
      </w:pPr>
      <w:bookmarkStart w:id="41" w:name="_Toc988930"/>
      <w:r>
        <w:rPr>
          <w:b/>
          <w:bCs/>
          <w:sz w:val="18"/>
          <w:szCs w:val="18"/>
        </w:rPr>
        <w:t>（</w:t>
      </w:r>
      <w:r>
        <w:rPr>
          <w:b/>
          <w:bCs/>
          <w:sz w:val="18"/>
          <w:szCs w:val="18"/>
        </w:rPr>
        <w:t>2</w:t>
      </w:r>
      <w:r>
        <w:rPr>
          <w:b/>
          <w:bCs/>
          <w:sz w:val="18"/>
          <w:szCs w:val="18"/>
        </w:rPr>
        <w:t>）</w:t>
      </w:r>
      <w:r>
        <w:rPr>
          <w:b/>
          <w:bCs/>
          <w:sz w:val="18"/>
          <w:szCs w:val="18"/>
        </w:rPr>
        <w:t xml:space="preserve"> </w:t>
      </w:r>
      <w:r>
        <w:rPr>
          <w:b/>
          <w:bCs/>
          <w:sz w:val="18"/>
          <w:szCs w:val="18"/>
        </w:rPr>
        <w:t>衍生品投资情况</w:t>
      </w:r>
      <w:bookmarkEnd w:id="41"/>
    </w:p>
    <w:p w:rsidR="00E20B54" w:rsidRDefault="00733C9E">
      <w:pPr>
        <w:spacing w:before="100" w:after="100" w:line="240" w:lineRule="exact"/>
        <w:rPr>
          <w:sz w:val="18"/>
          <w:szCs w:val="18"/>
        </w:rPr>
      </w:pPr>
      <w:r>
        <w:rPr>
          <w:sz w:val="18"/>
          <w:szCs w:val="18"/>
        </w:rPr>
        <w:t>□</w:t>
      </w:r>
      <w:r>
        <w:rPr>
          <w:sz w:val="18"/>
          <w:szCs w:val="18"/>
        </w:rPr>
        <w:t>适用</w:t>
      </w:r>
      <w:r>
        <w:rPr>
          <w:sz w:val="18"/>
          <w:szCs w:val="18"/>
        </w:rPr>
        <w:t xml:space="preserve"> </w:t>
      </w:r>
      <w:r>
        <w:rPr>
          <w:sz w:val="18"/>
          <w:szCs w:val="18"/>
        </w:rPr>
        <w:sym w:font="Wingdings 2" w:char="F052"/>
      </w:r>
      <w:r>
        <w:rPr>
          <w:sz w:val="18"/>
          <w:szCs w:val="18"/>
        </w:rPr>
        <w:t>不适用</w:t>
      </w:r>
    </w:p>
    <w:p w:rsidR="00E20B54" w:rsidRDefault="00733C9E">
      <w:pPr>
        <w:spacing w:before="40" w:after="40" w:line="240" w:lineRule="exact"/>
        <w:rPr>
          <w:sz w:val="18"/>
          <w:szCs w:val="18"/>
        </w:rPr>
      </w:pPr>
      <w:r>
        <w:rPr>
          <w:sz w:val="18"/>
          <w:szCs w:val="18"/>
        </w:rPr>
        <w:t>公司报告期不存在衍生品投资。</w:t>
      </w:r>
    </w:p>
    <w:p w:rsidR="00E20B54" w:rsidRDefault="00733C9E">
      <w:pPr>
        <w:pStyle w:val="2"/>
        <w:spacing w:before="300" w:after="300" w:line="320" w:lineRule="exact"/>
        <w:rPr>
          <w:b/>
          <w:bCs/>
          <w:sz w:val="24"/>
          <w:szCs w:val="24"/>
        </w:rPr>
      </w:pPr>
      <w:bookmarkStart w:id="42" w:name="_Toc988931"/>
      <w:r>
        <w:rPr>
          <w:b/>
          <w:bCs/>
          <w:sz w:val="24"/>
          <w:szCs w:val="24"/>
        </w:rPr>
        <w:t>八、重大资产和股权出售</w:t>
      </w:r>
      <w:bookmarkEnd w:id="42"/>
    </w:p>
    <w:p w:rsidR="00E20B54" w:rsidRDefault="00733C9E">
      <w:pPr>
        <w:pStyle w:val="3"/>
        <w:spacing w:line="280" w:lineRule="exact"/>
        <w:jc w:val="left"/>
        <w:rPr>
          <w:b/>
          <w:bCs/>
        </w:rPr>
      </w:pPr>
      <w:bookmarkStart w:id="43" w:name="_Toc988932"/>
      <w:r>
        <w:rPr>
          <w:b/>
          <w:bCs/>
        </w:rPr>
        <w:t>1</w:t>
      </w:r>
      <w:r>
        <w:rPr>
          <w:b/>
          <w:bCs/>
        </w:rPr>
        <w:t>、出售重大资产情况</w:t>
      </w:r>
      <w:bookmarkEnd w:id="43"/>
    </w:p>
    <w:p w:rsidR="00E20B54" w:rsidRDefault="00733C9E">
      <w:pPr>
        <w:spacing w:before="40" w:after="40" w:line="240" w:lineRule="exact"/>
        <w:rPr>
          <w:sz w:val="18"/>
          <w:szCs w:val="18"/>
        </w:rPr>
      </w:pPr>
      <w:r>
        <w:rPr>
          <w:sz w:val="18"/>
          <w:szCs w:val="18"/>
        </w:rPr>
        <w:t>□</w:t>
      </w:r>
      <w:r>
        <w:rPr>
          <w:sz w:val="18"/>
          <w:szCs w:val="18"/>
        </w:rPr>
        <w:t>适用</w:t>
      </w:r>
      <w:r>
        <w:rPr>
          <w:sz w:val="18"/>
          <w:szCs w:val="18"/>
        </w:rPr>
        <w:t xml:space="preserve"> </w:t>
      </w:r>
      <w:r>
        <w:rPr>
          <w:sz w:val="18"/>
          <w:szCs w:val="18"/>
        </w:rPr>
        <w:sym w:font="Wingdings 2" w:char="F052"/>
      </w:r>
      <w:r>
        <w:rPr>
          <w:sz w:val="18"/>
          <w:szCs w:val="18"/>
        </w:rPr>
        <w:t>不适用</w:t>
      </w:r>
    </w:p>
    <w:p w:rsidR="00E20B54" w:rsidRDefault="00733C9E">
      <w:pPr>
        <w:spacing w:before="40" w:after="40" w:line="240" w:lineRule="exact"/>
        <w:rPr>
          <w:sz w:val="18"/>
          <w:szCs w:val="18"/>
        </w:rPr>
      </w:pPr>
      <w:r>
        <w:rPr>
          <w:sz w:val="18"/>
          <w:szCs w:val="18"/>
        </w:rPr>
        <w:t>公司报告期未出售重大资产。</w:t>
      </w:r>
    </w:p>
    <w:p w:rsidR="00E20B54" w:rsidRDefault="00733C9E">
      <w:pPr>
        <w:pStyle w:val="3"/>
        <w:spacing w:line="280" w:lineRule="exact"/>
        <w:jc w:val="left"/>
        <w:rPr>
          <w:b/>
          <w:bCs/>
        </w:rPr>
      </w:pPr>
      <w:bookmarkStart w:id="44" w:name="_Toc988933"/>
      <w:r>
        <w:rPr>
          <w:b/>
          <w:bCs/>
        </w:rPr>
        <w:t>2</w:t>
      </w:r>
      <w:r>
        <w:rPr>
          <w:b/>
          <w:bCs/>
        </w:rPr>
        <w:t>、出售重大股权情况</w:t>
      </w:r>
      <w:bookmarkEnd w:id="44"/>
    </w:p>
    <w:p w:rsidR="00E20B54" w:rsidRDefault="00733C9E">
      <w:pPr>
        <w:spacing w:before="40" w:after="40" w:line="240" w:lineRule="exact"/>
        <w:rPr>
          <w:sz w:val="18"/>
          <w:szCs w:val="18"/>
        </w:rPr>
      </w:pPr>
      <w:r>
        <w:rPr>
          <w:sz w:val="18"/>
          <w:szCs w:val="18"/>
        </w:rPr>
        <w:t>□</w:t>
      </w:r>
      <w:r>
        <w:rPr>
          <w:sz w:val="18"/>
          <w:szCs w:val="18"/>
        </w:rPr>
        <w:t>适用</w:t>
      </w:r>
      <w:r>
        <w:rPr>
          <w:sz w:val="18"/>
          <w:szCs w:val="18"/>
        </w:rPr>
        <w:t xml:space="preserve"> </w:t>
      </w:r>
      <w:r>
        <w:rPr>
          <w:sz w:val="18"/>
          <w:szCs w:val="18"/>
        </w:rPr>
        <w:sym w:font="Wingdings 2" w:char="F052"/>
      </w:r>
      <w:r>
        <w:rPr>
          <w:sz w:val="18"/>
          <w:szCs w:val="18"/>
        </w:rPr>
        <w:t>不适用</w:t>
      </w:r>
    </w:p>
    <w:p w:rsidR="00E20B54" w:rsidRDefault="00733C9E">
      <w:pPr>
        <w:pStyle w:val="2"/>
        <w:spacing w:before="300" w:after="300" w:line="320" w:lineRule="exact"/>
        <w:rPr>
          <w:b/>
          <w:bCs/>
          <w:sz w:val="24"/>
          <w:szCs w:val="24"/>
        </w:rPr>
      </w:pPr>
      <w:bookmarkStart w:id="45" w:name="_Toc988934"/>
      <w:r>
        <w:rPr>
          <w:b/>
          <w:bCs/>
          <w:sz w:val="24"/>
          <w:szCs w:val="24"/>
        </w:rPr>
        <w:t>九、主要控股参股公司分析</w:t>
      </w:r>
      <w:bookmarkEnd w:id="45"/>
    </w:p>
    <w:p w:rsidR="00E20B54" w:rsidRDefault="00733C9E">
      <w:pPr>
        <w:spacing w:before="100" w:after="100" w:line="240" w:lineRule="exact"/>
        <w:rPr>
          <w:sz w:val="18"/>
          <w:szCs w:val="18"/>
        </w:rPr>
      </w:pPr>
      <w:r>
        <w:rPr>
          <w:sz w:val="18"/>
          <w:szCs w:val="18"/>
        </w:rPr>
        <w:sym w:font="Wingdings 2" w:char="F052"/>
      </w:r>
      <w:r>
        <w:rPr>
          <w:sz w:val="18"/>
          <w:szCs w:val="18"/>
        </w:rPr>
        <w:t>适用</w:t>
      </w:r>
      <w:r>
        <w:rPr>
          <w:sz w:val="18"/>
          <w:szCs w:val="18"/>
        </w:rPr>
        <w:t xml:space="preserve"> □</w:t>
      </w:r>
      <w:r>
        <w:rPr>
          <w:sz w:val="18"/>
          <w:szCs w:val="18"/>
        </w:rPr>
        <w:t>不适用</w:t>
      </w:r>
    </w:p>
    <w:p w:rsidR="00E20B54" w:rsidRDefault="00733C9E">
      <w:pPr>
        <w:spacing w:before="100" w:after="100" w:line="240" w:lineRule="exact"/>
        <w:rPr>
          <w:sz w:val="18"/>
          <w:szCs w:val="18"/>
        </w:rPr>
      </w:pPr>
      <w:r>
        <w:rPr>
          <w:sz w:val="18"/>
          <w:szCs w:val="18"/>
        </w:rPr>
        <w:t>主要子公司及对公司净利润影响达</w:t>
      </w:r>
      <w:r>
        <w:rPr>
          <w:sz w:val="18"/>
          <w:szCs w:val="18"/>
        </w:rPr>
        <w:t>10%</w:t>
      </w:r>
      <w:r>
        <w:rPr>
          <w:sz w:val="18"/>
          <w:szCs w:val="18"/>
        </w:rPr>
        <w:t>以上的参股公司情况</w:t>
      </w:r>
    </w:p>
    <w:p w:rsidR="00E20B54" w:rsidRDefault="00733C9E">
      <w:pPr>
        <w:spacing w:before="120" w:after="120" w:line="240" w:lineRule="exact"/>
        <w:jc w:val="right"/>
        <w:rPr>
          <w:sz w:val="18"/>
          <w:szCs w:val="18"/>
        </w:rPr>
      </w:pPr>
      <w:r>
        <w:rPr>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071"/>
        <w:gridCol w:w="1071"/>
        <w:gridCol w:w="1071"/>
        <w:gridCol w:w="1071"/>
        <w:gridCol w:w="1071"/>
        <w:gridCol w:w="1071"/>
        <w:gridCol w:w="1071"/>
        <w:gridCol w:w="1071"/>
        <w:gridCol w:w="1071"/>
      </w:tblGrid>
      <w:tr w:rsidR="00E20B54">
        <w:trPr>
          <w:trHeight w:val="240"/>
          <w:tblHeader/>
        </w:trPr>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lastRenderedPageBreak/>
              <w:t>公司名称</w:t>
            </w:r>
          </w:p>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公司类型</w:t>
            </w:r>
          </w:p>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主要业务</w:t>
            </w:r>
          </w:p>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注册资本</w:t>
            </w:r>
          </w:p>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总资产</w:t>
            </w:r>
          </w:p>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净资产</w:t>
            </w:r>
          </w:p>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营业收入</w:t>
            </w:r>
          </w:p>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营业利润</w:t>
            </w:r>
          </w:p>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净利润</w:t>
            </w:r>
          </w:p>
        </w:tc>
      </w:tr>
      <w:tr w:rsidR="00E20B54">
        <w:trPr>
          <w:trHeight w:val="240"/>
        </w:trPr>
        <w:tc>
          <w:tcPr>
            <w:tcW w:w="1071"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广东天亿马数字能源有限公司</w:t>
            </w:r>
            <w:r>
              <w:rPr>
                <w:sz w:val="18"/>
                <w:szCs w:val="18"/>
              </w:rPr>
              <w:t>-</w:t>
            </w:r>
            <w:r>
              <w:rPr>
                <w:sz w:val="18"/>
                <w:szCs w:val="18"/>
              </w:rPr>
              <w:t>注</w:t>
            </w:r>
            <w:r>
              <w:rPr>
                <w:sz w:val="18"/>
                <w:szCs w:val="18"/>
              </w:rPr>
              <w:t>1</w:t>
            </w:r>
          </w:p>
        </w:tc>
        <w:tc>
          <w:tcPr>
            <w:tcW w:w="1071"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子公司</w:t>
            </w:r>
          </w:p>
        </w:tc>
        <w:tc>
          <w:tcPr>
            <w:tcW w:w="1071"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电力、热力生产和供应业</w:t>
            </w:r>
          </w:p>
        </w:tc>
        <w:tc>
          <w:tcPr>
            <w:tcW w:w="1071"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1,000.00</w:t>
            </w:r>
            <w:r>
              <w:rPr>
                <w:sz w:val="18"/>
                <w:szCs w:val="18"/>
              </w:rPr>
              <w:t>万元</w:t>
            </w:r>
          </w:p>
        </w:tc>
        <w:tc>
          <w:tcPr>
            <w:tcW w:w="1071"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219,014,010.65</w:t>
            </w:r>
          </w:p>
        </w:tc>
        <w:tc>
          <w:tcPr>
            <w:tcW w:w="1071"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21,632,309.66</w:t>
            </w:r>
          </w:p>
        </w:tc>
        <w:tc>
          <w:tcPr>
            <w:tcW w:w="1071"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21,298,988.55</w:t>
            </w:r>
          </w:p>
        </w:tc>
        <w:tc>
          <w:tcPr>
            <w:tcW w:w="1071"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2,104,168.15</w:t>
            </w:r>
          </w:p>
        </w:tc>
        <w:tc>
          <w:tcPr>
            <w:tcW w:w="1071"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4,017,459.20</w:t>
            </w:r>
          </w:p>
        </w:tc>
      </w:tr>
      <w:tr w:rsidR="00E20B54">
        <w:trPr>
          <w:trHeight w:val="240"/>
        </w:trPr>
        <w:tc>
          <w:tcPr>
            <w:tcW w:w="1071"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广图粤科（广州）科技有限公司</w:t>
            </w:r>
            <w:r>
              <w:rPr>
                <w:sz w:val="18"/>
                <w:szCs w:val="18"/>
              </w:rPr>
              <w:t>-</w:t>
            </w:r>
            <w:r>
              <w:rPr>
                <w:sz w:val="18"/>
                <w:szCs w:val="18"/>
              </w:rPr>
              <w:t>注</w:t>
            </w:r>
            <w:r>
              <w:rPr>
                <w:sz w:val="18"/>
                <w:szCs w:val="18"/>
              </w:rPr>
              <w:t>2</w:t>
            </w:r>
          </w:p>
        </w:tc>
        <w:tc>
          <w:tcPr>
            <w:tcW w:w="1071"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子公司</w:t>
            </w:r>
          </w:p>
        </w:tc>
        <w:tc>
          <w:tcPr>
            <w:tcW w:w="1071"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软件和信息技术服务</w:t>
            </w:r>
          </w:p>
        </w:tc>
        <w:tc>
          <w:tcPr>
            <w:tcW w:w="1071"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1,000.00</w:t>
            </w:r>
            <w:r>
              <w:rPr>
                <w:sz w:val="18"/>
                <w:szCs w:val="18"/>
              </w:rPr>
              <w:t>万元</w:t>
            </w:r>
          </w:p>
        </w:tc>
        <w:tc>
          <w:tcPr>
            <w:tcW w:w="1071"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34,143,492.09</w:t>
            </w:r>
          </w:p>
        </w:tc>
        <w:tc>
          <w:tcPr>
            <w:tcW w:w="1071"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-8,146,451.01</w:t>
            </w:r>
          </w:p>
        </w:tc>
        <w:tc>
          <w:tcPr>
            <w:tcW w:w="1071"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8,605,905.64</w:t>
            </w:r>
          </w:p>
        </w:tc>
        <w:tc>
          <w:tcPr>
            <w:tcW w:w="1071"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-4,583,872.89</w:t>
            </w:r>
          </w:p>
        </w:tc>
        <w:tc>
          <w:tcPr>
            <w:tcW w:w="1071"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-3,643,415.43</w:t>
            </w:r>
          </w:p>
        </w:tc>
      </w:tr>
      <w:tr w:rsidR="00E20B54">
        <w:trPr>
          <w:trHeight w:val="240"/>
        </w:trPr>
        <w:tc>
          <w:tcPr>
            <w:tcW w:w="1071"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天亿马信息技术有限公司</w:t>
            </w:r>
          </w:p>
        </w:tc>
        <w:tc>
          <w:tcPr>
            <w:tcW w:w="1071"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子公司</w:t>
            </w:r>
          </w:p>
        </w:tc>
        <w:tc>
          <w:tcPr>
            <w:tcW w:w="1071"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信息系统集成服务、软件开发与技术服务、信息设备销售、信息系统运维服务</w:t>
            </w:r>
          </w:p>
        </w:tc>
        <w:tc>
          <w:tcPr>
            <w:tcW w:w="1071"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5,000.00</w:t>
            </w:r>
            <w:r>
              <w:rPr>
                <w:sz w:val="18"/>
                <w:szCs w:val="18"/>
              </w:rPr>
              <w:t>万元</w:t>
            </w:r>
          </w:p>
        </w:tc>
        <w:tc>
          <w:tcPr>
            <w:tcW w:w="1071"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267,091,368.15</w:t>
            </w:r>
          </w:p>
        </w:tc>
        <w:tc>
          <w:tcPr>
            <w:tcW w:w="1071"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66,082,762.89</w:t>
            </w:r>
          </w:p>
        </w:tc>
        <w:tc>
          <w:tcPr>
            <w:tcW w:w="1071"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131,760,955.65</w:t>
            </w:r>
          </w:p>
        </w:tc>
        <w:tc>
          <w:tcPr>
            <w:tcW w:w="1071"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10,954,050.06</w:t>
            </w:r>
          </w:p>
        </w:tc>
        <w:tc>
          <w:tcPr>
            <w:tcW w:w="1071"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10,118,097.65</w:t>
            </w:r>
          </w:p>
        </w:tc>
      </w:tr>
      <w:tr w:rsidR="00E20B54">
        <w:trPr>
          <w:trHeight w:val="240"/>
        </w:trPr>
        <w:tc>
          <w:tcPr>
            <w:tcW w:w="1071"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深圳市互联精英信息技术有限公司</w:t>
            </w:r>
            <w:r>
              <w:rPr>
                <w:sz w:val="18"/>
                <w:szCs w:val="18"/>
              </w:rPr>
              <w:t>-</w:t>
            </w:r>
            <w:r>
              <w:rPr>
                <w:sz w:val="18"/>
                <w:szCs w:val="18"/>
              </w:rPr>
              <w:t>注</w:t>
            </w:r>
            <w:r>
              <w:rPr>
                <w:sz w:val="18"/>
                <w:szCs w:val="18"/>
              </w:rPr>
              <w:t>3</w:t>
            </w:r>
          </w:p>
        </w:tc>
        <w:tc>
          <w:tcPr>
            <w:tcW w:w="1071"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子公司</w:t>
            </w:r>
          </w:p>
        </w:tc>
        <w:tc>
          <w:tcPr>
            <w:tcW w:w="1071"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信息系统集成服务、软件开发与技</w:t>
            </w:r>
          </w:p>
        </w:tc>
        <w:tc>
          <w:tcPr>
            <w:tcW w:w="1071"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5,390.00</w:t>
            </w:r>
            <w:r>
              <w:rPr>
                <w:sz w:val="18"/>
                <w:szCs w:val="18"/>
              </w:rPr>
              <w:t>万元</w:t>
            </w:r>
          </w:p>
        </w:tc>
        <w:tc>
          <w:tcPr>
            <w:tcW w:w="1071"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182,168,617.11</w:t>
            </w:r>
          </w:p>
        </w:tc>
        <w:tc>
          <w:tcPr>
            <w:tcW w:w="1071"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123,623,839.38</w:t>
            </w:r>
          </w:p>
        </w:tc>
        <w:tc>
          <w:tcPr>
            <w:tcW w:w="1071"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26,985,624.30</w:t>
            </w:r>
          </w:p>
        </w:tc>
        <w:tc>
          <w:tcPr>
            <w:tcW w:w="1071"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264,684.74</w:t>
            </w:r>
          </w:p>
        </w:tc>
        <w:tc>
          <w:tcPr>
            <w:tcW w:w="1071"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977,413.68</w:t>
            </w:r>
          </w:p>
        </w:tc>
      </w:tr>
      <w:tr w:rsidR="00E20B54">
        <w:trPr>
          <w:trHeight w:val="240"/>
        </w:trPr>
        <w:tc>
          <w:tcPr>
            <w:tcW w:w="1071"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广东天亿马信息科技有限公司</w:t>
            </w:r>
          </w:p>
        </w:tc>
        <w:tc>
          <w:tcPr>
            <w:tcW w:w="1071"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子公司</w:t>
            </w:r>
          </w:p>
        </w:tc>
        <w:tc>
          <w:tcPr>
            <w:tcW w:w="1071"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信息系统集成服务、软件开发与技术服务、信息设备销售、信息系统运维服务</w:t>
            </w:r>
          </w:p>
        </w:tc>
        <w:tc>
          <w:tcPr>
            <w:tcW w:w="1071"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1,000.00</w:t>
            </w:r>
            <w:r>
              <w:rPr>
                <w:sz w:val="18"/>
                <w:szCs w:val="18"/>
              </w:rPr>
              <w:t>万元</w:t>
            </w:r>
          </w:p>
        </w:tc>
        <w:tc>
          <w:tcPr>
            <w:tcW w:w="1071"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49,641,289.01</w:t>
            </w:r>
          </w:p>
        </w:tc>
        <w:tc>
          <w:tcPr>
            <w:tcW w:w="1071"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15,653,540.42</w:t>
            </w:r>
          </w:p>
        </w:tc>
        <w:tc>
          <w:tcPr>
            <w:tcW w:w="1071"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63,315,014.82</w:t>
            </w:r>
          </w:p>
        </w:tc>
        <w:tc>
          <w:tcPr>
            <w:tcW w:w="1071"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-1,084,298.61</w:t>
            </w:r>
          </w:p>
        </w:tc>
        <w:tc>
          <w:tcPr>
            <w:tcW w:w="1071"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-899,453.24</w:t>
            </w:r>
          </w:p>
        </w:tc>
      </w:tr>
    </w:tbl>
    <w:p w:rsidR="00E20B54" w:rsidRDefault="00733C9E">
      <w:pPr>
        <w:spacing w:before="40" w:after="40" w:line="240" w:lineRule="exact"/>
        <w:rPr>
          <w:sz w:val="18"/>
          <w:szCs w:val="18"/>
        </w:rPr>
      </w:pPr>
      <w:r>
        <w:rPr>
          <w:sz w:val="18"/>
          <w:szCs w:val="18"/>
        </w:rPr>
        <w:t>报告期内取得和处置子公司的情况</w:t>
      </w:r>
    </w:p>
    <w:p w:rsidR="00E20B54" w:rsidRDefault="00733C9E">
      <w:pPr>
        <w:spacing w:before="40" w:after="40" w:line="240" w:lineRule="exact"/>
        <w:rPr>
          <w:sz w:val="18"/>
          <w:szCs w:val="18"/>
        </w:rPr>
      </w:pPr>
      <w:r>
        <w:rPr>
          <w:sz w:val="18"/>
          <w:szCs w:val="18"/>
        </w:rPr>
        <w:sym w:font="Wingdings 2" w:char="F052"/>
      </w:r>
      <w:r>
        <w:rPr>
          <w:sz w:val="18"/>
          <w:szCs w:val="18"/>
        </w:rPr>
        <w:t>适用</w:t>
      </w:r>
      <w:r>
        <w:rPr>
          <w:sz w:val="18"/>
          <w:szCs w:val="18"/>
        </w:rPr>
        <w:t xml:space="preserve"> □</w:t>
      </w:r>
      <w:r>
        <w:rPr>
          <w:sz w:val="18"/>
          <w:szCs w:val="18"/>
        </w:rPr>
        <w:t>不适用</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公司名称</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报告期内取得和处置子公司方式</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对整体生产经营和业绩的影响</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重庆天亿马信息技术有限公司</w:t>
            </w:r>
            <w:r>
              <w:rPr>
                <w:sz w:val="18"/>
                <w:szCs w:val="18"/>
              </w:rPr>
              <w:t>-</w:t>
            </w:r>
            <w:r>
              <w:rPr>
                <w:sz w:val="18"/>
                <w:szCs w:val="18"/>
              </w:rPr>
              <w:t>注</w:t>
            </w:r>
            <w:r>
              <w:rPr>
                <w:sz w:val="18"/>
                <w:szCs w:val="18"/>
              </w:rPr>
              <w:t>4</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注销</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对公司本报告期的生产和业绩未造成重大影响。</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惠州市天亿马信息技术有限公司</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注销</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对公司本报告期的生产和业绩未造成重大影响。</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靖州亿道电力有限公司（曾用名：湖南亿道电力有限公司）</w:t>
            </w:r>
            <w:r>
              <w:rPr>
                <w:sz w:val="18"/>
                <w:szCs w:val="18"/>
              </w:rPr>
              <w:t>-</w:t>
            </w:r>
            <w:r>
              <w:rPr>
                <w:sz w:val="18"/>
                <w:szCs w:val="18"/>
              </w:rPr>
              <w:t>注</w:t>
            </w:r>
            <w:r>
              <w:rPr>
                <w:sz w:val="18"/>
                <w:szCs w:val="18"/>
              </w:rPr>
              <w:t>5</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股权转让</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对公司本报告期的生产和业绩未造成重大影响。</w:t>
            </w:r>
          </w:p>
        </w:tc>
      </w:tr>
    </w:tbl>
    <w:p w:rsidR="00E20B54" w:rsidRDefault="00733C9E">
      <w:pPr>
        <w:spacing w:before="100" w:after="100" w:line="240" w:lineRule="exact"/>
        <w:rPr>
          <w:sz w:val="18"/>
          <w:szCs w:val="18"/>
        </w:rPr>
      </w:pPr>
      <w:r>
        <w:rPr>
          <w:sz w:val="18"/>
          <w:szCs w:val="18"/>
        </w:rPr>
        <w:t>主要控股参股公司情况说明</w:t>
      </w:r>
    </w:p>
    <w:p w:rsidR="00E20B54" w:rsidRDefault="00733C9E">
      <w:pPr>
        <w:pStyle w:val="a3"/>
        <w:widowControl/>
        <w:spacing w:before="100" w:beforeAutospacing="0" w:after="100" w:afterAutospacing="0"/>
        <w:rPr>
          <w:szCs w:val="24"/>
        </w:rPr>
      </w:pPr>
      <w:r>
        <w:rPr>
          <w:sz w:val="18"/>
          <w:szCs w:val="18"/>
        </w:rPr>
        <w:t>注</w:t>
      </w:r>
      <w:r>
        <w:rPr>
          <w:sz w:val="18"/>
          <w:szCs w:val="18"/>
        </w:rPr>
        <w:t>1</w:t>
      </w:r>
      <w:r>
        <w:rPr>
          <w:sz w:val="18"/>
          <w:szCs w:val="18"/>
        </w:rPr>
        <w:t>：上述广东天亿马数字能源有限公司的财务报表数据包含下属子公司湖南天晨新能源有限公司、桓台爱康新能源有限公司、桓台爱道光伏发电有限公司、邯郸庚源新能源科技有限公司、深圳市亿泰新能源有限公司、广西亿泰新能源有限公司、广东天亿马新能源产业发展有限公司等相关财务数据；</w:t>
      </w:r>
      <w:r>
        <w:rPr>
          <w:sz w:val="18"/>
          <w:szCs w:val="18"/>
        </w:rPr>
        <w:t xml:space="preserve"> </w:t>
      </w:r>
      <w:r>
        <w:rPr>
          <w:szCs w:val="24"/>
        </w:rPr>
        <w:br/>
      </w:r>
      <w:r>
        <w:rPr>
          <w:sz w:val="18"/>
          <w:szCs w:val="18"/>
        </w:rPr>
        <w:t>注</w:t>
      </w:r>
      <w:r>
        <w:rPr>
          <w:sz w:val="18"/>
          <w:szCs w:val="18"/>
        </w:rPr>
        <w:t>2</w:t>
      </w:r>
      <w:r>
        <w:rPr>
          <w:sz w:val="18"/>
          <w:szCs w:val="18"/>
        </w:rPr>
        <w:t>：上述广图粤科（广州）科技有限公司的财务报表数据包含下属子公司粤科睿肯（上海）科技有限公司的相关财务数据；</w:t>
      </w:r>
      <w:r>
        <w:rPr>
          <w:szCs w:val="24"/>
        </w:rPr>
        <w:br/>
      </w:r>
      <w:r>
        <w:rPr>
          <w:sz w:val="18"/>
          <w:szCs w:val="18"/>
        </w:rPr>
        <w:t>注</w:t>
      </w:r>
      <w:r>
        <w:rPr>
          <w:sz w:val="18"/>
          <w:szCs w:val="18"/>
        </w:rPr>
        <w:t>3</w:t>
      </w:r>
      <w:r>
        <w:rPr>
          <w:sz w:val="18"/>
          <w:szCs w:val="18"/>
        </w:rPr>
        <w:t>：上述深圳市互联精英信息技术有限公司的财务报表数据包含下属子公司广东翼启数据产业有限公司的相关财务数据；</w:t>
      </w:r>
      <w:r>
        <w:rPr>
          <w:szCs w:val="24"/>
        </w:rPr>
        <w:br/>
      </w:r>
      <w:r>
        <w:rPr>
          <w:sz w:val="18"/>
          <w:szCs w:val="18"/>
        </w:rPr>
        <w:t>注</w:t>
      </w:r>
      <w:r>
        <w:rPr>
          <w:sz w:val="18"/>
          <w:szCs w:val="18"/>
        </w:rPr>
        <w:t>4</w:t>
      </w:r>
      <w:r>
        <w:rPr>
          <w:sz w:val="18"/>
          <w:szCs w:val="18"/>
        </w:rPr>
        <w:t>：重庆天亿马信息技术有限公司于</w:t>
      </w:r>
      <w:r>
        <w:rPr>
          <w:sz w:val="18"/>
          <w:szCs w:val="18"/>
        </w:rPr>
        <w:t>2024</w:t>
      </w:r>
      <w:r>
        <w:rPr>
          <w:sz w:val="18"/>
          <w:szCs w:val="18"/>
        </w:rPr>
        <w:t>年</w:t>
      </w:r>
      <w:r>
        <w:rPr>
          <w:sz w:val="18"/>
          <w:szCs w:val="18"/>
        </w:rPr>
        <w:t>9</w:t>
      </w:r>
      <w:r>
        <w:rPr>
          <w:sz w:val="18"/>
          <w:szCs w:val="18"/>
        </w:rPr>
        <w:t>月办理工商注销，并于</w:t>
      </w:r>
      <w:r>
        <w:rPr>
          <w:sz w:val="18"/>
          <w:szCs w:val="18"/>
        </w:rPr>
        <w:t>2025</w:t>
      </w:r>
      <w:r>
        <w:rPr>
          <w:sz w:val="18"/>
          <w:szCs w:val="18"/>
        </w:rPr>
        <w:t>年</w:t>
      </w:r>
      <w:r>
        <w:rPr>
          <w:sz w:val="18"/>
          <w:szCs w:val="18"/>
        </w:rPr>
        <w:t>4</w:t>
      </w:r>
      <w:r>
        <w:rPr>
          <w:sz w:val="18"/>
          <w:szCs w:val="18"/>
        </w:rPr>
        <w:t>月完成银行账户注销；</w:t>
      </w:r>
      <w:r>
        <w:rPr>
          <w:szCs w:val="24"/>
        </w:rPr>
        <w:br/>
      </w:r>
      <w:r>
        <w:rPr>
          <w:sz w:val="18"/>
          <w:szCs w:val="18"/>
        </w:rPr>
        <w:t>注</w:t>
      </w:r>
      <w:r>
        <w:rPr>
          <w:sz w:val="18"/>
          <w:szCs w:val="18"/>
        </w:rPr>
        <w:t>5</w:t>
      </w:r>
      <w:r>
        <w:rPr>
          <w:sz w:val="18"/>
          <w:szCs w:val="18"/>
        </w:rPr>
        <w:t>：靖州亿道电力有限公司曾用名湖南亿道电力有限公司，系公司光伏业务项目公司，于</w:t>
      </w:r>
      <w:r>
        <w:rPr>
          <w:sz w:val="18"/>
          <w:szCs w:val="18"/>
        </w:rPr>
        <w:t>2025</w:t>
      </w:r>
      <w:r>
        <w:rPr>
          <w:sz w:val="18"/>
          <w:szCs w:val="18"/>
        </w:rPr>
        <w:t>年</w:t>
      </w:r>
      <w:r>
        <w:rPr>
          <w:sz w:val="18"/>
          <w:szCs w:val="18"/>
        </w:rPr>
        <w:t>4</w:t>
      </w:r>
      <w:r>
        <w:rPr>
          <w:sz w:val="18"/>
          <w:szCs w:val="18"/>
        </w:rPr>
        <w:t>月完成股权转让。</w:t>
      </w:r>
    </w:p>
    <w:p w:rsidR="00E20B54" w:rsidRDefault="00733C9E">
      <w:pPr>
        <w:pStyle w:val="2"/>
        <w:spacing w:before="300" w:after="300" w:line="320" w:lineRule="exact"/>
        <w:rPr>
          <w:b/>
          <w:bCs/>
          <w:sz w:val="24"/>
          <w:szCs w:val="24"/>
        </w:rPr>
      </w:pPr>
      <w:bookmarkStart w:id="46" w:name="_Toc988935"/>
      <w:r>
        <w:rPr>
          <w:b/>
          <w:bCs/>
          <w:sz w:val="24"/>
          <w:szCs w:val="24"/>
        </w:rPr>
        <w:lastRenderedPageBreak/>
        <w:t>十、公司控制的结构化主体情况</w:t>
      </w:r>
      <w:bookmarkEnd w:id="46"/>
    </w:p>
    <w:p w:rsidR="00E20B54" w:rsidRDefault="00733C9E">
      <w:pPr>
        <w:spacing w:before="100" w:after="100" w:line="240" w:lineRule="exact"/>
        <w:rPr>
          <w:sz w:val="18"/>
          <w:szCs w:val="18"/>
        </w:rPr>
      </w:pPr>
      <w:r>
        <w:rPr>
          <w:sz w:val="18"/>
          <w:szCs w:val="18"/>
        </w:rPr>
        <w:t>□</w:t>
      </w:r>
      <w:r>
        <w:rPr>
          <w:sz w:val="18"/>
          <w:szCs w:val="18"/>
        </w:rPr>
        <w:t>适用</w:t>
      </w:r>
      <w:r>
        <w:rPr>
          <w:sz w:val="18"/>
          <w:szCs w:val="18"/>
        </w:rPr>
        <w:t xml:space="preserve"> </w:t>
      </w:r>
      <w:r>
        <w:rPr>
          <w:sz w:val="18"/>
          <w:szCs w:val="18"/>
        </w:rPr>
        <w:sym w:font="Wingdings 2" w:char="F052"/>
      </w:r>
      <w:r>
        <w:rPr>
          <w:sz w:val="18"/>
          <w:szCs w:val="18"/>
        </w:rPr>
        <w:t>不适用</w:t>
      </w:r>
    </w:p>
    <w:p w:rsidR="00E20B54" w:rsidRDefault="00733C9E">
      <w:pPr>
        <w:pStyle w:val="2"/>
        <w:spacing w:before="300" w:after="300" w:line="320" w:lineRule="exact"/>
        <w:rPr>
          <w:b/>
          <w:bCs/>
          <w:sz w:val="24"/>
          <w:szCs w:val="24"/>
        </w:rPr>
      </w:pPr>
      <w:bookmarkStart w:id="47" w:name="_Toc988936"/>
      <w:r>
        <w:rPr>
          <w:b/>
          <w:bCs/>
          <w:sz w:val="24"/>
          <w:szCs w:val="24"/>
        </w:rPr>
        <w:t>十一、公司未来发展的展望</w:t>
      </w:r>
      <w:bookmarkEnd w:id="47"/>
    </w:p>
    <w:p w:rsidR="00E20B54" w:rsidRDefault="00733C9E" w:rsidP="00C57489">
      <w:pPr>
        <w:pStyle w:val="a3"/>
        <w:widowControl/>
        <w:adjustRightInd w:val="0"/>
        <w:snapToGrid w:val="0"/>
        <w:spacing w:beforeAutospacing="0" w:afterAutospacing="0" w:line="288" w:lineRule="auto"/>
        <w:ind w:firstLineChars="200" w:firstLine="422"/>
        <w:jc w:val="both"/>
        <w:rPr>
          <w:szCs w:val="24"/>
        </w:rPr>
      </w:pPr>
      <w:r>
        <w:rPr>
          <w:rStyle w:val="a4"/>
          <w:color w:val="000000"/>
          <w:sz w:val="21"/>
          <w:szCs w:val="21"/>
          <w:shd w:val="clear" w:color="auto" w:fill="FFFFFF"/>
        </w:rPr>
        <w:t>（一）公司未来发展战略</w:t>
      </w:r>
    </w:p>
    <w:p w:rsidR="00E20B54" w:rsidRDefault="00733C9E">
      <w:pPr>
        <w:pStyle w:val="a3"/>
        <w:widowControl/>
        <w:adjustRightInd w:val="0"/>
        <w:snapToGrid w:val="0"/>
        <w:spacing w:beforeAutospacing="0" w:afterAutospacing="0" w:line="288" w:lineRule="auto"/>
        <w:ind w:firstLineChars="200" w:firstLine="420"/>
        <w:jc w:val="both"/>
        <w:rPr>
          <w:sz w:val="21"/>
          <w:szCs w:val="21"/>
        </w:rPr>
      </w:pPr>
      <w:r>
        <w:rPr>
          <w:color w:val="000000"/>
          <w:sz w:val="21"/>
          <w:szCs w:val="21"/>
          <w:shd w:val="clear" w:color="auto" w:fill="FFFFFF"/>
        </w:rPr>
        <w:t>2026</w:t>
      </w:r>
      <w:r>
        <w:rPr>
          <w:color w:val="000000"/>
          <w:sz w:val="21"/>
          <w:szCs w:val="21"/>
          <w:shd w:val="clear" w:color="auto" w:fill="FFFFFF"/>
        </w:rPr>
        <w:t>年作为国家</w:t>
      </w:r>
      <w:r>
        <w:rPr>
          <w:color w:val="000000"/>
          <w:sz w:val="21"/>
          <w:szCs w:val="21"/>
          <w:shd w:val="clear" w:color="auto" w:fill="FFFFFF"/>
        </w:rPr>
        <w:t>“</w:t>
      </w:r>
      <w:r>
        <w:rPr>
          <w:color w:val="000000"/>
          <w:sz w:val="21"/>
          <w:szCs w:val="21"/>
          <w:shd w:val="clear" w:color="auto" w:fill="FFFFFF"/>
        </w:rPr>
        <w:t>十五五</w:t>
      </w:r>
      <w:r>
        <w:rPr>
          <w:color w:val="000000"/>
          <w:sz w:val="21"/>
          <w:szCs w:val="21"/>
          <w:shd w:val="clear" w:color="auto" w:fill="FFFFFF"/>
        </w:rPr>
        <w:t>”</w:t>
      </w:r>
      <w:r>
        <w:rPr>
          <w:color w:val="000000"/>
          <w:sz w:val="21"/>
          <w:szCs w:val="21"/>
          <w:shd w:val="clear" w:color="auto" w:fill="FFFFFF"/>
        </w:rPr>
        <w:t>规划开局之年，也是中国数字经济</w:t>
      </w:r>
      <w:r>
        <w:rPr>
          <w:rFonts w:ascii="宋体" w:hAnsi="宋体" w:cs="宋体" w:hint="eastAsia"/>
          <w:color w:val="000000"/>
          <w:sz w:val="21"/>
          <w:szCs w:val="21"/>
          <w:shd w:val="clear" w:color="auto" w:fill="FFFFFF"/>
        </w:rPr>
        <w:t>从“数字化”向“数智化”跨</w:t>
      </w:r>
      <w:r>
        <w:rPr>
          <w:color w:val="000000"/>
          <w:sz w:val="21"/>
          <w:szCs w:val="21"/>
          <w:shd w:val="clear" w:color="auto" w:fill="FFFFFF"/>
        </w:rPr>
        <w:t>越的关键之年。公司</w:t>
      </w:r>
      <w:r>
        <w:rPr>
          <w:rFonts w:ascii="宋体" w:hAnsi="宋体" w:cs="宋体"/>
          <w:color w:val="000000"/>
          <w:sz w:val="21"/>
          <w:szCs w:val="21"/>
          <w:shd w:val="clear" w:color="auto" w:fill="FFFFFF"/>
        </w:rPr>
        <w:t>围绕“转型、突破、提质”的发</w:t>
      </w:r>
      <w:r>
        <w:rPr>
          <w:color w:val="000000"/>
          <w:sz w:val="21"/>
          <w:szCs w:val="21"/>
          <w:shd w:val="clear" w:color="auto" w:fill="FFFFFF"/>
        </w:rPr>
        <w:t>展战略，紧随国家关于加快发展新质生产力、深</w:t>
      </w:r>
      <w:r>
        <w:rPr>
          <w:rFonts w:ascii="宋体" w:hAnsi="宋体" w:cs="宋体"/>
          <w:color w:val="000000"/>
          <w:sz w:val="21"/>
          <w:szCs w:val="21"/>
          <w:shd w:val="clear" w:color="auto" w:fill="FFFFFF"/>
        </w:rPr>
        <w:t>化“人工智能+”行动的宏观政策导向，聚焦人工智能、算力服务、数字要素等新业务板块，积</w:t>
      </w:r>
      <w:r>
        <w:rPr>
          <w:color w:val="000000"/>
          <w:sz w:val="21"/>
          <w:szCs w:val="21"/>
          <w:shd w:val="clear" w:color="auto" w:fill="FFFFFF"/>
        </w:rPr>
        <w:t>极构筑公司在人工智能赛道上的全新篇章。</w:t>
      </w:r>
    </w:p>
    <w:p w:rsidR="00E20B54" w:rsidRDefault="00733C9E">
      <w:pPr>
        <w:pStyle w:val="a3"/>
        <w:widowControl/>
        <w:adjustRightInd w:val="0"/>
        <w:snapToGrid w:val="0"/>
        <w:spacing w:beforeAutospacing="0" w:afterAutospacing="0" w:line="288" w:lineRule="auto"/>
        <w:ind w:firstLineChars="200" w:firstLine="420"/>
        <w:jc w:val="both"/>
        <w:rPr>
          <w:sz w:val="21"/>
          <w:szCs w:val="21"/>
        </w:rPr>
      </w:pPr>
      <w:r>
        <w:rPr>
          <w:color w:val="000000"/>
          <w:sz w:val="21"/>
          <w:szCs w:val="21"/>
          <w:shd w:val="clear" w:color="auto" w:fill="FFFFFF"/>
        </w:rPr>
        <w:t>2026</w:t>
      </w:r>
      <w:r>
        <w:rPr>
          <w:color w:val="000000"/>
          <w:sz w:val="21"/>
          <w:szCs w:val="21"/>
          <w:shd w:val="clear" w:color="auto" w:fill="FFFFFF"/>
        </w:rPr>
        <w:t>年，公司将以</w:t>
      </w:r>
      <w:r>
        <w:rPr>
          <w:color w:val="000000"/>
          <w:sz w:val="21"/>
          <w:szCs w:val="21"/>
          <w:shd w:val="clear" w:color="auto" w:fill="FFFFFF"/>
        </w:rPr>
        <w:t>AI</w:t>
      </w:r>
      <w:r>
        <w:rPr>
          <w:color w:val="000000"/>
          <w:sz w:val="21"/>
          <w:szCs w:val="21"/>
          <w:shd w:val="clear" w:color="auto" w:fill="FFFFFF"/>
        </w:rPr>
        <w:t>技术应用创新为核心牵引，推动公司产业改造升级，努力开辟战略性新兴产业发展新赛道，构筑</w:t>
      </w:r>
      <w:r>
        <w:rPr>
          <w:color w:val="000000"/>
          <w:sz w:val="21"/>
          <w:szCs w:val="21"/>
          <w:shd w:val="clear" w:color="auto" w:fill="FFFFFF"/>
        </w:rPr>
        <w:t>“</w:t>
      </w:r>
      <w:r>
        <w:rPr>
          <w:color w:val="000000"/>
          <w:sz w:val="21"/>
          <w:szCs w:val="21"/>
          <w:shd w:val="clear" w:color="auto" w:fill="FFFFFF"/>
        </w:rPr>
        <w:t>技术攻坚</w:t>
      </w:r>
      <w:r>
        <w:rPr>
          <w:color w:val="000000"/>
          <w:sz w:val="21"/>
          <w:szCs w:val="21"/>
          <w:shd w:val="clear" w:color="auto" w:fill="FFFFFF"/>
        </w:rPr>
        <w:t>-</w:t>
      </w:r>
      <w:r>
        <w:rPr>
          <w:color w:val="000000"/>
          <w:sz w:val="21"/>
          <w:szCs w:val="21"/>
          <w:shd w:val="clear" w:color="auto" w:fill="FFFFFF"/>
        </w:rPr>
        <w:t>应用创新</w:t>
      </w:r>
      <w:r>
        <w:rPr>
          <w:color w:val="000000"/>
          <w:sz w:val="21"/>
          <w:szCs w:val="21"/>
          <w:shd w:val="clear" w:color="auto" w:fill="FFFFFF"/>
        </w:rPr>
        <w:t>-</w:t>
      </w:r>
      <w:r>
        <w:rPr>
          <w:color w:val="000000"/>
          <w:sz w:val="21"/>
          <w:szCs w:val="21"/>
          <w:shd w:val="clear" w:color="auto" w:fill="FFFFFF"/>
        </w:rPr>
        <w:t>生态共赢</w:t>
      </w:r>
      <w:r>
        <w:rPr>
          <w:color w:val="000000"/>
          <w:sz w:val="21"/>
          <w:szCs w:val="21"/>
          <w:shd w:val="clear" w:color="auto" w:fill="FFFFFF"/>
        </w:rPr>
        <w:t>”</w:t>
      </w:r>
      <w:r>
        <w:rPr>
          <w:color w:val="000000"/>
          <w:sz w:val="21"/>
          <w:szCs w:val="21"/>
          <w:shd w:val="clear" w:color="auto" w:fill="FFFFFF"/>
        </w:rPr>
        <w:t>三位一体的战略布局，着力提升核心竞争力，打造智能经济主航道，奋力实现跨越式发展。</w:t>
      </w:r>
    </w:p>
    <w:p w:rsidR="00E20B54" w:rsidRDefault="00733C9E" w:rsidP="00C57489">
      <w:pPr>
        <w:pStyle w:val="a3"/>
        <w:widowControl/>
        <w:adjustRightInd w:val="0"/>
        <w:snapToGrid w:val="0"/>
        <w:spacing w:beforeAutospacing="0" w:afterAutospacing="0" w:line="288" w:lineRule="auto"/>
        <w:ind w:firstLineChars="200" w:firstLine="422"/>
        <w:jc w:val="both"/>
        <w:rPr>
          <w:sz w:val="21"/>
          <w:szCs w:val="21"/>
        </w:rPr>
      </w:pPr>
      <w:r>
        <w:rPr>
          <w:rStyle w:val="a4"/>
          <w:color w:val="000000"/>
          <w:sz w:val="21"/>
          <w:szCs w:val="21"/>
          <w:shd w:val="clear" w:color="auto" w:fill="FFFFFF"/>
        </w:rPr>
        <w:t>1.</w:t>
      </w:r>
      <w:r>
        <w:rPr>
          <w:rStyle w:val="a4"/>
          <w:color w:val="000000"/>
          <w:sz w:val="21"/>
          <w:szCs w:val="21"/>
          <w:shd w:val="clear" w:color="auto" w:fill="FFFFFF"/>
        </w:rPr>
        <w:t>加大人工智能研发投入，实现自主</w:t>
      </w:r>
      <w:r>
        <w:rPr>
          <w:rStyle w:val="a4"/>
          <w:color w:val="000000"/>
          <w:sz w:val="21"/>
          <w:szCs w:val="21"/>
          <w:shd w:val="clear" w:color="auto" w:fill="FFFFFF"/>
        </w:rPr>
        <w:t>AI</w:t>
      </w:r>
      <w:r>
        <w:rPr>
          <w:rStyle w:val="a4"/>
          <w:color w:val="000000"/>
          <w:sz w:val="21"/>
          <w:szCs w:val="21"/>
          <w:shd w:val="clear" w:color="auto" w:fill="FFFFFF"/>
        </w:rPr>
        <w:t>引擎突破。</w:t>
      </w:r>
    </w:p>
    <w:p w:rsidR="00E20B54" w:rsidRDefault="00733C9E">
      <w:pPr>
        <w:pStyle w:val="a3"/>
        <w:widowControl/>
        <w:adjustRightInd w:val="0"/>
        <w:snapToGrid w:val="0"/>
        <w:spacing w:beforeAutospacing="0" w:afterAutospacing="0" w:line="288" w:lineRule="auto"/>
        <w:ind w:firstLineChars="200" w:firstLine="420"/>
        <w:jc w:val="both"/>
        <w:rPr>
          <w:sz w:val="21"/>
          <w:szCs w:val="21"/>
        </w:rPr>
      </w:pPr>
      <w:r>
        <w:rPr>
          <w:color w:val="000000"/>
          <w:sz w:val="21"/>
          <w:szCs w:val="21"/>
          <w:shd w:val="clear" w:color="auto" w:fill="FFFFFF"/>
        </w:rPr>
        <w:t>2026</w:t>
      </w:r>
      <w:r>
        <w:rPr>
          <w:color w:val="000000"/>
          <w:sz w:val="21"/>
          <w:szCs w:val="21"/>
          <w:shd w:val="clear" w:color="auto" w:fill="FFFFFF"/>
        </w:rPr>
        <w:t>年，公司全</w:t>
      </w:r>
      <w:r>
        <w:rPr>
          <w:rFonts w:ascii="宋体" w:hAnsi="宋体" w:cs="宋体"/>
          <w:color w:val="000000"/>
          <w:sz w:val="21"/>
          <w:szCs w:val="21"/>
          <w:shd w:val="clear" w:color="auto" w:fill="FFFFFF"/>
        </w:rPr>
        <w:t>面落实“人工智能+”行动</w:t>
      </w:r>
      <w:r>
        <w:rPr>
          <w:color w:val="000000"/>
          <w:sz w:val="21"/>
          <w:szCs w:val="21"/>
          <w:shd w:val="clear" w:color="auto" w:fill="FFFFFF"/>
        </w:rPr>
        <w:t>部署，深度融合人工智能大模型、数字孪生与物联网技术，对智慧政务、医疗、交通、教育等智慧城市集成业务进行智能化重塑。全力推进集成高性能机器学习框架、先进的大模型适配与优化能力的自</w:t>
      </w:r>
      <w:r>
        <w:rPr>
          <w:rFonts w:ascii="宋体" w:hAnsi="宋体" w:cs="宋体"/>
          <w:color w:val="000000"/>
          <w:sz w:val="21"/>
          <w:szCs w:val="21"/>
          <w:shd w:val="clear" w:color="auto" w:fill="FFFFFF"/>
        </w:rPr>
        <w:t>主“</w:t>
      </w:r>
      <w:r>
        <w:rPr>
          <w:color w:val="000000"/>
          <w:sz w:val="21"/>
          <w:szCs w:val="21"/>
          <w:shd w:val="clear" w:color="auto" w:fill="FFFFFF"/>
        </w:rPr>
        <w:t>TYM AI ENGINE</w:t>
      </w:r>
      <w:r>
        <w:rPr>
          <w:rFonts w:ascii="宋体" w:hAnsi="宋体" w:cs="宋体"/>
          <w:color w:val="000000"/>
          <w:sz w:val="21"/>
          <w:szCs w:val="21"/>
          <w:shd w:val="clear" w:color="auto" w:fill="FFFFFF"/>
        </w:rPr>
        <w:t>”（</w:t>
      </w:r>
      <w:r>
        <w:rPr>
          <w:color w:val="000000"/>
          <w:sz w:val="21"/>
          <w:szCs w:val="21"/>
          <w:shd w:val="clear" w:color="auto" w:fill="FFFFFF"/>
        </w:rPr>
        <w:t>TYM</w:t>
      </w:r>
      <w:r>
        <w:rPr>
          <w:rFonts w:hint="eastAsia"/>
          <w:color w:val="000000"/>
          <w:sz w:val="21"/>
          <w:szCs w:val="21"/>
          <w:shd w:val="clear" w:color="auto" w:fill="FFFFFF"/>
        </w:rPr>
        <w:t xml:space="preserve"> </w:t>
      </w:r>
      <w:r>
        <w:rPr>
          <w:color w:val="000000"/>
          <w:sz w:val="21"/>
          <w:szCs w:val="21"/>
          <w:shd w:val="clear" w:color="auto" w:fill="FFFFFF"/>
        </w:rPr>
        <w:t>AI</w:t>
      </w:r>
      <w:r>
        <w:rPr>
          <w:color w:val="000000"/>
          <w:sz w:val="21"/>
          <w:szCs w:val="21"/>
          <w:shd w:val="clear" w:color="auto" w:fill="FFFFFF"/>
        </w:rPr>
        <w:t>引擎）产品的研发与正式发布，形成一套标准化、模块化、可扩展的企业级</w:t>
      </w:r>
      <w:r>
        <w:rPr>
          <w:color w:val="000000"/>
          <w:sz w:val="21"/>
          <w:szCs w:val="21"/>
          <w:shd w:val="clear" w:color="auto" w:fill="FFFFFF"/>
        </w:rPr>
        <w:t>AI</w:t>
      </w:r>
      <w:r>
        <w:rPr>
          <w:color w:val="000000"/>
          <w:sz w:val="21"/>
          <w:szCs w:val="21"/>
          <w:shd w:val="clear" w:color="auto" w:fill="FFFFFF"/>
        </w:rPr>
        <w:t>开发与部署平台。</w:t>
      </w:r>
    </w:p>
    <w:p w:rsidR="00E20B54" w:rsidRDefault="00733C9E">
      <w:pPr>
        <w:pStyle w:val="a3"/>
        <w:widowControl/>
        <w:adjustRightInd w:val="0"/>
        <w:snapToGrid w:val="0"/>
        <w:spacing w:beforeAutospacing="0" w:afterAutospacing="0" w:line="288" w:lineRule="auto"/>
        <w:ind w:firstLineChars="200" w:firstLine="420"/>
        <w:jc w:val="both"/>
        <w:rPr>
          <w:sz w:val="21"/>
          <w:szCs w:val="21"/>
        </w:rPr>
      </w:pPr>
      <w:r>
        <w:rPr>
          <w:color w:val="000000"/>
          <w:sz w:val="21"/>
          <w:szCs w:val="21"/>
          <w:shd w:val="clear" w:color="auto" w:fill="FFFFFF"/>
        </w:rPr>
        <w:t>全力推进</w:t>
      </w:r>
      <w:r>
        <w:rPr>
          <w:color w:val="000000"/>
          <w:sz w:val="21"/>
          <w:szCs w:val="21"/>
          <w:shd w:val="clear" w:color="auto" w:fill="FFFFFF"/>
        </w:rPr>
        <w:t>AI</w:t>
      </w:r>
      <w:r>
        <w:rPr>
          <w:color w:val="000000"/>
          <w:sz w:val="21"/>
          <w:szCs w:val="21"/>
          <w:shd w:val="clear" w:color="auto" w:fill="FFFFFF"/>
        </w:rPr>
        <w:t>应用与产业场景深度融合，根据政府治理、公共服务、金融、能源、制造等关键行业的业务场景与痛点，打造一系列具备深度行业知识、可执行复杂任务的垂直领域智能体解决方案，加快</w:t>
      </w:r>
      <w:r>
        <w:rPr>
          <w:color w:val="000000"/>
          <w:sz w:val="21"/>
          <w:szCs w:val="21"/>
          <w:shd w:val="clear" w:color="auto" w:fill="FFFFFF"/>
        </w:rPr>
        <w:t>“</w:t>
      </w:r>
      <w:r>
        <w:rPr>
          <w:color w:val="000000"/>
          <w:sz w:val="21"/>
          <w:szCs w:val="21"/>
          <w:shd w:val="clear" w:color="auto" w:fill="FFFFFF"/>
        </w:rPr>
        <w:t>政企智能体</w:t>
      </w:r>
      <w:r>
        <w:rPr>
          <w:color w:val="000000"/>
          <w:sz w:val="21"/>
          <w:szCs w:val="21"/>
          <w:shd w:val="clear" w:color="auto" w:fill="FFFFFF"/>
        </w:rPr>
        <w:t>”</w:t>
      </w:r>
      <w:r>
        <w:rPr>
          <w:color w:val="000000"/>
          <w:sz w:val="21"/>
          <w:szCs w:val="21"/>
          <w:shd w:val="clear" w:color="auto" w:fill="FFFFFF"/>
        </w:rPr>
        <w:t>的深度开发与规模化应用交付。让人工智能切实转化为提升运营效率、优化决策质量、创新服务模式的生产力工具，形成</w:t>
      </w:r>
      <w:r>
        <w:rPr>
          <w:color w:val="000000"/>
          <w:sz w:val="21"/>
          <w:szCs w:val="21"/>
          <w:shd w:val="clear" w:color="auto" w:fill="FFFFFF"/>
        </w:rPr>
        <w:t>AI</w:t>
      </w:r>
      <w:r>
        <w:rPr>
          <w:color w:val="000000"/>
          <w:sz w:val="21"/>
          <w:szCs w:val="21"/>
          <w:shd w:val="clear" w:color="auto" w:fill="FFFFFF"/>
        </w:rPr>
        <w:t>应用标杆效应。</w:t>
      </w:r>
    </w:p>
    <w:p w:rsidR="00E20B54" w:rsidRDefault="00733C9E" w:rsidP="00C57489">
      <w:pPr>
        <w:pStyle w:val="a3"/>
        <w:widowControl/>
        <w:adjustRightInd w:val="0"/>
        <w:snapToGrid w:val="0"/>
        <w:spacing w:beforeAutospacing="0" w:afterAutospacing="0" w:line="288" w:lineRule="auto"/>
        <w:ind w:firstLineChars="200" w:firstLine="422"/>
        <w:jc w:val="both"/>
        <w:rPr>
          <w:sz w:val="21"/>
          <w:szCs w:val="21"/>
        </w:rPr>
      </w:pPr>
      <w:r>
        <w:rPr>
          <w:rStyle w:val="a4"/>
          <w:color w:val="000000"/>
          <w:sz w:val="21"/>
          <w:szCs w:val="21"/>
          <w:shd w:val="clear" w:color="auto" w:fill="FFFFFF"/>
        </w:rPr>
        <w:t>2.</w:t>
      </w:r>
      <w:r>
        <w:rPr>
          <w:rStyle w:val="a4"/>
          <w:color w:val="000000"/>
          <w:sz w:val="21"/>
          <w:szCs w:val="21"/>
          <w:shd w:val="clear" w:color="auto" w:fill="FFFFFF"/>
        </w:rPr>
        <w:t>加速算力资源服务一体化建设，提升算力综合服务能力</w:t>
      </w:r>
    </w:p>
    <w:p w:rsidR="00E20B54" w:rsidRDefault="00733C9E">
      <w:pPr>
        <w:pStyle w:val="a3"/>
        <w:widowControl/>
        <w:adjustRightInd w:val="0"/>
        <w:snapToGrid w:val="0"/>
        <w:spacing w:beforeAutospacing="0" w:afterAutospacing="0" w:line="288" w:lineRule="auto"/>
        <w:ind w:firstLineChars="200" w:firstLine="420"/>
        <w:jc w:val="both"/>
        <w:rPr>
          <w:sz w:val="21"/>
          <w:szCs w:val="21"/>
        </w:rPr>
      </w:pPr>
      <w:r>
        <w:rPr>
          <w:color w:val="000000"/>
          <w:sz w:val="21"/>
          <w:szCs w:val="21"/>
          <w:shd w:val="clear" w:color="auto" w:fill="FFFFFF"/>
        </w:rPr>
        <w:t>面向</w:t>
      </w:r>
      <w:r>
        <w:rPr>
          <w:color w:val="000000"/>
          <w:sz w:val="21"/>
          <w:szCs w:val="21"/>
          <w:shd w:val="clear" w:color="auto" w:fill="FFFFFF"/>
        </w:rPr>
        <w:t>AI</w:t>
      </w:r>
      <w:r>
        <w:rPr>
          <w:color w:val="000000"/>
          <w:sz w:val="21"/>
          <w:szCs w:val="21"/>
          <w:shd w:val="clear" w:color="auto" w:fill="FFFFFF"/>
        </w:rPr>
        <w:t>大模型的普及、行业数智化转型深化带来的算力需求爆发机遇，公司以扩资源、建能力、强协同、拓场景、优生态为主线，持续加大资金、技术、人才投入，全面提升算力供给与服务能力。在算力布局上，拓展高性能算力资源，</w:t>
      </w:r>
      <w:r>
        <w:rPr>
          <w:rFonts w:ascii="宋体" w:hAnsi="宋体" w:cs="宋体" w:hint="eastAsia"/>
          <w:color w:val="000000"/>
          <w:sz w:val="21"/>
          <w:szCs w:val="21"/>
          <w:shd w:val="clear" w:color="auto" w:fill="FFFFFF"/>
        </w:rPr>
        <w:t>构建“中</w:t>
      </w:r>
      <w:r>
        <w:rPr>
          <w:color w:val="000000"/>
          <w:sz w:val="21"/>
          <w:szCs w:val="21"/>
          <w:shd w:val="clear" w:color="auto" w:fill="FFFFFF"/>
        </w:rPr>
        <w:t>心算力</w:t>
      </w:r>
      <w:r>
        <w:rPr>
          <w:color w:val="000000"/>
          <w:sz w:val="21"/>
          <w:szCs w:val="21"/>
          <w:shd w:val="clear" w:color="auto" w:fill="FFFFFF"/>
        </w:rPr>
        <w:t>+</w:t>
      </w:r>
      <w:r>
        <w:rPr>
          <w:color w:val="000000"/>
          <w:sz w:val="21"/>
          <w:szCs w:val="21"/>
          <w:shd w:val="clear" w:color="auto" w:fill="FFFFFF"/>
        </w:rPr>
        <w:t>边缘算</w:t>
      </w:r>
      <w:r>
        <w:rPr>
          <w:rFonts w:ascii="宋体" w:hAnsi="宋体" w:cs="宋体"/>
          <w:color w:val="000000"/>
          <w:sz w:val="21"/>
          <w:szCs w:val="21"/>
          <w:shd w:val="clear" w:color="auto" w:fill="FFFFFF"/>
        </w:rPr>
        <w:t>力”协</w:t>
      </w:r>
      <w:r>
        <w:rPr>
          <w:color w:val="000000"/>
          <w:sz w:val="21"/>
          <w:szCs w:val="21"/>
          <w:shd w:val="clear" w:color="auto" w:fill="FFFFFF"/>
        </w:rPr>
        <w:t>同调度体系，提升弹性供给、高效调度与稳定承载能力，全面满足大模型训练与推理、高并发业务、实时智能服务等多元个性化算力需求。在产品技术能力上，加大算力调度平台、智算运维、算力安全管控系统研发投入，提升算力服务规模化、智能化、集约化水平。</w:t>
      </w:r>
    </w:p>
    <w:p w:rsidR="00E20B54" w:rsidRDefault="00733C9E" w:rsidP="00C57489">
      <w:pPr>
        <w:pStyle w:val="a3"/>
        <w:widowControl/>
        <w:adjustRightInd w:val="0"/>
        <w:snapToGrid w:val="0"/>
        <w:spacing w:beforeAutospacing="0" w:afterAutospacing="0" w:line="288" w:lineRule="auto"/>
        <w:ind w:firstLineChars="200" w:firstLine="422"/>
        <w:jc w:val="both"/>
        <w:rPr>
          <w:sz w:val="21"/>
          <w:szCs w:val="21"/>
        </w:rPr>
      </w:pPr>
      <w:r>
        <w:rPr>
          <w:rStyle w:val="a4"/>
          <w:color w:val="000000"/>
          <w:sz w:val="21"/>
          <w:szCs w:val="21"/>
          <w:shd w:val="clear" w:color="auto" w:fill="FFFFFF"/>
        </w:rPr>
        <w:t>3.</w:t>
      </w:r>
      <w:r>
        <w:rPr>
          <w:rStyle w:val="a4"/>
          <w:color w:val="000000"/>
          <w:sz w:val="21"/>
          <w:szCs w:val="21"/>
          <w:shd w:val="clear" w:color="auto" w:fill="FFFFFF"/>
        </w:rPr>
        <w:t>激活数据要素，打造数据资产化运营新路径</w:t>
      </w:r>
    </w:p>
    <w:p w:rsidR="00E20B54" w:rsidRDefault="00733C9E">
      <w:pPr>
        <w:pStyle w:val="a3"/>
        <w:widowControl/>
        <w:adjustRightInd w:val="0"/>
        <w:snapToGrid w:val="0"/>
        <w:spacing w:beforeAutospacing="0" w:afterAutospacing="0" w:line="288" w:lineRule="auto"/>
        <w:ind w:firstLineChars="200" w:firstLine="420"/>
        <w:jc w:val="both"/>
        <w:rPr>
          <w:sz w:val="21"/>
          <w:szCs w:val="21"/>
        </w:rPr>
      </w:pPr>
      <w:r>
        <w:rPr>
          <w:color w:val="000000"/>
          <w:sz w:val="21"/>
          <w:szCs w:val="21"/>
        </w:rPr>
        <w:t>在国家大力培育数据要素市场、做实做强数字经济的宏大背景下，公司将构</w:t>
      </w:r>
      <w:r>
        <w:rPr>
          <w:rFonts w:ascii="宋体" w:hAnsi="宋体" w:cs="宋体"/>
          <w:color w:val="000000"/>
          <w:sz w:val="21"/>
          <w:szCs w:val="21"/>
          <w:shd w:val="clear" w:color="auto" w:fill="FFFFFF"/>
        </w:rPr>
        <w:t>建“从</w:t>
      </w:r>
      <w:r>
        <w:rPr>
          <w:color w:val="000000"/>
          <w:sz w:val="21"/>
          <w:szCs w:val="21"/>
        </w:rPr>
        <w:t>数据源头到资产价</w:t>
      </w:r>
      <w:r>
        <w:rPr>
          <w:rFonts w:ascii="宋体" w:hAnsi="宋体" w:cs="宋体"/>
          <w:color w:val="000000"/>
          <w:sz w:val="21"/>
          <w:szCs w:val="21"/>
          <w:shd w:val="clear" w:color="auto" w:fill="FFFFFF"/>
        </w:rPr>
        <w:t>值”的</w:t>
      </w:r>
      <w:r>
        <w:rPr>
          <w:color w:val="000000"/>
          <w:sz w:val="21"/>
          <w:szCs w:val="21"/>
        </w:rPr>
        <w:t>全链条、一站式服务能力。一是夯实数据基座：强化采集标注与平台治理能力。建设高标准、规模化汕</w:t>
      </w:r>
      <w:r>
        <w:rPr>
          <w:rFonts w:ascii="宋体" w:hAnsi="宋体" w:cs="宋体"/>
          <w:color w:val="000000"/>
          <w:sz w:val="21"/>
          <w:szCs w:val="21"/>
          <w:shd w:val="clear" w:color="auto" w:fill="FFFFFF"/>
        </w:rPr>
        <w:t>头“数</w:t>
      </w:r>
      <w:r>
        <w:rPr>
          <w:color w:val="000000"/>
          <w:sz w:val="21"/>
          <w:szCs w:val="21"/>
        </w:rPr>
        <w:t>据标注</w:t>
      </w:r>
      <w:r>
        <w:rPr>
          <w:rFonts w:ascii="宋体" w:hAnsi="宋体" w:cs="宋体"/>
          <w:color w:val="000000"/>
          <w:sz w:val="21"/>
          <w:szCs w:val="21"/>
          <w:shd w:val="clear" w:color="auto" w:fill="FFFFFF"/>
        </w:rPr>
        <w:t>基地”，</w:t>
      </w:r>
      <w:r>
        <w:rPr>
          <w:color w:val="000000"/>
          <w:sz w:val="21"/>
          <w:szCs w:val="21"/>
        </w:rPr>
        <w:t>打造数据归集、智能治理、质量安全管控、多维度分析及全生命周期资源管理等方面的核心功能。二是深化数据应用，打造可复用的数据产品与管理体系；聚焦数据应用创新与数据产品管理，推动数据产品化、服务化，快速响应客户需求，提升数据使用效率。三是突破价值前沿，引领数据资产化与价值实现；大力拓</w:t>
      </w:r>
      <w:r>
        <w:rPr>
          <w:rFonts w:ascii="宋体" w:hAnsi="宋体" w:cs="宋体"/>
          <w:color w:val="000000"/>
          <w:sz w:val="21"/>
          <w:szCs w:val="21"/>
          <w:shd w:val="clear" w:color="auto" w:fill="FFFFFF"/>
        </w:rPr>
        <w:t>展“数据资产化”业</w:t>
      </w:r>
      <w:r>
        <w:rPr>
          <w:color w:val="000000"/>
          <w:sz w:val="21"/>
          <w:szCs w:val="21"/>
        </w:rPr>
        <w:t>务，为客户提供涵盖数据资产确权、价值评估、合规管理，直</w:t>
      </w:r>
      <w:r>
        <w:rPr>
          <w:rFonts w:ascii="宋体" w:hAnsi="宋体" w:cs="宋体"/>
          <w:color w:val="000000"/>
          <w:sz w:val="21"/>
          <w:szCs w:val="21"/>
          <w:shd w:val="clear" w:color="auto" w:fill="FFFFFF"/>
        </w:rPr>
        <w:t>至“数据资产入表”的</w:t>
      </w:r>
      <w:r>
        <w:rPr>
          <w:color w:val="000000"/>
          <w:sz w:val="21"/>
          <w:szCs w:val="21"/>
        </w:rPr>
        <w:t>全程咨询与技术服务，构建覆盖</w:t>
      </w:r>
      <w:r>
        <w:rPr>
          <w:rFonts w:ascii="宋体" w:hAnsi="宋体" w:cs="宋体"/>
          <w:color w:val="000000"/>
          <w:sz w:val="21"/>
          <w:szCs w:val="21"/>
          <w:shd w:val="clear" w:color="auto" w:fill="FFFFFF"/>
        </w:rPr>
        <w:t>“采集-</w:t>
      </w:r>
      <w:r>
        <w:rPr>
          <w:color w:val="000000"/>
          <w:sz w:val="21"/>
          <w:szCs w:val="21"/>
        </w:rPr>
        <w:t>治理</w:t>
      </w:r>
      <w:r>
        <w:rPr>
          <w:color w:val="000000"/>
          <w:sz w:val="21"/>
          <w:szCs w:val="21"/>
        </w:rPr>
        <w:t>-</w:t>
      </w:r>
      <w:r>
        <w:rPr>
          <w:color w:val="000000"/>
          <w:sz w:val="21"/>
          <w:szCs w:val="21"/>
        </w:rPr>
        <w:t>应用</w:t>
      </w:r>
      <w:r>
        <w:rPr>
          <w:color w:val="000000"/>
          <w:sz w:val="21"/>
          <w:szCs w:val="21"/>
        </w:rPr>
        <w:t>-</w:t>
      </w:r>
      <w:r>
        <w:rPr>
          <w:color w:val="000000"/>
          <w:sz w:val="21"/>
          <w:szCs w:val="21"/>
        </w:rPr>
        <w:t>资产</w:t>
      </w:r>
      <w:r>
        <w:rPr>
          <w:rFonts w:ascii="宋体" w:hAnsi="宋体" w:cs="宋体"/>
          <w:color w:val="000000"/>
          <w:sz w:val="21"/>
          <w:szCs w:val="21"/>
          <w:shd w:val="clear" w:color="auto" w:fill="FFFFFF"/>
        </w:rPr>
        <w:t>化”的</w:t>
      </w:r>
      <w:r>
        <w:rPr>
          <w:color w:val="000000"/>
          <w:sz w:val="21"/>
          <w:szCs w:val="21"/>
        </w:rPr>
        <w:t>一站式服务方案，打通数据价值释放</w:t>
      </w:r>
      <w:r>
        <w:rPr>
          <w:rFonts w:ascii="宋体" w:hAnsi="宋体" w:cs="宋体"/>
          <w:color w:val="000000"/>
          <w:sz w:val="21"/>
          <w:szCs w:val="21"/>
          <w:shd w:val="clear" w:color="auto" w:fill="FFFFFF"/>
        </w:rPr>
        <w:t>的“最后一公里”</w:t>
      </w:r>
      <w:r>
        <w:rPr>
          <w:color w:val="000000"/>
          <w:sz w:val="21"/>
          <w:szCs w:val="21"/>
        </w:rPr>
        <w:t>。</w:t>
      </w:r>
    </w:p>
    <w:p w:rsidR="00E20B54" w:rsidRDefault="00733C9E" w:rsidP="00C57489">
      <w:pPr>
        <w:pStyle w:val="a3"/>
        <w:widowControl/>
        <w:adjustRightInd w:val="0"/>
        <w:snapToGrid w:val="0"/>
        <w:spacing w:beforeAutospacing="0" w:afterAutospacing="0" w:line="288" w:lineRule="auto"/>
        <w:ind w:firstLineChars="200" w:firstLine="422"/>
        <w:jc w:val="both"/>
        <w:rPr>
          <w:sz w:val="21"/>
          <w:szCs w:val="21"/>
        </w:rPr>
      </w:pPr>
      <w:r>
        <w:rPr>
          <w:rStyle w:val="a4"/>
          <w:color w:val="000000"/>
          <w:sz w:val="21"/>
          <w:szCs w:val="21"/>
          <w:shd w:val="clear" w:color="auto" w:fill="FFFFFF"/>
        </w:rPr>
        <w:t>4.</w:t>
      </w:r>
      <w:r>
        <w:rPr>
          <w:rStyle w:val="a4"/>
          <w:color w:val="000000"/>
          <w:sz w:val="21"/>
          <w:szCs w:val="21"/>
          <w:shd w:val="clear" w:color="auto" w:fill="FFFFFF"/>
        </w:rPr>
        <w:t>加快推进并购重组，构建数智生态闭环</w:t>
      </w:r>
    </w:p>
    <w:p w:rsidR="00E20B54" w:rsidRDefault="00733C9E">
      <w:pPr>
        <w:pStyle w:val="a3"/>
        <w:widowControl/>
        <w:adjustRightInd w:val="0"/>
        <w:snapToGrid w:val="0"/>
        <w:spacing w:beforeAutospacing="0" w:afterAutospacing="0" w:line="288" w:lineRule="auto"/>
        <w:ind w:firstLineChars="200" w:firstLine="420"/>
        <w:rPr>
          <w:sz w:val="21"/>
          <w:szCs w:val="21"/>
        </w:rPr>
      </w:pPr>
      <w:r>
        <w:rPr>
          <w:color w:val="000000"/>
          <w:sz w:val="21"/>
          <w:szCs w:val="21"/>
          <w:shd w:val="clear" w:color="auto" w:fill="FFFFFF"/>
        </w:rPr>
        <w:t>2025</w:t>
      </w:r>
      <w:r>
        <w:rPr>
          <w:color w:val="000000"/>
          <w:sz w:val="21"/>
          <w:szCs w:val="21"/>
          <w:shd w:val="clear" w:color="auto" w:fill="FFFFFF"/>
        </w:rPr>
        <w:t>年，公司和相关方全力推进星云开物并购重组工作，目前星云开物并购重组《发行股份及支付现金购买资产并募集配套资金暨关联交易报告书（草案）》等系列议案文件，已经获得公司董事会、股东会通过；并于</w:t>
      </w:r>
      <w:r>
        <w:rPr>
          <w:color w:val="000000"/>
          <w:sz w:val="21"/>
          <w:szCs w:val="21"/>
          <w:shd w:val="clear" w:color="auto" w:fill="FFFFFF"/>
        </w:rPr>
        <w:t>2025</w:t>
      </w:r>
      <w:r>
        <w:rPr>
          <w:color w:val="000000"/>
          <w:sz w:val="21"/>
          <w:szCs w:val="21"/>
          <w:shd w:val="clear" w:color="auto" w:fill="FFFFFF"/>
        </w:rPr>
        <w:t>年</w:t>
      </w:r>
      <w:r>
        <w:rPr>
          <w:color w:val="000000"/>
          <w:sz w:val="21"/>
          <w:szCs w:val="21"/>
          <w:shd w:val="clear" w:color="auto" w:fill="FFFFFF"/>
        </w:rPr>
        <w:t>12</w:t>
      </w:r>
      <w:r>
        <w:rPr>
          <w:color w:val="000000"/>
          <w:sz w:val="21"/>
          <w:szCs w:val="21"/>
          <w:shd w:val="clear" w:color="auto" w:fill="FFFFFF"/>
        </w:rPr>
        <w:t>月</w:t>
      </w:r>
      <w:r>
        <w:rPr>
          <w:color w:val="000000"/>
          <w:sz w:val="21"/>
          <w:szCs w:val="21"/>
          <w:shd w:val="clear" w:color="auto" w:fill="FFFFFF"/>
        </w:rPr>
        <w:t>12</w:t>
      </w:r>
      <w:r>
        <w:rPr>
          <w:color w:val="000000"/>
          <w:sz w:val="21"/>
          <w:szCs w:val="21"/>
          <w:shd w:val="clear" w:color="auto" w:fill="FFFFFF"/>
        </w:rPr>
        <w:t>日，收到深圳证券交易所出具的《关于受理广东天亿马信息产业股份有</w:t>
      </w:r>
      <w:r>
        <w:rPr>
          <w:color w:val="000000"/>
          <w:sz w:val="21"/>
          <w:szCs w:val="21"/>
          <w:shd w:val="clear" w:color="auto" w:fill="FFFFFF"/>
        </w:rPr>
        <w:lastRenderedPageBreak/>
        <w:t>限公司发行股份购买资产并募集配套资金申请文件的通知》（深证上审〔</w:t>
      </w:r>
      <w:r>
        <w:rPr>
          <w:color w:val="000000"/>
          <w:sz w:val="21"/>
          <w:szCs w:val="21"/>
          <w:shd w:val="clear" w:color="auto" w:fill="FFFFFF"/>
        </w:rPr>
        <w:t>2025</w:t>
      </w:r>
      <w:r>
        <w:rPr>
          <w:color w:val="000000"/>
          <w:sz w:val="21"/>
          <w:szCs w:val="21"/>
          <w:shd w:val="clear" w:color="auto" w:fill="FFFFFF"/>
        </w:rPr>
        <w:t>〕</w:t>
      </w:r>
      <w:r>
        <w:rPr>
          <w:color w:val="000000"/>
          <w:sz w:val="21"/>
          <w:szCs w:val="21"/>
          <w:shd w:val="clear" w:color="auto" w:fill="FFFFFF"/>
        </w:rPr>
        <w:t>255</w:t>
      </w:r>
      <w:r>
        <w:rPr>
          <w:color w:val="000000"/>
          <w:sz w:val="21"/>
          <w:szCs w:val="21"/>
          <w:shd w:val="clear" w:color="auto" w:fill="FFFFFF"/>
        </w:rPr>
        <w:t>号），深交所根据相关规定对申请文件进行了核对，认为申请文件齐备，决定予以受理；</w:t>
      </w:r>
      <w:r>
        <w:rPr>
          <w:color w:val="000000"/>
          <w:sz w:val="21"/>
          <w:szCs w:val="21"/>
          <w:shd w:val="clear" w:color="auto" w:fill="FFFFFF"/>
        </w:rPr>
        <w:t>12</w:t>
      </w:r>
      <w:r>
        <w:rPr>
          <w:color w:val="000000"/>
          <w:sz w:val="21"/>
          <w:szCs w:val="21"/>
          <w:shd w:val="clear" w:color="auto" w:fill="FFFFFF"/>
        </w:rPr>
        <w:t>月</w:t>
      </w:r>
      <w:r>
        <w:rPr>
          <w:color w:val="000000"/>
          <w:sz w:val="21"/>
          <w:szCs w:val="21"/>
          <w:shd w:val="clear" w:color="auto" w:fill="FFFFFF"/>
        </w:rPr>
        <w:t>26</w:t>
      </w:r>
      <w:r>
        <w:rPr>
          <w:color w:val="000000"/>
          <w:sz w:val="21"/>
          <w:szCs w:val="21"/>
          <w:shd w:val="clear" w:color="auto" w:fill="FFFFFF"/>
        </w:rPr>
        <w:t>日，公司收到《关于广东天亿马信息产业股份有限公司发行股份及支付现金购买资产并募集配套资金申请的审核问询函》（审核函</w:t>
      </w:r>
      <w:r>
        <w:rPr>
          <w:color w:val="000000"/>
          <w:sz w:val="21"/>
          <w:szCs w:val="21"/>
          <w:shd w:val="clear" w:color="auto" w:fill="FFFFFF"/>
        </w:rPr>
        <w:t>[2025]030021</w:t>
      </w:r>
      <w:r>
        <w:rPr>
          <w:color w:val="000000"/>
          <w:sz w:val="21"/>
          <w:szCs w:val="21"/>
          <w:shd w:val="clear" w:color="auto" w:fill="FFFFFF"/>
        </w:rPr>
        <w:t>号）；</w:t>
      </w:r>
      <w:r>
        <w:rPr>
          <w:color w:val="000000"/>
          <w:sz w:val="21"/>
          <w:szCs w:val="21"/>
          <w:shd w:val="clear" w:color="auto" w:fill="FFFFFF"/>
        </w:rPr>
        <w:t>2026</w:t>
      </w:r>
      <w:r>
        <w:rPr>
          <w:color w:val="000000"/>
          <w:sz w:val="21"/>
          <w:szCs w:val="21"/>
          <w:shd w:val="clear" w:color="auto" w:fill="FFFFFF"/>
        </w:rPr>
        <w:t>年</w:t>
      </w:r>
      <w:r>
        <w:rPr>
          <w:color w:val="000000"/>
          <w:sz w:val="21"/>
          <w:szCs w:val="21"/>
          <w:shd w:val="clear" w:color="auto" w:fill="FFFFFF"/>
        </w:rPr>
        <w:t>1</w:t>
      </w:r>
      <w:r>
        <w:rPr>
          <w:color w:val="000000"/>
          <w:sz w:val="21"/>
          <w:szCs w:val="21"/>
          <w:shd w:val="clear" w:color="auto" w:fill="FFFFFF"/>
        </w:rPr>
        <w:t>月</w:t>
      </w:r>
      <w:r>
        <w:rPr>
          <w:color w:val="000000"/>
          <w:sz w:val="21"/>
          <w:szCs w:val="21"/>
          <w:shd w:val="clear" w:color="auto" w:fill="FFFFFF"/>
        </w:rPr>
        <w:t>27</w:t>
      </w:r>
      <w:r>
        <w:rPr>
          <w:color w:val="000000"/>
          <w:sz w:val="21"/>
          <w:szCs w:val="21"/>
          <w:shd w:val="clear" w:color="auto" w:fill="FFFFFF"/>
        </w:rPr>
        <w:t>日，公司披露了审核问询函回复。本</w:t>
      </w:r>
      <w:r>
        <w:rPr>
          <w:rFonts w:ascii="宋体" w:hAnsi="宋体" w:cs="宋体"/>
          <w:color w:val="000000"/>
          <w:sz w:val="21"/>
          <w:szCs w:val="21"/>
          <w:shd w:val="clear" w:color="auto" w:fill="FFFFFF"/>
        </w:rPr>
        <w:t>次并购重组符合国家数字经济发展战略及产业升级规划，契合智能经济、“人工智能+”行动等重点发展</w:t>
      </w:r>
      <w:r>
        <w:rPr>
          <w:color w:val="000000"/>
          <w:sz w:val="21"/>
          <w:szCs w:val="21"/>
          <w:shd w:val="clear" w:color="auto" w:fill="FFFFFF"/>
        </w:rPr>
        <w:t>领域导向，对推动产业融合、培育新的经济增长点具有重要意义。</w:t>
      </w:r>
    </w:p>
    <w:p w:rsidR="00E20B54" w:rsidRDefault="00733C9E">
      <w:pPr>
        <w:pStyle w:val="a3"/>
        <w:widowControl/>
        <w:adjustRightInd w:val="0"/>
        <w:snapToGrid w:val="0"/>
        <w:spacing w:beforeAutospacing="0" w:afterAutospacing="0" w:line="288" w:lineRule="auto"/>
        <w:ind w:firstLineChars="200" w:firstLine="420"/>
        <w:rPr>
          <w:sz w:val="21"/>
          <w:szCs w:val="21"/>
        </w:rPr>
      </w:pPr>
      <w:r>
        <w:rPr>
          <w:color w:val="000000"/>
          <w:sz w:val="21"/>
          <w:szCs w:val="21"/>
          <w:shd w:val="clear" w:color="auto" w:fill="FFFFFF"/>
        </w:rPr>
        <w:t>2026</w:t>
      </w:r>
      <w:r>
        <w:rPr>
          <w:color w:val="000000"/>
          <w:sz w:val="21"/>
          <w:szCs w:val="21"/>
          <w:shd w:val="clear" w:color="auto" w:fill="FFFFFF"/>
        </w:rPr>
        <w:t>年，公司及相关方仍将全力推进本次并购重组，尽早完成公司与星云开物业务整合，彼此赋能，补齐公司在生活消费等场景应用短板，打造公司从民生生活消费洞察到城市治理智能决策、便民智能服务的全链路价值体系，抢占</w:t>
      </w:r>
      <w:r>
        <w:rPr>
          <w:rFonts w:ascii="宋体" w:hAnsi="宋体" w:cs="宋体"/>
          <w:color w:val="000000"/>
          <w:sz w:val="21"/>
          <w:szCs w:val="21"/>
          <w:shd w:val="clear" w:color="auto" w:fill="FFFFFF"/>
        </w:rPr>
        <w:t>“智能</w:t>
      </w:r>
      <w:r>
        <w:rPr>
          <w:color w:val="000000"/>
          <w:sz w:val="21"/>
          <w:szCs w:val="21"/>
          <w:shd w:val="clear" w:color="auto" w:fill="FFFFFF"/>
        </w:rPr>
        <w:t>服务</w:t>
      </w:r>
      <w:r>
        <w:rPr>
          <w:color w:val="000000"/>
          <w:sz w:val="21"/>
          <w:szCs w:val="21"/>
          <w:shd w:val="clear" w:color="auto" w:fill="FFFFFF"/>
        </w:rPr>
        <w:t>+AI</w:t>
      </w:r>
      <w:r>
        <w:rPr>
          <w:color w:val="000000"/>
          <w:sz w:val="21"/>
          <w:szCs w:val="21"/>
          <w:shd w:val="clear" w:color="auto" w:fill="FFFFFF"/>
        </w:rPr>
        <w:t>应</w:t>
      </w:r>
      <w:r>
        <w:rPr>
          <w:rFonts w:ascii="宋体" w:hAnsi="宋体" w:cs="宋体"/>
          <w:color w:val="000000"/>
          <w:sz w:val="21"/>
          <w:szCs w:val="21"/>
          <w:shd w:val="clear" w:color="auto" w:fill="FFFFFF"/>
        </w:rPr>
        <w:t>用”新</w:t>
      </w:r>
      <w:r>
        <w:rPr>
          <w:color w:val="000000"/>
          <w:sz w:val="21"/>
          <w:szCs w:val="21"/>
          <w:shd w:val="clear" w:color="auto" w:fill="FFFFFF"/>
        </w:rPr>
        <w:t>赛道，构建公</w:t>
      </w:r>
      <w:r>
        <w:rPr>
          <w:rFonts w:ascii="宋体" w:hAnsi="宋体" w:cs="宋体"/>
          <w:color w:val="000000"/>
          <w:sz w:val="21"/>
          <w:szCs w:val="21"/>
          <w:shd w:val="clear" w:color="auto" w:fill="FFFFFF"/>
        </w:rPr>
        <w:t>司“全</w:t>
      </w:r>
      <w:r>
        <w:rPr>
          <w:color w:val="000000"/>
          <w:sz w:val="21"/>
          <w:szCs w:val="21"/>
          <w:shd w:val="clear" w:color="auto" w:fill="FFFFFF"/>
        </w:rPr>
        <w:t>场景数字基座服务</w:t>
      </w:r>
      <w:r>
        <w:rPr>
          <w:rFonts w:ascii="宋体" w:hAnsi="宋体" w:cs="宋体"/>
          <w:color w:val="000000"/>
          <w:sz w:val="21"/>
          <w:szCs w:val="21"/>
          <w:shd w:val="clear" w:color="auto" w:fill="FFFFFF"/>
        </w:rPr>
        <w:t>商”战</w:t>
      </w:r>
      <w:r>
        <w:rPr>
          <w:color w:val="000000"/>
          <w:sz w:val="21"/>
          <w:szCs w:val="21"/>
          <w:shd w:val="clear" w:color="auto" w:fill="FFFFFF"/>
        </w:rPr>
        <w:t>略布局。</w:t>
      </w:r>
    </w:p>
    <w:p w:rsidR="00E20B54" w:rsidRDefault="00733C9E" w:rsidP="00C57489">
      <w:pPr>
        <w:pStyle w:val="a3"/>
        <w:widowControl/>
        <w:adjustRightInd w:val="0"/>
        <w:snapToGrid w:val="0"/>
        <w:spacing w:beforeAutospacing="0" w:afterAutospacing="0" w:line="288" w:lineRule="auto"/>
        <w:ind w:firstLineChars="200" w:firstLine="422"/>
        <w:rPr>
          <w:sz w:val="21"/>
          <w:szCs w:val="21"/>
        </w:rPr>
      </w:pPr>
      <w:r>
        <w:rPr>
          <w:rStyle w:val="a4"/>
          <w:color w:val="000000"/>
          <w:sz w:val="21"/>
          <w:szCs w:val="21"/>
          <w:shd w:val="clear" w:color="auto" w:fill="FFFFFF"/>
        </w:rPr>
        <w:t>5.</w:t>
      </w:r>
      <w:r>
        <w:rPr>
          <w:rStyle w:val="a4"/>
          <w:color w:val="000000"/>
          <w:sz w:val="21"/>
          <w:szCs w:val="21"/>
          <w:shd w:val="clear" w:color="auto" w:fill="FFFFFF"/>
        </w:rPr>
        <w:t>持续内部管理改革，全面提升运营效率与组织活力</w:t>
      </w:r>
    </w:p>
    <w:p w:rsidR="00E20B54" w:rsidRDefault="00733C9E">
      <w:pPr>
        <w:pStyle w:val="a3"/>
        <w:widowControl/>
        <w:adjustRightInd w:val="0"/>
        <w:snapToGrid w:val="0"/>
        <w:spacing w:beforeAutospacing="0" w:afterAutospacing="0" w:line="288" w:lineRule="auto"/>
        <w:ind w:firstLineChars="200" w:firstLine="420"/>
        <w:rPr>
          <w:sz w:val="21"/>
          <w:szCs w:val="21"/>
        </w:rPr>
      </w:pPr>
      <w:r>
        <w:rPr>
          <w:color w:val="000000"/>
          <w:sz w:val="21"/>
          <w:szCs w:val="21"/>
          <w:shd w:val="clear" w:color="auto" w:fill="FFFFFF"/>
        </w:rPr>
        <w:t>突破传统架构，持续开展组织改革，推进公司实现可持续的转型提升。一方面不断调整优化人才结构与资源配置，重新定义人才与组织关系，打造组织与人才生态。另一方面，以</w:t>
      </w:r>
      <w:r>
        <w:rPr>
          <w:color w:val="000000"/>
          <w:sz w:val="21"/>
          <w:szCs w:val="21"/>
          <w:shd w:val="clear" w:color="auto" w:fill="FFFFFF"/>
        </w:rPr>
        <w:t>AI</w:t>
      </w:r>
      <w:r>
        <w:rPr>
          <w:color w:val="000000"/>
          <w:sz w:val="21"/>
          <w:szCs w:val="21"/>
          <w:shd w:val="clear" w:color="auto" w:fill="FFFFFF"/>
        </w:rPr>
        <w:t>为核心，重构公司的运营与协助模式，形成与新战略相匹配的高素质团队和运营管理体系，打造公司的组</w:t>
      </w:r>
      <w:r>
        <w:rPr>
          <w:rFonts w:ascii="宋体" w:hAnsi="宋体" w:cs="宋体" w:hint="eastAsia"/>
          <w:color w:val="000000"/>
          <w:sz w:val="21"/>
          <w:szCs w:val="21"/>
          <w:shd w:val="clear" w:color="auto" w:fill="FFFFFF"/>
        </w:rPr>
        <w:t>织韧性，让“业务即变革”成为</w:t>
      </w:r>
      <w:r>
        <w:rPr>
          <w:color w:val="000000"/>
          <w:sz w:val="21"/>
          <w:szCs w:val="21"/>
          <w:shd w:val="clear" w:color="auto" w:fill="FFFFFF"/>
        </w:rPr>
        <w:t>公司可持续新常态。</w:t>
      </w:r>
    </w:p>
    <w:p w:rsidR="00E20B54" w:rsidRDefault="00733C9E" w:rsidP="00C57489">
      <w:pPr>
        <w:pStyle w:val="a3"/>
        <w:widowControl/>
        <w:adjustRightInd w:val="0"/>
        <w:snapToGrid w:val="0"/>
        <w:spacing w:before="120" w:beforeAutospacing="0" w:after="120" w:afterAutospacing="0" w:line="288" w:lineRule="auto"/>
        <w:ind w:left="105" w:right="105" w:firstLineChars="200" w:firstLine="438"/>
        <w:jc w:val="both"/>
        <w:rPr>
          <w:szCs w:val="24"/>
        </w:rPr>
      </w:pPr>
      <w:r>
        <w:rPr>
          <w:rStyle w:val="a4"/>
          <w:color w:val="000000"/>
          <w:spacing w:val="8"/>
          <w:sz w:val="21"/>
          <w:szCs w:val="21"/>
          <w:shd w:val="clear" w:color="auto" w:fill="FFFFFF"/>
        </w:rPr>
        <w:t>（</w:t>
      </w:r>
      <w:r>
        <w:rPr>
          <w:rStyle w:val="a4"/>
          <w:rFonts w:hint="eastAsia"/>
          <w:color w:val="000000"/>
          <w:spacing w:val="8"/>
          <w:sz w:val="21"/>
          <w:szCs w:val="21"/>
          <w:shd w:val="clear" w:color="auto" w:fill="FFFFFF"/>
        </w:rPr>
        <w:t>二</w:t>
      </w:r>
      <w:r>
        <w:rPr>
          <w:rStyle w:val="a4"/>
          <w:color w:val="000000"/>
          <w:spacing w:val="8"/>
          <w:sz w:val="21"/>
          <w:szCs w:val="21"/>
          <w:shd w:val="clear" w:color="auto" w:fill="FFFFFF"/>
        </w:rPr>
        <w:t>）可能面临的风险和应对措施</w:t>
      </w:r>
    </w:p>
    <w:p w:rsidR="00E20B54" w:rsidRDefault="00733C9E" w:rsidP="00C57489">
      <w:pPr>
        <w:pStyle w:val="a3"/>
        <w:widowControl/>
        <w:adjustRightInd w:val="0"/>
        <w:snapToGrid w:val="0"/>
        <w:spacing w:before="120" w:beforeAutospacing="0" w:after="120" w:afterAutospacing="0" w:line="288" w:lineRule="auto"/>
        <w:ind w:left="105" w:right="105" w:firstLineChars="200" w:firstLine="438"/>
        <w:jc w:val="both"/>
        <w:rPr>
          <w:szCs w:val="24"/>
        </w:rPr>
      </w:pPr>
      <w:r>
        <w:rPr>
          <w:rStyle w:val="a4"/>
          <w:color w:val="000000"/>
          <w:spacing w:val="8"/>
          <w:sz w:val="21"/>
          <w:szCs w:val="21"/>
        </w:rPr>
        <w:t>1.</w:t>
      </w:r>
      <w:r>
        <w:rPr>
          <w:rStyle w:val="a4"/>
          <w:color w:val="000000"/>
          <w:spacing w:val="8"/>
          <w:sz w:val="21"/>
          <w:szCs w:val="21"/>
        </w:rPr>
        <w:t>市场竞争风险</w:t>
      </w:r>
    </w:p>
    <w:p w:rsidR="00E20B54" w:rsidRDefault="00733C9E">
      <w:pPr>
        <w:pStyle w:val="a3"/>
        <w:widowControl/>
        <w:adjustRightInd w:val="0"/>
        <w:snapToGrid w:val="0"/>
        <w:spacing w:before="120" w:beforeAutospacing="0" w:after="120" w:afterAutospacing="0" w:line="288" w:lineRule="auto"/>
        <w:ind w:left="105" w:right="105" w:firstLineChars="200" w:firstLine="420"/>
        <w:jc w:val="both"/>
        <w:rPr>
          <w:szCs w:val="24"/>
        </w:rPr>
      </w:pPr>
      <w:r>
        <w:rPr>
          <w:color w:val="000000"/>
          <w:sz w:val="21"/>
          <w:szCs w:val="21"/>
        </w:rPr>
        <w:t>公司所在行业中企业数量较多，市场竞争日趋激烈。若公司对行业发展趋势判断失误或应对市场竞争的措施严重失当，不能持续提升技术水平和核心竞争力，扩大市场份额，在未来的市场竞争中将面临处于不利地位的风险。</w:t>
      </w:r>
    </w:p>
    <w:p w:rsidR="00E20B54" w:rsidRDefault="00733C9E" w:rsidP="00C57489">
      <w:pPr>
        <w:pStyle w:val="a3"/>
        <w:widowControl/>
        <w:adjustRightInd w:val="0"/>
        <w:snapToGrid w:val="0"/>
        <w:spacing w:before="120" w:beforeAutospacing="0" w:after="120" w:afterAutospacing="0" w:line="288" w:lineRule="auto"/>
        <w:ind w:left="105" w:right="105" w:firstLineChars="200" w:firstLine="438"/>
        <w:jc w:val="both"/>
        <w:rPr>
          <w:szCs w:val="24"/>
        </w:rPr>
      </w:pPr>
      <w:r>
        <w:rPr>
          <w:rStyle w:val="a4"/>
          <w:color w:val="000000"/>
          <w:spacing w:val="8"/>
          <w:sz w:val="21"/>
          <w:szCs w:val="21"/>
        </w:rPr>
        <w:t>2.</w:t>
      </w:r>
      <w:r>
        <w:rPr>
          <w:rStyle w:val="a4"/>
          <w:color w:val="000000"/>
          <w:spacing w:val="8"/>
          <w:sz w:val="21"/>
          <w:szCs w:val="21"/>
        </w:rPr>
        <w:t>研发创新失败风险</w:t>
      </w:r>
    </w:p>
    <w:p w:rsidR="00E20B54" w:rsidRDefault="00733C9E">
      <w:pPr>
        <w:pStyle w:val="a3"/>
        <w:widowControl/>
        <w:adjustRightInd w:val="0"/>
        <w:snapToGrid w:val="0"/>
        <w:spacing w:before="120" w:beforeAutospacing="0" w:after="120" w:afterAutospacing="0" w:line="288" w:lineRule="auto"/>
        <w:ind w:left="105" w:right="105" w:firstLineChars="200" w:firstLine="420"/>
        <w:jc w:val="both"/>
        <w:rPr>
          <w:szCs w:val="24"/>
        </w:rPr>
      </w:pPr>
      <w:r>
        <w:rPr>
          <w:color w:val="000000"/>
          <w:sz w:val="21"/>
          <w:szCs w:val="21"/>
        </w:rPr>
        <w:t>当前，新一代人工智能技术发展日新月异，应用创新、技术提升高度依赖于专业人才、研发设施，需投入大量的研发资金，研发项目开展结果尚存在不确定性，存在研发失败风险。创新产品推向市场后，如果公司对于技术、产品和市场的发展趋势判断失误，研发成果得不到市场和客户的足够认可、不能较好地实现产业化或形成最终销售，导致研发成果的经济效益与预期收益存在较大差距，可能会对公司的财务状况和经营成果产生负面的影响，降低公司的市场竞争力。</w:t>
      </w:r>
    </w:p>
    <w:p w:rsidR="00E20B54" w:rsidRDefault="00733C9E" w:rsidP="00C57489">
      <w:pPr>
        <w:pStyle w:val="a3"/>
        <w:widowControl/>
        <w:adjustRightInd w:val="0"/>
        <w:snapToGrid w:val="0"/>
        <w:spacing w:before="120" w:beforeAutospacing="0" w:after="120" w:afterAutospacing="0" w:line="288" w:lineRule="auto"/>
        <w:ind w:left="105" w:right="105" w:firstLineChars="200" w:firstLine="438"/>
        <w:jc w:val="both"/>
        <w:rPr>
          <w:szCs w:val="24"/>
        </w:rPr>
      </w:pPr>
      <w:r>
        <w:rPr>
          <w:rStyle w:val="a4"/>
          <w:color w:val="000000"/>
          <w:spacing w:val="8"/>
          <w:sz w:val="21"/>
          <w:szCs w:val="21"/>
        </w:rPr>
        <w:t>3.</w:t>
      </w:r>
      <w:r>
        <w:rPr>
          <w:rStyle w:val="a4"/>
          <w:color w:val="000000"/>
          <w:spacing w:val="8"/>
          <w:sz w:val="21"/>
          <w:szCs w:val="21"/>
        </w:rPr>
        <w:t>收入季节性波动的风险</w:t>
      </w:r>
    </w:p>
    <w:p w:rsidR="00E20B54" w:rsidRDefault="00733C9E">
      <w:pPr>
        <w:pStyle w:val="a3"/>
        <w:widowControl/>
        <w:adjustRightInd w:val="0"/>
        <w:snapToGrid w:val="0"/>
        <w:spacing w:before="120" w:beforeAutospacing="0" w:after="120" w:afterAutospacing="0" w:line="288" w:lineRule="auto"/>
        <w:ind w:left="105" w:right="105" w:firstLineChars="200" w:firstLine="420"/>
        <w:jc w:val="both"/>
        <w:rPr>
          <w:szCs w:val="24"/>
        </w:rPr>
      </w:pPr>
      <w:r>
        <w:rPr>
          <w:color w:val="000000"/>
          <w:sz w:val="21"/>
          <w:szCs w:val="21"/>
        </w:rPr>
        <w:t>公司主要客户为机关及事业单位，此类客户执行预算管理及严格的采购流程，项目验收工作主要集中在下半年特别是第四季度，导致公司较多项目集中在下半年进行验收。由于公司信息系统集成服务、软件开发及技术服务业务以验收为收入确认时点，因而公司营业收入较多在下半年确认，存在较大季节性波动的风险。</w:t>
      </w:r>
    </w:p>
    <w:p w:rsidR="00E20B54" w:rsidRDefault="00733C9E" w:rsidP="00C57489">
      <w:pPr>
        <w:pStyle w:val="a3"/>
        <w:widowControl/>
        <w:adjustRightInd w:val="0"/>
        <w:snapToGrid w:val="0"/>
        <w:spacing w:before="120" w:beforeAutospacing="0" w:after="120" w:afterAutospacing="0" w:line="288" w:lineRule="auto"/>
        <w:ind w:left="105" w:right="105" w:firstLineChars="200" w:firstLine="438"/>
        <w:jc w:val="both"/>
        <w:rPr>
          <w:szCs w:val="24"/>
        </w:rPr>
      </w:pPr>
      <w:r>
        <w:rPr>
          <w:rStyle w:val="a4"/>
          <w:color w:val="000000"/>
          <w:spacing w:val="8"/>
          <w:sz w:val="21"/>
          <w:szCs w:val="21"/>
        </w:rPr>
        <w:t>4.</w:t>
      </w:r>
      <w:r>
        <w:rPr>
          <w:rStyle w:val="a4"/>
          <w:color w:val="000000"/>
          <w:spacing w:val="8"/>
          <w:sz w:val="21"/>
          <w:szCs w:val="21"/>
        </w:rPr>
        <w:t>应收账款回收风险</w:t>
      </w:r>
    </w:p>
    <w:p w:rsidR="00E20B54" w:rsidRDefault="00733C9E">
      <w:pPr>
        <w:pStyle w:val="a3"/>
        <w:widowControl/>
        <w:adjustRightInd w:val="0"/>
        <w:snapToGrid w:val="0"/>
        <w:spacing w:before="120" w:beforeAutospacing="0" w:after="120" w:afterAutospacing="0" w:line="288" w:lineRule="auto"/>
        <w:ind w:left="105" w:right="105" w:firstLineChars="200" w:firstLine="420"/>
        <w:jc w:val="both"/>
        <w:rPr>
          <w:szCs w:val="24"/>
        </w:rPr>
      </w:pPr>
      <w:r>
        <w:rPr>
          <w:color w:val="000000"/>
          <w:sz w:val="21"/>
          <w:szCs w:val="21"/>
        </w:rPr>
        <w:t>公司主要客户为机关、企事业单位，对外付款时需履行较严格的付款审批流程，导致期末应收账款（含合同资产）余额较大。虽然公司的主要客户信用度高，支付能力强，存在坏账的可能性较小。受到客户终验进度、客户审计、预算以及经营情况的影响，可能会使账期延长。付款进度往往受其资金预算、上级主管部门拨款情况影响，付款周期一般较长，一旦用户付款延期或款项无法收回，将给公司带来一定的损失。</w:t>
      </w:r>
    </w:p>
    <w:p w:rsidR="00E20B54" w:rsidRDefault="00733C9E">
      <w:pPr>
        <w:pStyle w:val="a3"/>
        <w:widowControl/>
        <w:adjustRightInd w:val="0"/>
        <w:snapToGrid w:val="0"/>
        <w:spacing w:before="120" w:beforeAutospacing="0" w:after="120" w:afterAutospacing="0" w:line="288" w:lineRule="auto"/>
        <w:ind w:left="105" w:right="105" w:firstLineChars="200" w:firstLine="420"/>
        <w:jc w:val="both"/>
        <w:rPr>
          <w:szCs w:val="24"/>
        </w:rPr>
      </w:pPr>
      <w:r>
        <w:rPr>
          <w:color w:val="000000"/>
          <w:sz w:val="21"/>
          <w:szCs w:val="21"/>
        </w:rPr>
        <w:t>公司将不断强化应收账款管理，完善应收账款跟踪机制，加大应收账款责任制实施力度，保障合理的应收账款结构，减少资金占用，全面强化应收账款回款工作，有效控制坏账发生。</w:t>
      </w:r>
    </w:p>
    <w:p w:rsidR="00E20B54" w:rsidRDefault="00733C9E" w:rsidP="00C57489">
      <w:pPr>
        <w:pStyle w:val="a3"/>
        <w:widowControl/>
        <w:adjustRightInd w:val="0"/>
        <w:snapToGrid w:val="0"/>
        <w:spacing w:before="120" w:beforeAutospacing="0" w:after="120" w:afterAutospacing="0" w:line="288" w:lineRule="auto"/>
        <w:ind w:left="105" w:right="105" w:firstLineChars="200" w:firstLine="422"/>
        <w:jc w:val="both"/>
        <w:rPr>
          <w:szCs w:val="24"/>
        </w:rPr>
      </w:pPr>
      <w:r>
        <w:rPr>
          <w:rStyle w:val="a4"/>
          <w:color w:val="000000"/>
          <w:sz w:val="21"/>
          <w:szCs w:val="21"/>
        </w:rPr>
        <w:lastRenderedPageBreak/>
        <w:t>5.</w:t>
      </w:r>
      <w:r>
        <w:rPr>
          <w:rStyle w:val="a4"/>
          <w:color w:val="000000"/>
          <w:sz w:val="21"/>
          <w:szCs w:val="21"/>
        </w:rPr>
        <w:t>并购重组交易审批风险</w:t>
      </w:r>
    </w:p>
    <w:p w:rsidR="00E20B54" w:rsidRDefault="00733C9E">
      <w:pPr>
        <w:pStyle w:val="a3"/>
        <w:widowControl/>
        <w:adjustRightInd w:val="0"/>
        <w:snapToGrid w:val="0"/>
        <w:spacing w:before="120" w:beforeAutospacing="0" w:after="120" w:afterAutospacing="0" w:line="288" w:lineRule="auto"/>
        <w:ind w:left="105" w:right="105" w:firstLineChars="200" w:firstLine="420"/>
        <w:jc w:val="both"/>
        <w:rPr>
          <w:szCs w:val="24"/>
        </w:rPr>
      </w:pPr>
      <w:r>
        <w:rPr>
          <w:color w:val="000000"/>
          <w:sz w:val="21"/>
          <w:szCs w:val="21"/>
        </w:rPr>
        <w:t>公司筹划通过发行股份及支付现金的方式购买星云开物</w:t>
      </w:r>
      <w:r>
        <w:rPr>
          <w:color w:val="000000"/>
          <w:sz w:val="21"/>
          <w:szCs w:val="21"/>
        </w:rPr>
        <w:t>98.5632%</w:t>
      </w:r>
      <w:r>
        <w:rPr>
          <w:color w:val="000000"/>
          <w:sz w:val="21"/>
          <w:szCs w:val="21"/>
        </w:rPr>
        <w:t>股权（以下简</w:t>
      </w:r>
      <w:r>
        <w:rPr>
          <w:rFonts w:ascii="宋体" w:hAnsi="宋体" w:cs="宋体"/>
          <w:color w:val="000000"/>
          <w:sz w:val="21"/>
          <w:szCs w:val="21"/>
          <w:shd w:val="clear" w:color="auto" w:fill="FFFFFF"/>
        </w:rPr>
        <w:t>称“标的资产”</w:t>
      </w:r>
      <w:r>
        <w:rPr>
          <w:color w:val="000000"/>
          <w:sz w:val="21"/>
          <w:szCs w:val="21"/>
        </w:rPr>
        <w:t>）并募集配套资金事项已经董事会、股东会审议通过，申报材料已经深交所受理。本次并购重组事项尚需经深交所审核通过及证监会同意注册方可实施。因此，本次交易最终能否获得相关批准存在不确定性。</w:t>
      </w:r>
    </w:p>
    <w:p w:rsidR="00E20B54" w:rsidRDefault="00733C9E">
      <w:pPr>
        <w:pStyle w:val="a3"/>
        <w:widowControl/>
        <w:adjustRightInd w:val="0"/>
        <w:snapToGrid w:val="0"/>
        <w:spacing w:before="120" w:beforeAutospacing="0" w:after="120" w:afterAutospacing="0" w:line="288" w:lineRule="auto"/>
        <w:ind w:left="105" w:right="105" w:firstLineChars="200" w:firstLine="420"/>
        <w:jc w:val="both"/>
        <w:rPr>
          <w:szCs w:val="24"/>
        </w:rPr>
      </w:pPr>
      <w:r>
        <w:rPr>
          <w:color w:val="000000"/>
          <w:sz w:val="21"/>
          <w:szCs w:val="21"/>
        </w:rPr>
        <w:t>在本次交易推进过程中，商务谈判情况、资本市场情况、标的公司情况等均可能会发生变化，从而影响本次交易的条件；此外，在本次交易审核过程中，监管机构的审核要求也可能对交易方案产生影响。交易双方可能需根据情况变化以</w:t>
      </w:r>
      <w:r>
        <w:rPr>
          <w:color w:val="000000"/>
          <w:sz w:val="21"/>
          <w:szCs w:val="21"/>
        </w:rPr>
        <w:t xml:space="preserve"> </w:t>
      </w:r>
      <w:r>
        <w:rPr>
          <w:color w:val="000000"/>
          <w:sz w:val="21"/>
          <w:szCs w:val="21"/>
        </w:rPr>
        <w:t>及监管机构的要求完善交易方案，如交易双方无法就完善交易方案的措施达成一致，则本次交易存在被暂停、中止或取消的风险。</w:t>
      </w:r>
    </w:p>
    <w:p w:rsidR="00E20B54" w:rsidRDefault="00733C9E">
      <w:pPr>
        <w:pStyle w:val="a3"/>
        <w:widowControl/>
        <w:adjustRightInd w:val="0"/>
        <w:snapToGrid w:val="0"/>
        <w:spacing w:beforeAutospacing="0" w:afterAutospacing="0" w:line="288" w:lineRule="auto"/>
        <w:ind w:firstLineChars="200" w:firstLine="420"/>
        <w:rPr>
          <w:szCs w:val="24"/>
        </w:rPr>
      </w:pPr>
      <w:r>
        <w:rPr>
          <w:color w:val="000000"/>
          <w:sz w:val="21"/>
          <w:szCs w:val="21"/>
        </w:rPr>
        <w:t>基于前述风险事项，</w:t>
      </w:r>
      <w:r>
        <w:rPr>
          <w:color w:val="000000"/>
          <w:sz w:val="21"/>
          <w:szCs w:val="21"/>
          <w:shd w:val="clear" w:color="auto" w:fill="FFFFFF"/>
        </w:rPr>
        <w:t>公司和相关方正全力推进星云开物并购重组工作，尽早完成公司与星云开物业务整合。</w:t>
      </w:r>
    </w:p>
    <w:p w:rsidR="00E20B54" w:rsidRDefault="00733C9E">
      <w:pPr>
        <w:pStyle w:val="2"/>
        <w:spacing w:before="300" w:after="300" w:line="320" w:lineRule="exact"/>
        <w:rPr>
          <w:b/>
          <w:bCs/>
          <w:sz w:val="24"/>
          <w:szCs w:val="24"/>
        </w:rPr>
      </w:pPr>
      <w:bookmarkStart w:id="48" w:name="_Toc988937"/>
      <w:r>
        <w:rPr>
          <w:b/>
          <w:bCs/>
          <w:sz w:val="24"/>
          <w:szCs w:val="24"/>
        </w:rPr>
        <w:t>十二、报告期内接待调研、沟通、采访等活动登记表</w:t>
      </w:r>
      <w:bookmarkEnd w:id="48"/>
    </w:p>
    <w:p w:rsidR="00E20B54" w:rsidRDefault="00733C9E">
      <w:pPr>
        <w:spacing w:before="100" w:after="100" w:line="240" w:lineRule="exact"/>
        <w:rPr>
          <w:sz w:val="18"/>
          <w:szCs w:val="18"/>
        </w:rPr>
      </w:pPr>
      <w:r>
        <w:rPr>
          <w:sz w:val="18"/>
          <w:szCs w:val="18"/>
        </w:rPr>
        <w:sym w:font="Wingdings 2" w:char="F052"/>
      </w:r>
      <w:r>
        <w:rPr>
          <w:sz w:val="18"/>
          <w:szCs w:val="18"/>
        </w:rPr>
        <w:t>适用</w:t>
      </w:r>
      <w:r>
        <w:rPr>
          <w:sz w:val="18"/>
          <w:szCs w:val="18"/>
        </w:rPr>
        <w:t xml:space="preserve"> □</w:t>
      </w:r>
      <w:r>
        <w:rPr>
          <w:sz w:val="18"/>
          <w:szCs w:val="18"/>
        </w:rPr>
        <w:t>不适用</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377"/>
        <w:gridCol w:w="1377"/>
        <w:gridCol w:w="1377"/>
        <w:gridCol w:w="1377"/>
        <w:gridCol w:w="1377"/>
        <w:gridCol w:w="1377"/>
        <w:gridCol w:w="1377"/>
      </w:tblGrid>
      <w:tr w:rsidR="00E20B54">
        <w:trPr>
          <w:trHeight w:val="240"/>
        </w:trPr>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接待时间</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接待地点</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接待方式</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接待对象类型</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接待对象</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谈论的主要内容及提供的资料</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调研的基本情况索引</w:t>
            </w:r>
          </w:p>
        </w:tc>
      </w:tr>
      <w:tr w:rsidR="00E20B54">
        <w:trPr>
          <w:trHeight w:val="240"/>
        </w:trPr>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2025</w:t>
            </w:r>
            <w:r>
              <w:rPr>
                <w:sz w:val="18"/>
                <w:szCs w:val="18"/>
              </w:rPr>
              <w:t>年</w:t>
            </w:r>
            <w:r>
              <w:rPr>
                <w:sz w:val="18"/>
                <w:szCs w:val="18"/>
              </w:rPr>
              <w:t>09</w:t>
            </w:r>
            <w:r>
              <w:rPr>
                <w:sz w:val="18"/>
                <w:szCs w:val="18"/>
              </w:rPr>
              <w:t>月</w:t>
            </w:r>
            <w:r>
              <w:rPr>
                <w:sz w:val="18"/>
                <w:szCs w:val="18"/>
              </w:rPr>
              <w:t>19</w:t>
            </w:r>
            <w:r>
              <w:rPr>
                <w:sz w:val="18"/>
                <w:szCs w:val="18"/>
              </w:rPr>
              <w:t>日</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互联网</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网络平台线上交流</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个人</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投资者</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就投资者提问进行了回复。</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详见公司于</w:t>
            </w:r>
            <w:r>
              <w:rPr>
                <w:sz w:val="18"/>
                <w:szCs w:val="18"/>
              </w:rPr>
              <w:t>2025</w:t>
            </w:r>
            <w:r>
              <w:rPr>
                <w:sz w:val="18"/>
                <w:szCs w:val="18"/>
              </w:rPr>
              <w:t>年</w:t>
            </w:r>
            <w:r>
              <w:rPr>
                <w:sz w:val="18"/>
                <w:szCs w:val="18"/>
              </w:rPr>
              <w:t>9</w:t>
            </w:r>
            <w:r>
              <w:rPr>
                <w:sz w:val="18"/>
                <w:szCs w:val="18"/>
              </w:rPr>
              <w:t>月</w:t>
            </w:r>
            <w:r>
              <w:rPr>
                <w:sz w:val="18"/>
                <w:szCs w:val="18"/>
              </w:rPr>
              <w:t>19</w:t>
            </w:r>
            <w:r>
              <w:rPr>
                <w:sz w:val="18"/>
                <w:szCs w:val="18"/>
              </w:rPr>
              <w:t>日发布于巨潮资讯网的《广东天亿马信息产业股份有限公司投资者活动记录表</w:t>
            </w:r>
            <w:r>
              <w:rPr>
                <w:sz w:val="18"/>
                <w:szCs w:val="18"/>
              </w:rPr>
              <w:t>(2025</w:t>
            </w:r>
            <w:r>
              <w:rPr>
                <w:sz w:val="18"/>
                <w:szCs w:val="18"/>
              </w:rPr>
              <w:t>广东辖区上市公司投资者集体接待日活动</w:t>
            </w:r>
            <w:r>
              <w:rPr>
                <w:sz w:val="18"/>
                <w:szCs w:val="18"/>
              </w:rPr>
              <w:t>)</w:t>
            </w:r>
            <w:r>
              <w:rPr>
                <w:sz w:val="18"/>
                <w:szCs w:val="18"/>
              </w:rPr>
              <w:t>。</w:t>
            </w:r>
          </w:p>
        </w:tc>
      </w:tr>
      <w:tr w:rsidR="00E20B54">
        <w:trPr>
          <w:trHeight w:val="240"/>
        </w:trPr>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2025</w:t>
            </w:r>
            <w:r>
              <w:rPr>
                <w:sz w:val="18"/>
                <w:szCs w:val="18"/>
              </w:rPr>
              <w:t>年</w:t>
            </w:r>
            <w:r>
              <w:rPr>
                <w:sz w:val="18"/>
                <w:szCs w:val="18"/>
              </w:rPr>
              <w:t>05</w:t>
            </w:r>
            <w:r>
              <w:rPr>
                <w:sz w:val="18"/>
                <w:szCs w:val="18"/>
              </w:rPr>
              <w:t>月</w:t>
            </w:r>
            <w:r>
              <w:rPr>
                <w:sz w:val="18"/>
                <w:szCs w:val="18"/>
              </w:rPr>
              <w:t>09</w:t>
            </w:r>
            <w:r>
              <w:rPr>
                <w:sz w:val="18"/>
                <w:szCs w:val="18"/>
              </w:rPr>
              <w:t>日</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互联网</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网络平台线上交流</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个人</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投资者</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就投资者提问进行了回复。</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详见公司于</w:t>
            </w:r>
            <w:r>
              <w:rPr>
                <w:sz w:val="18"/>
                <w:szCs w:val="18"/>
              </w:rPr>
              <w:t>2025</w:t>
            </w:r>
            <w:r>
              <w:rPr>
                <w:sz w:val="18"/>
                <w:szCs w:val="18"/>
              </w:rPr>
              <w:t>年</w:t>
            </w:r>
            <w:r>
              <w:rPr>
                <w:sz w:val="18"/>
                <w:szCs w:val="18"/>
              </w:rPr>
              <w:t>5</w:t>
            </w:r>
            <w:r>
              <w:rPr>
                <w:sz w:val="18"/>
                <w:szCs w:val="18"/>
              </w:rPr>
              <w:t>月</w:t>
            </w:r>
            <w:r>
              <w:rPr>
                <w:sz w:val="18"/>
                <w:szCs w:val="18"/>
              </w:rPr>
              <w:t>9</w:t>
            </w:r>
            <w:r>
              <w:rPr>
                <w:sz w:val="18"/>
                <w:szCs w:val="18"/>
              </w:rPr>
              <w:t>日发布于巨潮资讯网的《广东天亿马信息产业股份有限公司</w:t>
            </w:r>
            <w:r>
              <w:rPr>
                <w:sz w:val="18"/>
                <w:szCs w:val="18"/>
              </w:rPr>
              <w:t>2024</w:t>
            </w:r>
            <w:r>
              <w:rPr>
                <w:sz w:val="18"/>
                <w:szCs w:val="18"/>
              </w:rPr>
              <w:t>年度业绩说明会投资者活动记录表》。</w:t>
            </w:r>
          </w:p>
        </w:tc>
      </w:tr>
    </w:tbl>
    <w:p w:rsidR="00E20B54" w:rsidRDefault="00733C9E">
      <w:pPr>
        <w:pStyle w:val="2"/>
        <w:spacing w:before="300" w:after="300" w:line="320" w:lineRule="exact"/>
        <w:rPr>
          <w:b/>
          <w:bCs/>
          <w:sz w:val="24"/>
          <w:szCs w:val="24"/>
        </w:rPr>
      </w:pPr>
      <w:bookmarkStart w:id="49" w:name="_Toc988938"/>
      <w:r>
        <w:rPr>
          <w:b/>
          <w:bCs/>
          <w:sz w:val="24"/>
          <w:szCs w:val="24"/>
        </w:rPr>
        <w:t>十三、市值管理制度和估值提升计划的制定落实情况</w:t>
      </w:r>
      <w:bookmarkEnd w:id="49"/>
    </w:p>
    <w:p w:rsidR="00E20B54" w:rsidRDefault="00733C9E">
      <w:pPr>
        <w:spacing w:before="100" w:after="100" w:line="240" w:lineRule="exact"/>
        <w:rPr>
          <w:sz w:val="18"/>
          <w:szCs w:val="18"/>
        </w:rPr>
      </w:pPr>
      <w:r>
        <w:rPr>
          <w:sz w:val="18"/>
          <w:szCs w:val="18"/>
        </w:rPr>
        <w:t>公司是否制定了市值管理制度。</w:t>
      </w:r>
    </w:p>
    <w:p w:rsidR="00E20B54" w:rsidRDefault="00733C9E">
      <w:pPr>
        <w:spacing w:before="100" w:after="100" w:line="240" w:lineRule="exact"/>
        <w:rPr>
          <w:sz w:val="18"/>
          <w:szCs w:val="18"/>
        </w:rPr>
      </w:pPr>
      <w:r>
        <w:rPr>
          <w:sz w:val="18"/>
          <w:szCs w:val="18"/>
        </w:rPr>
        <w:t>□</w:t>
      </w:r>
      <w:r>
        <w:rPr>
          <w:sz w:val="18"/>
          <w:szCs w:val="18"/>
        </w:rPr>
        <w:t>是</w:t>
      </w:r>
      <w:r>
        <w:rPr>
          <w:sz w:val="18"/>
          <w:szCs w:val="18"/>
        </w:rPr>
        <w:t xml:space="preserve"> </w:t>
      </w:r>
      <w:r>
        <w:rPr>
          <w:sz w:val="18"/>
          <w:szCs w:val="18"/>
        </w:rPr>
        <w:sym w:font="Wingdings 2" w:char="F052"/>
      </w:r>
      <w:r>
        <w:rPr>
          <w:sz w:val="18"/>
          <w:szCs w:val="18"/>
        </w:rPr>
        <w:t>否</w:t>
      </w:r>
    </w:p>
    <w:p w:rsidR="00E20B54" w:rsidRDefault="00733C9E">
      <w:pPr>
        <w:spacing w:before="100" w:after="100" w:line="240" w:lineRule="exact"/>
        <w:rPr>
          <w:sz w:val="18"/>
          <w:szCs w:val="18"/>
        </w:rPr>
      </w:pPr>
      <w:r>
        <w:rPr>
          <w:sz w:val="18"/>
          <w:szCs w:val="18"/>
        </w:rPr>
        <w:t>公司是否披露了估值提升计划。</w:t>
      </w:r>
    </w:p>
    <w:p w:rsidR="00E20B54" w:rsidRDefault="00733C9E">
      <w:pPr>
        <w:spacing w:before="100" w:after="100" w:line="240" w:lineRule="exact"/>
        <w:rPr>
          <w:sz w:val="18"/>
          <w:szCs w:val="18"/>
        </w:rPr>
      </w:pPr>
      <w:r>
        <w:rPr>
          <w:sz w:val="18"/>
          <w:szCs w:val="18"/>
        </w:rPr>
        <w:t>□</w:t>
      </w:r>
      <w:r>
        <w:rPr>
          <w:sz w:val="18"/>
          <w:szCs w:val="18"/>
        </w:rPr>
        <w:t>是</w:t>
      </w:r>
      <w:r>
        <w:rPr>
          <w:sz w:val="18"/>
          <w:szCs w:val="18"/>
        </w:rPr>
        <w:t xml:space="preserve"> </w:t>
      </w:r>
      <w:r>
        <w:rPr>
          <w:sz w:val="18"/>
          <w:szCs w:val="18"/>
        </w:rPr>
        <w:sym w:font="Wingdings 2" w:char="F052"/>
      </w:r>
      <w:r>
        <w:rPr>
          <w:sz w:val="18"/>
          <w:szCs w:val="18"/>
        </w:rPr>
        <w:t>否</w:t>
      </w:r>
    </w:p>
    <w:p w:rsidR="00E20B54" w:rsidRDefault="00733C9E">
      <w:pPr>
        <w:pStyle w:val="2"/>
        <w:spacing w:before="300" w:after="300" w:line="320" w:lineRule="exact"/>
        <w:rPr>
          <w:b/>
          <w:bCs/>
          <w:sz w:val="24"/>
          <w:szCs w:val="24"/>
        </w:rPr>
      </w:pPr>
      <w:bookmarkStart w:id="50" w:name="_Toc988939"/>
      <w:r>
        <w:rPr>
          <w:b/>
          <w:bCs/>
          <w:sz w:val="24"/>
          <w:szCs w:val="24"/>
        </w:rPr>
        <w:lastRenderedPageBreak/>
        <w:t>十四、</w:t>
      </w:r>
      <w:r>
        <w:rPr>
          <w:b/>
          <w:bCs/>
          <w:sz w:val="24"/>
          <w:szCs w:val="24"/>
        </w:rPr>
        <w:t>“</w:t>
      </w:r>
      <w:r>
        <w:rPr>
          <w:b/>
          <w:bCs/>
          <w:sz w:val="24"/>
          <w:szCs w:val="24"/>
        </w:rPr>
        <w:t>质量回报双提升</w:t>
      </w:r>
      <w:r>
        <w:rPr>
          <w:b/>
          <w:bCs/>
          <w:sz w:val="24"/>
          <w:szCs w:val="24"/>
        </w:rPr>
        <w:t>”</w:t>
      </w:r>
      <w:r>
        <w:rPr>
          <w:b/>
          <w:bCs/>
          <w:sz w:val="24"/>
          <w:szCs w:val="24"/>
        </w:rPr>
        <w:t>行动方案贯彻落实情况</w:t>
      </w:r>
      <w:bookmarkEnd w:id="50"/>
    </w:p>
    <w:p w:rsidR="00E20B54" w:rsidRDefault="00733C9E">
      <w:pPr>
        <w:spacing w:before="100" w:after="100" w:line="240" w:lineRule="exact"/>
        <w:rPr>
          <w:sz w:val="18"/>
          <w:szCs w:val="18"/>
        </w:rPr>
      </w:pPr>
      <w:r>
        <w:rPr>
          <w:sz w:val="18"/>
          <w:szCs w:val="18"/>
        </w:rPr>
        <w:t>公司是否披露了</w:t>
      </w:r>
      <w:r>
        <w:rPr>
          <w:sz w:val="18"/>
          <w:szCs w:val="18"/>
        </w:rPr>
        <w:t>“</w:t>
      </w:r>
      <w:r>
        <w:rPr>
          <w:sz w:val="18"/>
          <w:szCs w:val="18"/>
        </w:rPr>
        <w:t>质量回报双提升</w:t>
      </w:r>
      <w:r>
        <w:rPr>
          <w:sz w:val="18"/>
          <w:szCs w:val="18"/>
        </w:rPr>
        <w:t>”</w:t>
      </w:r>
      <w:r>
        <w:rPr>
          <w:sz w:val="18"/>
          <w:szCs w:val="18"/>
        </w:rPr>
        <w:t>行动方案公告。</w:t>
      </w:r>
    </w:p>
    <w:p w:rsidR="00E20B54" w:rsidRDefault="00733C9E">
      <w:pPr>
        <w:spacing w:before="100" w:after="100" w:line="240" w:lineRule="exact"/>
        <w:rPr>
          <w:sz w:val="18"/>
          <w:szCs w:val="18"/>
        </w:rPr>
      </w:pPr>
      <w:r>
        <w:rPr>
          <w:sz w:val="18"/>
          <w:szCs w:val="18"/>
        </w:rPr>
        <w:t>□</w:t>
      </w:r>
      <w:r>
        <w:rPr>
          <w:sz w:val="18"/>
          <w:szCs w:val="18"/>
        </w:rPr>
        <w:t>是</w:t>
      </w:r>
      <w:r>
        <w:rPr>
          <w:sz w:val="18"/>
          <w:szCs w:val="18"/>
        </w:rPr>
        <w:t xml:space="preserve"> </w:t>
      </w:r>
      <w:r>
        <w:rPr>
          <w:sz w:val="18"/>
          <w:szCs w:val="18"/>
        </w:rPr>
        <w:sym w:font="Wingdings 2" w:char="F052"/>
      </w:r>
      <w:r>
        <w:rPr>
          <w:sz w:val="18"/>
          <w:szCs w:val="18"/>
        </w:rPr>
        <w:t>否</w:t>
      </w:r>
    </w:p>
    <w:p w:rsidR="00E20B54" w:rsidRDefault="00733C9E">
      <w:r>
        <w:br w:type="page"/>
      </w:r>
    </w:p>
    <w:p w:rsidR="00E20B54" w:rsidRDefault="00733C9E">
      <w:pPr>
        <w:pStyle w:val="headingh1"/>
        <w:spacing w:before="340" w:after="330" w:line="773" w:lineRule="exact"/>
        <w:jc w:val="center"/>
        <w:rPr>
          <w:b/>
          <w:bCs/>
          <w:sz w:val="32"/>
          <w:szCs w:val="32"/>
        </w:rPr>
      </w:pPr>
      <w:bookmarkStart w:id="51" w:name="_Toc988940"/>
      <w:r>
        <w:rPr>
          <w:b/>
          <w:bCs/>
          <w:sz w:val="32"/>
          <w:szCs w:val="32"/>
        </w:rPr>
        <w:lastRenderedPageBreak/>
        <w:t>第四节</w:t>
      </w:r>
      <w:r>
        <w:rPr>
          <w:b/>
          <w:bCs/>
          <w:sz w:val="32"/>
          <w:szCs w:val="32"/>
        </w:rPr>
        <w:t xml:space="preserve"> </w:t>
      </w:r>
      <w:r>
        <w:rPr>
          <w:b/>
          <w:bCs/>
          <w:sz w:val="32"/>
          <w:szCs w:val="32"/>
        </w:rPr>
        <w:t>公司治理、环境和社会</w:t>
      </w:r>
      <w:bookmarkEnd w:id="51"/>
    </w:p>
    <w:p w:rsidR="00E20B54" w:rsidRDefault="00733C9E">
      <w:pPr>
        <w:pStyle w:val="2"/>
        <w:spacing w:before="300" w:after="300" w:line="320" w:lineRule="exact"/>
        <w:rPr>
          <w:b/>
          <w:bCs/>
          <w:sz w:val="24"/>
          <w:szCs w:val="24"/>
        </w:rPr>
      </w:pPr>
      <w:bookmarkStart w:id="52" w:name="_Toc988941"/>
      <w:r>
        <w:rPr>
          <w:b/>
          <w:bCs/>
          <w:sz w:val="24"/>
          <w:szCs w:val="24"/>
        </w:rPr>
        <w:t>一、公司治理的基本状况</w:t>
      </w:r>
      <w:bookmarkEnd w:id="52"/>
    </w:p>
    <w:p w:rsidR="00E20B54" w:rsidRDefault="00733C9E">
      <w:pPr>
        <w:pStyle w:val="a3"/>
        <w:widowControl/>
        <w:spacing w:before="120" w:beforeAutospacing="0" w:after="120" w:afterAutospacing="0"/>
        <w:ind w:firstLine="420"/>
        <w:jc w:val="both"/>
        <w:rPr>
          <w:szCs w:val="24"/>
        </w:rPr>
      </w:pPr>
      <w:r>
        <w:rPr>
          <w:sz w:val="21"/>
          <w:szCs w:val="21"/>
        </w:rPr>
        <w:t>报告期内，公司严格按照《公司法》《证券法》《深圳证券交易所创业板股票上市规则》《深圳证券交易所上市公司自律监管指引第</w:t>
      </w:r>
      <w:r>
        <w:rPr>
          <w:sz w:val="21"/>
          <w:szCs w:val="21"/>
        </w:rPr>
        <w:t>2</w:t>
      </w:r>
      <w:r>
        <w:rPr>
          <w:sz w:val="21"/>
          <w:szCs w:val="21"/>
        </w:rPr>
        <w:t>号</w:t>
      </w:r>
      <w:r>
        <w:rPr>
          <w:sz w:val="21"/>
          <w:szCs w:val="21"/>
        </w:rPr>
        <w:t>——</w:t>
      </w:r>
      <w:r>
        <w:rPr>
          <w:sz w:val="21"/>
          <w:szCs w:val="21"/>
        </w:rPr>
        <w:t>创业板上市公司规范运作》等法律、行政法规和中国证监会有关法律法规等的要求，完善公司的法人治理结构，建立健全公司内部管理制度和内部控制制度，持续深入开展公司治理活动，促进公司规范运作，提高公司治理水平。</w:t>
      </w:r>
    </w:p>
    <w:p w:rsidR="00E20B54" w:rsidRDefault="00733C9E">
      <w:pPr>
        <w:pStyle w:val="a3"/>
        <w:widowControl/>
        <w:spacing w:before="120" w:beforeAutospacing="0" w:after="120" w:afterAutospacing="0"/>
        <w:ind w:firstLine="420"/>
        <w:jc w:val="both"/>
        <w:rPr>
          <w:b/>
          <w:bCs/>
          <w:szCs w:val="24"/>
        </w:rPr>
      </w:pPr>
      <w:r>
        <w:rPr>
          <w:b/>
          <w:bCs/>
          <w:sz w:val="21"/>
          <w:szCs w:val="21"/>
        </w:rPr>
        <w:t>（一）关于股东与股东会</w:t>
      </w:r>
    </w:p>
    <w:p w:rsidR="00E20B54" w:rsidRDefault="00733C9E">
      <w:pPr>
        <w:pStyle w:val="a3"/>
        <w:widowControl/>
        <w:spacing w:before="120" w:beforeAutospacing="0" w:after="120" w:afterAutospacing="0"/>
        <w:ind w:firstLine="420"/>
        <w:jc w:val="both"/>
        <w:rPr>
          <w:szCs w:val="24"/>
        </w:rPr>
      </w:pPr>
      <w:r>
        <w:rPr>
          <w:sz w:val="21"/>
          <w:szCs w:val="21"/>
        </w:rPr>
        <w:t>报告期内，公司严格按照《公司法》《证券法》《公司章程》《股东会议事规则》等规定的要求，规范股东会召集、召开及表决等程序，平等对待所有投资者，使其充分行使股东的权利，切实保护中小股东的权益。公司所聘请的律师列席股东会并对股东会的召开和表决程序出具法律意见书，充分尊重和维护全体股东的合法权益。</w:t>
      </w:r>
    </w:p>
    <w:p w:rsidR="00E20B54" w:rsidRDefault="00733C9E">
      <w:pPr>
        <w:pStyle w:val="a3"/>
        <w:widowControl/>
        <w:spacing w:before="120" w:beforeAutospacing="0" w:after="120" w:afterAutospacing="0"/>
        <w:ind w:firstLine="420"/>
        <w:jc w:val="both"/>
        <w:rPr>
          <w:szCs w:val="24"/>
        </w:rPr>
      </w:pPr>
      <w:r>
        <w:rPr>
          <w:sz w:val="21"/>
          <w:szCs w:val="21"/>
        </w:rPr>
        <w:t>报告期内，公司共召开股东会</w:t>
      </w:r>
      <w:r>
        <w:rPr>
          <w:sz w:val="21"/>
          <w:szCs w:val="21"/>
        </w:rPr>
        <w:t>4</w:t>
      </w:r>
      <w:r>
        <w:rPr>
          <w:sz w:val="21"/>
          <w:szCs w:val="21"/>
        </w:rPr>
        <w:t>次，审议并通过议案共计</w:t>
      </w:r>
      <w:r>
        <w:rPr>
          <w:sz w:val="21"/>
          <w:szCs w:val="21"/>
        </w:rPr>
        <w:t>48</w:t>
      </w:r>
      <w:r>
        <w:rPr>
          <w:sz w:val="21"/>
          <w:szCs w:val="21"/>
        </w:rPr>
        <w:t>项。</w:t>
      </w:r>
    </w:p>
    <w:p w:rsidR="00E20B54" w:rsidRDefault="00733C9E">
      <w:pPr>
        <w:pStyle w:val="a3"/>
        <w:widowControl/>
        <w:spacing w:before="120" w:beforeAutospacing="0" w:after="120" w:afterAutospacing="0"/>
        <w:ind w:firstLine="420"/>
        <w:jc w:val="both"/>
        <w:rPr>
          <w:b/>
          <w:bCs/>
          <w:szCs w:val="24"/>
        </w:rPr>
      </w:pPr>
      <w:r>
        <w:rPr>
          <w:b/>
          <w:bCs/>
          <w:sz w:val="21"/>
          <w:szCs w:val="21"/>
        </w:rPr>
        <w:t>（二）关于公司与控股股东、实际控制人</w:t>
      </w:r>
    </w:p>
    <w:p w:rsidR="00E20B54" w:rsidRDefault="00733C9E">
      <w:pPr>
        <w:pStyle w:val="a3"/>
        <w:widowControl/>
        <w:spacing w:before="120" w:beforeAutospacing="0" w:after="120" w:afterAutospacing="0"/>
        <w:ind w:firstLine="420"/>
        <w:jc w:val="both"/>
        <w:rPr>
          <w:szCs w:val="24"/>
        </w:rPr>
      </w:pPr>
      <w:r>
        <w:rPr>
          <w:sz w:val="21"/>
          <w:szCs w:val="21"/>
        </w:rPr>
        <w:t>公司控股股东严格按照《上市公司治理准则》《深圳证券交易所创业板股票上市规则》《深圳证券交易所上市公司自律监管指引第</w:t>
      </w:r>
      <w:r>
        <w:rPr>
          <w:sz w:val="21"/>
          <w:szCs w:val="21"/>
        </w:rPr>
        <w:t>2</w:t>
      </w:r>
      <w:r>
        <w:rPr>
          <w:sz w:val="21"/>
          <w:szCs w:val="21"/>
        </w:rPr>
        <w:t>号</w:t>
      </w:r>
      <w:r>
        <w:rPr>
          <w:sz w:val="21"/>
          <w:szCs w:val="21"/>
        </w:rPr>
        <w:t>——</w:t>
      </w:r>
      <w:r>
        <w:rPr>
          <w:sz w:val="21"/>
          <w:szCs w:val="21"/>
        </w:rPr>
        <w:t>创业板上市公司规范运作》《公司章程》等规定和要求，不存在超越公司股东会直接或间接干预公司决策和经营活动的行为，未损害公司及其他股东的利益，不存在控股股东占用公司资金的现象，公司亦不存在为控股股东提供担保的情形。</w:t>
      </w:r>
    </w:p>
    <w:p w:rsidR="00E20B54" w:rsidRDefault="00733C9E">
      <w:pPr>
        <w:pStyle w:val="a3"/>
        <w:widowControl/>
        <w:spacing w:before="120" w:beforeAutospacing="0" w:after="120" w:afterAutospacing="0"/>
        <w:ind w:firstLine="420"/>
        <w:jc w:val="both"/>
        <w:rPr>
          <w:szCs w:val="24"/>
        </w:rPr>
      </w:pPr>
      <w:r>
        <w:rPr>
          <w:sz w:val="21"/>
          <w:szCs w:val="21"/>
        </w:rPr>
        <w:t>公司在资产、人员、财务、机构、业务等方面均独立于控股股东、实际控制人及其控制的其他企业，具有完整的业务体系和面向市场独立经营的能力。</w:t>
      </w:r>
    </w:p>
    <w:p w:rsidR="00E20B54" w:rsidRDefault="00733C9E">
      <w:pPr>
        <w:pStyle w:val="a3"/>
        <w:widowControl/>
        <w:spacing w:before="120" w:beforeAutospacing="0" w:after="120" w:afterAutospacing="0"/>
        <w:ind w:firstLine="420"/>
        <w:jc w:val="both"/>
        <w:rPr>
          <w:b/>
          <w:bCs/>
          <w:szCs w:val="24"/>
        </w:rPr>
      </w:pPr>
      <w:r>
        <w:rPr>
          <w:b/>
          <w:bCs/>
          <w:sz w:val="21"/>
          <w:szCs w:val="21"/>
        </w:rPr>
        <w:t>（三）关于董事与董事会</w:t>
      </w:r>
      <w:r>
        <w:rPr>
          <w:b/>
          <w:bCs/>
          <w:sz w:val="21"/>
          <w:szCs w:val="21"/>
        </w:rPr>
        <w:t xml:space="preserve"> </w:t>
      </w:r>
    </w:p>
    <w:p w:rsidR="00E20B54" w:rsidRDefault="004F7E64">
      <w:pPr>
        <w:pStyle w:val="a3"/>
        <w:widowControl/>
        <w:spacing w:before="120" w:beforeAutospacing="0" w:after="120" w:afterAutospacing="0"/>
        <w:ind w:firstLine="420"/>
        <w:jc w:val="both"/>
        <w:rPr>
          <w:szCs w:val="24"/>
        </w:rPr>
      </w:pPr>
      <w:r>
        <w:rPr>
          <w:sz w:val="21"/>
          <w:szCs w:val="21"/>
        </w:rPr>
        <w:t>公司</w:t>
      </w:r>
      <w:r>
        <w:rPr>
          <w:rFonts w:hint="eastAsia"/>
          <w:sz w:val="21"/>
          <w:szCs w:val="21"/>
        </w:rPr>
        <w:t>已</w:t>
      </w:r>
      <w:r w:rsidR="00733C9E">
        <w:rPr>
          <w:sz w:val="21"/>
          <w:szCs w:val="21"/>
        </w:rPr>
        <w:t>制定《董事会议事规则》《独立董事工作制度》等制度确保董事会规范、高效运作和审慎、科学决策。报告期内，公司董事会由</w:t>
      </w:r>
      <w:r w:rsidR="00733C9E">
        <w:rPr>
          <w:sz w:val="21"/>
          <w:szCs w:val="21"/>
        </w:rPr>
        <w:t>8</w:t>
      </w:r>
      <w:r w:rsidR="00733C9E">
        <w:rPr>
          <w:sz w:val="21"/>
          <w:szCs w:val="21"/>
        </w:rPr>
        <w:t>名成员组成，其中独立董事</w:t>
      </w:r>
      <w:r w:rsidR="00733C9E">
        <w:rPr>
          <w:sz w:val="21"/>
          <w:szCs w:val="21"/>
        </w:rPr>
        <w:t>3</w:t>
      </w:r>
      <w:r w:rsidR="00733C9E">
        <w:rPr>
          <w:sz w:val="21"/>
          <w:szCs w:val="21"/>
        </w:rPr>
        <w:t>名。人员符合有关法律、法规、章程等的要求，具有履行职务所必需的知识、技能。公司于</w:t>
      </w:r>
      <w:r w:rsidR="00733C9E">
        <w:rPr>
          <w:sz w:val="21"/>
          <w:szCs w:val="21"/>
        </w:rPr>
        <w:t>2025</w:t>
      </w:r>
      <w:r w:rsidR="00733C9E">
        <w:rPr>
          <w:sz w:val="21"/>
          <w:szCs w:val="21"/>
        </w:rPr>
        <w:t>年</w:t>
      </w:r>
      <w:r w:rsidR="00733C9E">
        <w:rPr>
          <w:sz w:val="21"/>
          <w:szCs w:val="21"/>
        </w:rPr>
        <w:t>9</w:t>
      </w:r>
      <w:r w:rsidR="00733C9E">
        <w:rPr>
          <w:sz w:val="21"/>
          <w:szCs w:val="21"/>
        </w:rPr>
        <w:t>月</w:t>
      </w:r>
      <w:r w:rsidR="00733C9E">
        <w:rPr>
          <w:sz w:val="21"/>
          <w:szCs w:val="21"/>
        </w:rPr>
        <w:t>15</w:t>
      </w:r>
      <w:r w:rsidR="00733C9E">
        <w:rPr>
          <w:sz w:val="21"/>
          <w:szCs w:val="21"/>
        </w:rPr>
        <w:t>日召开</w:t>
      </w:r>
      <w:r w:rsidR="00733C9E">
        <w:rPr>
          <w:sz w:val="21"/>
          <w:szCs w:val="21"/>
        </w:rPr>
        <w:t>2025</w:t>
      </w:r>
      <w:r w:rsidR="00733C9E">
        <w:rPr>
          <w:sz w:val="21"/>
          <w:szCs w:val="21"/>
        </w:rPr>
        <w:t>年度第二次临时股东会，审议通过了选举第四届董事会成员的相关议案。公司董事不存在《公司法》第一百四十六条规定的不得担任公司董事的情形，其任免均严格履行董事会、股东会的审批程序，不存在与相关法律、法规或《公司章程》相抵触的情形。各位董事依据《公司法》《深圳证券交易所上市公司自律监管指引第</w:t>
      </w:r>
      <w:r w:rsidR="00733C9E">
        <w:rPr>
          <w:sz w:val="21"/>
          <w:szCs w:val="21"/>
        </w:rPr>
        <w:t>2</w:t>
      </w:r>
      <w:r w:rsidR="00733C9E">
        <w:rPr>
          <w:sz w:val="21"/>
          <w:szCs w:val="21"/>
        </w:rPr>
        <w:t>号</w:t>
      </w:r>
      <w:r w:rsidR="00733C9E">
        <w:rPr>
          <w:sz w:val="21"/>
          <w:szCs w:val="21"/>
        </w:rPr>
        <w:t>——</w:t>
      </w:r>
      <w:r w:rsidR="00733C9E">
        <w:rPr>
          <w:sz w:val="21"/>
          <w:szCs w:val="21"/>
        </w:rPr>
        <w:t>创业板上市公司规范运作》《公司章程》《董事会议事规则》等规定和要求，在任职期间工作严谨、勤勉尽责，持续关注公司经营情况，主动参加相关培训，提高董事会规范运作水平；积极参加董事会会议，充分发挥各自的特长，审慎决策，维护公司和全体股东的合法权益。</w:t>
      </w:r>
    </w:p>
    <w:p w:rsidR="00E20B54" w:rsidRDefault="00733C9E">
      <w:pPr>
        <w:pStyle w:val="a3"/>
        <w:widowControl/>
        <w:spacing w:before="120" w:beforeAutospacing="0" w:after="120" w:afterAutospacing="0"/>
        <w:ind w:firstLine="420"/>
        <w:jc w:val="both"/>
        <w:rPr>
          <w:szCs w:val="24"/>
        </w:rPr>
      </w:pPr>
      <w:r>
        <w:rPr>
          <w:sz w:val="21"/>
          <w:szCs w:val="21"/>
        </w:rPr>
        <w:t>报告期内，公司共召开董事会会议</w:t>
      </w:r>
      <w:r>
        <w:rPr>
          <w:sz w:val="21"/>
          <w:szCs w:val="21"/>
        </w:rPr>
        <w:t>9</w:t>
      </w:r>
      <w:r>
        <w:rPr>
          <w:sz w:val="21"/>
          <w:szCs w:val="21"/>
        </w:rPr>
        <w:t>次，审议并通过议案共计</w:t>
      </w:r>
      <w:r>
        <w:rPr>
          <w:sz w:val="21"/>
          <w:szCs w:val="21"/>
        </w:rPr>
        <w:t>81</w:t>
      </w:r>
      <w:r>
        <w:rPr>
          <w:sz w:val="21"/>
          <w:szCs w:val="21"/>
        </w:rPr>
        <w:t>项。</w:t>
      </w:r>
    </w:p>
    <w:p w:rsidR="00E20B54" w:rsidRDefault="00733C9E">
      <w:pPr>
        <w:pStyle w:val="a3"/>
        <w:widowControl/>
        <w:spacing w:before="120" w:beforeAutospacing="0" w:after="120" w:afterAutospacing="0"/>
        <w:ind w:firstLine="420"/>
        <w:jc w:val="both"/>
        <w:rPr>
          <w:b/>
          <w:bCs/>
          <w:szCs w:val="24"/>
        </w:rPr>
      </w:pPr>
      <w:r>
        <w:rPr>
          <w:b/>
          <w:bCs/>
          <w:sz w:val="21"/>
          <w:szCs w:val="21"/>
        </w:rPr>
        <w:t>（四）关于绩效评价与激励约束机制</w:t>
      </w:r>
      <w:r>
        <w:rPr>
          <w:b/>
          <w:bCs/>
          <w:sz w:val="21"/>
          <w:szCs w:val="21"/>
        </w:rPr>
        <w:t xml:space="preserve"> </w:t>
      </w:r>
    </w:p>
    <w:p w:rsidR="00E20B54" w:rsidRDefault="00733C9E">
      <w:pPr>
        <w:pStyle w:val="a3"/>
        <w:widowControl/>
        <w:spacing w:before="120" w:beforeAutospacing="0" w:after="120" w:afterAutospacing="0"/>
        <w:ind w:firstLine="420"/>
        <w:jc w:val="both"/>
        <w:rPr>
          <w:szCs w:val="24"/>
        </w:rPr>
      </w:pPr>
      <w:r>
        <w:rPr>
          <w:sz w:val="21"/>
          <w:szCs w:val="21"/>
        </w:rPr>
        <w:t>公司建立并逐步完善公正、有效的高级管理人员的绩效评价标准和激励约束机制，公司高级管理人员实行基本年薪与年终绩效考核相结合的薪酬制度。高级管理人员的聘任公开、透明，符合法律、法规的规定。</w:t>
      </w:r>
    </w:p>
    <w:p w:rsidR="00E20B54" w:rsidRDefault="00733C9E">
      <w:pPr>
        <w:pStyle w:val="a3"/>
        <w:widowControl/>
        <w:spacing w:before="120" w:beforeAutospacing="0" w:after="120" w:afterAutospacing="0"/>
        <w:ind w:firstLine="420"/>
        <w:jc w:val="both"/>
        <w:rPr>
          <w:b/>
          <w:bCs/>
          <w:szCs w:val="24"/>
        </w:rPr>
      </w:pPr>
      <w:r>
        <w:rPr>
          <w:b/>
          <w:bCs/>
          <w:sz w:val="21"/>
          <w:szCs w:val="21"/>
        </w:rPr>
        <w:t>（五）关于信息披露与透明度</w:t>
      </w:r>
    </w:p>
    <w:p w:rsidR="00E20B54" w:rsidRDefault="00733C9E">
      <w:pPr>
        <w:pStyle w:val="a3"/>
        <w:widowControl/>
        <w:spacing w:before="120" w:beforeAutospacing="0" w:after="120" w:afterAutospacing="0"/>
        <w:ind w:firstLine="420"/>
        <w:jc w:val="both"/>
        <w:rPr>
          <w:b/>
          <w:bCs/>
          <w:szCs w:val="24"/>
        </w:rPr>
      </w:pPr>
      <w:r>
        <w:rPr>
          <w:sz w:val="21"/>
          <w:szCs w:val="21"/>
        </w:rPr>
        <w:lastRenderedPageBreak/>
        <w:t>报告期内，公司严格按照《深圳证券交易所创业板上市规则》《深圳证券交易所上市公司自律监管指引第</w:t>
      </w:r>
      <w:r>
        <w:rPr>
          <w:sz w:val="21"/>
          <w:szCs w:val="21"/>
        </w:rPr>
        <w:t>2</w:t>
      </w:r>
      <w:r>
        <w:rPr>
          <w:sz w:val="21"/>
          <w:szCs w:val="21"/>
        </w:rPr>
        <w:t>号</w:t>
      </w:r>
      <w:r>
        <w:rPr>
          <w:sz w:val="21"/>
          <w:szCs w:val="21"/>
        </w:rPr>
        <w:t>——</w:t>
      </w:r>
      <w:r>
        <w:rPr>
          <w:sz w:val="21"/>
          <w:szCs w:val="21"/>
        </w:rPr>
        <w:t>创业板上市公司规范运作》《信息披露管理制度》等有关规定，真实、准确、完整、及时、公平地披露有关信息。公司指定《证券时报》《中国证券报》《上海证券报》《证券日报》和巨潮资讯网（</w:t>
      </w:r>
      <w:r>
        <w:rPr>
          <w:sz w:val="21"/>
          <w:szCs w:val="21"/>
        </w:rPr>
        <w:t>www.cninfo.com.cn</w:t>
      </w:r>
      <w:r>
        <w:rPr>
          <w:sz w:val="21"/>
          <w:szCs w:val="21"/>
        </w:rPr>
        <w:t>）以及公司官方网站作为公司信息披露平台，确保所有股东能够以平等的机会获得信息。</w:t>
      </w:r>
    </w:p>
    <w:p w:rsidR="00E20B54" w:rsidRDefault="00733C9E">
      <w:pPr>
        <w:pStyle w:val="a3"/>
        <w:widowControl/>
        <w:spacing w:before="120" w:beforeAutospacing="0" w:after="120" w:afterAutospacing="0"/>
        <w:ind w:firstLine="420"/>
        <w:jc w:val="both"/>
        <w:rPr>
          <w:b/>
          <w:bCs/>
          <w:szCs w:val="24"/>
        </w:rPr>
      </w:pPr>
      <w:r>
        <w:rPr>
          <w:b/>
          <w:bCs/>
          <w:sz w:val="21"/>
          <w:szCs w:val="21"/>
        </w:rPr>
        <w:t>（六）关于投资者关系管理</w:t>
      </w:r>
    </w:p>
    <w:p w:rsidR="00E20B54" w:rsidRDefault="00733C9E">
      <w:pPr>
        <w:pStyle w:val="a3"/>
        <w:widowControl/>
        <w:spacing w:before="120" w:beforeAutospacing="0" w:after="120" w:afterAutospacing="0"/>
        <w:ind w:firstLine="420"/>
        <w:jc w:val="both"/>
        <w:rPr>
          <w:szCs w:val="24"/>
        </w:rPr>
      </w:pPr>
      <w:r>
        <w:rPr>
          <w:sz w:val="21"/>
          <w:szCs w:val="21"/>
        </w:rPr>
        <w:t>公司按照相关法律法规及《投资者关系管理制度》的要求，指定董事会秘书为公司投资者关系活动的负责人，负责协调公司与投资者的关系，接待股东来访，回答投资者咨询，向投资者提供公司已披露信息等工作。报告期内，公司通过电话、电子邮箱、投资者关系互动平台等形式回复投资者咨询，同时也开放现场接待。公司在与投资者交流过程中，加强信息沟通，促进与投资者良性互动的同时切实提高了公司信息的透明度。</w:t>
      </w:r>
    </w:p>
    <w:p w:rsidR="00E20B54" w:rsidRDefault="00733C9E">
      <w:pPr>
        <w:pStyle w:val="a3"/>
        <w:widowControl/>
        <w:spacing w:before="120" w:beforeAutospacing="0" w:after="120" w:afterAutospacing="0"/>
        <w:ind w:firstLine="420"/>
        <w:jc w:val="both"/>
        <w:rPr>
          <w:b/>
          <w:bCs/>
          <w:szCs w:val="24"/>
        </w:rPr>
      </w:pPr>
      <w:r>
        <w:rPr>
          <w:b/>
          <w:bCs/>
          <w:sz w:val="21"/>
          <w:szCs w:val="21"/>
        </w:rPr>
        <w:t>（七）关于利益相关者</w:t>
      </w:r>
    </w:p>
    <w:p w:rsidR="00E20B54" w:rsidRDefault="00733C9E">
      <w:pPr>
        <w:pStyle w:val="a3"/>
        <w:widowControl/>
        <w:spacing w:before="120" w:beforeAutospacing="0" w:after="120" w:afterAutospacing="0"/>
        <w:ind w:firstLine="420"/>
        <w:jc w:val="both"/>
        <w:rPr>
          <w:szCs w:val="24"/>
        </w:rPr>
      </w:pPr>
      <w:r>
        <w:rPr>
          <w:sz w:val="21"/>
          <w:szCs w:val="21"/>
        </w:rPr>
        <w:t>公司充分尊重和维护相关利益者的合法权益，加强与股东、员工、客户与供应商、社会等利益相关者的沟通和交流，实现各方利益的协调平衡，共同推动公司持续、健康的发展。</w:t>
      </w:r>
    </w:p>
    <w:p w:rsidR="00E20B54" w:rsidRDefault="00733C9E">
      <w:pPr>
        <w:pStyle w:val="a3"/>
        <w:widowControl/>
        <w:spacing w:before="120" w:beforeAutospacing="0" w:after="120" w:afterAutospacing="0"/>
        <w:ind w:firstLine="420"/>
        <w:jc w:val="both"/>
        <w:rPr>
          <w:szCs w:val="24"/>
        </w:rPr>
      </w:pPr>
      <w:r>
        <w:rPr>
          <w:sz w:val="21"/>
          <w:szCs w:val="21"/>
        </w:rPr>
        <w:t>公司治理的实际状况与法律、行政法规和中国证监会发布的关于上市公司治理的规定不存在重大差异。</w:t>
      </w:r>
      <w:r>
        <w:rPr>
          <w:sz w:val="21"/>
          <w:szCs w:val="21"/>
        </w:rPr>
        <w:t xml:space="preserve"> </w:t>
      </w:r>
    </w:p>
    <w:p w:rsidR="00E20B54" w:rsidRDefault="00733C9E">
      <w:pPr>
        <w:spacing w:before="100" w:after="100" w:line="240" w:lineRule="exact"/>
        <w:rPr>
          <w:sz w:val="18"/>
          <w:szCs w:val="18"/>
        </w:rPr>
      </w:pPr>
      <w:r>
        <w:rPr>
          <w:sz w:val="18"/>
          <w:szCs w:val="18"/>
        </w:rPr>
        <w:t>公司治理的实际状况与法律、行政法规和中国证监会发布的关于上市公司治理的规定是否存在重大差异</w:t>
      </w:r>
    </w:p>
    <w:p w:rsidR="00E20B54" w:rsidRDefault="00733C9E">
      <w:pPr>
        <w:spacing w:before="100" w:after="100" w:line="240" w:lineRule="exact"/>
        <w:rPr>
          <w:sz w:val="18"/>
          <w:szCs w:val="18"/>
        </w:rPr>
      </w:pPr>
      <w:r>
        <w:rPr>
          <w:sz w:val="18"/>
          <w:szCs w:val="18"/>
        </w:rPr>
        <w:t>□</w:t>
      </w:r>
      <w:r>
        <w:rPr>
          <w:sz w:val="18"/>
          <w:szCs w:val="18"/>
        </w:rPr>
        <w:t>是</w:t>
      </w:r>
      <w:r>
        <w:rPr>
          <w:sz w:val="18"/>
          <w:szCs w:val="18"/>
        </w:rPr>
        <w:t xml:space="preserve"> </w:t>
      </w:r>
      <w:r>
        <w:rPr>
          <w:sz w:val="18"/>
          <w:szCs w:val="18"/>
        </w:rPr>
        <w:sym w:font="Wingdings 2" w:char="F052"/>
      </w:r>
      <w:r>
        <w:rPr>
          <w:sz w:val="18"/>
          <w:szCs w:val="18"/>
        </w:rPr>
        <w:t>否</w:t>
      </w:r>
    </w:p>
    <w:p w:rsidR="00E20B54" w:rsidRDefault="00733C9E">
      <w:pPr>
        <w:spacing w:before="100" w:after="100" w:line="240" w:lineRule="exact"/>
        <w:rPr>
          <w:sz w:val="18"/>
          <w:szCs w:val="18"/>
        </w:rPr>
      </w:pPr>
      <w:r>
        <w:rPr>
          <w:sz w:val="18"/>
          <w:szCs w:val="18"/>
        </w:rPr>
        <w:t>公司治理的实际状况与法律、行政法规和中国证监会发布的关于上市公司治理的规定不存在重大差异。</w:t>
      </w:r>
    </w:p>
    <w:p w:rsidR="00E20B54" w:rsidRDefault="00733C9E">
      <w:pPr>
        <w:pStyle w:val="2"/>
        <w:spacing w:before="300" w:after="300" w:line="320" w:lineRule="exact"/>
        <w:rPr>
          <w:b/>
          <w:bCs/>
          <w:sz w:val="24"/>
          <w:szCs w:val="24"/>
        </w:rPr>
      </w:pPr>
      <w:bookmarkStart w:id="53" w:name="_Toc988942"/>
      <w:r>
        <w:rPr>
          <w:b/>
          <w:bCs/>
          <w:sz w:val="24"/>
          <w:szCs w:val="24"/>
        </w:rPr>
        <w:t>二、公司相对于控股股东、实际控制人在保证公司资产、人员、财务、机构、业务等方面的独立情况</w:t>
      </w:r>
      <w:bookmarkEnd w:id="53"/>
    </w:p>
    <w:p w:rsidR="00E20B54" w:rsidRDefault="00733C9E">
      <w:pPr>
        <w:pStyle w:val="a3"/>
        <w:widowControl/>
        <w:spacing w:before="120" w:beforeAutospacing="0" w:after="120" w:afterAutospacing="0"/>
        <w:ind w:firstLine="420"/>
        <w:jc w:val="both"/>
        <w:rPr>
          <w:szCs w:val="24"/>
        </w:rPr>
      </w:pPr>
      <w:r>
        <w:rPr>
          <w:sz w:val="21"/>
          <w:szCs w:val="21"/>
        </w:rPr>
        <w:t>报告期内，公司在资产、人员、财务、机构、业务等方面均独立于控股股东、实际控制人及其控制的其他企业，具有完整的业务体系和面向市场独立经营的能力。</w:t>
      </w:r>
    </w:p>
    <w:p w:rsidR="00E20B54" w:rsidRDefault="00733C9E">
      <w:pPr>
        <w:pStyle w:val="a3"/>
        <w:widowControl/>
        <w:spacing w:before="120" w:beforeAutospacing="0" w:after="120" w:afterAutospacing="0"/>
        <w:ind w:firstLine="420"/>
        <w:jc w:val="both"/>
        <w:rPr>
          <w:b/>
          <w:bCs/>
          <w:sz w:val="21"/>
          <w:szCs w:val="21"/>
        </w:rPr>
      </w:pPr>
      <w:r>
        <w:rPr>
          <w:b/>
          <w:bCs/>
          <w:sz w:val="21"/>
          <w:szCs w:val="21"/>
        </w:rPr>
        <w:t>（一）资产完整</w:t>
      </w:r>
    </w:p>
    <w:p w:rsidR="00E20B54" w:rsidRDefault="00733C9E">
      <w:pPr>
        <w:pStyle w:val="a3"/>
        <w:widowControl/>
        <w:spacing w:before="120" w:beforeAutospacing="0" w:after="120" w:afterAutospacing="0"/>
        <w:ind w:firstLine="420"/>
        <w:jc w:val="both"/>
        <w:rPr>
          <w:szCs w:val="24"/>
        </w:rPr>
      </w:pPr>
      <w:r>
        <w:rPr>
          <w:sz w:val="21"/>
          <w:szCs w:val="21"/>
        </w:rPr>
        <w:t>公司具备与业务经营有关的业务体系，合法拥有与业务经营相关的土地、房屋、设备以及商标、专利、计算机软件著作权的所有权或者使用权，具有独立的采购和销售系统，不存在依赖股东的资产进行生产经营的情况，不存在控股股东、实际控制人或其他关联方违规控制或占用公司资金、资产和其他资源的情形。</w:t>
      </w:r>
    </w:p>
    <w:p w:rsidR="00E20B54" w:rsidRDefault="00733C9E">
      <w:pPr>
        <w:pStyle w:val="a3"/>
        <w:widowControl/>
        <w:spacing w:before="120" w:beforeAutospacing="0" w:after="120" w:afterAutospacing="0"/>
        <w:ind w:firstLine="420"/>
        <w:jc w:val="both"/>
        <w:rPr>
          <w:b/>
          <w:bCs/>
          <w:sz w:val="21"/>
          <w:szCs w:val="21"/>
        </w:rPr>
      </w:pPr>
      <w:r>
        <w:rPr>
          <w:b/>
          <w:bCs/>
          <w:sz w:val="21"/>
          <w:szCs w:val="21"/>
        </w:rPr>
        <w:t>（二）人员独立</w:t>
      </w:r>
    </w:p>
    <w:p w:rsidR="00E20B54" w:rsidRDefault="00733C9E">
      <w:pPr>
        <w:pStyle w:val="a3"/>
        <w:widowControl/>
        <w:spacing w:before="120" w:beforeAutospacing="0" w:after="120" w:afterAutospacing="0"/>
        <w:ind w:firstLine="420"/>
        <w:jc w:val="both"/>
        <w:rPr>
          <w:szCs w:val="24"/>
        </w:rPr>
      </w:pPr>
      <w:r>
        <w:rPr>
          <w:sz w:val="21"/>
          <w:szCs w:val="21"/>
        </w:rPr>
        <w:t>公司总经理、副总经理、财务总监（财务负责人）和董事会秘书等高级管理人员不在控股股东、实际控制人及其控制的其他企业中担任除董事、监事以外的其他职务，不在控股股东、实际控制人及其控制的其他企业领薪；公司的财务人员不在控股股东、实际控制人及其控制的其他企业中兼职。公司已建立并独立执行劳动、人事及薪酬管理制度，员工独立于实际控制人控制的其他企业。</w:t>
      </w:r>
    </w:p>
    <w:p w:rsidR="00E20B54" w:rsidRDefault="00733C9E">
      <w:pPr>
        <w:pStyle w:val="a3"/>
        <w:widowControl/>
        <w:spacing w:before="120" w:beforeAutospacing="0" w:after="120" w:afterAutospacing="0"/>
        <w:ind w:firstLine="420"/>
        <w:jc w:val="both"/>
        <w:rPr>
          <w:b/>
          <w:bCs/>
          <w:sz w:val="21"/>
          <w:szCs w:val="21"/>
        </w:rPr>
      </w:pPr>
      <w:r>
        <w:rPr>
          <w:b/>
          <w:bCs/>
          <w:sz w:val="21"/>
          <w:szCs w:val="21"/>
        </w:rPr>
        <w:t>（三）财务独立</w:t>
      </w:r>
    </w:p>
    <w:p w:rsidR="00E20B54" w:rsidRDefault="00733C9E">
      <w:pPr>
        <w:pStyle w:val="a3"/>
        <w:widowControl/>
        <w:spacing w:before="120" w:beforeAutospacing="0" w:after="120" w:afterAutospacing="0"/>
        <w:ind w:firstLine="420"/>
        <w:jc w:val="both"/>
        <w:rPr>
          <w:szCs w:val="24"/>
        </w:rPr>
      </w:pPr>
      <w:r>
        <w:rPr>
          <w:sz w:val="21"/>
          <w:szCs w:val="21"/>
        </w:rPr>
        <w:t>公司设立了独立的财务部门，已建立独立的财务核算体系，能够独立作出财务决策，具有规范的财务会计制度和对分公司、子公司的财务管理制度。公司未与控股股东、实际控制人及其控制的其他企业共用银行账户，不存在实际控制人干预公司资金运用及占用公司资金的情况。公司作为独立的纳税人，依法独立进行纳税申报和履行纳税义务。</w:t>
      </w:r>
    </w:p>
    <w:p w:rsidR="00E20B54" w:rsidRDefault="00733C9E">
      <w:pPr>
        <w:pStyle w:val="a3"/>
        <w:widowControl/>
        <w:spacing w:before="120" w:beforeAutospacing="0" w:after="120" w:afterAutospacing="0"/>
        <w:ind w:firstLine="420"/>
        <w:jc w:val="both"/>
        <w:rPr>
          <w:b/>
          <w:bCs/>
          <w:sz w:val="21"/>
          <w:szCs w:val="21"/>
        </w:rPr>
      </w:pPr>
      <w:r>
        <w:rPr>
          <w:b/>
          <w:bCs/>
          <w:sz w:val="21"/>
          <w:szCs w:val="21"/>
        </w:rPr>
        <w:lastRenderedPageBreak/>
        <w:t>（四）机构独立</w:t>
      </w:r>
    </w:p>
    <w:p w:rsidR="00E20B54" w:rsidRDefault="00733C9E">
      <w:pPr>
        <w:pStyle w:val="a3"/>
        <w:widowControl/>
        <w:spacing w:before="120" w:beforeAutospacing="0" w:after="120" w:afterAutospacing="0"/>
        <w:ind w:firstLine="420"/>
        <w:jc w:val="both"/>
        <w:rPr>
          <w:szCs w:val="24"/>
        </w:rPr>
      </w:pPr>
      <w:r>
        <w:rPr>
          <w:sz w:val="21"/>
          <w:szCs w:val="21"/>
        </w:rPr>
        <w:t>公司依照《公司法》及《公司章程》设置了股东会、董事会等决策及监督管理机构并制定了相应的议事规则，建立健全了符合自身经营特点的内部经营管理机构，独立行使经营管理职权，与控股股东和实际控制人及其控制的其他企业间不存在机构混同的情形。</w:t>
      </w:r>
    </w:p>
    <w:p w:rsidR="00E20B54" w:rsidRDefault="00733C9E">
      <w:pPr>
        <w:pStyle w:val="a3"/>
        <w:widowControl/>
        <w:spacing w:before="120" w:beforeAutospacing="0" w:after="120" w:afterAutospacing="0"/>
        <w:ind w:firstLine="420"/>
        <w:jc w:val="both"/>
        <w:rPr>
          <w:b/>
          <w:bCs/>
          <w:sz w:val="21"/>
          <w:szCs w:val="21"/>
        </w:rPr>
      </w:pPr>
      <w:r>
        <w:rPr>
          <w:b/>
          <w:bCs/>
          <w:sz w:val="21"/>
          <w:szCs w:val="21"/>
        </w:rPr>
        <w:t>（五）业务独立</w:t>
      </w:r>
    </w:p>
    <w:p w:rsidR="00E20B54" w:rsidRDefault="00733C9E">
      <w:pPr>
        <w:pStyle w:val="a3"/>
        <w:widowControl/>
        <w:spacing w:before="120" w:beforeAutospacing="0" w:after="120" w:afterAutospacing="0"/>
        <w:ind w:firstLine="420"/>
        <w:jc w:val="both"/>
        <w:rPr>
          <w:szCs w:val="24"/>
        </w:rPr>
      </w:pPr>
      <w:r>
        <w:rPr>
          <w:sz w:val="21"/>
          <w:szCs w:val="21"/>
        </w:rPr>
        <w:t>公司已形成了完整的研发、采购、销售体系，具备独立面向市场自主经营的能力。公司业务独立于控股股东、实际控制人及其控制的其他企业，与控股股东、实际控制人及其控制的其他企业间不存在对公司构成重大不利影响的同业竞争，以及严重影响独立性或者显失公平的关联交易。</w:t>
      </w:r>
    </w:p>
    <w:p w:rsidR="00E20B54" w:rsidRDefault="00733C9E">
      <w:pPr>
        <w:pStyle w:val="a3"/>
        <w:widowControl/>
        <w:spacing w:before="120" w:beforeAutospacing="0" w:after="120" w:afterAutospacing="0"/>
        <w:ind w:firstLine="420"/>
        <w:jc w:val="both"/>
        <w:rPr>
          <w:b/>
          <w:bCs/>
          <w:sz w:val="21"/>
          <w:szCs w:val="21"/>
        </w:rPr>
      </w:pPr>
      <w:r>
        <w:rPr>
          <w:b/>
          <w:bCs/>
          <w:sz w:val="21"/>
          <w:szCs w:val="21"/>
        </w:rPr>
        <w:t>（六）公司主营业务、控制权、管理团队稳定性</w:t>
      </w:r>
    </w:p>
    <w:p w:rsidR="00E20B54" w:rsidRDefault="00733C9E">
      <w:pPr>
        <w:pStyle w:val="a3"/>
        <w:widowControl/>
        <w:spacing w:before="120" w:beforeAutospacing="0" w:after="120" w:afterAutospacing="0"/>
        <w:ind w:firstLine="420"/>
        <w:jc w:val="both"/>
        <w:rPr>
          <w:szCs w:val="24"/>
        </w:rPr>
      </w:pPr>
      <w:r>
        <w:rPr>
          <w:sz w:val="21"/>
          <w:szCs w:val="21"/>
        </w:rPr>
        <w:t>公司主营业务、控制权、管理团队稳定。报告期内，主营业务、董事、高级管理人员均没有发生重大不利变化；控股股东所持股份权属清晰，实际控制人没有发生变更，不存在导致控制权可能变更的重大权属纠纷。</w:t>
      </w:r>
    </w:p>
    <w:p w:rsidR="00E20B54" w:rsidRDefault="00733C9E">
      <w:pPr>
        <w:pStyle w:val="a3"/>
        <w:widowControl/>
        <w:spacing w:before="120" w:beforeAutospacing="0" w:after="120" w:afterAutospacing="0"/>
        <w:ind w:firstLine="420"/>
        <w:jc w:val="both"/>
        <w:rPr>
          <w:b/>
          <w:bCs/>
          <w:sz w:val="21"/>
          <w:szCs w:val="21"/>
        </w:rPr>
      </w:pPr>
      <w:r>
        <w:rPr>
          <w:b/>
          <w:bCs/>
          <w:sz w:val="21"/>
          <w:szCs w:val="21"/>
        </w:rPr>
        <w:t>（七）公司不存在对持续经营有重大影响的事项</w:t>
      </w:r>
    </w:p>
    <w:p w:rsidR="00E20B54" w:rsidRDefault="00733C9E">
      <w:pPr>
        <w:pStyle w:val="a3"/>
        <w:widowControl/>
        <w:spacing w:before="120" w:beforeAutospacing="0" w:after="120" w:afterAutospacing="0"/>
        <w:ind w:firstLine="420"/>
        <w:jc w:val="both"/>
        <w:rPr>
          <w:szCs w:val="24"/>
        </w:rPr>
      </w:pPr>
      <w:r>
        <w:rPr>
          <w:sz w:val="21"/>
          <w:szCs w:val="21"/>
        </w:rPr>
        <w:t>公司不存在主要资产、核心技术、商标的重大权属纠纷，不存在重大偿债风险，不存在重大担保、诉讼、仲裁等或有事项，不存在经营环境已经或将要发生的重大变化等对持续经营有重大影响的事项。</w:t>
      </w:r>
    </w:p>
    <w:p w:rsidR="00E20B54" w:rsidRDefault="00733C9E">
      <w:pPr>
        <w:pStyle w:val="2"/>
        <w:spacing w:before="300" w:after="300" w:line="320" w:lineRule="exact"/>
        <w:rPr>
          <w:b/>
          <w:bCs/>
          <w:sz w:val="24"/>
          <w:szCs w:val="24"/>
        </w:rPr>
      </w:pPr>
      <w:bookmarkStart w:id="54" w:name="_Toc988943"/>
      <w:r>
        <w:rPr>
          <w:b/>
          <w:bCs/>
          <w:sz w:val="24"/>
          <w:szCs w:val="24"/>
        </w:rPr>
        <w:t>三、同业竞争情况</w:t>
      </w:r>
      <w:bookmarkEnd w:id="54"/>
    </w:p>
    <w:p w:rsidR="00E20B54" w:rsidRDefault="00733C9E">
      <w:pPr>
        <w:spacing w:before="100" w:after="100" w:line="240" w:lineRule="exact"/>
        <w:rPr>
          <w:sz w:val="18"/>
          <w:szCs w:val="18"/>
        </w:rPr>
      </w:pPr>
      <w:r>
        <w:rPr>
          <w:sz w:val="18"/>
          <w:szCs w:val="18"/>
        </w:rPr>
        <w:t>□</w:t>
      </w:r>
      <w:r>
        <w:rPr>
          <w:sz w:val="18"/>
          <w:szCs w:val="18"/>
        </w:rPr>
        <w:t>适用</w:t>
      </w:r>
      <w:r>
        <w:rPr>
          <w:sz w:val="18"/>
          <w:szCs w:val="18"/>
        </w:rPr>
        <w:t xml:space="preserve"> </w:t>
      </w:r>
      <w:r>
        <w:rPr>
          <w:sz w:val="18"/>
          <w:szCs w:val="18"/>
        </w:rPr>
        <w:sym w:font="Wingdings 2" w:char="F052"/>
      </w:r>
      <w:r>
        <w:rPr>
          <w:sz w:val="18"/>
          <w:szCs w:val="18"/>
        </w:rPr>
        <w:t>不适用</w:t>
      </w:r>
    </w:p>
    <w:p w:rsidR="00E20B54" w:rsidRDefault="00733C9E">
      <w:pPr>
        <w:pStyle w:val="2"/>
        <w:spacing w:before="300" w:after="300" w:line="320" w:lineRule="exact"/>
        <w:rPr>
          <w:b/>
          <w:bCs/>
          <w:sz w:val="24"/>
          <w:szCs w:val="24"/>
        </w:rPr>
      </w:pPr>
      <w:bookmarkStart w:id="55" w:name="_Toc988944"/>
      <w:r>
        <w:rPr>
          <w:b/>
          <w:bCs/>
          <w:sz w:val="24"/>
          <w:szCs w:val="24"/>
        </w:rPr>
        <w:t>四、公司具有表决权差异安排</w:t>
      </w:r>
      <w:bookmarkEnd w:id="55"/>
    </w:p>
    <w:p w:rsidR="00E20B54" w:rsidRDefault="00733C9E">
      <w:pPr>
        <w:spacing w:before="100" w:after="100" w:line="240" w:lineRule="exact"/>
        <w:rPr>
          <w:sz w:val="18"/>
          <w:szCs w:val="18"/>
        </w:rPr>
      </w:pPr>
      <w:r>
        <w:rPr>
          <w:sz w:val="18"/>
          <w:szCs w:val="18"/>
        </w:rPr>
        <w:t>□</w:t>
      </w:r>
      <w:r>
        <w:rPr>
          <w:sz w:val="18"/>
          <w:szCs w:val="18"/>
        </w:rPr>
        <w:t>适用</w:t>
      </w:r>
      <w:r>
        <w:rPr>
          <w:sz w:val="18"/>
          <w:szCs w:val="18"/>
        </w:rPr>
        <w:t xml:space="preserve"> </w:t>
      </w:r>
      <w:r>
        <w:rPr>
          <w:sz w:val="18"/>
          <w:szCs w:val="18"/>
        </w:rPr>
        <w:sym w:font="Wingdings 2" w:char="F052"/>
      </w:r>
      <w:r>
        <w:rPr>
          <w:sz w:val="18"/>
          <w:szCs w:val="18"/>
        </w:rPr>
        <w:t>不适用</w:t>
      </w:r>
    </w:p>
    <w:p w:rsidR="00E20B54" w:rsidRDefault="00733C9E">
      <w:pPr>
        <w:pStyle w:val="2"/>
        <w:spacing w:before="300" w:after="300" w:line="320" w:lineRule="exact"/>
        <w:rPr>
          <w:b/>
          <w:bCs/>
          <w:sz w:val="24"/>
          <w:szCs w:val="24"/>
        </w:rPr>
      </w:pPr>
      <w:bookmarkStart w:id="56" w:name="_Toc988945"/>
      <w:r>
        <w:rPr>
          <w:b/>
          <w:bCs/>
          <w:sz w:val="24"/>
          <w:szCs w:val="24"/>
        </w:rPr>
        <w:t>五、红筹架构公司治理情况</w:t>
      </w:r>
      <w:bookmarkEnd w:id="56"/>
    </w:p>
    <w:p w:rsidR="00E20B54" w:rsidRDefault="00733C9E">
      <w:pPr>
        <w:spacing w:before="100" w:after="100" w:line="240" w:lineRule="exact"/>
        <w:rPr>
          <w:sz w:val="18"/>
          <w:szCs w:val="18"/>
        </w:rPr>
      </w:pPr>
      <w:r>
        <w:rPr>
          <w:sz w:val="18"/>
          <w:szCs w:val="18"/>
        </w:rPr>
        <w:t>□</w:t>
      </w:r>
      <w:r>
        <w:rPr>
          <w:sz w:val="18"/>
          <w:szCs w:val="18"/>
        </w:rPr>
        <w:t>适用</w:t>
      </w:r>
      <w:r>
        <w:rPr>
          <w:sz w:val="18"/>
          <w:szCs w:val="18"/>
        </w:rPr>
        <w:t xml:space="preserve"> </w:t>
      </w:r>
      <w:r>
        <w:rPr>
          <w:sz w:val="18"/>
          <w:szCs w:val="18"/>
        </w:rPr>
        <w:sym w:font="Wingdings 2" w:char="F052"/>
      </w:r>
      <w:r>
        <w:rPr>
          <w:sz w:val="18"/>
          <w:szCs w:val="18"/>
        </w:rPr>
        <w:t>不适用</w:t>
      </w:r>
    </w:p>
    <w:p w:rsidR="00E20B54" w:rsidRDefault="00733C9E">
      <w:pPr>
        <w:pStyle w:val="2"/>
        <w:spacing w:before="300" w:after="300" w:line="320" w:lineRule="exact"/>
        <w:rPr>
          <w:b/>
          <w:bCs/>
          <w:sz w:val="24"/>
          <w:szCs w:val="24"/>
        </w:rPr>
      </w:pPr>
      <w:bookmarkStart w:id="57" w:name="_Toc988946"/>
      <w:r>
        <w:rPr>
          <w:b/>
          <w:bCs/>
          <w:sz w:val="24"/>
          <w:szCs w:val="24"/>
        </w:rPr>
        <w:t>六、董事和高级管理人员情况</w:t>
      </w:r>
      <w:bookmarkEnd w:id="57"/>
    </w:p>
    <w:p w:rsidR="00E20B54" w:rsidRDefault="00733C9E">
      <w:pPr>
        <w:pStyle w:val="3"/>
        <w:spacing w:line="280" w:lineRule="exact"/>
        <w:jc w:val="left"/>
        <w:rPr>
          <w:b/>
          <w:bCs/>
        </w:rPr>
      </w:pPr>
      <w:bookmarkStart w:id="58" w:name="_Toc988947"/>
      <w:r>
        <w:rPr>
          <w:b/>
          <w:bCs/>
        </w:rPr>
        <w:t>1</w:t>
      </w:r>
      <w:r>
        <w:rPr>
          <w:b/>
          <w:bCs/>
        </w:rPr>
        <w:t>、基本情况</w:t>
      </w:r>
      <w:bookmarkEnd w:id="58"/>
    </w:p>
    <w:tbl>
      <w:tblPr>
        <w:tblW w:w="5000" w:type="pct"/>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428"/>
        <w:gridCol w:w="412"/>
        <w:gridCol w:w="412"/>
        <w:gridCol w:w="461"/>
        <w:gridCol w:w="445"/>
        <w:gridCol w:w="678"/>
        <w:gridCol w:w="678"/>
        <w:gridCol w:w="1086"/>
        <w:gridCol w:w="891"/>
        <w:gridCol w:w="891"/>
        <w:gridCol w:w="899"/>
        <w:gridCol w:w="1086"/>
        <w:gridCol w:w="1486"/>
      </w:tblGrid>
      <w:tr w:rsidR="00E20B54">
        <w:trPr>
          <w:trHeight w:val="240"/>
          <w:tblHeader/>
        </w:trPr>
        <w:tc>
          <w:tcPr>
            <w:tcW w:w="217" w:type="pc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姓名</w:t>
            </w:r>
          </w:p>
        </w:tc>
        <w:tc>
          <w:tcPr>
            <w:tcW w:w="209" w:type="pc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性别</w:t>
            </w:r>
          </w:p>
        </w:tc>
        <w:tc>
          <w:tcPr>
            <w:tcW w:w="209" w:type="pc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年龄</w:t>
            </w:r>
          </w:p>
        </w:tc>
        <w:tc>
          <w:tcPr>
            <w:tcW w:w="234" w:type="pc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职务</w:t>
            </w:r>
          </w:p>
        </w:tc>
        <w:tc>
          <w:tcPr>
            <w:tcW w:w="226" w:type="pc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任职状态</w:t>
            </w:r>
          </w:p>
        </w:tc>
        <w:tc>
          <w:tcPr>
            <w:tcW w:w="344" w:type="pc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任期起始日期</w:t>
            </w:r>
          </w:p>
        </w:tc>
        <w:tc>
          <w:tcPr>
            <w:tcW w:w="344" w:type="pc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任期终止日期</w:t>
            </w:r>
          </w:p>
        </w:tc>
        <w:tc>
          <w:tcPr>
            <w:tcW w:w="550" w:type="pc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期初持股数（股）</w:t>
            </w:r>
          </w:p>
        </w:tc>
        <w:tc>
          <w:tcPr>
            <w:tcW w:w="451" w:type="pc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本期增持股份数量（股）</w:t>
            </w:r>
          </w:p>
        </w:tc>
        <w:tc>
          <w:tcPr>
            <w:tcW w:w="451" w:type="pc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本期减持股份数量（股）</w:t>
            </w:r>
          </w:p>
        </w:tc>
        <w:tc>
          <w:tcPr>
            <w:tcW w:w="455" w:type="pc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其他增减变动（股）</w:t>
            </w:r>
          </w:p>
        </w:tc>
        <w:tc>
          <w:tcPr>
            <w:tcW w:w="550" w:type="pc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期末持股数（股）</w:t>
            </w:r>
          </w:p>
        </w:tc>
        <w:tc>
          <w:tcPr>
            <w:tcW w:w="753" w:type="pc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股份增减变动的原因</w:t>
            </w:r>
          </w:p>
        </w:tc>
      </w:tr>
      <w:tr w:rsidR="00E20B54">
        <w:trPr>
          <w:trHeight w:val="240"/>
        </w:trPr>
        <w:tc>
          <w:tcPr>
            <w:tcW w:w="217"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林明玲</w:t>
            </w:r>
          </w:p>
        </w:tc>
        <w:tc>
          <w:tcPr>
            <w:tcW w:w="209"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女</w:t>
            </w:r>
          </w:p>
        </w:tc>
        <w:tc>
          <w:tcPr>
            <w:tcW w:w="209"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55</w:t>
            </w:r>
          </w:p>
        </w:tc>
        <w:tc>
          <w:tcPr>
            <w:tcW w:w="234"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董事长</w:t>
            </w:r>
          </w:p>
        </w:tc>
        <w:tc>
          <w:tcPr>
            <w:tcW w:w="226"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现任</w:t>
            </w:r>
          </w:p>
        </w:tc>
        <w:tc>
          <w:tcPr>
            <w:tcW w:w="344"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2015</w:t>
            </w:r>
            <w:r>
              <w:rPr>
                <w:sz w:val="18"/>
                <w:szCs w:val="18"/>
              </w:rPr>
              <w:t>年</w:t>
            </w:r>
            <w:r>
              <w:rPr>
                <w:sz w:val="18"/>
                <w:szCs w:val="18"/>
              </w:rPr>
              <w:t>03</w:t>
            </w:r>
            <w:r>
              <w:rPr>
                <w:sz w:val="18"/>
                <w:szCs w:val="18"/>
              </w:rPr>
              <w:t>月</w:t>
            </w:r>
            <w:r>
              <w:rPr>
                <w:sz w:val="18"/>
                <w:szCs w:val="18"/>
              </w:rPr>
              <w:t>03</w:t>
            </w:r>
            <w:r>
              <w:rPr>
                <w:sz w:val="18"/>
                <w:szCs w:val="18"/>
              </w:rPr>
              <w:t>日</w:t>
            </w:r>
          </w:p>
        </w:tc>
        <w:tc>
          <w:tcPr>
            <w:tcW w:w="344"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2028</w:t>
            </w:r>
            <w:r>
              <w:rPr>
                <w:sz w:val="18"/>
                <w:szCs w:val="18"/>
              </w:rPr>
              <w:t>年</w:t>
            </w:r>
            <w:r>
              <w:rPr>
                <w:sz w:val="18"/>
                <w:szCs w:val="18"/>
              </w:rPr>
              <w:t>09</w:t>
            </w:r>
            <w:r>
              <w:rPr>
                <w:sz w:val="18"/>
                <w:szCs w:val="18"/>
              </w:rPr>
              <w:t>月</w:t>
            </w:r>
            <w:r>
              <w:rPr>
                <w:sz w:val="18"/>
                <w:szCs w:val="18"/>
              </w:rPr>
              <w:t>15</w:t>
            </w:r>
            <w:r>
              <w:rPr>
                <w:sz w:val="18"/>
                <w:szCs w:val="18"/>
              </w:rPr>
              <w:t>日</w:t>
            </w:r>
          </w:p>
        </w:tc>
        <w:tc>
          <w:tcPr>
            <w:tcW w:w="550"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19,327,824</w:t>
            </w:r>
          </w:p>
        </w:tc>
        <w:tc>
          <w:tcPr>
            <w:tcW w:w="451"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51"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55"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-128,000</w:t>
            </w:r>
          </w:p>
        </w:tc>
        <w:tc>
          <w:tcPr>
            <w:tcW w:w="550"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19,199,824</w:t>
            </w:r>
          </w:p>
        </w:tc>
        <w:tc>
          <w:tcPr>
            <w:tcW w:w="753"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2023</w:t>
            </w:r>
            <w:r>
              <w:rPr>
                <w:sz w:val="18"/>
                <w:szCs w:val="18"/>
              </w:rPr>
              <w:t>年限制性股票激励计划第一类限制性股票第二期解锁条件未达成，公司回购并注销</w:t>
            </w:r>
            <w:r>
              <w:rPr>
                <w:sz w:val="18"/>
                <w:szCs w:val="18"/>
              </w:rPr>
              <w:t>128,000</w:t>
            </w:r>
            <w:r>
              <w:rPr>
                <w:sz w:val="18"/>
                <w:szCs w:val="18"/>
              </w:rPr>
              <w:t>股。</w:t>
            </w:r>
          </w:p>
        </w:tc>
      </w:tr>
      <w:tr w:rsidR="00E20B54">
        <w:trPr>
          <w:trHeight w:val="240"/>
        </w:trPr>
        <w:tc>
          <w:tcPr>
            <w:tcW w:w="217" w:type="pct"/>
            <w:vMerge w:val="restar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马学沛</w:t>
            </w:r>
          </w:p>
        </w:tc>
        <w:tc>
          <w:tcPr>
            <w:tcW w:w="209" w:type="pct"/>
            <w:vMerge w:val="restar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男</w:t>
            </w:r>
          </w:p>
        </w:tc>
        <w:tc>
          <w:tcPr>
            <w:tcW w:w="209" w:type="pct"/>
            <w:vMerge w:val="restar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54</w:t>
            </w:r>
          </w:p>
        </w:tc>
        <w:tc>
          <w:tcPr>
            <w:tcW w:w="234"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副董事</w:t>
            </w:r>
            <w:r>
              <w:rPr>
                <w:sz w:val="18"/>
                <w:szCs w:val="18"/>
              </w:rPr>
              <w:lastRenderedPageBreak/>
              <w:t>长</w:t>
            </w:r>
          </w:p>
        </w:tc>
        <w:tc>
          <w:tcPr>
            <w:tcW w:w="226"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lastRenderedPageBreak/>
              <w:t>现任</w:t>
            </w:r>
          </w:p>
        </w:tc>
        <w:tc>
          <w:tcPr>
            <w:tcW w:w="344"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2015</w:t>
            </w:r>
            <w:r>
              <w:rPr>
                <w:sz w:val="18"/>
                <w:szCs w:val="18"/>
              </w:rPr>
              <w:t>年</w:t>
            </w:r>
            <w:r>
              <w:rPr>
                <w:sz w:val="18"/>
                <w:szCs w:val="18"/>
              </w:rPr>
              <w:t>03</w:t>
            </w:r>
            <w:r>
              <w:rPr>
                <w:sz w:val="18"/>
                <w:szCs w:val="18"/>
              </w:rPr>
              <w:t>月</w:t>
            </w:r>
            <w:r>
              <w:rPr>
                <w:sz w:val="18"/>
                <w:szCs w:val="18"/>
              </w:rPr>
              <w:t>03</w:t>
            </w:r>
            <w:r>
              <w:rPr>
                <w:sz w:val="18"/>
                <w:szCs w:val="18"/>
              </w:rPr>
              <w:lastRenderedPageBreak/>
              <w:t>日</w:t>
            </w:r>
          </w:p>
        </w:tc>
        <w:tc>
          <w:tcPr>
            <w:tcW w:w="344"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lastRenderedPageBreak/>
              <w:t>2028</w:t>
            </w:r>
            <w:r>
              <w:rPr>
                <w:sz w:val="18"/>
                <w:szCs w:val="18"/>
              </w:rPr>
              <w:t>年</w:t>
            </w:r>
            <w:r>
              <w:rPr>
                <w:sz w:val="18"/>
                <w:szCs w:val="18"/>
              </w:rPr>
              <w:t>09</w:t>
            </w:r>
            <w:r>
              <w:rPr>
                <w:sz w:val="18"/>
                <w:szCs w:val="18"/>
              </w:rPr>
              <w:t>月</w:t>
            </w:r>
            <w:r>
              <w:rPr>
                <w:sz w:val="18"/>
                <w:szCs w:val="18"/>
              </w:rPr>
              <w:t>15</w:t>
            </w:r>
            <w:r>
              <w:rPr>
                <w:sz w:val="18"/>
                <w:szCs w:val="18"/>
              </w:rPr>
              <w:lastRenderedPageBreak/>
              <w:t>日</w:t>
            </w:r>
          </w:p>
        </w:tc>
        <w:tc>
          <w:tcPr>
            <w:tcW w:w="550" w:type="pct"/>
            <w:vMerge w:val="restar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lastRenderedPageBreak/>
              <w:t>4,182,120</w:t>
            </w:r>
          </w:p>
        </w:tc>
        <w:tc>
          <w:tcPr>
            <w:tcW w:w="451" w:type="pct"/>
            <w:vMerge w:val="restar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51" w:type="pct"/>
            <w:vMerge w:val="restar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55" w:type="pct"/>
            <w:vMerge w:val="restar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-128,000</w:t>
            </w:r>
          </w:p>
        </w:tc>
        <w:tc>
          <w:tcPr>
            <w:tcW w:w="550" w:type="pct"/>
            <w:vMerge w:val="restar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4,054,120</w:t>
            </w:r>
          </w:p>
        </w:tc>
        <w:tc>
          <w:tcPr>
            <w:tcW w:w="753" w:type="pct"/>
            <w:vMerge w:val="restar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2023</w:t>
            </w:r>
            <w:r>
              <w:rPr>
                <w:sz w:val="18"/>
                <w:szCs w:val="18"/>
              </w:rPr>
              <w:t>年限制性股票激励计划第一类限制性股票</w:t>
            </w:r>
            <w:r>
              <w:rPr>
                <w:sz w:val="18"/>
                <w:szCs w:val="18"/>
              </w:rPr>
              <w:lastRenderedPageBreak/>
              <w:t>第二期解锁条件未达成，公司回购并注销</w:t>
            </w:r>
            <w:r>
              <w:rPr>
                <w:sz w:val="18"/>
                <w:szCs w:val="18"/>
              </w:rPr>
              <w:t>128,000</w:t>
            </w:r>
            <w:r>
              <w:rPr>
                <w:sz w:val="18"/>
                <w:szCs w:val="18"/>
              </w:rPr>
              <w:t>股。</w:t>
            </w:r>
          </w:p>
        </w:tc>
      </w:tr>
      <w:tr w:rsidR="00E20B54">
        <w:trPr>
          <w:trHeight w:val="240"/>
        </w:trPr>
        <w:tc>
          <w:tcPr>
            <w:tcW w:w="217" w:type="pct"/>
            <w:vMerge/>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lastRenderedPageBreak/>
              <w:t>马学沛</w:t>
            </w:r>
          </w:p>
        </w:tc>
        <w:tc>
          <w:tcPr>
            <w:tcW w:w="209" w:type="pct"/>
            <w:vMerge/>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男</w:t>
            </w:r>
          </w:p>
        </w:tc>
        <w:tc>
          <w:tcPr>
            <w:tcW w:w="209" w:type="pct"/>
            <w:vMerge/>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54</w:t>
            </w:r>
          </w:p>
        </w:tc>
        <w:tc>
          <w:tcPr>
            <w:tcW w:w="234"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总经理</w:t>
            </w:r>
          </w:p>
        </w:tc>
        <w:tc>
          <w:tcPr>
            <w:tcW w:w="226"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现任</w:t>
            </w:r>
          </w:p>
        </w:tc>
        <w:tc>
          <w:tcPr>
            <w:tcW w:w="344"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2015</w:t>
            </w:r>
            <w:r>
              <w:rPr>
                <w:sz w:val="18"/>
                <w:szCs w:val="18"/>
              </w:rPr>
              <w:t>年</w:t>
            </w:r>
            <w:r>
              <w:rPr>
                <w:sz w:val="18"/>
                <w:szCs w:val="18"/>
              </w:rPr>
              <w:t>03</w:t>
            </w:r>
            <w:r>
              <w:rPr>
                <w:sz w:val="18"/>
                <w:szCs w:val="18"/>
              </w:rPr>
              <w:t>月</w:t>
            </w:r>
            <w:r>
              <w:rPr>
                <w:sz w:val="18"/>
                <w:szCs w:val="18"/>
              </w:rPr>
              <w:t>03</w:t>
            </w:r>
            <w:r>
              <w:rPr>
                <w:sz w:val="18"/>
                <w:szCs w:val="18"/>
              </w:rPr>
              <w:t>日</w:t>
            </w:r>
          </w:p>
        </w:tc>
        <w:tc>
          <w:tcPr>
            <w:tcW w:w="344"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2028</w:t>
            </w:r>
            <w:r>
              <w:rPr>
                <w:sz w:val="18"/>
                <w:szCs w:val="18"/>
              </w:rPr>
              <w:t>年</w:t>
            </w:r>
            <w:r>
              <w:rPr>
                <w:sz w:val="18"/>
                <w:szCs w:val="18"/>
              </w:rPr>
              <w:t>09</w:t>
            </w:r>
            <w:r>
              <w:rPr>
                <w:sz w:val="18"/>
                <w:szCs w:val="18"/>
              </w:rPr>
              <w:t>月</w:t>
            </w:r>
            <w:r>
              <w:rPr>
                <w:sz w:val="18"/>
                <w:szCs w:val="18"/>
              </w:rPr>
              <w:t>15</w:t>
            </w:r>
            <w:r>
              <w:rPr>
                <w:sz w:val="18"/>
                <w:szCs w:val="18"/>
              </w:rPr>
              <w:t>日</w:t>
            </w:r>
          </w:p>
        </w:tc>
        <w:tc>
          <w:tcPr>
            <w:tcW w:w="550" w:type="pct"/>
            <w:vMerge/>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4,182,120</w:t>
            </w:r>
          </w:p>
        </w:tc>
        <w:tc>
          <w:tcPr>
            <w:tcW w:w="451" w:type="pct"/>
            <w:vMerge/>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51" w:type="pct"/>
            <w:vMerge/>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55" w:type="pct"/>
            <w:vMerge/>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-128,000</w:t>
            </w:r>
          </w:p>
        </w:tc>
        <w:tc>
          <w:tcPr>
            <w:tcW w:w="550" w:type="pct"/>
            <w:vMerge/>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4,054,120</w:t>
            </w:r>
          </w:p>
        </w:tc>
        <w:tc>
          <w:tcPr>
            <w:tcW w:w="753" w:type="pct"/>
            <w:vMerge/>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2023</w:t>
            </w:r>
            <w:r>
              <w:rPr>
                <w:sz w:val="18"/>
                <w:szCs w:val="18"/>
              </w:rPr>
              <w:t>年限制性股票激励计划第一类限制性股票第二期解锁条件未达成，公司回购并注销</w:t>
            </w:r>
            <w:r>
              <w:rPr>
                <w:sz w:val="18"/>
                <w:szCs w:val="18"/>
              </w:rPr>
              <w:t>128,000</w:t>
            </w:r>
            <w:r>
              <w:rPr>
                <w:sz w:val="18"/>
                <w:szCs w:val="18"/>
              </w:rPr>
              <w:t>股。</w:t>
            </w:r>
          </w:p>
        </w:tc>
      </w:tr>
      <w:tr w:rsidR="00E20B54">
        <w:trPr>
          <w:trHeight w:val="240"/>
        </w:trPr>
        <w:tc>
          <w:tcPr>
            <w:tcW w:w="217"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马翊珽</w:t>
            </w:r>
          </w:p>
        </w:tc>
        <w:tc>
          <w:tcPr>
            <w:tcW w:w="209"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男</w:t>
            </w:r>
          </w:p>
        </w:tc>
        <w:tc>
          <w:tcPr>
            <w:tcW w:w="209"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28</w:t>
            </w:r>
          </w:p>
        </w:tc>
        <w:tc>
          <w:tcPr>
            <w:tcW w:w="234"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董事</w:t>
            </w:r>
          </w:p>
        </w:tc>
        <w:tc>
          <w:tcPr>
            <w:tcW w:w="226"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现任</w:t>
            </w:r>
          </w:p>
        </w:tc>
        <w:tc>
          <w:tcPr>
            <w:tcW w:w="344"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2025</w:t>
            </w:r>
            <w:r>
              <w:rPr>
                <w:sz w:val="18"/>
                <w:szCs w:val="18"/>
              </w:rPr>
              <w:t>年</w:t>
            </w:r>
            <w:r>
              <w:rPr>
                <w:sz w:val="18"/>
                <w:szCs w:val="18"/>
              </w:rPr>
              <w:t>09</w:t>
            </w:r>
            <w:r>
              <w:rPr>
                <w:sz w:val="18"/>
                <w:szCs w:val="18"/>
              </w:rPr>
              <w:t>月</w:t>
            </w:r>
            <w:r>
              <w:rPr>
                <w:sz w:val="18"/>
                <w:szCs w:val="18"/>
              </w:rPr>
              <w:t>15</w:t>
            </w:r>
            <w:r>
              <w:rPr>
                <w:sz w:val="18"/>
                <w:szCs w:val="18"/>
              </w:rPr>
              <w:t>日</w:t>
            </w:r>
          </w:p>
        </w:tc>
        <w:tc>
          <w:tcPr>
            <w:tcW w:w="344"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2028</w:t>
            </w:r>
            <w:r>
              <w:rPr>
                <w:sz w:val="18"/>
                <w:szCs w:val="18"/>
              </w:rPr>
              <w:t>年</w:t>
            </w:r>
            <w:r>
              <w:rPr>
                <w:sz w:val="18"/>
                <w:szCs w:val="18"/>
              </w:rPr>
              <w:t>09</w:t>
            </w:r>
            <w:r>
              <w:rPr>
                <w:sz w:val="18"/>
                <w:szCs w:val="18"/>
              </w:rPr>
              <w:t>月</w:t>
            </w:r>
            <w:r>
              <w:rPr>
                <w:sz w:val="18"/>
                <w:szCs w:val="18"/>
              </w:rPr>
              <w:t>15</w:t>
            </w:r>
            <w:r>
              <w:rPr>
                <w:sz w:val="18"/>
                <w:szCs w:val="18"/>
              </w:rPr>
              <w:t>日</w:t>
            </w:r>
          </w:p>
        </w:tc>
        <w:tc>
          <w:tcPr>
            <w:tcW w:w="550"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w:t>
            </w:r>
          </w:p>
        </w:tc>
        <w:tc>
          <w:tcPr>
            <w:tcW w:w="451"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51"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55"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550"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w:t>
            </w:r>
          </w:p>
        </w:tc>
        <w:tc>
          <w:tcPr>
            <w:tcW w:w="753"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rPr>
                <w:sz w:val="18"/>
                <w:szCs w:val="18"/>
              </w:rPr>
            </w:pPr>
          </w:p>
        </w:tc>
      </w:tr>
      <w:tr w:rsidR="00E20B54">
        <w:trPr>
          <w:trHeight w:val="240"/>
        </w:trPr>
        <w:tc>
          <w:tcPr>
            <w:tcW w:w="217"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刘楚境</w:t>
            </w:r>
          </w:p>
        </w:tc>
        <w:tc>
          <w:tcPr>
            <w:tcW w:w="209"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男</w:t>
            </w:r>
          </w:p>
        </w:tc>
        <w:tc>
          <w:tcPr>
            <w:tcW w:w="209"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48</w:t>
            </w:r>
          </w:p>
        </w:tc>
        <w:tc>
          <w:tcPr>
            <w:tcW w:w="234"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董事</w:t>
            </w:r>
          </w:p>
        </w:tc>
        <w:tc>
          <w:tcPr>
            <w:tcW w:w="226"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现任</w:t>
            </w:r>
          </w:p>
        </w:tc>
        <w:tc>
          <w:tcPr>
            <w:tcW w:w="344"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2025</w:t>
            </w:r>
            <w:r>
              <w:rPr>
                <w:sz w:val="18"/>
                <w:szCs w:val="18"/>
              </w:rPr>
              <w:t>年</w:t>
            </w:r>
            <w:r>
              <w:rPr>
                <w:sz w:val="18"/>
                <w:szCs w:val="18"/>
              </w:rPr>
              <w:t>09</w:t>
            </w:r>
            <w:r>
              <w:rPr>
                <w:sz w:val="18"/>
                <w:szCs w:val="18"/>
              </w:rPr>
              <w:t>月</w:t>
            </w:r>
            <w:r>
              <w:rPr>
                <w:sz w:val="18"/>
                <w:szCs w:val="18"/>
              </w:rPr>
              <w:t>15</w:t>
            </w:r>
            <w:r>
              <w:rPr>
                <w:sz w:val="18"/>
                <w:szCs w:val="18"/>
              </w:rPr>
              <w:t>日</w:t>
            </w:r>
          </w:p>
        </w:tc>
        <w:tc>
          <w:tcPr>
            <w:tcW w:w="344"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2028</w:t>
            </w:r>
            <w:r>
              <w:rPr>
                <w:sz w:val="18"/>
                <w:szCs w:val="18"/>
              </w:rPr>
              <w:t>年</w:t>
            </w:r>
            <w:r>
              <w:rPr>
                <w:sz w:val="18"/>
                <w:szCs w:val="18"/>
              </w:rPr>
              <w:t>09</w:t>
            </w:r>
            <w:r>
              <w:rPr>
                <w:sz w:val="18"/>
                <w:szCs w:val="18"/>
              </w:rPr>
              <w:t>月</w:t>
            </w:r>
            <w:r>
              <w:rPr>
                <w:sz w:val="18"/>
                <w:szCs w:val="18"/>
              </w:rPr>
              <w:t>15</w:t>
            </w:r>
            <w:r>
              <w:rPr>
                <w:sz w:val="18"/>
                <w:szCs w:val="18"/>
              </w:rPr>
              <w:t>日</w:t>
            </w:r>
          </w:p>
        </w:tc>
        <w:tc>
          <w:tcPr>
            <w:tcW w:w="550"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w:t>
            </w:r>
          </w:p>
        </w:tc>
        <w:tc>
          <w:tcPr>
            <w:tcW w:w="451"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51"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55"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550"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w:t>
            </w:r>
          </w:p>
        </w:tc>
        <w:tc>
          <w:tcPr>
            <w:tcW w:w="753"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rPr>
                <w:sz w:val="18"/>
                <w:szCs w:val="18"/>
              </w:rPr>
            </w:pPr>
          </w:p>
        </w:tc>
      </w:tr>
      <w:tr w:rsidR="00E20B54">
        <w:trPr>
          <w:trHeight w:val="240"/>
        </w:trPr>
        <w:tc>
          <w:tcPr>
            <w:tcW w:w="217"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郭树荣</w:t>
            </w:r>
          </w:p>
        </w:tc>
        <w:tc>
          <w:tcPr>
            <w:tcW w:w="209"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男</w:t>
            </w:r>
          </w:p>
        </w:tc>
        <w:tc>
          <w:tcPr>
            <w:tcW w:w="209"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51</w:t>
            </w:r>
          </w:p>
        </w:tc>
        <w:tc>
          <w:tcPr>
            <w:tcW w:w="234"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董事</w:t>
            </w:r>
          </w:p>
        </w:tc>
        <w:tc>
          <w:tcPr>
            <w:tcW w:w="226"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现任</w:t>
            </w:r>
          </w:p>
        </w:tc>
        <w:tc>
          <w:tcPr>
            <w:tcW w:w="344"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2025</w:t>
            </w:r>
            <w:r>
              <w:rPr>
                <w:sz w:val="18"/>
                <w:szCs w:val="18"/>
              </w:rPr>
              <w:t>年</w:t>
            </w:r>
            <w:r>
              <w:rPr>
                <w:sz w:val="18"/>
                <w:szCs w:val="18"/>
              </w:rPr>
              <w:t>09</w:t>
            </w:r>
            <w:r>
              <w:rPr>
                <w:sz w:val="18"/>
                <w:szCs w:val="18"/>
              </w:rPr>
              <w:t>月</w:t>
            </w:r>
            <w:r>
              <w:rPr>
                <w:sz w:val="18"/>
                <w:szCs w:val="18"/>
              </w:rPr>
              <w:t>15</w:t>
            </w:r>
            <w:r>
              <w:rPr>
                <w:sz w:val="18"/>
                <w:szCs w:val="18"/>
              </w:rPr>
              <w:t>日</w:t>
            </w:r>
          </w:p>
        </w:tc>
        <w:tc>
          <w:tcPr>
            <w:tcW w:w="344"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2028</w:t>
            </w:r>
            <w:r>
              <w:rPr>
                <w:sz w:val="18"/>
                <w:szCs w:val="18"/>
              </w:rPr>
              <w:t>年</w:t>
            </w:r>
            <w:r>
              <w:rPr>
                <w:sz w:val="18"/>
                <w:szCs w:val="18"/>
              </w:rPr>
              <w:t>09</w:t>
            </w:r>
            <w:r>
              <w:rPr>
                <w:sz w:val="18"/>
                <w:szCs w:val="18"/>
              </w:rPr>
              <w:t>月</w:t>
            </w:r>
            <w:r>
              <w:rPr>
                <w:sz w:val="18"/>
                <w:szCs w:val="18"/>
              </w:rPr>
              <w:t>15</w:t>
            </w:r>
            <w:r>
              <w:rPr>
                <w:sz w:val="18"/>
                <w:szCs w:val="18"/>
              </w:rPr>
              <w:t>日</w:t>
            </w:r>
          </w:p>
        </w:tc>
        <w:tc>
          <w:tcPr>
            <w:tcW w:w="550"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w:t>
            </w:r>
          </w:p>
        </w:tc>
        <w:tc>
          <w:tcPr>
            <w:tcW w:w="451"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51"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55"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550"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w:t>
            </w:r>
          </w:p>
        </w:tc>
        <w:tc>
          <w:tcPr>
            <w:tcW w:w="753"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rPr>
                <w:sz w:val="18"/>
                <w:szCs w:val="18"/>
              </w:rPr>
            </w:pPr>
          </w:p>
        </w:tc>
      </w:tr>
      <w:tr w:rsidR="00E20B54">
        <w:trPr>
          <w:trHeight w:val="240"/>
        </w:trPr>
        <w:tc>
          <w:tcPr>
            <w:tcW w:w="217"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曹丽梅</w:t>
            </w:r>
          </w:p>
        </w:tc>
        <w:tc>
          <w:tcPr>
            <w:tcW w:w="209"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女</w:t>
            </w:r>
          </w:p>
        </w:tc>
        <w:tc>
          <w:tcPr>
            <w:tcW w:w="209"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48</w:t>
            </w:r>
          </w:p>
        </w:tc>
        <w:tc>
          <w:tcPr>
            <w:tcW w:w="234"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独立董事</w:t>
            </w:r>
          </w:p>
        </w:tc>
        <w:tc>
          <w:tcPr>
            <w:tcW w:w="226"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现任</w:t>
            </w:r>
          </w:p>
        </w:tc>
        <w:tc>
          <w:tcPr>
            <w:tcW w:w="344"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2022</w:t>
            </w:r>
            <w:r>
              <w:rPr>
                <w:sz w:val="18"/>
                <w:szCs w:val="18"/>
              </w:rPr>
              <w:t>年</w:t>
            </w:r>
            <w:r>
              <w:rPr>
                <w:sz w:val="18"/>
                <w:szCs w:val="18"/>
              </w:rPr>
              <w:t>03</w:t>
            </w:r>
            <w:r>
              <w:rPr>
                <w:sz w:val="18"/>
                <w:szCs w:val="18"/>
              </w:rPr>
              <w:t>月</w:t>
            </w:r>
            <w:r>
              <w:rPr>
                <w:sz w:val="18"/>
                <w:szCs w:val="18"/>
              </w:rPr>
              <w:t>04</w:t>
            </w:r>
            <w:r>
              <w:rPr>
                <w:sz w:val="18"/>
                <w:szCs w:val="18"/>
              </w:rPr>
              <w:t>日</w:t>
            </w:r>
          </w:p>
        </w:tc>
        <w:tc>
          <w:tcPr>
            <w:tcW w:w="344"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2028</w:t>
            </w:r>
            <w:r>
              <w:rPr>
                <w:sz w:val="18"/>
                <w:szCs w:val="18"/>
              </w:rPr>
              <w:t>年</w:t>
            </w:r>
            <w:r>
              <w:rPr>
                <w:sz w:val="18"/>
                <w:szCs w:val="18"/>
              </w:rPr>
              <w:t>09</w:t>
            </w:r>
            <w:r>
              <w:rPr>
                <w:sz w:val="18"/>
                <w:szCs w:val="18"/>
              </w:rPr>
              <w:t>月</w:t>
            </w:r>
            <w:r>
              <w:rPr>
                <w:sz w:val="18"/>
                <w:szCs w:val="18"/>
              </w:rPr>
              <w:t>15</w:t>
            </w:r>
            <w:r>
              <w:rPr>
                <w:sz w:val="18"/>
                <w:szCs w:val="18"/>
              </w:rPr>
              <w:t>日</w:t>
            </w:r>
          </w:p>
        </w:tc>
        <w:tc>
          <w:tcPr>
            <w:tcW w:w="550"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w:t>
            </w:r>
          </w:p>
        </w:tc>
        <w:tc>
          <w:tcPr>
            <w:tcW w:w="451"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51"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55"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550"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w:t>
            </w:r>
          </w:p>
        </w:tc>
        <w:tc>
          <w:tcPr>
            <w:tcW w:w="753"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rPr>
                <w:sz w:val="18"/>
                <w:szCs w:val="18"/>
              </w:rPr>
            </w:pPr>
          </w:p>
        </w:tc>
      </w:tr>
      <w:tr w:rsidR="00E20B54">
        <w:trPr>
          <w:trHeight w:val="240"/>
        </w:trPr>
        <w:tc>
          <w:tcPr>
            <w:tcW w:w="217"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滕丽秋</w:t>
            </w:r>
          </w:p>
        </w:tc>
        <w:tc>
          <w:tcPr>
            <w:tcW w:w="209"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女</w:t>
            </w:r>
          </w:p>
        </w:tc>
        <w:tc>
          <w:tcPr>
            <w:tcW w:w="209"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52</w:t>
            </w:r>
          </w:p>
        </w:tc>
        <w:tc>
          <w:tcPr>
            <w:tcW w:w="234"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独立董事</w:t>
            </w:r>
          </w:p>
        </w:tc>
        <w:tc>
          <w:tcPr>
            <w:tcW w:w="226"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现任</w:t>
            </w:r>
          </w:p>
        </w:tc>
        <w:tc>
          <w:tcPr>
            <w:tcW w:w="344"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2025</w:t>
            </w:r>
            <w:r>
              <w:rPr>
                <w:sz w:val="18"/>
                <w:szCs w:val="18"/>
              </w:rPr>
              <w:t>年</w:t>
            </w:r>
            <w:r>
              <w:rPr>
                <w:sz w:val="18"/>
                <w:szCs w:val="18"/>
              </w:rPr>
              <w:t>09</w:t>
            </w:r>
            <w:r>
              <w:rPr>
                <w:sz w:val="18"/>
                <w:szCs w:val="18"/>
              </w:rPr>
              <w:t>月</w:t>
            </w:r>
            <w:r>
              <w:rPr>
                <w:sz w:val="18"/>
                <w:szCs w:val="18"/>
              </w:rPr>
              <w:t>15</w:t>
            </w:r>
            <w:r>
              <w:rPr>
                <w:sz w:val="18"/>
                <w:szCs w:val="18"/>
              </w:rPr>
              <w:t>日</w:t>
            </w:r>
          </w:p>
        </w:tc>
        <w:tc>
          <w:tcPr>
            <w:tcW w:w="344"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2028</w:t>
            </w:r>
            <w:r>
              <w:rPr>
                <w:sz w:val="18"/>
                <w:szCs w:val="18"/>
              </w:rPr>
              <w:t>年</w:t>
            </w:r>
            <w:r>
              <w:rPr>
                <w:sz w:val="18"/>
                <w:szCs w:val="18"/>
              </w:rPr>
              <w:t>09</w:t>
            </w:r>
            <w:r>
              <w:rPr>
                <w:sz w:val="18"/>
                <w:szCs w:val="18"/>
              </w:rPr>
              <w:t>月</w:t>
            </w:r>
            <w:r>
              <w:rPr>
                <w:sz w:val="18"/>
                <w:szCs w:val="18"/>
              </w:rPr>
              <w:t>15</w:t>
            </w:r>
            <w:r>
              <w:rPr>
                <w:sz w:val="18"/>
                <w:szCs w:val="18"/>
              </w:rPr>
              <w:t>日</w:t>
            </w:r>
          </w:p>
        </w:tc>
        <w:tc>
          <w:tcPr>
            <w:tcW w:w="550"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w:t>
            </w:r>
          </w:p>
        </w:tc>
        <w:tc>
          <w:tcPr>
            <w:tcW w:w="451"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51"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55"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550"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w:t>
            </w:r>
          </w:p>
        </w:tc>
        <w:tc>
          <w:tcPr>
            <w:tcW w:w="753"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rPr>
                <w:sz w:val="18"/>
                <w:szCs w:val="18"/>
              </w:rPr>
            </w:pPr>
          </w:p>
        </w:tc>
      </w:tr>
      <w:tr w:rsidR="00E20B54">
        <w:trPr>
          <w:trHeight w:val="240"/>
        </w:trPr>
        <w:tc>
          <w:tcPr>
            <w:tcW w:w="217"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石洁芝</w:t>
            </w:r>
          </w:p>
        </w:tc>
        <w:tc>
          <w:tcPr>
            <w:tcW w:w="209"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女</w:t>
            </w:r>
          </w:p>
        </w:tc>
        <w:tc>
          <w:tcPr>
            <w:tcW w:w="209"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53</w:t>
            </w:r>
          </w:p>
        </w:tc>
        <w:tc>
          <w:tcPr>
            <w:tcW w:w="234"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独立董事</w:t>
            </w:r>
          </w:p>
        </w:tc>
        <w:tc>
          <w:tcPr>
            <w:tcW w:w="226"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现任</w:t>
            </w:r>
          </w:p>
        </w:tc>
        <w:tc>
          <w:tcPr>
            <w:tcW w:w="344"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2022</w:t>
            </w:r>
            <w:r>
              <w:rPr>
                <w:sz w:val="18"/>
                <w:szCs w:val="18"/>
              </w:rPr>
              <w:t>年</w:t>
            </w:r>
            <w:r>
              <w:rPr>
                <w:sz w:val="18"/>
                <w:szCs w:val="18"/>
              </w:rPr>
              <w:t>03</w:t>
            </w:r>
            <w:r>
              <w:rPr>
                <w:sz w:val="18"/>
                <w:szCs w:val="18"/>
              </w:rPr>
              <w:t>月</w:t>
            </w:r>
            <w:r>
              <w:rPr>
                <w:sz w:val="18"/>
                <w:szCs w:val="18"/>
              </w:rPr>
              <w:t>04</w:t>
            </w:r>
            <w:r>
              <w:rPr>
                <w:sz w:val="18"/>
                <w:szCs w:val="18"/>
              </w:rPr>
              <w:t>日</w:t>
            </w:r>
          </w:p>
        </w:tc>
        <w:tc>
          <w:tcPr>
            <w:tcW w:w="344"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2028</w:t>
            </w:r>
            <w:r>
              <w:rPr>
                <w:sz w:val="18"/>
                <w:szCs w:val="18"/>
              </w:rPr>
              <w:t>年</w:t>
            </w:r>
            <w:r>
              <w:rPr>
                <w:sz w:val="18"/>
                <w:szCs w:val="18"/>
              </w:rPr>
              <w:t>09</w:t>
            </w:r>
            <w:r>
              <w:rPr>
                <w:sz w:val="18"/>
                <w:szCs w:val="18"/>
              </w:rPr>
              <w:t>月</w:t>
            </w:r>
            <w:r>
              <w:rPr>
                <w:sz w:val="18"/>
                <w:szCs w:val="18"/>
              </w:rPr>
              <w:t>15</w:t>
            </w:r>
            <w:r>
              <w:rPr>
                <w:sz w:val="18"/>
                <w:szCs w:val="18"/>
              </w:rPr>
              <w:t>日</w:t>
            </w:r>
          </w:p>
        </w:tc>
        <w:tc>
          <w:tcPr>
            <w:tcW w:w="550"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w:t>
            </w:r>
          </w:p>
        </w:tc>
        <w:tc>
          <w:tcPr>
            <w:tcW w:w="451"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51"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55"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550"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w:t>
            </w:r>
          </w:p>
        </w:tc>
        <w:tc>
          <w:tcPr>
            <w:tcW w:w="753"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rPr>
                <w:sz w:val="18"/>
                <w:szCs w:val="18"/>
              </w:rPr>
            </w:pPr>
          </w:p>
        </w:tc>
      </w:tr>
      <w:tr w:rsidR="00E20B54">
        <w:trPr>
          <w:trHeight w:val="240"/>
        </w:trPr>
        <w:tc>
          <w:tcPr>
            <w:tcW w:w="217" w:type="pct"/>
            <w:vMerge w:val="restar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曹维</w:t>
            </w:r>
          </w:p>
        </w:tc>
        <w:tc>
          <w:tcPr>
            <w:tcW w:w="209" w:type="pct"/>
            <w:vMerge w:val="restar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男</w:t>
            </w:r>
          </w:p>
        </w:tc>
        <w:tc>
          <w:tcPr>
            <w:tcW w:w="209" w:type="pct"/>
            <w:vMerge w:val="restar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39</w:t>
            </w:r>
          </w:p>
        </w:tc>
        <w:tc>
          <w:tcPr>
            <w:tcW w:w="234"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副总经理</w:t>
            </w:r>
          </w:p>
        </w:tc>
        <w:tc>
          <w:tcPr>
            <w:tcW w:w="226"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现任</w:t>
            </w:r>
          </w:p>
        </w:tc>
        <w:tc>
          <w:tcPr>
            <w:tcW w:w="344"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2025</w:t>
            </w:r>
            <w:r>
              <w:rPr>
                <w:sz w:val="18"/>
                <w:szCs w:val="18"/>
              </w:rPr>
              <w:t>年</w:t>
            </w:r>
            <w:r>
              <w:rPr>
                <w:sz w:val="18"/>
                <w:szCs w:val="18"/>
              </w:rPr>
              <w:t>09</w:t>
            </w:r>
            <w:r>
              <w:rPr>
                <w:sz w:val="18"/>
                <w:szCs w:val="18"/>
              </w:rPr>
              <w:t>月</w:t>
            </w:r>
            <w:r>
              <w:rPr>
                <w:sz w:val="18"/>
                <w:szCs w:val="18"/>
              </w:rPr>
              <w:t>15</w:t>
            </w:r>
            <w:r>
              <w:rPr>
                <w:sz w:val="18"/>
                <w:szCs w:val="18"/>
              </w:rPr>
              <w:t>日</w:t>
            </w:r>
          </w:p>
        </w:tc>
        <w:tc>
          <w:tcPr>
            <w:tcW w:w="344"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2028</w:t>
            </w:r>
            <w:r>
              <w:rPr>
                <w:sz w:val="18"/>
                <w:szCs w:val="18"/>
              </w:rPr>
              <w:t>年</w:t>
            </w:r>
            <w:r>
              <w:rPr>
                <w:sz w:val="18"/>
                <w:szCs w:val="18"/>
              </w:rPr>
              <w:t>09</w:t>
            </w:r>
            <w:r>
              <w:rPr>
                <w:sz w:val="18"/>
                <w:szCs w:val="18"/>
              </w:rPr>
              <w:t>月</w:t>
            </w:r>
            <w:r>
              <w:rPr>
                <w:sz w:val="18"/>
                <w:szCs w:val="18"/>
              </w:rPr>
              <w:t>15</w:t>
            </w:r>
            <w:r>
              <w:rPr>
                <w:sz w:val="18"/>
                <w:szCs w:val="18"/>
              </w:rPr>
              <w:t>日</w:t>
            </w:r>
          </w:p>
        </w:tc>
        <w:tc>
          <w:tcPr>
            <w:tcW w:w="550" w:type="pct"/>
            <w:vMerge w:val="restar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w:t>
            </w:r>
          </w:p>
        </w:tc>
        <w:tc>
          <w:tcPr>
            <w:tcW w:w="451" w:type="pct"/>
            <w:vMerge w:val="restar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51" w:type="pct"/>
            <w:vMerge w:val="restar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55" w:type="pct"/>
            <w:vMerge w:val="restar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550" w:type="pct"/>
            <w:vMerge w:val="restar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w:t>
            </w:r>
          </w:p>
        </w:tc>
        <w:tc>
          <w:tcPr>
            <w:tcW w:w="753" w:type="pct"/>
            <w:vMerge w:val="restar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rPr>
                <w:sz w:val="18"/>
                <w:szCs w:val="18"/>
              </w:rPr>
            </w:pPr>
          </w:p>
        </w:tc>
      </w:tr>
      <w:tr w:rsidR="00E20B54">
        <w:trPr>
          <w:trHeight w:val="240"/>
        </w:trPr>
        <w:tc>
          <w:tcPr>
            <w:tcW w:w="217" w:type="pct"/>
            <w:vMerge/>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曹维</w:t>
            </w:r>
          </w:p>
        </w:tc>
        <w:tc>
          <w:tcPr>
            <w:tcW w:w="209" w:type="pct"/>
            <w:vMerge/>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男</w:t>
            </w:r>
          </w:p>
        </w:tc>
        <w:tc>
          <w:tcPr>
            <w:tcW w:w="209" w:type="pct"/>
            <w:vMerge/>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39</w:t>
            </w:r>
          </w:p>
        </w:tc>
        <w:tc>
          <w:tcPr>
            <w:tcW w:w="234"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董事会秘书</w:t>
            </w:r>
          </w:p>
        </w:tc>
        <w:tc>
          <w:tcPr>
            <w:tcW w:w="226"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现任</w:t>
            </w:r>
          </w:p>
        </w:tc>
        <w:tc>
          <w:tcPr>
            <w:tcW w:w="344"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2025</w:t>
            </w:r>
            <w:r>
              <w:rPr>
                <w:sz w:val="18"/>
                <w:szCs w:val="18"/>
              </w:rPr>
              <w:t>年</w:t>
            </w:r>
            <w:r>
              <w:rPr>
                <w:sz w:val="18"/>
                <w:szCs w:val="18"/>
              </w:rPr>
              <w:t>01</w:t>
            </w:r>
            <w:r>
              <w:rPr>
                <w:sz w:val="18"/>
                <w:szCs w:val="18"/>
              </w:rPr>
              <w:t>月</w:t>
            </w:r>
            <w:r>
              <w:rPr>
                <w:sz w:val="18"/>
                <w:szCs w:val="18"/>
              </w:rPr>
              <w:t>16</w:t>
            </w:r>
            <w:r>
              <w:rPr>
                <w:sz w:val="18"/>
                <w:szCs w:val="18"/>
              </w:rPr>
              <w:t>日</w:t>
            </w:r>
          </w:p>
        </w:tc>
        <w:tc>
          <w:tcPr>
            <w:tcW w:w="344"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2028</w:t>
            </w:r>
            <w:r>
              <w:rPr>
                <w:sz w:val="18"/>
                <w:szCs w:val="18"/>
              </w:rPr>
              <w:t>年</w:t>
            </w:r>
            <w:r>
              <w:rPr>
                <w:sz w:val="18"/>
                <w:szCs w:val="18"/>
              </w:rPr>
              <w:t>09</w:t>
            </w:r>
            <w:r>
              <w:rPr>
                <w:sz w:val="18"/>
                <w:szCs w:val="18"/>
              </w:rPr>
              <w:t>月</w:t>
            </w:r>
            <w:r>
              <w:rPr>
                <w:sz w:val="18"/>
                <w:szCs w:val="18"/>
              </w:rPr>
              <w:t>15</w:t>
            </w:r>
            <w:r>
              <w:rPr>
                <w:sz w:val="18"/>
                <w:szCs w:val="18"/>
              </w:rPr>
              <w:t>日</w:t>
            </w:r>
          </w:p>
        </w:tc>
        <w:tc>
          <w:tcPr>
            <w:tcW w:w="550" w:type="pct"/>
            <w:vMerge/>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w:t>
            </w:r>
          </w:p>
        </w:tc>
        <w:tc>
          <w:tcPr>
            <w:tcW w:w="451" w:type="pct"/>
            <w:vMerge/>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51" w:type="pct"/>
            <w:vMerge/>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55" w:type="pct"/>
            <w:vMerge/>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550" w:type="pct"/>
            <w:vMerge/>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w:t>
            </w:r>
          </w:p>
        </w:tc>
        <w:tc>
          <w:tcPr>
            <w:tcW w:w="753" w:type="pct"/>
            <w:vMerge/>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rPr>
                <w:sz w:val="18"/>
                <w:szCs w:val="18"/>
              </w:rPr>
            </w:pPr>
          </w:p>
        </w:tc>
      </w:tr>
      <w:tr w:rsidR="00E20B54">
        <w:trPr>
          <w:trHeight w:val="240"/>
        </w:trPr>
        <w:tc>
          <w:tcPr>
            <w:tcW w:w="217"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林树生</w:t>
            </w:r>
          </w:p>
        </w:tc>
        <w:tc>
          <w:tcPr>
            <w:tcW w:w="209"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男</w:t>
            </w:r>
          </w:p>
        </w:tc>
        <w:tc>
          <w:tcPr>
            <w:tcW w:w="209"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38</w:t>
            </w:r>
          </w:p>
        </w:tc>
        <w:tc>
          <w:tcPr>
            <w:tcW w:w="234"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副总经理</w:t>
            </w:r>
          </w:p>
        </w:tc>
        <w:tc>
          <w:tcPr>
            <w:tcW w:w="226"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现任</w:t>
            </w:r>
          </w:p>
        </w:tc>
        <w:tc>
          <w:tcPr>
            <w:tcW w:w="344"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2025</w:t>
            </w:r>
            <w:r>
              <w:rPr>
                <w:sz w:val="18"/>
                <w:szCs w:val="18"/>
              </w:rPr>
              <w:t>年</w:t>
            </w:r>
            <w:r>
              <w:rPr>
                <w:sz w:val="18"/>
                <w:szCs w:val="18"/>
              </w:rPr>
              <w:t>09</w:t>
            </w:r>
            <w:r>
              <w:rPr>
                <w:sz w:val="18"/>
                <w:szCs w:val="18"/>
              </w:rPr>
              <w:t>月</w:t>
            </w:r>
            <w:r>
              <w:rPr>
                <w:sz w:val="18"/>
                <w:szCs w:val="18"/>
              </w:rPr>
              <w:t>15</w:t>
            </w:r>
            <w:r>
              <w:rPr>
                <w:sz w:val="18"/>
                <w:szCs w:val="18"/>
              </w:rPr>
              <w:t>日</w:t>
            </w:r>
          </w:p>
        </w:tc>
        <w:tc>
          <w:tcPr>
            <w:tcW w:w="344"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2028</w:t>
            </w:r>
            <w:r>
              <w:rPr>
                <w:sz w:val="18"/>
                <w:szCs w:val="18"/>
              </w:rPr>
              <w:t>年</w:t>
            </w:r>
            <w:r>
              <w:rPr>
                <w:sz w:val="18"/>
                <w:szCs w:val="18"/>
              </w:rPr>
              <w:t>09</w:t>
            </w:r>
            <w:r>
              <w:rPr>
                <w:sz w:val="18"/>
                <w:szCs w:val="18"/>
              </w:rPr>
              <w:t>月</w:t>
            </w:r>
            <w:r>
              <w:rPr>
                <w:sz w:val="18"/>
                <w:szCs w:val="18"/>
              </w:rPr>
              <w:t>15</w:t>
            </w:r>
            <w:r>
              <w:rPr>
                <w:sz w:val="18"/>
                <w:szCs w:val="18"/>
              </w:rPr>
              <w:t>日</w:t>
            </w:r>
          </w:p>
        </w:tc>
        <w:tc>
          <w:tcPr>
            <w:tcW w:w="550"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w:t>
            </w:r>
          </w:p>
        </w:tc>
        <w:tc>
          <w:tcPr>
            <w:tcW w:w="451"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51"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55"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550"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w:t>
            </w:r>
          </w:p>
        </w:tc>
        <w:tc>
          <w:tcPr>
            <w:tcW w:w="753"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rPr>
                <w:sz w:val="18"/>
                <w:szCs w:val="18"/>
              </w:rPr>
            </w:pPr>
          </w:p>
        </w:tc>
      </w:tr>
      <w:tr w:rsidR="00E20B54">
        <w:trPr>
          <w:trHeight w:val="240"/>
        </w:trPr>
        <w:tc>
          <w:tcPr>
            <w:tcW w:w="217"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陈焕盛</w:t>
            </w:r>
          </w:p>
        </w:tc>
        <w:tc>
          <w:tcPr>
            <w:tcW w:w="209"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男</w:t>
            </w:r>
          </w:p>
        </w:tc>
        <w:tc>
          <w:tcPr>
            <w:tcW w:w="209"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43</w:t>
            </w:r>
          </w:p>
        </w:tc>
        <w:tc>
          <w:tcPr>
            <w:tcW w:w="234"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财务负责人</w:t>
            </w:r>
          </w:p>
        </w:tc>
        <w:tc>
          <w:tcPr>
            <w:tcW w:w="226"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现任</w:t>
            </w:r>
          </w:p>
        </w:tc>
        <w:tc>
          <w:tcPr>
            <w:tcW w:w="344"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2022</w:t>
            </w:r>
            <w:r>
              <w:rPr>
                <w:sz w:val="18"/>
                <w:szCs w:val="18"/>
              </w:rPr>
              <w:t>年</w:t>
            </w:r>
            <w:r>
              <w:rPr>
                <w:sz w:val="18"/>
                <w:szCs w:val="18"/>
              </w:rPr>
              <w:t>10</w:t>
            </w:r>
            <w:r>
              <w:rPr>
                <w:sz w:val="18"/>
                <w:szCs w:val="18"/>
              </w:rPr>
              <w:t>月</w:t>
            </w:r>
            <w:r>
              <w:rPr>
                <w:sz w:val="18"/>
                <w:szCs w:val="18"/>
              </w:rPr>
              <w:t>27</w:t>
            </w:r>
            <w:r>
              <w:rPr>
                <w:sz w:val="18"/>
                <w:szCs w:val="18"/>
              </w:rPr>
              <w:t>日</w:t>
            </w:r>
          </w:p>
        </w:tc>
        <w:tc>
          <w:tcPr>
            <w:tcW w:w="344"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2028</w:t>
            </w:r>
            <w:r>
              <w:rPr>
                <w:sz w:val="18"/>
                <w:szCs w:val="18"/>
              </w:rPr>
              <w:t>年</w:t>
            </w:r>
            <w:r>
              <w:rPr>
                <w:sz w:val="18"/>
                <w:szCs w:val="18"/>
              </w:rPr>
              <w:t>09</w:t>
            </w:r>
            <w:r>
              <w:rPr>
                <w:sz w:val="18"/>
                <w:szCs w:val="18"/>
              </w:rPr>
              <w:t>月</w:t>
            </w:r>
            <w:r>
              <w:rPr>
                <w:sz w:val="18"/>
                <w:szCs w:val="18"/>
              </w:rPr>
              <w:t>15</w:t>
            </w:r>
            <w:r>
              <w:rPr>
                <w:sz w:val="18"/>
                <w:szCs w:val="18"/>
              </w:rPr>
              <w:t>日</w:t>
            </w:r>
          </w:p>
        </w:tc>
        <w:tc>
          <w:tcPr>
            <w:tcW w:w="550"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w:t>
            </w:r>
          </w:p>
        </w:tc>
        <w:tc>
          <w:tcPr>
            <w:tcW w:w="451"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51"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55"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550"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w:t>
            </w:r>
          </w:p>
        </w:tc>
        <w:tc>
          <w:tcPr>
            <w:tcW w:w="753"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rPr>
                <w:sz w:val="18"/>
                <w:szCs w:val="18"/>
              </w:rPr>
            </w:pPr>
          </w:p>
        </w:tc>
      </w:tr>
      <w:tr w:rsidR="00E20B54">
        <w:trPr>
          <w:trHeight w:val="240"/>
        </w:trPr>
        <w:tc>
          <w:tcPr>
            <w:tcW w:w="217"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张毅</w:t>
            </w:r>
          </w:p>
        </w:tc>
        <w:tc>
          <w:tcPr>
            <w:tcW w:w="209"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男</w:t>
            </w:r>
          </w:p>
        </w:tc>
        <w:tc>
          <w:tcPr>
            <w:tcW w:w="209"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55</w:t>
            </w:r>
          </w:p>
        </w:tc>
        <w:tc>
          <w:tcPr>
            <w:tcW w:w="234"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董事</w:t>
            </w:r>
          </w:p>
        </w:tc>
        <w:tc>
          <w:tcPr>
            <w:tcW w:w="226"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离任</w:t>
            </w:r>
          </w:p>
        </w:tc>
        <w:tc>
          <w:tcPr>
            <w:tcW w:w="344"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2022</w:t>
            </w:r>
            <w:r>
              <w:rPr>
                <w:sz w:val="18"/>
                <w:szCs w:val="18"/>
              </w:rPr>
              <w:t>年</w:t>
            </w:r>
            <w:r>
              <w:rPr>
                <w:sz w:val="18"/>
                <w:szCs w:val="18"/>
              </w:rPr>
              <w:t>03</w:t>
            </w:r>
            <w:r>
              <w:rPr>
                <w:sz w:val="18"/>
                <w:szCs w:val="18"/>
              </w:rPr>
              <w:t>月</w:t>
            </w:r>
            <w:r>
              <w:rPr>
                <w:sz w:val="18"/>
                <w:szCs w:val="18"/>
              </w:rPr>
              <w:t>04</w:t>
            </w:r>
            <w:r>
              <w:rPr>
                <w:sz w:val="18"/>
                <w:szCs w:val="18"/>
              </w:rPr>
              <w:t>日</w:t>
            </w:r>
          </w:p>
        </w:tc>
        <w:tc>
          <w:tcPr>
            <w:tcW w:w="344"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2025</w:t>
            </w:r>
            <w:r>
              <w:rPr>
                <w:sz w:val="18"/>
                <w:szCs w:val="18"/>
              </w:rPr>
              <w:t>年</w:t>
            </w:r>
            <w:r>
              <w:rPr>
                <w:sz w:val="18"/>
                <w:szCs w:val="18"/>
              </w:rPr>
              <w:t>09</w:t>
            </w:r>
            <w:r>
              <w:rPr>
                <w:sz w:val="18"/>
                <w:szCs w:val="18"/>
              </w:rPr>
              <w:t>月</w:t>
            </w:r>
            <w:r>
              <w:rPr>
                <w:sz w:val="18"/>
                <w:szCs w:val="18"/>
              </w:rPr>
              <w:t>15</w:t>
            </w:r>
            <w:r>
              <w:rPr>
                <w:sz w:val="18"/>
                <w:szCs w:val="18"/>
              </w:rPr>
              <w:t>日</w:t>
            </w:r>
          </w:p>
        </w:tc>
        <w:tc>
          <w:tcPr>
            <w:tcW w:w="550"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w:t>
            </w:r>
          </w:p>
        </w:tc>
        <w:tc>
          <w:tcPr>
            <w:tcW w:w="451"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51"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55"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550"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w:t>
            </w:r>
          </w:p>
        </w:tc>
        <w:tc>
          <w:tcPr>
            <w:tcW w:w="753"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rPr>
                <w:sz w:val="18"/>
                <w:szCs w:val="18"/>
              </w:rPr>
            </w:pPr>
          </w:p>
        </w:tc>
      </w:tr>
      <w:tr w:rsidR="00E20B54">
        <w:trPr>
          <w:trHeight w:val="240"/>
        </w:trPr>
        <w:tc>
          <w:tcPr>
            <w:tcW w:w="217"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高俊</w:t>
            </w:r>
            <w:r>
              <w:rPr>
                <w:sz w:val="18"/>
                <w:szCs w:val="18"/>
              </w:rPr>
              <w:lastRenderedPageBreak/>
              <w:t>斌</w:t>
            </w:r>
          </w:p>
        </w:tc>
        <w:tc>
          <w:tcPr>
            <w:tcW w:w="209"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lastRenderedPageBreak/>
              <w:t>男</w:t>
            </w:r>
          </w:p>
        </w:tc>
        <w:tc>
          <w:tcPr>
            <w:tcW w:w="209"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42</w:t>
            </w:r>
          </w:p>
        </w:tc>
        <w:tc>
          <w:tcPr>
            <w:tcW w:w="234"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董事</w:t>
            </w:r>
          </w:p>
        </w:tc>
        <w:tc>
          <w:tcPr>
            <w:tcW w:w="226"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离任</w:t>
            </w:r>
          </w:p>
        </w:tc>
        <w:tc>
          <w:tcPr>
            <w:tcW w:w="344"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2018</w:t>
            </w:r>
            <w:r>
              <w:rPr>
                <w:sz w:val="18"/>
                <w:szCs w:val="18"/>
              </w:rPr>
              <w:t>年</w:t>
            </w:r>
            <w:r>
              <w:rPr>
                <w:sz w:val="18"/>
                <w:szCs w:val="18"/>
              </w:rPr>
              <w:t>01</w:t>
            </w:r>
            <w:r>
              <w:rPr>
                <w:sz w:val="18"/>
                <w:szCs w:val="18"/>
              </w:rPr>
              <w:lastRenderedPageBreak/>
              <w:t>月</w:t>
            </w:r>
            <w:r>
              <w:rPr>
                <w:sz w:val="18"/>
                <w:szCs w:val="18"/>
              </w:rPr>
              <w:t>04</w:t>
            </w:r>
            <w:r>
              <w:rPr>
                <w:sz w:val="18"/>
                <w:szCs w:val="18"/>
              </w:rPr>
              <w:t>日</w:t>
            </w:r>
          </w:p>
        </w:tc>
        <w:tc>
          <w:tcPr>
            <w:tcW w:w="344"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lastRenderedPageBreak/>
              <w:t>2025</w:t>
            </w:r>
            <w:r>
              <w:rPr>
                <w:sz w:val="18"/>
                <w:szCs w:val="18"/>
              </w:rPr>
              <w:t>年</w:t>
            </w:r>
            <w:r>
              <w:rPr>
                <w:sz w:val="18"/>
                <w:szCs w:val="18"/>
              </w:rPr>
              <w:t>09</w:t>
            </w:r>
            <w:r>
              <w:rPr>
                <w:sz w:val="18"/>
                <w:szCs w:val="18"/>
              </w:rPr>
              <w:lastRenderedPageBreak/>
              <w:t>月</w:t>
            </w:r>
            <w:r>
              <w:rPr>
                <w:sz w:val="18"/>
                <w:szCs w:val="18"/>
              </w:rPr>
              <w:t>15</w:t>
            </w:r>
            <w:r>
              <w:rPr>
                <w:sz w:val="18"/>
                <w:szCs w:val="18"/>
              </w:rPr>
              <w:t>日</w:t>
            </w:r>
          </w:p>
        </w:tc>
        <w:tc>
          <w:tcPr>
            <w:tcW w:w="550"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lastRenderedPageBreak/>
              <w:t>0</w:t>
            </w:r>
          </w:p>
        </w:tc>
        <w:tc>
          <w:tcPr>
            <w:tcW w:w="451"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51"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55"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550"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w:t>
            </w:r>
          </w:p>
        </w:tc>
        <w:tc>
          <w:tcPr>
            <w:tcW w:w="753"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rPr>
                <w:sz w:val="18"/>
                <w:szCs w:val="18"/>
              </w:rPr>
            </w:pPr>
          </w:p>
        </w:tc>
      </w:tr>
      <w:tr w:rsidR="00E20B54">
        <w:trPr>
          <w:trHeight w:val="240"/>
        </w:trPr>
        <w:tc>
          <w:tcPr>
            <w:tcW w:w="217"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lastRenderedPageBreak/>
              <w:t>马淦江</w:t>
            </w:r>
          </w:p>
        </w:tc>
        <w:tc>
          <w:tcPr>
            <w:tcW w:w="209"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男</w:t>
            </w:r>
          </w:p>
        </w:tc>
        <w:tc>
          <w:tcPr>
            <w:tcW w:w="209"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34</w:t>
            </w:r>
          </w:p>
        </w:tc>
        <w:tc>
          <w:tcPr>
            <w:tcW w:w="234"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董事</w:t>
            </w:r>
          </w:p>
        </w:tc>
        <w:tc>
          <w:tcPr>
            <w:tcW w:w="226"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离任</w:t>
            </w:r>
          </w:p>
        </w:tc>
        <w:tc>
          <w:tcPr>
            <w:tcW w:w="344"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2022</w:t>
            </w:r>
            <w:r>
              <w:rPr>
                <w:sz w:val="18"/>
                <w:szCs w:val="18"/>
              </w:rPr>
              <w:t>年</w:t>
            </w:r>
            <w:r>
              <w:rPr>
                <w:sz w:val="18"/>
                <w:szCs w:val="18"/>
              </w:rPr>
              <w:t>03</w:t>
            </w:r>
            <w:r>
              <w:rPr>
                <w:sz w:val="18"/>
                <w:szCs w:val="18"/>
              </w:rPr>
              <w:t>月</w:t>
            </w:r>
            <w:r>
              <w:rPr>
                <w:sz w:val="18"/>
                <w:szCs w:val="18"/>
              </w:rPr>
              <w:t>04</w:t>
            </w:r>
            <w:r>
              <w:rPr>
                <w:sz w:val="18"/>
                <w:szCs w:val="18"/>
              </w:rPr>
              <w:t>日</w:t>
            </w:r>
          </w:p>
        </w:tc>
        <w:tc>
          <w:tcPr>
            <w:tcW w:w="344"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2025</w:t>
            </w:r>
            <w:r>
              <w:rPr>
                <w:sz w:val="18"/>
                <w:szCs w:val="18"/>
              </w:rPr>
              <w:t>年</w:t>
            </w:r>
            <w:r>
              <w:rPr>
                <w:sz w:val="18"/>
                <w:szCs w:val="18"/>
              </w:rPr>
              <w:t>09</w:t>
            </w:r>
            <w:r>
              <w:rPr>
                <w:sz w:val="18"/>
                <w:szCs w:val="18"/>
              </w:rPr>
              <w:t>月</w:t>
            </w:r>
            <w:r>
              <w:rPr>
                <w:sz w:val="18"/>
                <w:szCs w:val="18"/>
              </w:rPr>
              <w:t>15</w:t>
            </w:r>
            <w:r>
              <w:rPr>
                <w:sz w:val="18"/>
                <w:szCs w:val="18"/>
              </w:rPr>
              <w:t>日</w:t>
            </w:r>
          </w:p>
        </w:tc>
        <w:tc>
          <w:tcPr>
            <w:tcW w:w="550"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w:t>
            </w:r>
          </w:p>
        </w:tc>
        <w:tc>
          <w:tcPr>
            <w:tcW w:w="451"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51"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55"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550"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w:t>
            </w:r>
          </w:p>
        </w:tc>
        <w:tc>
          <w:tcPr>
            <w:tcW w:w="753"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rPr>
                <w:sz w:val="18"/>
                <w:szCs w:val="18"/>
              </w:rPr>
            </w:pPr>
          </w:p>
        </w:tc>
      </w:tr>
      <w:tr w:rsidR="00E20B54">
        <w:trPr>
          <w:trHeight w:val="240"/>
        </w:trPr>
        <w:tc>
          <w:tcPr>
            <w:tcW w:w="217"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蔡浩</w:t>
            </w:r>
          </w:p>
        </w:tc>
        <w:tc>
          <w:tcPr>
            <w:tcW w:w="209"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男</w:t>
            </w:r>
          </w:p>
        </w:tc>
        <w:tc>
          <w:tcPr>
            <w:tcW w:w="209"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52</w:t>
            </w:r>
          </w:p>
        </w:tc>
        <w:tc>
          <w:tcPr>
            <w:tcW w:w="234"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独立董事</w:t>
            </w:r>
          </w:p>
        </w:tc>
        <w:tc>
          <w:tcPr>
            <w:tcW w:w="226"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离任</w:t>
            </w:r>
          </w:p>
        </w:tc>
        <w:tc>
          <w:tcPr>
            <w:tcW w:w="344"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2022</w:t>
            </w:r>
            <w:r>
              <w:rPr>
                <w:sz w:val="18"/>
                <w:szCs w:val="18"/>
              </w:rPr>
              <w:t>年</w:t>
            </w:r>
            <w:r>
              <w:rPr>
                <w:sz w:val="18"/>
                <w:szCs w:val="18"/>
              </w:rPr>
              <w:t>03</w:t>
            </w:r>
            <w:r>
              <w:rPr>
                <w:sz w:val="18"/>
                <w:szCs w:val="18"/>
              </w:rPr>
              <w:t>月</w:t>
            </w:r>
            <w:r>
              <w:rPr>
                <w:sz w:val="18"/>
                <w:szCs w:val="18"/>
              </w:rPr>
              <w:t>04</w:t>
            </w:r>
            <w:r>
              <w:rPr>
                <w:sz w:val="18"/>
                <w:szCs w:val="18"/>
              </w:rPr>
              <w:t>日</w:t>
            </w:r>
          </w:p>
        </w:tc>
        <w:tc>
          <w:tcPr>
            <w:tcW w:w="344"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2025</w:t>
            </w:r>
            <w:r>
              <w:rPr>
                <w:sz w:val="18"/>
                <w:szCs w:val="18"/>
              </w:rPr>
              <w:t>年</w:t>
            </w:r>
            <w:r>
              <w:rPr>
                <w:sz w:val="18"/>
                <w:szCs w:val="18"/>
              </w:rPr>
              <w:t>09</w:t>
            </w:r>
            <w:r>
              <w:rPr>
                <w:sz w:val="18"/>
                <w:szCs w:val="18"/>
              </w:rPr>
              <w:t>月</w:t>
            </w:r>
            <w:r>
              <w:rPr>
                <w:sz w:val="18"/>
                <w:szCs w:val="18"/>
              </w:rPr>
              <w:t>15</w:t>
            </w:r>
            <w:r>
              <w:rPr>
                <w:sz w:val="18"/>
                <w:szCs w:val="18"/>
              </w:rPr>
              <w:t>日</w:t>
            </w:r>
          </w:p>
        </w:tc>
        <w:tc>
          <w:tcPr>
            <w:tcW w:w="550"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w:t>
            </w:r>
          </w:p>
        </w:tc>
        <w:tc>
          <w:tcPr>
            <w:tcW w:w="451"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51"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55"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550"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w:t>
            </w:r>
          </w:p>
        </w:tc>
        <w:tc>
          <w:tcPr>
            <w:tcW w:w="753"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rPr>
                <w:sz w:val="18"/>
                <w:szCs w:val="18"/>
              </w:rPr>
            </w:pPr>
          </w:p>
        </w:tc>
      </w:tr>
      <w:tr w:rsidR="00E20B54">
        <w:trPr>
          <w:trHeight w:val="240"/>
        </w:trPr>
        <w:tc>
          <w:tcPr>
            <w:tcW w:w="217"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林少勇</w:t>
            </w:r>
          </w:p>
        </w:tc>
        <w:tc>
          <w:tcPr>
            <w:tcW w:w="209"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男</w:t>
            </w:r>
          </w:p>
        </w:tc>
        <w:tc>
          <w:tcPr>
            <w:tcW w:w="209"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52</w:t>
            </w:r>
          </w:p>
        </w:tc>
        <w:tc>
          <w:tcPr>
            <w:tcW w:w="234"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副总经理</w:t>
            </w:r>
          </w:p>
        </w:tc>
        <w:tc>
          <w:tcPr>
            <w:tcW w:w="226"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离任</w:t>
            </w:r>
          </w:p>
        </w:tc>
        <w:tc>
          <w:tcPr>
            <w:tcW w:w="344"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2023</w:t>
            </w:r>
            <w:r>
              <w:rPr>
                <w:sz w:val="18"/>
                <w:szCs w:val="18"/>
              </w:rPr>
              <w:t>年</w:t>
            </w:r>
            <w:r>
              <w:rPr>
                <w:sz w:val="18"/>
                <w:szCs w:val="18"/>
              </w:rPr>
              <w:t>02</w:t>
            </w:r>
            <w:r>
              <w:rPr>
                <w:sz w:val="18"/>
                <w:szCs w:val="18"/>
              </w:rPr>
              <w:t>月</w:t>
            </w:r>
            <w:r>
              <w:rPr>
                <w:sz w:val="18"/>
                <w:szCs w:val="18"/>
              </w:rPr>
              <w:t>01</w:t>
            </w:r>
            <w:r>
              <w:rPr>
                <w:sz w:val="18"/>
                <w:szCs w:val="18"/>
              </w:rPr>
              <w:t>日</w:t>
            </w:r>
          </w:p>
        </w:tc>
        <w:tc>
          <w:tcPr>
            <w:tcW w:w="344"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2025</w:t>
            </w:r>
            <w:r>
              <w:rPr>
                <w:sz w:val="18"/>
                <w:szCs w:val="18"/>
              </w:rPr>
              <w:t>年</w:t>
            </w:r>
            <w:r>
              <w:rPr>
                <w:sz w:val="18"/>
                <w:szCs w:val="18"/>
              </w:rPr>
              <w:t>09</w:t>
            </w:r>
            <w:r>
              <w:rPr>
                <w:sz w:val="18"/>
                <w:szCs w:val="18"/>
              </w:rPr>
              <w:t>月</w:t>
            </w:r>
            <w:r>
              <w:rPr>
                <w:sz w:val="18"/>
                <w:szCs w:val="18"/>
              </w:rPr>
              <w:t>15</w:t>
            </w:r>
            <w:r>
              <w:rPr>
                <w:sz w:val="18"/>
                <w:szCs w:val="18"/>
              </w:rPr>
              <w:t>日</w:t>
            </w:r>
          </w:p>
        </w:tc>
        <w:tc>
          <w:tcPr>
            <w:tcW w:w="550"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w:t>
            </w:r>
          </w:p>
        </w:tc>
        <w:tc>
          <w:tcPr>
            <w:tcW w:w="451"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51"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55"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550"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w:t>
            </w:r>
          </w:p>
        </w:tc>
        <w:tc>
          <w:tcPr>
            <w:tcW w:w="753"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rPr>
                <w:sz w:val="18"/>
                <w:szCs w:val="18"/>
              </w:rPr>
            </w:pPr>
          </w:p>
        </w:tc>
      </w:tr>
      <w:tr w:rsidR="00E20B54">
        <w:trPr>
          <w:trHeight w:val="240"/>
        </w:trPr>
        <w:tc>
          <w:tcPr>
            <w:tcW w:w="217" w:type="pct"/>
            <w:vMerge w:val="restar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李华青</w:t>
            </w:r>
          </w:p>
        </w:tc>
        <w:tc>
          <w:tcPr>
            <w:tcW w:w="209" w:type="pct"/>
            <w:vMerge w:val="restar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男</w:t>
            </w:r>
          </w:p>
        </w:tc>
        <w:tc>
          <w:tcPr>
            <w:tcW w:w="209" w:type="pct"/>
            <w:vMerge w:val="restar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48</w:t>
            </w:r>
          </w:p>
        </w:tc>
        <w:tc>
          <w:tcPr>
            <w:tcW w:w="234"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副总经理</w:t>
            </w:r>
          </w:p>
        </w:tc>
        <w:tc>
          <w:tcPr>
            <w:tcW w:w="226"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离任</w:t>
            </w:r>
          </w:p>
        </w:tc>
        <w:tc>
          <w:tcPr>
            <w:tcW w:w="344"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2022</w:t>
            </w:r>
            <w:r>
              <w:rPr>
                <w:sz w:val="18"/>
                <w:szCs w:val="18"/>
              </w:rPr>
              <w:t>年</w:t>
            </w:r>
            <w:r>
              <w:rPr>
                <w:sz w:val="18"/>
                <w:szCs w:val="18"/>
              </w:rPr>
              <w:t>03</w:t>
            </w:r>
            <w:r>
              <w:rPr>
                <w:sz w:val="18"/>
                <w:szCs w:val="18"/>
              </w:rPr>
              <w:t>月</w:t>
            </w:r>
            <w:r>
              <w:rPr>
                <w:sz w:val="18"/>
                <w:szCs w:val="18"/>
              </w:rPr>
              <w:t>04</w:t>
            </w:r>
            <w:r>
              <w:rPr>
                <w:sz w:val="18"/>
                <w:szCs w:val="18"/>
              </w:rPr>
              <w:t>日</w:t>
            </w:r>
          </w:p>
        </w:tc>
        <w:tc>
          <w:tcPr>
            <w:tcW w:w="344"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2025</w:t>
            </w:r>
            <w:r>
              <w:rPr>
                <w:sz w:val="18"/>
                <w:szCs w:val="18"/>
              </w:rPr>
              <w:t>年</w:t>
            </w:r>
            <w:r>
              <w:rPr>
                <w:sz w:val="18"/>
                <w:szCs w:val="18"/>
              </w:rPr>
              <w:t>09</w:t>
            </w:r>
            <w:r>
              <w:rPr>
                <w:sz w:val="18"/>
                <w:szCs w:val="18"/>
              </w:rPr>
              <w:t>月</w:t>
            </w:r>
            <w:r>
              <w:rPr>
                <w:sz w:val="18"/>
                <w:szCs w:val="18"/>
              </w:rPr>
              <w:t>15</w:t>
            </w:r>
            <w:r>
              <w:rPr>
                <w:sz w:val="18"/>
                <w:szCs w:val="18"/>
              </w:rPr>
              <w:t>日</w:t>
            </w:r>
          </w:p>
        </w:tc>
        <w:tc>
          <w:tcPr>
            <w:tcW w:w="550" w:type="pct"/>
            <w:vMerge w:val="restar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w:t>
            </w:r>
          </w:p>
        </w:tc>
        <w:tc>
          <w:tcPr>
            <w:tcW w:w="451" w:type="pct"/>
            <w:vMerge w:val="restar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51" w:type="pct"/>
            <w:vMerge w:val="restar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55" w:type="pct"/>
            <w:vMerge w:val="restar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550" w:type="pct"/>
            <w:vMerge w:val="restar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w:t>
            </w:r>
          </w:p>
        </w:tc>
        <w:tc>
          <w:tcPr>
            <w:tcW w:w="753" w:type="pct"/>
            <w:vMerge w:val="restar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rPr>
                <w:sz w:val="18"/>
                <w:szCs w:val="18"/>
              </w:rPr>
            </w:pPr>
          </w:p>
        </w:tc>
      </w:tr>
      <w:tr w:rsidR="00E20B54">
        <w:trPr>
          <w:trHeight w:val="240"/>
        </w:trPr>
        <w:tc>
          <w:tcPr>
            <w:tcW w:w="217" w:type="pct"/>
            <w:vMerge/>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李华青</w:t>
            </w:r>
          </w:p>
        </w:tc>
        <w:tc>
          <w:tcPr>
            <w:tcW w:w="209" w:type="pct"/>
            <w:vMerge/>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男</w:t>
            </w:r>
          </w:p>
        </w:tc>
        <w:tc>
          <w:tcPr>
            <w:tcW w:w="209" w:type="pct"/>
            <w:vMerge/>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48</w:t>
            </w:r>
          </w:p>
        </w:tc>
        <w:tc>
          <w:tcPr>
            <w:tcW w:w="234"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董事会秘书</w:t>
            </w:r>
          </w:p>
        </w:tc>
        <w:tc>
          <w:tcPr>
            <w:tcW w:w="226"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离任</w:t>
            </w:r>
          </w:p>
        </w:tc>
        <w:tc>
          <w:tcPr>
            <w:tcW w:w="344"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2015</w:t>
            </w:r>
            <w:r>
              <w:rPr>
                <w:sz w:val="18"/>
                <w:szCs w:val="18"/>
              </w:rPr>
              <w:t>年</w:t>
            </w:r>
            <w:r>
              <w:rPr>
                <w:sz w:val="18"/>
                <w:szCs w:val="18"/>
              </w:rPr>
              <w:t>08</w:t>
            </w:r>
            <w:r>
              <w:rPr>
                <w:sz w:val="18"/>
                <w:szCs w:val="18"/>
              </w:rPr>
              <w:t>月</w:t>
            </w:r>
            <w:r>
              <w:rPr>
                <w:sz w:val="18"/>
                <w:szCs w:val="18"/>
              </w:rPr>
              <w:t>13</w:t>
            </w:r>
            <w:r>
              <w:rPr>
                <w:sz w:val="18"/>
                <w:szCs w:val="18"/>
              </w:rPr>
              <w:t>日</w:t>
            </w:r>
          </w:p>
        </w:tc>
        <w:tc>
          <w:tcPr>
            <w:tcW w:w="344"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2025</w:t>
            </w:r>
            <w:r>
              <w:rPr>
                <w:sz w:val="18"/>
                <w:szCs w:val="18"/>
              </w:rPr>
              <w:t>年</w:t>
            </w:r>
            <w:r>
              <w:rPr>
                <w:sz w:val="18"/>
                <w:szCs w:val="18"/>
              </w:rPr>
              <w:t>01</w:t>
            </w:r>
            <w:r>
              <w:rPr>
                <w:sz w:val="18"/>
                <w:szCs w:val="18"/>
              </w:rPr>
              <w:t>月</w:t>
            </w:r>
            <w:r>
              <w:rPr>
                <w:sz w:val="18"/>
                <w:szCs w:val="18"/>
              </w:rPr>
              <w:t>16</w:t>
            </w:r>
            <w:r>
              <w:rPr>
                <w:sz w:val="18"/>
                <w:szCs w:val="18"/>
              </w:rPr>
              <w:t>日</w:t>
            </w:r>
          </w:p>
        </w:tc>
        <w:tc>
          <w:tcPr>
            <w:tcW w:w="550" w:type="pct"/>
            <w:vMerge/>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w:t>
            </w:r>
          </w:p>
        </w:tc>
        <w:tc>
          <w:tcPr>
            <w:tcW w:w="451" w:type="pct"/>
            <w:vMerge/>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51" w:type="pct"/>
            <w:vMerge/>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55" w:type="pct"/>
            <w:vMerge/>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550" w:type="pct"/>
            <w:vMerge/>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w:t>
            </w:r>
          </w:p>
        </w:tc>
        <w:tc>
          <w:tcPr>
            <w:tcW w:w="753" w:type="pct"/>
            <w:vMerge/>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rPr>
                <w:sz w:val="18"/>
                <w:szCs w:val="18"/>
              </w:rPr>
            </w:pPr>
          </w:p>
        </w:tc>
      </w:tr>
      <w:tr w:rsidR="00E20B54">
        <w:trPr>
          <w:trHeight w:val="240"/>
        </w:trPr>
        <w:tc>
          <w:tcPr>
            <w:tcW w:w="217" w:type="pc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合计</w:t>
            </w:r>
          </w:p>
        </w:tc>
        <w:tc>
          <w:tcPr>
            <w:tcW w:w="209" w:type="pc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w:t>
            </w:r>
          </w:p>
        </w:tc>
        <w:tc>
          <w:tcPr>
            <w:tcW w:w="209" w:type="pc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w:t>
            </w:r>
          </w:p>
        </w:tc>
        <w:tc>
          <w:tcPr>
            <w:tcW w:w="234" w:type="pc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w:t>
            </w:r>
          </w:p>
        </w:tc>
        <w:tc>
          <w:tcPr>
            <w:tcW w:w="226" w:type="pc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w:t>
            </w:r>
          </w:p>
        </w:tc>
        <w:tc>
          <w:tcPr>
            <w:tcW w:w="344" w:type="pc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w:t>
            </w:r>
          </w:p>
        </w:tc>
        <w:tc>
          <w:tcPr>
            <w:tcW w:w="344" w:type="pc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w:t>
            </w:r>
          </w:p>
        </w:tc>
        <w:tc>
          <w:tcPr>
            <w:tcW w:w="550"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23,509,944</w:t>
            </w:r>
          </w:p>
        </w:tc>
        <w:tc>
          <w:tcPr>
            <w:tcW w:w="451"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w:t>
            </w:r>
          </w:p>
        </w:tc>
        <w:tc>
          <w:tcPr>
            <w:tcW w:w="451"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w:t>
            </w:r>
          </w:p>
        </w:tc>
        <w:tc>
          <w:tcPr>
            <w:tcW w:w="455"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-256,000</w:t>
            </w:r>
          </w:p>
        </w:tc>
        <w:tc>
          <w:tcPr>
            <w:tcW w:w="550"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23,253,944</w:t>
            </w:r>
          </w:p>
        </w:tc>
        <w:tc>
          <w:tcPr>
            <w:tcW w:w="753" w:type="pc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w:t>
            </w:r>
          </w:p>
        </w:tc>
      </w:tr>
    </w:tbl>
    <w:p w:rsidR="00E20B54" w:rsidRDefault="00733C9E">
      <w:pPr>
        <w:spacing w:before="100" w:after="100" w:line="240" w:lineRule="exact"/>
        <w:rPr>
          <w:sz w:val="18"/>
          <w:szCs w:val="18"/>
        </w:rPr>
      </w:pPr>
      <w:r>
        <w:rPr>
          <w:sz w:val="18"/>
          <w:szCs w:val="18"/>
        </w:rPr>
        <w:t>报告期是否存在任期内董事和高级管理人员离任的情况</w:t>
      </w:r>
    </w:p>
    <w:p w:rsidR="00E20B54" w:rsidRDefault="00733C9E">
      <w:pPr>
        <w:spacing w:before="100" w:after="100" w:line="240" w:lineRule="exact"/>
        <w:rPr>
          <w:sz w:val="18"/>
          <w:szCs w:val="18"/>
        </w:rPr>
      </w:pPr>
      <w:r>
        <w:rPr>
          <w:sz w:val="18"/>
          <w:szCs w:val="18"/>
        </w:rPr>
        <w:sym w:font="Wingdings 2" w:char="F052"/>
      </w:r>
      <w:r>
        <w:rPr>
          <w:sz w:val="18"/>
          <w:szCs w:val="18"/>
        </w:rPr>
        <w:t>是</w:t>
      </w:r>
      <w:r>
        <w:rPr>
          <w:sz w:val="18"/>
          <w:szCs w:val="18"/>
        </w:rPr>
        <w:t xml:space="preserve"> □</w:t>
      </w:r>
      <w:r>
        <w:rPr>
          <w:sz w:val="18"/>
          <w:szCs w:val="18"/>
        </w:rPr>
        <w:t>否</w:t>
      </w:r>
    </w:p>
    <w:p w:rsidR="00E20B54" w:rsidRDefault="00733C9E">
      <w:pPr>
        <w:pStyle w:val="a3"/>
        <w:widowControl/>
      </w:pPr>
      <w:r>
        <w:rPr>
          <w:sz w:val="18"/>
          <w:szCs w:val="18"/>
        </w:rPr>
        <w:t>根据《公司章程》等规定，公司第三届董事会任期于报告期内届满。</w:t>
      </w:r>
    </w:p>
    <w:p w:rsidR="00E20B54" w:rsidRDefault="00733C9E">
      <w:pPr>
        <w:pStyle w:val="a3"/>
        <w:widowControl/>
        <w:ind w:firstLineChars="200" w:firstLine="360"/>
        <w:rPr>
          <w:sz w:val="18"/>
          <w:szCs w:val="18"/>
        </w:rPr>
      </w:pPr>
      <w:r>
        <w:rPr>
          <w:sz w:val="18"/>
          <w:szCs w:val="18"/>
        </w:rPr>
        <w:t>经公司</w:t>
      </w:r>
      <w:r>
        <w:rPr>
          <w:sz w:val="18"/>
          <w:szCs w:val="18"/>
        </w:rPr>
        <w:t>2025</w:t>
      </w:r>
      <w:r>
        <w:rPr>
          <w:sz w:val="18"/>
          <w:szCs w:val="18"/>
        </w:rPr>
        <w:t>年</w:t>
      </w:r>
      <w:r>
        <w:rPr>
          <w:sz w:val="18"/>
          <w:szCs w:val="18"/>
        </w:rPr>
        <w:t>8</w:t>
      </w:r>
      <w:r>
        <w:rPr>
          <w:sz w:val="18"/>
          <w:szCs w:val="18"/>
        </w:rPr>
        <w:t>月</w:t>
      </w:r>
      <w:r>
        <w:rPr>
          <w:sz w:val="18"/>
          <w:szCs w:val="18"/>
        </w:rPr>
        <w:t>27</w:t>
      </w:r>
      <w:r>
        <w:rPr>
          <w:sz w:val="18"/>
          <w:szCs w:val="18"/>
        </w:rPr>
        <w:t>日召开的第三届董事会第三十三次会议审议通过，并经</w:t>
      </w:r>
      <w:r>
        <w:rPr>
          <w:sz w:val="18"/>
          <w:szCs w:val="18"/>
        </w:rPr>
        <w:t>2025</w:t>
      </w:r>
      <w:r>
        <w:rPr>
          <w:sz w:val="18"/>
          <w:szCs w:val="18"/>
        </w:rPr>
        <w:t>年</w:t>
      </w:r>
      <w:r>
        <w:rPr>
          <w:sz w:val="18"/>
          <w:szCs w:val="18"/>
        </w:rPr>
        <w:t>9</w:t>
      </w:r>
      <w:r>
        <w:rPr>
          <w:sz w:val="18"/>
          <w:szCs w:val="18"/>
        </w:rPr>
        <w:t>月</w:t>
      </w:r>
      <w:r>
        <w:rPr>
          <w:sz w:val="18"/>
          <w:szCs w:val="18"/>
        </w:rPr>
        <w:t>15</w:t>
      </w:r>
      <w:r>
        <w:rPr>
          <w:sz w:val="18"/>
          <w:szCs w:val="18"/>
        </w:rPr>
        <w:t>日召开的第二次临时股东会审议通过，公司选举林明玲女士、马学沛先生、马翊珽先生、刘楚境先生、郭树荣等五人为公司第四届董事会非独立董事，曹丽梅女士、石洁芝女士、滕丽秋等三人为公司第四届董事会独立董事。任期自公司</w:t>
      </w:r>
      <w:r>
        <w:rPr>
          <w:sz w:val="18"/>
          <w:szCs w:val="18"/>
        </w:rPr>
        <w:t xml:space="preserve"> 2025 </w:t>
      </w:r>
      <w:r>
        <w:rPr>
          <w:sz w:val="18"/>
          <w:szCs w:val="18"/>
        </w:rPr>
        <w:t>年第二次临时股东会审议通过之日起三年止。第三届董事会成员张毅先生、高俊斌先生、马淦江先生、蔡浩先生届满离任。</w:t>
      </w:r>
    </w:p>
    <w:p w:rsidR="00E20B54" w:rsidRDefault="00733C9E">
      <w:pPr>
        <w:pStyle w:val="a3"/>
        <w:widowControl/>
        <w:ind w:firstLineChars="200" w:firstLine="360"/>
      </w:pPr>
      <w:r>
        <w:rPr>
          <w:sz w:val="18"/>
          <w:szCs w:val="18"/>
        </w:rPr>
        <w:t>经公司于</w:t>
      </w:r>
      <w:r>
        <w:rPr>
          <w:sz w:val="18"/>
          <w:szCs w:val="18"/>
        </w:rPr>
        <w:t>2025</w:t>
      </w:r>
      <w:r>
        <w:rPr>
          <w:sz w:val="18"/>
          <w:szCs w:val="18"/>
        </w:rPr>
        <w:t>年</w:t>
      </w:r>
      <w:r>
        <w:rPr>
          <w:sz w:val="18"/>
          <w:szCs w:val="18"/>
        </w:rPr>
        <w:t>9</w:t>
      </w:r>
      <w:r>
        <w:rPr>
          <w:sz w:val="18"/>
          <w:szCs w:val="18"/>
        </w:rPr>
        <w:t>月</w:t>
      </w:r>
      <w:r>
        <w:rPr>
          <w:sz w:val="18"/>
          <w:szCs w:val="18"/>
        </w:rPr>
        <w:t>15</w:t>
      </w:r>
      <w:r>
        <w:rPr>
          <w:sz w:val="18"/>
          <w:szCs w:val="18"/>
        </w:rPr>
        <w:t>日召开的第四届董事会第一次会议审议通过，公司选举林明玲女士为董事长、马学沛先生为副董事长，并聘任新一届董事会专门委员会委员。公司聘任马学沛先生为总经理，并经总经理提名聘任林树生先生为副总经理、曹维先生为副总经理兼董事会秘书、陈焕盛先生为财务负责人。上述人员聘任任期均为三年，自公司第四届董事会第一次会议审议通过之日起至第四届董事会届满之日止。第三届董事会所聘任的副总经理林少勇先生、李华青先生届满离任。</w:t>
      </w:r>
    </w:p>
    <w:p w:rsidR="00E20B54" w:rsidRDefault="00733C9E">
      <w:pPr>
        <w:spacing w:before="100" w:after="100" w:line="240" w:lineRule="exact"/>
        <w:rPr>
          <w:sz w:val="18"/>
          <w:szCs w:val="18"/>
        </w:rPr>
      </w:pPr>
      <w:r>
        <w:rPr>
          <w:sz w:val="18"/>
          <w:szCs w:val="18"/>
        </w:rPr>
        <w:t>公司董事、高级管理人员变动情况</w:t>
      </w:r>
    </w:p>
    <w:p w:rsidR="00E20B54" w:rsidRDefault="00733C9E">
      <w:pPr>
        <w:spacing w:before="100" w:after="100" w:line="240" w:lineRule="exact"/>
        <w:rPr>
          <w:sz w:val="18"/>
          <w:szCs w:val="18"/>
        </w:rPr>
      </w:pPr>
      <w:r>
        <w:rPr>
          <w:sz w:val="18"/>
          <w:szCs w:val="18"/>
        </w:rPr>
        <w:sym w:font="Wingdings 2" w:char="F052"/>
      </w:r>
      <w:r>
        <w:rPr>
          <w:sz w:val="18"/>
          <w:szCs w:val="18"/>
        </w:rPr>
        <w:t>适用</w:t>
      </w:r>
      <w:r>
        <w:rPr>
          <w:sz w:val="18"/>
          <w:szCs w:val="18"/>
        </w:rPr>
        <w:t xml:space="preserve"> □</w:t>
      </w:r>
      <w:r>
        <w:rPr>
          <w:sz w:val="18"/>
          <w:szCs w:val="18"/>
        </w:rPr>
        <w:t>不适用</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927"/>
        <w:gridCol w:w="1928"/>
        <w:gridCol w:w="1928"/>
        <w:gridCol w:w="1928"/>
        <w:gridCol w:w="1928"/>
      </w:tblGrid>
      <w:tr w:rsidR="00E20B54">
        <w:trPr>
          <w:trHeight w:val="240"/>
          <w:tblHeader/>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姓名</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担任的职务</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类型</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日期</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原因</w:t>
            </w:r>
          </w:p>
        </w:tc>
      </w:tr>
      <w:tr w:rsidR="00E20B54">
        <w:trPr>
          <w:trHeight w:val="240"/>
        </w:trPr>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马翊珽</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董事</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被选举</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2025</w:t>
            </w:r>
            <w:r>
              <w:rPr>
                <w:sz w:val="18"/>
                <w:szCs w:val="18"/>
              </w:rPr>
              <w:t>年</w:t>
            </w:r>
            <w:r>
              <w:rPr>
                <w:sz w:val="18"/>
                <w:szCs w:val="18"/>
              </w:rPr>
              <w:t>09</w:t>
            </w:r>
            <w:r>
              <w:rPr>
                <w:sz w:val="18"/>
                <w:szCs w:val="18"/>
              </w:rPr>
              <w:t>月</w:t>
            </w:r>
            <w:r>
              <w:rPr>
                <w:sz w:val="18"/>
                <w:szCs w:val="18"/>
              </w:rPr>
              <w:t>15</w:t>
            </w:r>
            <w:r>
              <w:rPr>
                <w:sz w:val="18"/>
                <w:szCs w:val="18"/>
              </w:rPr>
              <w:t>日</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换届</w:t>
            </w:r>
          </w:p>
        </w:tc>
      </w:tr>
      <w:tr w:rsidR="00E20B54">
        <w:trPr>
          <w:trHeight w:val="240"/>
        </w:trPr>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刘楚境</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董事</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被选举</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2025</w:t>
            </w:r>
            <w:r>
              <w:rPr>
                <w:sz w:val="18"/>
                <w:szCs w:val="18"/>
              </w:rPr>
              <w:t>年</w:t>
            </w:r>
            <w:r>
              <w:rPr>
                <w:sz w:val="18"/>
                <w:szCs w:val="18"/>
              </w:rPr>
              <w:t>09</w:t>
            </w:r>
            <w:r>
              <w:rPr>
                <w:sz w:val="18"/>
                <w:szCs w:val="18"/>
              </w:rPr>
              <w:t>月</w:t>
            </w:r>
            <w:r>
              <w:rPr>
                <w:sz w:val="18"/>
                <w:szCs w:val="18"/>
              </w:rPr>
              <w:t>15</w:t>
            </w:r>
            <w:r>
              <w:rPr>
                <w:sz w:val="18"/>
                <w:szCs w:val="18"/>
              </w:rPr>
              <w:t>日</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换届</w:t>
            </w:r>
          </w:p>
        </w:tc>
      </w:tr>
      <w:tr w:rsidR="00E20B54">
        <w:trPr>
          <w:trHeight w:val="240"/>
        </w:trPr>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郭树荣</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董事</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被选举</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2025</w:t>
            </w:r>
            <w:r>
              <w:rPr>
                <w:sz w:val="18"/>
                <w:szCs w:val="18"/>
              </w:rPr>
              <w:t>年</w:t>
            </w:r>
            <w:r>
              <w:rPr>
                <w:sz w:val="18"/>
                <w:szCs w:val="18"/>
              </w:rPr>
              <w:t>09</w:t>
            </w:r>
            <w:r>
              <w:rPr>
                <w:sz w:val="18"/>
                <w:szCs w:val="18"/>
              </w:rPr>
              <w:t>月</w:t>
            </w:r>
            <w:r>
              <w:rPr>
                <w:sz w:val="18"/>
                <w:szCs w:val="18"/>
              </w:rPr>
              <w:t>15</w:t>
            </w:r>
            <w:r>
              <w:rPr>
                <w:sz w:val="18"/>
                <w:szCs w:val="18"/>
              </w:rPr>
              <w:t>日</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换届</w:t>
            </w:r>
          </w:p>
        </w:tc>
      </w:tr>
      <w:tr w:rsidR="00E20B54">
        <w:trPr>
          <w:trHeight w:val="240"/>
        </w:trPr>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lastRenderedPageBreak/>
              <w:t>滕丽秋</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独立董事</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被选举</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2025</w:t>
            </w:r>
            <w:r>
              <w:rPr>
                <w:sz w:val="18"/>
                <w:szCs w:val="18"/>
              </w:rPr>
              <w:t>年</w:t>
            </w:r>
            <w:r>
              <w:rPr>
                <w:sz w:val="18"/>
                <w:szCs w:val="18"/>
              </w:rPr>
              <w:t>09</w:t>
            </w:r>
            <w:r>
              <w:rPr>
                <w:sz w:val="18"/>
                <w:szCs w:val="18"/>
              </w:rPr>
              <w:t>月</w:t>
            </w:r>
            <w:r>
              <w:rPr>
                <w:sz w:val="18"/>
                <w:szCs w:val="18"/>
              </w:rPr>
              <w:t>15</w:t>
            </w:r>
            <w:r>
              <w:rPr>
                <w:sz w:val="18"/>
                <w:szCs w:val="18"/>
              </w:rPr>
              <w:t>日</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换届</w:t>
            </w:r>
          </w:p>
        </w:tc>
      </w:tr>
      <w:tr w:rsidR="00E20B54">
        <w:trPr>
          <w:trHeight w:val="240"/>
        </w:trPr>
        <w:tc>
          <w:tcPr>
            <w:tcW w:w="1928" w:type="dxa"/>
            <w:vMerge w:val="restar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曹维</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副总经理</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聘任</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2025</w:t>
            </w:r>
            <w:r>
              <w:rPr>
                <w:sz w:val="18"/>
                <w:szCs w:val="18"/>
              </w:rPr>
              <w:t>年</w:t>
            </w:r>
            <w:r>
              <w:rPr>
                <w:sz w:val="18"/>
                <w:szCs w:val="18"/>
              </w:rPr>
              <w:t>09</w:t>
            </w:r>
            <w:r>
              <w:rPr>
                <w:sz w:val="18"/>
                <w:szCs w:val="18"/>
              </w:rPr>
              <w:t>月</w:t>
            </w:r>
            <w:r>
              <w:rPr>
                <w:sz w:val="18"/>
                <w:szCs w:val="18"/>
              </w:rPr>
              <w:t>15</w:t>
            </w:r>
            <w:r>
              <w:rPr>
                <w:sz w:val="18"/>
                <w:szCs w:val="18"/>
              </w:rPr>
              <w:t>日</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换届</w:t>
            </w:r>
          </w:p>
        </w:tc>
      </w:tr>
      <w:tr w:rsidR="00E20B54">
        <w:trPr>
          <w:trHeight w:val="240"/>
        </w:trPr>
        <w:tc>
          <w:tcPr>
            <w:tcW w:w="1928" w:type="dxa"/>
            <w:vMerge/>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曹维</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董事会秘书</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聘任</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2025</w:t>
            </w:r>
            <w:r>
              <w:rPr>
                <w:sz w:val="18"/>
                <w:szCs w:val="18"/>
              </w:rPr>
              <w:t>年</w:t>
            </w:r>
            <w:r>
              <w:rPr>
                <w:sz w:val="18"/>
                <w:szCs w:val="18"/>
              </w:rPr>
              <w:t>01</w:t>
            </w:r>
            <w:r>
              <w:rPr>
                <w:sz w:val="18"/>
                <w:szCs w:val="18"/>
              </w:rPr>
              <w:t>月</w:t>
            </w:r>
            <w:r>
              <w:rPr>
                <w:sz w:val="18"/>
                <w:szCs w:val="18"/>
              </w:rPr>
              <w:t>16</w:t>
            </w:r>
            <w:r>
              <w:rPr>
                <w:sz w:val="18"/>
                <w:szCs w:val="18"/>
              </w:rPr>
              <w:t>日</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工作调动</w:t>
            </w:r>
          </w:p>
        </w:tc>
      </w:tr>
      <w:tr w:rsidR="00E20B54">
        <w:trPr>
          <w:trHeight w:val="240"/>
        </w:trPr>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林树生</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副总经理</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聘任</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2025</w:t>
            </w:r>
            <w:r>
              <w:rPr>
                <w:sz w:val="18"/>
                <w:szCs w:val="18"/>
              </w:rPr>
              <w:t>年</w:t>
            </w:r>
            <w:r>
              <w:rPr>
                <w:sz w:val="18"/>
                <w:szCs w:val="18"/>
              </w:rPr>
              <w:t>09</w:t>
            </w:r>
            <w:r>
              <w:rPr>
                <w:sz w:val="18"/>
                <w:szCs w:val="18"/>
              </w:rPr>
              <w:t>月</w:t>
            </w:r>
            <w:r>
              <w:rPr>
                <w:sz w:val="18"/>
                <w:szCs w:val="18"/>
              </w:rPr>
              <w:t>15</w:t>
            </w:r>
            <w:r>
              <w:rPr>
                <w:sz w:val="18"/>
                <w:szCs w:val="18"/>
              </w:rPr>
              <w:t>日</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换届</w:t>
            </w:r>
          </w:p>
        </w:tc>
      </w:tr>
      <w:tr w:rsidR="00E20B54">
        <w:trPr>
          <w:trHeight w:val="240"/>
        </w:trPr>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张毅</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董事</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任期满离任</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2025</w:t>
            </w:r>
            <w:r>
              <w:rPr>
                <w:sz w:val="18"/>
                <w:szCs w:val="18"/>
              </w:rPr>
              <w:t>年</w:t>
            </w:r>
            <w:r>
              <w:rPr>
                <w:sz w:val="18"/>
                <w:szCs w:val="18"/>
              </w:rPr>
              <w:t>09</w:t>
            </w:r>
            <w:r>
              <w:rPr>
                <w:sz w:val="18"/>
                <w:szCs w:val="18"/>
              </w:rPr>
              <w:t>月</w:t>
            </w:r>
            <w:r>
              <w:rPr>
                <w:sz w:val="18"/>
                <w:szCs w:val="18"/>
              </w:rPr>
              <w:t>15</w:t>
            </w:r>
            <w:r>
              <w:rPr>
                <w:sz w:val="18"/>
                <w:szCs w:val="18"/>
              </w:rPr>
              <w:t>日</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换届</w:t>
            </w:r>
          </w:p>
        </w:tc>
      </w:tr>
      <w:tr w:rsidR="00E20B54">
        <w:trPr>
          <w:trHeight w:val="240"/>
        </w:trPr>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高俊斌</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董事</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任期满离任</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2025</w:t>
            </w:r>
            <w:r>
              <w:rPr>
                <w:sz w:val="18"/>
                <w:szCs w:val="18"/>
              </w:rPr>
              <w:t>年</w:t>
            </w:r>
            <w:r>
              <w:rPr>
                <w:sz w:val="18"/>
                <w:szCs w:val="18"/>
              </w:rPr>
              <w:t>09</w:t>
            </w:r>
            <w:r>
              <w:rPr>
                <w:sz w:val="18"/>
                <w:szCs w:val="18"/>
              </w:rPr>
              <w:t>月</w:t>
            </w:r>
            <w:r>
              <w:rPr>
                <w:sz w:val="18"/>
                <w:szCs w:val="18"/>
              </w:rPr>
              <w:t>15</w:t>
            </w:r>
            <w:r>
              <w:rPr>
                <w:sz w:val="18"/>
                <w:szCs w:val="18"/>
              </w:rPr>
              <w:t>日</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换届</w:t>
            </w:r>
          </w:p>
        </w:tc>
      </w:tr>
      <w:tr w:rsidR="00E20B54">
        <w:trPr>
          <w:trHeight w:val="240"/>
        </w:trPr>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马淦江</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董事</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任期满离任</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2025</w:t>
            </w:r>
            <w:r>
              <w:rPr>
                <w:sz w:val="18"/>
                <w:szCs w:val="18"/>
              </w:rPr>
              <w:t>年</w:t>
            </w:r>
            <w:r>
              <w:rPr>
                <w:sz w:val="18"/>
                <w:szCs w:val="18"/>
              </w:rPr>
              <w:t>09</w:t>
            </w:r>
            <w:r>
              <w:rPr>
                <w:sz w:val="18"/>
                <w:szCs w:val="18"/>
              </w:rPr>
              <w:t>月</w:t>
            </w:r>
            <w:r>
              <w:rPr>
                <w:sz w:val="18"/>
                <w:szCs w:val="18"/>
              </w:rPr>
              <w:t>15</w:t>
            </w:r>
            <w:r>
              <w:rPr>
                <w:sz w:val="18"/>
                <w:szCs w:val="18"/>
              </w:rPr>
              <w:t>日</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换届</w:t>
            </w:r>
          </w:p>
        </w:tc>
      </w:tr>
      <w:tr w:rsidR="00E20B54">
        <w:trPr>
          <w:trHeight w:val="240"/>
        </w:trPr>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蔡浩</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独立董事</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任期满离任</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2025</w:t>
            </w:r>
            <w:r>
              <w:rPr>
                <w:sz w:val="18"/>
                <w:szCs w:val="18"/>
              </w:rPr>
              <w:t>年</w:t>
            </w:r>
            <w:r>
              <w:rPr>
                <w:sz w:val="18"/>
                <w:szCs w:val="18"/>
              </w:rPr>
              <w:t>09</w:t>
            </w:r>
            <w:r>
              <w:rPr>
                <w:sz w:val="18"/>
                <w:szCs w:val="18"/>
              </w:rPr>
              <w:t>月</w:t>
            </w:r>
            <w:r>
              <w:rPr>
                <w:sz w:val="18"/>
                <w:szCs w:val="18"/>
              </w:rPr>
              <w:t>15</w:t>
            </w:r>
            <w:r>
              <w:rPr>
                <w:sz w:val="18"/>
                <w:szCs w:val="18"/>
              </w:rPr>
              <w:t>日</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换届</w:t>
            </w:r>
          </w:p>
        </w:tc>
      </w:tr>
      <w:tr w:rsidR="00E20B54">
        <w:trPr>
          <w:trHeight w:val="240"/>
        </w:trPr>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林少勇</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副总经理</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任期满离任</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2025</w:t>
            </w:r>
            <w:r>
              <w:rPr>
                <w:sz w:val="18"/>
                <w:szCs w:val="18"/>
              </w:rPr>
              <w:t>年</w:t>
            </w:r>
            <w:r>
              <w:rPr>
                <w:sz w:val="18"/>
                <w:szCs w:val="18"/>
              </w:rPr>
              <w:t>09</w:t>
            </w:r>
            <w:r>
              <w:rPr>
                <w:sz w:val="18"/>
                <w:szCs w:val="18"/>
              </w:rPr>
              <w:t>月</w:t>
            </w:r>
            <w:r>
              <w:rPr>
                <w:sz w:val="18"/>
                <w:szCs w:val="18"/>
              </w:rPr>
              <w:t>15</w:t>
            </w:r>
            <w:r>
              <w:rPr>
                <w:sz w:val="18"/>
                <w:szCs w:val="18"/>
              </w:rPr>
              <w:t>日</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换届</w:t>
            </w:r>
          </w:p>
        </w:tc>
      </w:tr>
      <w:tr w:rsidR="00E20B54">
        <w:trPr>
          <w:trHeight w:val="240"/>
        </w:trPr>
        <w:tc>
          <w:tcPr>
            <w:tcW w:w="1928" w:type="dxa"/>
            <w:vMerge w:val="restar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李华青</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副总经理</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任期满离任</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2025</w:t>
            </w:r>
            <w:r>
              <w:rPr>
                <w:sz w:val="18"/>
                <w:szCs w:val="18"/>
              </w:rPr>
              <w:t>年</w:t>
            </w:r>
            <w:r>
              <w:rPr>
                <w:sz w:val="18"/>
                <w:szCs w:val="18"/>
              </w:rPr>
              <w:t>09</w:t>
            </w:r>
            <w:r>
              <w:rPr>
                <w:sz w:val="18"/>
                <w:szCs w:val="18"/>
              </w:rPr>
              <w:t>月</w:t>
            </w:r>
            <w:r>
              <w:rPr>
                <w:sz w:val="18"/>
                <w:szCs w:val="18"/>
              </w:rPr>
              <w:t>15</w:t>
            </w:r>
            <w:r>
              <w:rPr>
                <w:sz w:val="18"/>
                <w:szCs w:val="18"/>
              </w:rPr>
              <w:t>日</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换届</w:t>
            </w:r>
          </w:p>
        </w:tc>
      </w:tr>
      <w:tr w:rsidR="00E20B54">
        <w:trPr>
          <w:trHeight w:val="240"/>
        </w:trPr>
        <w:tc>
          <w:tcPr>
            <w:tcW w:w="1928" w:type="dxa"/>
            <w:vMerge/>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李华青</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董事会秘书</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任免</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2025</w:t>
            </w:r>
            <w:r>
              <w:rPr>
                <w:sz w:val="18"/>
                <w:szCs w:val="18"/>
              </w:rPr>
              <w:t>年</w:t>
            </w:r>
            <w:r>
              <w:rPr>
                <w:sz w:val="18"/>
                <w:szCs w:val="18"/>
              </w:rPr>
              <w:t>01</w:t>
            </w:r>
            <w:r>
              <w:rPr>
                <w:sz w:val="18"/>
                <w:szCs w:val="18"/>
              </w:rPr>
              <w:t>月</w:t>
            </w:r>
            <w:r>
              <w:rPr>
                <w:sz w:val="18"/>
                <w:szCs w:val="18"/>
              </w:rPr>
              <w:t>16</w:t>
            </w:r>
            <w:r>
              <w:rPr>
                <w:sz w:val="18"/>
                <w:szCs w:val="18"/>
              </w:rPr>
              <w:t>日</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工作调动</w:t>
            </w:r>
          </w:p>
        </w:tc>
      </w:tr>
    </w:tbl>
    <w:p w:rsidR="00E20B54" w:rsidRDefault="00733C9E">
      <w:pPr>
        <w:pStyle w:val="3"/>
        <w:spacing w:line="280" w:lineRule="exact"/>
        <w:jc w:val="left"/>
        <w:rPr>
          <w:b/>
          <w:bCs/>
        </w:rPr>
      </w:pPr>
      <w:bookmarkStart w:id="59" w:name="_Toc988948"/>
      <w:r>
        <w:rPr>
          <w:b/>
          <w:bCs/>
        </w:rPr>
        <w:t>2</w:t>
      </w:r>
      <w:r>
        <w:rPr>
          <w:b/>
          <w:bCs/>
        </w:rPr>
        <w:t>、任职情况</w:t>
      </w:r>
      <w:bookmarkEnd w:id="59"/>
    </w:p>
    <w:p w:rsidR="00E20B54" w:rsidRDefault="00733C9E">
      <w:pPr>
        <w:spacing w:before="100" w:after="100" w:line="240" w:lineRule="exact"/>
        <w:rPr>
          <w:sz w:val="18"/>
          <w:szCs w:val="18"/>
        </w:rPr>
      </w:pPr>
      <w:r>
        <w:rPr>
          <w:sz w:val="18"/>
          <w:szCs w:val="18"/>
        </w:rPr>
        <w:t>公司现任董事、高级管理人员专业背景、主要工作经历以及目前在公司的主要职责</w:t>
      </w:r>
    </w:p>
    <w:p w:rsidR="00E20B54" w:rsidRDefault="00733C9E">
      <w:pPr>
        <w:pStyle w:val="a3"/>
        <w:widowControl/>
        <w:ind w:firstLineChars="200" w:firstLine="360"/>
      </w:pPr>
      <w:r>
        <w:rPr>
          <w:sz w:val="18"/>
          <w:szCs w:val="18"/>
        </w:rPr>
        <w:t>（</w:t>
      </w:r>
      <w:r>
        <w:rPr>
          <w:sz w:val="18"/>
          <w:szCs w:val="18"/>
        </w:rPr>
        <w:t>1</w:t>
      </w:r>
      <w:r>
        <w:rPr>
          <w:sz w:val="18"/>
          <w:szCs w:val="18"/>
        </w:rPr>
        <w:t>）林明玲女士：</w:t>
      </w:r>
      <w:r>
        <w:rPr>
          <w:sz w:val="18"/>
          <w:szCs w:val="18"/>
        </w:rPr>
        <w:t>1971</w:t>
      </w:r>
      <w:r>
        <w:rPr>
          <w:sz w:val="18"/>
          <w:szCs w:val="18"/>
        </w:rPr>
        <w:t>年生，中国国籍，无境外永久居留权，本科学历，行政管理专业。</w:t>
      </w:r>
      <w:r>
        <w:rPr>
          <w:sz w:val="18"/>
          <w:szCs w:val="18"/>
        </w:rPr>
        <w:t>1998</w:t>
      </w:r>
      <w:r>
        <w:rPr>
          <w:sz w:val="18"/>
          <w:szCs w:val="18"/>
        </w:rPr>
        <w:t>年</w:t>
      </w:r>
      <w:r>
        <w:rPr>
          <w:sz w:val="18"/>
          <w:szCs w:val="18"/>
        </w:rPr>
        <w:t>7</w:t>
      </w:r>
      <w:r>
        <w:rPr>
          <w:sz w:val="18"/>
          <w:szCs w:val="18"/>
        </w:rPr>
        <w:t>月至</w:t>
      </w:r>
      <w:r>
        <w:rPr>
          <w:sz w:val="18"/>
          <w:szCs w:val="18"/>
        </w:rPr>
        <w:t>2015</w:t>
      </w:r>
      <w:r>
        <w:rPr>
          <w:sz w:val="18"/>
          <w:szCs w:val="18"/>
        </w:rPr>
        <w:t>年</w:t>
      </w:r>
      <w:r>
        <w:rPr>
          <w:sz w:val="18"/>
          <w:szCs w:val="18"/>
        </w:rPr>
        <w:t>8</w:t>
      </w:r>
      <w:r>
        <w:rPr>
          <w:sz w:val="18"/>
          <w:szCs w:val="18"/>
        </w:rPr>
        <w:t>月担任公司执行董事；</w:t>
      </w:r>
      <w:r>
        <w:rPr>
          <w:sz w:val="18"/>
          <w:szCs w:val="18"/>
        </w:rPr>
        <w:t>2015</w:t>
      </w:r>
      <w:r>
        <w:rPr>
          <w:sz w:val="18"/>
          <w:szCs w:val="18"/>
        </w:rPr>
        <w:t>年</w:t>
      </w:r>
      <w:r>
        <w:rPr>
          <w:sz w:val="18"/>
          <w:szCs w:val="18"/>
        </w:rPr>
        <w:t>8</w:t>
      </w:r>
      <w:r>
        <w:rPr>
          <w:sz w:val="18"/>
          <w:szCs w:val="18"/>
        </w:rPr>
        <w:t>月至</w:t>
      </w:r>
      <w:r>
        <w:rPr>
          <w:sz w:val="18"/>
          <w:szCs w:val="18"/>
        </w:rPr>
        <w:t>2017</w:t>
      </w:r>
      <w:r>
        <w:rPr>
          <w:sz w:val="18"/>
          <w:szCs w:val="18"/>
        </w:rPr>
        <w:t>年</w:t>
      </w:r>
      <w:r>
        <w:rPr>
          <w:sz w:val="18"/>
          <w:szCs w:val="18"/>
        </w:rPr>
        <w:t>4</w:t>
      </w:r>
      <w:r>
        <w:rPr>
          <w:sz w:val="18"/>
          <w:szCs w:val="18"/>
        </w:rPr>
        <w:t>月担任公司董事长兼副总经理</w:t>
      </w:r>
      <w:r>
        <w:rPr>
          <w:sz w:val="18"/>
          <w:szCs w:val="18"/>
        </w:rPr>
        <w:t xml:space="preserve"> </w:t>
      </w:r>
      <w:r>
        <w:rPr>
          <w:sz w:val="18"/>
          <w:szCs w:val="18"/>
        </w:rPr>
        <w:t>；</w:t>
      </w:r>
      <w:r>
        <w:rPr>
          <w:sz w:val="18"/>
          <w:szCs w:val="18"/>
        </w:rPr>
        <w:t>2023</w:t>
      </w:r>
      <w:r>
        <w:rPr>
          <w:sz w:val="18"/>
          <w:szCs w:val="18"/>
        </w:rPr>
        <w:t>年</w:t>
      </w:r>
      <w:r>
        <w:rPr>
          <w:sz w:val="18"/>
          <w:szCs w:val="18"/>
        </w:rPr>
        <w:t>11</w:t>
      </w:r>
      <w:r>
        <w:rPr>
          <w:sz w:val="18"/>
          <w:szCs w:val="18"/>
        </w:rPr>
        <w:t>月至今，任广东润煌纺织新材料有限公司监事；</w:t>
      </w:r>
      <w:r>
        <w:rPr>
          <w:sz w:val="18"/>
          <w:szCs w:val="18"/>
        </w:rPr>
        <w:t>2017</w:t>
      </w:r>
      <w:r>
        <w:rPr>
          <w:sz w:val="18"/>
          <w:szCs w:val="18"/>
        </w:rPr>
        <w:t>年</w:t>
      </w:r>
      <w:r>
        <w:rPr>
          <w:sz w:val="18"/>
          <w:szCs w:val="18"/>
        </w:rPr>
        <w:t>4</w:t>
      </w:r>
      <w:r>
        <w:rPr>
          <w:sz w:val="18"/>
          <w:szCs w:val="18"/>
        </w:rPr>
        <w:t>月</w:t>
      </w:r>
      <w:r>
        <w:rPr>
          <w:sz w:val="18"/>
          <w:szCs w:val="18"/>
        </w:rPr>
        <w:t>29</w:t>
      </w:r>
      <w:r>
        <w:rPr>
          <w:sz w:val="18"/>
          <w:szCs w:val="18"/>
        </w:rPr>
        <w:t>日至今担任董事长。</w:t>
      </w:r>
    </w:p>
    <w:p w:rsidR="00E20B54" w:rsidRDefault="00733C9E">
      <w:pPr>
        <w:pStyle w:val="a3"/>
        <w:widowControl/>
        <w:ind w:firstLineChars="200" w:firstLine="360"/>
        <w:rPr>
          <w:sz w:val="18"/>
          <w:szCs w:val="18"/>
        </w:rPr>
      </w:pPr>
      <w:r>
        <w:rPr>
          <w:sz w:val="18"/>
          <w:szCs w:val="18"/>
        </w:rPr>
        <w:t>（</w:t>
      </w:r>
      <w:r>
        <w:rPr>
          <w:sz w:val="18"/>
          <w:szCs w:val="18"/>
        </w:rPr>
        <w:t>2</w:t>
      </w:r>
      <w:r>
        <w:rPr>
          <w:sz w:val="18"/>
          <w:szCs w:val="18"/>
        </w:rPr>
        <w:t>）马学沛先生：</w:t>
      </w:r>
      <w:r>
        <w:rPr>
          <w:sz w:val="18"/>
          <w:szCs w:val="18"/>
        </w:rPr>
        <w:t>1972</w:t>
      </w:r>
      <w:r>
        <w:rPr>
          <w:sz w:val="18"/>
          <w:szCs w:val="18"/>
        </w:rPr>
        <w:t>年生，中国国籍，无境外永久居留权，工商管理硕士学历。</w:t>
      </w:r>
      <w:r>
        <w:rPr>
          <w:sz w:val="18"/>
          <w:szCs w:val="18"/>
        </w:rPr>
        <w:t>1998</w:t>
      </w:r>
      <w:r>
        <w:rPr>
          <w:sz w:val="18"/>
          <w:szCs w:val="18"/>
        </w:rPr>
        <w:t>年</w:t>
      </w:r>
      <w:r>
        <w:rPr>
          <w:sz w:val="18"/>
          <w:szCs w:val="18"/>
        </w:rPr>
        <w:t>7</w:t>
      </w:r>
      <w:r>
        <w:rPr>
          <w:sz w:val="18"/>
          <w:szCs w:val="18"/>
        </w:rPr>
        <w:t>月至</w:t>
      </w:r>
      <w:r>
        <w:rPr>
          <w:sz w:val="18"/>
          <w:szCs w:val="18"/>
        </w:rPr>
        <w:t>2015</w:t>
      </w:r>
      <w:r>
        <w:rPr>
          <w:sz w:val="18"/>
          <w:szCs w:val="18"/>
        </w:rPr>
        <w:t>年</w:t>
      </w:r>
      <w:r>
        <w:rPr>
          <w:sz w:val="18"/>
          <w:szCs w:val="18"/>
        </w:rPr>
        <w:t>8</w:t>
      </w:r>
      <w:r>
        <w:rPr>
          <w:sz w:val="18"/>
          <w:szCs w:val="18"/>
        </w:rPr>
        <w:t>月担任公司总经理，</w:t>
      </w:r>
      <w:r>
        <w:rPr>
          <w:sz w:val="18"/>
          <w:szCs w:val="18"/>
        </w:rPr>
        <w:t>2015</w:t>
      </w:r>
      <w:r>
        <w:rPr>
          <w:sz w:val="18"/>
          <w:szCs w:val="18"/>
        </w:rPr>
        <w:t>年</w:t>
      </w:r>
      <w:r>
        <w:rPr>
          <w:sz w:val="18"/>
          <w:szCs w:val="18"/>
        </w:rPr>
        <w:t>8</w:t>
      </w:r>
      <w:r>
        <w:rPr>
          <w:sz w:val="18"/>
          <w:szCs w:val="18"/>
        </w:rPr>
        <w:t>月至今任公司副董事长兼总经理；</w:t>
      </w:r>
      <w:r>
        <w:rPr>
          <w:sz w:val="18"/>
          <w:szCs w:val="18"/>
        </w:rPr>
        <w:t xml:space="preserve"> 2015</w:t>
      </w:r>
      <w:r>
        <w:rPr>
          <w:sz w:val="18"/>
          <w:szCs w:val="18"/>
        </w:rPr>
        <w:t>年</w:t>
      </w:r>
      <w:r>
        <w:rPr>
          <w:sz w:val="18"/>
          <w:szCs w:val="18"/>
        </w:rPr>
        <w:t>4</w:t>
      </w:r>
      <w:r>
        <w:rPr>
          <w:sz w:val="18"/>
          <w:szCs w:val="18"/>
        </w:rPr>
        <w:t>月至今，任南京优志投资管理合伙企业（有限合伙）合伙人；</w:t>
      </w:r>
      <w:r>
        <w:rPr>
          <w:sz w:val="18"/>
          <w:szCs w:val="18"/>
        </w:rPr>
        <w:t xml:space="preserve"> 2016</w:t>
      </w:r>
      <w:r>
        <w:rPr>
          <w:sz w:val="18"/>
          <w:szCs w:val="18"/>
        </w:rPr>
        <w:t>年至今，任汕头市工商联合会副主席；</w:t>
      </w:r>
      <w:r>
        <w:rPr>
          <w:sz w:val="18"/>
          <w:szCs w:val="18"/>
        </w:rPr>
        <w:t>2023</w:t>
      </w:r>
      <w:r>
        <w:rPr>
          <w:sz w:val="18"/>
          <w:szCs w:val="18"/>
        </w:rPr>
        <w:t>年</w:t>
      </w:r>
      <w:r>
        <w:rPr>
          <w:sz w:val="18"/>
          <w:szCs w:val="18"/>
        </w:rPr>
        <w:t>2</w:t>
      </w:r>
      <w:r>
        <w:rPr>
          <w:sz w:val="18"/>
          <w:szCs w:val="18"/>
        </w:rPr>
        <w:t>月被选举为第十四届全国人民代表大会代表（任期</w:t>
      </w:r>
      <w:r>
        <w:rPr>
          <w:sz w:val="18"/>
          <w:szCs w:val="18"/>
        </w:rPr>
        <w:t>5</w:t>
      </w:r>
      <w:r>
        <w:rPr>
          <w:sz w:val="18"/>
          <w:szCs w:val="18"/>
        </w:rPr>
        <w:t>年）。</w:t>
      </w:r>
    </w:p>
    <w:p w:rsidR="00E20B54" w:rsidRDefault="00733C9E">
      <w:pPr>
        <w:pStyle w:val="a3"/>
        <w:widowControl/>
        <w:ind w:firstLineChars="200" w:firstLine="360"/>
      </w:pPr>
      <w:r>
        <w:rPr>
          <w:sz w:val="18"/>
          <w:szCs w:val="18"/>
        </w:rPr>
        <w:t>（</w:t>
      </w:r>
      <w:r>
        <w:rPr>
          <w:sz w:val="18"/>
          <w:szCs w:val="18"/>
        </w:rPr>
        <w:t>3</w:t>
      </w:r>
      <w:r>
        <w:rPr>
          <w:sz w:val="18"/>
          <w:szCs w:val="18"/>
        </w:rPr>
        <w:t>）马翊珽先生：</w:t>
      </w:r>
      <w:r>
        <w:rPr>
          <w:sz w:val="18"/>
          <w:szCs w:val="18"/>
        </w:rPr>
        <w:t>1998</w:t>
      </w:r>
      <w:r>
        <w:rPr>
          <w:sz w:val="18"/>
          <w:szCs w:val="18"/>
        </w:rPr>
        <w:t>年出生，中国国籍，无境外永久居留权，研究生学历，硕士学位，投资银行专业。</w:t>
      </w:r>
      <w:r>
        <w:rPr>
          <w:sz w:val="18"/>
          <w:szCs w:val="18"/>
        </w:rPr>
        <w:t>2022</w:t>
      </w:r>
      <w:r>
        <w:rPr>
          <w:sz w:val="18"/>
          <w:szCs w:val="18"/>
        </w:rPr>
        <w:t>年</w:t>
      </w:r>
      <w:r>
        <w:rPr>
          <w:sz w:val="18"/>
          <w:szCs w:val="18"/>
        </w:rPr>
        <w:t>9</w:t>
      </w:r>
      <w:r>
        <w:rPr>
          <w:sz w:val="18"/>
          <w:szCs w:val="18"/>
        </w:rPr>
        <w:t>月至</w:t>
      </w:r>
      <w:r>
        <w:rPr>
          <w:sz w:val="18"/>
          <w:szCs w:val="18"/>
        </w:rPr>
        <w:t>2023</w:t>
      </w:r>
      <w:r>
        <w:rPr>
          <w:sz w:val="18"/>
          <w:szCs w:val="18"/>
        </w:rPr>
        <w:t>年</w:t>
      </w:r>
      <w:r>
        <w:rPr>
          <w:sz w:val="18"/>
          <w:szCs w:val="18"/>
        </w:rPr>
        <w:t>6</w:t>
      </w:r>
      <w:r>
        <w:rPr>
          <w:sz w:val="18"/>
          <w:szCs w:val="18"/>
        </w:rPr>
        <w:t>月，于广发证券股份有限公司任职；</w:t>
      </w:r>
      <w:r>
        <w:rPr>
          <w:sz w:val="18"/>
          <w:szCs w:val="18"/>
        </w:rPr>
        <w:t>2023</w:t>
      </w:r>
      <w:r>
        <w:rPr>
          <w:sz w:val="18"/>
          <w:szCs w:val="18"/>
        </w:rPr>
        <w:t>年</w:t>
      </w:r>
      <w:r>
        <w:rPr>
          <w:sz w:val="18"/>
          <w:szCs w:val="18"/>
        </w:rPr>
        <w:t>7</w:t>
      </w:r>
      <w:r>
        <w:rPr>
          <w:sz w:val="18"/>
          <w:szCs w:val="18"/>
        </w:rPr>
        <w:t>月至今，任深圳市华睿欣能投资控股有限公司市场策划业务员；</w:t>
      </w:r>
      <w:r>
        <w:rPr>
          <w:sz w:val="18"/>
          <w:szCs w:val="18"/>
        </w:rPr>
        <w:t>2025</w:t>
      </w:r>
      <w:r>
        <w:rPr>
          <w:sz w:val="18"/>
          <w:szCs w:val="18"/>
        </w:rPr>
        <w:t>年</w:t>
      </w:r>
      <w:r>
        <w:rPr>
          <w:sz w:val="18"/>
          <w:szCs w:val="18"/>
        </w:rPr>
        <w:t>9</w:t>
      </w:r>
      <w:r>
        <w:rPr>
          <w:sz w:val="18"/>
          <w:szCs w:val="18"/>
        </w:rPr>
        <w:t>月起，兼任公司董事。</w:t>
      </w:r>
    </w:p>
    <w:p w:rsidR="00E20B54" w:rsidRDefault="00733C9E">
      <w:pPr>
        <w:pStyle w:val="a3"/>
        <w:widowControl/>
        <w:ind w:firstLineChars="200" w:firstLine="360"/>
      </w:pPr>
      <w:r>
        <w:rPr>
          <w:sz w:val="18"/>
          <w:szCs w:val="18"/>
        </w:rPr>
        <w:t>（</w:t>
      </w:r>
      <w:r>
        <w:rPr>
          <w:sz w:val="18"/>
          <w:szCs w:val="18"/>
        </w:rPr>
        <w:t>4</w:t>
      </w:r>
      <w:r>
        <w:rPr>
          <w:sz w:val="18"/>
          <w:szCs w:val="18"/>
        </w:rPr>
        <w:t>）刘楚境先生：</w:t>
      </w:r>
      <w:r>
        <w:rPr>
          <w:sz w:val="18"/>
          <w:szCs w:val="18"/>
        </w:rPr>
        <w:t>1978</w:t>
      </w:r>
      <w:r>
        <w:rPr>
          <w:sz w:val="18"/>
          <w:szCs w:val="18"/>
        </w:rPr>
        <w:t>年出生，中国国籍，无境外永久居留权，本科学历。曾任广州市科教电脑网络有限公司业务经理；</w:t>
      </w:r>
      <w:r>
        <w:rPr>
          <w:sz w:val="18"/>
          <w:szCs w:val="18"/>
        </w:rPr>
        <w:t>2011</w:t>
      </w:r>
      <w:r>
        <w:rPr>
          <w:sz w:val="18"/>
          <w:szCs w:val="18"/>
        </w:rPr>
        <w:t>年</w:t>
      </w:r>
      <w:r>
        <w:rPr>
          <w:sz w:val="18"/>
          <w:szCs w:val="18"/>
        </w:rPr>
        <w:t>7</w:t>
      </w:r>
      <w:r>
        <w:rPr>
          <w:sz w:val="18"/>
          <w:szCs w:val="18"/>
        </w:rPr>
        <w:t>月至</w:t>
      </w:r>
      <w:r>
        <w:rPr>
          <w:sz w:val="18"/>
          <w:szCs w:val="18"/>
        </w:rPr>
        <w:t>2023</w:t>
      </w:r>
      <w:r>
        <w:rPr>
          <w:sz w:val="18"/>
          <w:szCs w:val="18"/>
        </w:rPr>
        <w:t>年</w:t>
      </w:r>
      <w:r>
        <w:rPr>
          <w:sz w:val="18"/>
          <w:szCs w:val="18"/>
        </w:rPr>
        <w:t>2</w:t>
      </w:r>
      <w:r>
        <w:rPr>
          <w:sz w:val="18"/>
          <w:szCs w:val="18"/>
        </w:rPr>
        <w:t>月，任公司业务经理；</w:t>
      </w:r>
      <w:r>
        <w:rPr>
          <w:sz w:val="18"/>
          <w:szCs w:val="18"/>
        </w:rPr>
        <w:t>2023</w:t>
      </w:r>
      <w:r>
        <w:rPr>
          <w:sz w:val="18"/>
          <w:szCs w:val="18"/>
        </w:rPr>
        <w:t>年</w:t>
      </w:r>
      <w:r>
        <w:rPr>
          <w:sz w:val="18"/>
          <w:szCs w:val="18"/>
        </w:rPr>
        <w:t>2</w:t>
      </w:r>
      <w:r>
        <w:rPr>
          <w:sz w:val="18"/>
          <w:szCs w:val="18"/>
        </w:rPr>
        <w:t>月至</w:t>
      </w:r>
      <w:r>
        <w:rPr>
          <w:sz w:val="18"/>
          <w:szCs w:val="18"/>
        </w:rPr>
        <w:t>2023</w:t>
      </w:r>
      <w:r>
        <w:rPr>
          <w:sz w:val="18"/>
          <w:szCs w:val="18"/>
        </w:rPr>
        <w:t>年</w:t>
      </w:r>
      <w:r>
        <w:rPr>
          <w:sz w:val="18"/>
          <w:szCs w:val="18"/>
        </w:rPr>
        <w:t>9</w:t>
      </w:r>
      <w:r>
        <w:rPr>
          <w:sz w:val="18"/>
          <w:szCs w:val="18"/>
        </w:rPr>
        <w:t>月，任工业和信息化部电子第五研究所业务经理；</w:t>
      </w:r>
      <w:r>
        <w:rPr>
          <w:sz w:val="18"/>
          <w:szCs w:val="18"/>
        </w:rPr>
        <w:t>2023</w:t>
      </w:r>
      <w:r>
        <w:rPr>
          <w:sz w:val="18"/>
          <w:szCs w:val="18"/>
        </w:rPr>
        <w:t>年</w:t>
      </w:r>
      <w:r>
        <w:rPr>
          <w:sz w:val="18"/>
          <w:szCs w:val="18"/>
        </w:rPr>
        <w:t>9</w:t>
      </w:r>
      <w:r>
        <w:rPr>
          <w:sz w:val="18"/>
          <w:szCs w:val="18"/>
        </w:rPr>
        <w:t>月至今，任上海前锦众程人力资源有限公司客户业务主管。</w:t>
      </w:r>
    </w:p>
    <w:p w:rsidR="00E20B54" w:rsidRDefault="00733C9E">
      <w:pPr>
        <w:pStyle w:val="a3"/>
        <w:widowControl/>
        <w:ind w:firstLineChars="200" w:firstLine="360"/>
      </w:pPr>
      <w:r>
        <w:rPr>
          <w:sz w:val="18"/>
          <w:szCs w:val="18"/>
        </w:rPr>
        <w:t>（</w:t>
      </w:r>
      <w:r>
        <w:rPr>
          <w:sz w:val="18"/>
          <w:szCs w:val="18"/>
        </w:rPr>
        <w:t>5</w:t>
      </w:r>
      <w:r>
        <w:rPr>
          <w:sz w:val="18"/>
          <w:szCs w:val="18"/>
        </w:rPr>
        <w:t>）郭树荣先生：</w:t>
      </w:r>
      <w:r>
        <w:rPr>
          <w:sz w:val="18"/>
          <w:szCs w:val="18"/>
        </w:rPr>
        <w:t>1975</w:t>
      </w:r>
      <w:r>
        <w:rPr>
          <w:sz w:val="18"/>
          <w:szCs w:val="18"/>
        </w:rPr>
        <w:t>年出生，中国国籍，无境外永久居留权，本科学历。</w:t>
      </w:r>
      <w:r>
        <w:rPr>
          <w:sz w:val="18"/>
          <w:szCs w:val="18"/>
        </w:rPr>
        <w:t>2011</w:t>
      </w:r>
      <w:r>
        <w:rPr>
          <w:sz w:val="18"/>
          <w:szCs w:val="18"/>
        </w:rPr>
        <w:t>年</w:t>
      </w:r>
      <w:r>
        <w:rPr>
          <w:sz w:val="18"/>
          <w:szCs w:val="18"/>
        </w:rPr>
        <w:t>8</w:t>
      </w:r>
      <w:r>
        <w:rPr>
          <w:sz w:val="18"/>
          <w:szCs w:val="18"/>
        </w:rPr>
        <w:t>月至</w:t>
      </w:r>
      <w:r>
        <w:rPr>
          <w:sz w:val="18"/>
          <w:szCs w:val="18"/>
        </w:rPr>
        <w:t>2020</w:t>
      </w:r>
      <w:r>
        <w:rPr>
          <w:sz w:val="18"/>
          <w:szCs w:val="18"/>
        </w:rPr>
        <w:t>年</w:t>
      </w:r>
      <w:r>
        <w:rPr>
          <w:sz w:val="18"/>
          <w:szCs w:val="18"/>
        </w:rPr>
        <w:t>10</w:t>
      </w:r>
      <w:r>
        <w:rPr>
          <w:sz w:val="18"/>
          <w:szCs w:val="18"/>
        </w:rPr>
        <w:t>月，任广东东研网络科技股份有限公司信息部经理；</w:t>
      </w:r>
      <w:r>
        <w:rPr>
          <w:sz w:val="18"/>
          <w:szCs w:val="18"/>
        </w:rPr>
        <w:t>2021</w:t>
      </w:r>
      <w:r>
        <w:rPr>
          <w:sz w:val="18"/>
          <w:szCs w:val="18"/>
        </w:rPr>
        <w:t>年</w:t>
      </w:r>
      <w:r>
        <w:rPr>
          <w:sz w:val="18"/>
          <w:szCs w:val="18"/>
        </w:rPr>
        <w:t>4</w:t>
      </w:r>
      <w:r>
        <w:rPr>
          <w:sz w:val="18"/>
          <w:szCs w:val="18"/>
        </w:rPr>
        <w:t>月至</w:t>
      </w:r>
      <w:r>
        <w:rPr>
          <w:sz w:val="18"/>
          <w:szCs w:val="18"/>
        </w:rPr>
        <w:t>2022</w:t>
      </w:r>
      <w:r>
        <w:rPr>
          <w:sz w:val="18"/>
          <w:szCs w:val="18"/>
        </w:rPr>
        <w:t>年</w:t>
      </w:r>
      <w:r>
        <w:rPr>
          <w:sz w:val="18"/>
          <w:szCs w:val="18"/>
        </w:rPr>
        <w:t>8</w:t>
      </w:r>
      <w:r>
        <w:rPr>
          <w:sz w:val="18"/>
          <w:szCs w:val="18"/>
        </w:rPr>
        <w:t>月，任广东达诚技术有限公司</w:t>
      </w:r>
      <w:r>
        <w:rPr>
          <w:sz w:val="18"/>
          <w:szCs w:val="18"/>
        </w:rPr>
        <w:t>IT</w:t>
      </w:r>
      <w:r>
        <w:rPr>
          <w:sz w:val="18"/>
          <w:szCs w:val="18"/>
        </w:rPr>
        <w:t>部经理；</w:t>
      </w:r>
      <w:r>
        <w:rPr>
          <w:sz w:val="18"/>
          <w:szCs w:val="18"/>
        </w:rPr>
        <w:t>2022</w:t>
      </w:r>
      <w:r>
        <w:rPr>
          <w:sz w:val="18"/>
          <w:szCs w:val="18"/>
        </w:rPr>
        <w:t>年</w:t>
      </w:r>
      <w:r>
        <w:rPr>
          <w:sz w:val="18"/>
          <w:szCs w:val="18"/>
        </w:rPr>
        <w:t>9</w:t>
      </w:r>
      <w:r>
        <w:rPr>
          <w:sz w:val="18"/>
          <w:szCs w:val="18"/>
        </w:rPr>
        <w:t>月至今，任公司信息管理部经理，</w:t>
      </w:r>
      <w:r>
        <w:rPr>
          <w:sz w:val="18"/>
          <w:szCs w:val="18"/>
        </w:rPr>
        <w:t>2025</w:t>
      </w:r>
      <w:r>
        <w:rPr>
          <w:sz w:val="18"/>
          <w:szCs w:val="18"/>
        </w:rPr>
        <w:t>年</w:t>
      </w:r>
      <w:r>
        <w:rPr>
          <w:sz w:val="18"/>
          <w:szCs w:val="18"/>
        </w:rPr>
        <w:t>9</w:t>
      </w:r>
      <w:r>
        <w:rPr>
          <w:sz w:val="18"/>
          <w:szCs w:val="18"/>
        </w:rPr>
        <w:t>月起兼任董事。</w:t>
      </w:r>
    </w:p>
    <w:p w:rsidR="00E20B54" w:rsidRDefault="00733C9E">
      <w:pPr>
        <w:pStyle w:val="a3"/>
        <w:widowControl/>
        <w:ind w:firstLineChars="200" w:firstLine="360"/>
      </w:pPr>
      <w:r>
        <w:rPr>
          <w:sz w:val="18"/>
          <w:szCs w:val="18"/>
        </w:rPr>
        <w:t>（</w:t>
      </w:r>
      <w:r>
        <w:rPr>
          <w:sz w:val="18"/>
          <w:szCs w:val="18"/>
        </w:rPr>
        <w:t>6</w:t>
      </w:r>
      <w:r>
        <w:rPr>
          <w:sz w:val="18"/>
          <w:szCs w:val="18"/>
        </w:rPr>
        <w:t>）曹丽梅女士：</w:t>
      </w:r>
      <w:r>
        <w:rPr>
          <w:sz w:val="18"/>
          <w:szCs w:val="18"/>
        </w:rPr>
        <w:t>1978</w:t>
      </w:r>
      <w:r>
        <w:rPr>
          <w:sz w:val="18"/>
          <w:szCs w:val="18"/>
        </w:rPr>
        <w:t>年出生，</w:t>
      </w:r>
      <w:r>
        <w:rPr>
          <w:sz w:val="18"/>
          <w:szCs w:val="18"/>
        </w:rPr>
        <w:t xml:space="preserve"> </w:t>
      </w:r>
      <w:r>
        <w:rPr>
          <w:sz w:val="18"/>
          <w:szCs w:val="18"/>
        </w:rPr>
        <w:t>中国国籍，无境外永久居住权，会计学博士学位，广东省科技厅财务专家、广东省财政厅绩效评价专家。</w:t>
      </w:r>
      <w:r>
        <w:rPr>
          <w:sz w:val="18"/>
          <w:szCs w:val="18"/>
        </w:rPr>
        <w:t>2014</w:t>
      </w:r>
      <w:r>
        <w:rPr>
          <w:sz w:val="18"/>
          <w:szCs w:val="18"/>
        </w:rPr>
        <w:t>年</w:t>
      </w:r>
      <w:r>
        <w:rPr>
          <w:sz w:val="18"/>
          <w:szCs w:val="18"/>
        </w:rPr>
        <w:t>7</w:t>
      </w:r>
      <w:r>
        <w:rPr>
          <w:sz w:val="18"/>
          <w:szCs w:val="18"/>
        </w:rPr>
        <w:t>月至今，于广东财经大学会计学院审计任教，现任审计系系主任、教授、硕士生导师；兼任播恩集团股份有限公司独立董事、福能东方装备科技股份有限公司独立董事；</w:t>
      </w:r>
      <w:r>
        <w:rPr>
          <w:sz w:val="18"/>
          <w:szCs w:val="18"/>
        </w:rPr>
        <w:t>2022</w:t>
      </w:r>
      <w:r>
        <w:rPr>
          <w:sz w:val="18"/>
          <w:szCs w:val="18"/>
        </w:rPr>
        <w:t>年</w:t>
      </w:r>
      <w:r>
        <w:rPr>
          <w:sz w:val="18"/>
          <w:szCs w:val="18"/>
        </w:rPr>
        <w:t>3</w:t>
      </w:r>
      <w:r>
        <w:rPr>
          <w:sz w:val="18"/>
          <w:szCs w:val="18"/>
        </w:rPr>
        <w:t>月至今任公司独立董事、董事会审计委员会召集人。曹丽梅女士为会计专业人士，已取得深圳证券交易所认可的独立董事资格证书，符合独立董事任职资格。</w:t>
      </w:r>
    </w:p>
    <w:p w:rsidR="00E20B54" w:rsidRDefault="00733C9E">
      <w:pPr>
        <w:pStyle w:val="a3"/>
        <w:widowControl/>
        <w:ind w:firstLineChars="200" w:firstLine="360"/>
      </w:pPr>
      <w:r>
        <w:rPr>
          <w:sz w:val="18"/>
          <w:szCs w:val="18"/>
        </w:rPr>
        <w:t>（</w:t>
      </w:r>
      <w:r>
        <w:rPr>
          <w:sz w:val="18"/>
          <w:szCs w:val="18"/>
        </w:rPr>
        <w:t>7</w:t>
      </w:r>
      <w:r>
        <w:rPr>
          <w:sz w:val="18"/>
          <w:szCs w:val="18"/>
        </w:rPr>
        <w:t>）滕丽秋女士：</w:t>
      </w:r>
      <w:r>
        <w:rPr>
          <w:sz w:val="18"/>
          <w:szCs w:val="18"/>
        </w:rPr>
        <w:t>1974</w:t>
      </w:r>
      <w:r>
        <w:rPr>
          <w:sz w:val="18"/>
          <w:szCs w:val="18"/>
        </w:rPr>
        <w:t>年</w:t>
      </w:r>
      <w:r>
        <w:rPr>
          <w:sz w:val="18"/>
          <w:szCs w:val="18"/>
        </w:rPr>
        <w:t>10</w:t>
      </w:r>
      <w:r>
        <w:rPr>
          <w:sz w:val="18"/>
          <w:szCs w:val="18"/>
        </w:rPr>
        <w:t>月出生，中国国籍，无境外永久居住权，本科学历，香港大学在读研究生。</w:t>
      </w:r>
      <w:r>
        <w:rPr>
          <w:sz w:val="18"/>
          <w:szCs w:val="18"/>
        </w:rPr>
        <w:t>2011</w:t>
      </w:r>
      <w:r>
        <w:rPr>
          <w:sz w:val="18"/>
          <w:szCs w:val="18"/>
        </w:rPr>
        <w:t>年</w:t>
      </w:r>
      <w:r>
        <w:rPr>
          <w:sz w:val="18"/>
          <w:szCs w:val="18"/>
        </w:rPr>
        <w:t>6</w:t>
      </w:r>
      <w:r>
        <w:rPr>
          <w:sz w:val="18"/>
          <w:szCs w:val="18"/>
        </w:rPr>
        <w:t>月至</w:t>
      </w:r>
      <w:r>
        <w:rPr>
          <w:sz w:val="18"/>
          <w:szCs w:val="18"/>
        </w:rPr>
        <w:t>2025</w:t>
      </w:r>
      <w:r>
        <w:rPr>
          <w:sz w:val="18"/>
          <w:szCs w:val="18"/>
        </w:rPr>
        <w:t>年</w:t>
      </w:r>
      <w:r>
        <w:rPr>
          <w:sz w:val="18"/>
          <w:szCs w:val="18"/>
        </w:rPr>
        <w:t>9</w:t>
      </w:r>
      <w:r>
        <w:rPr>
          <w:sz w:val="18"/>
          <w:szCs w:val="18"/>
        </w:rPr>
        <w:t>月，任汕头市电子信息和软件行业协会秘书长；</w:t>
      </w:r>
      <w:r>
        <w:rPr>
          <w:sz w:val="18"/>
          <w:szCs w:val="18"/>
        </w:rPr>
        <w:t>2014</w:t>
      </w:r>
      <w:r>
        <w:rPr>
          <w:sz w:val="18"/>
          <w:szCs w:val="18"/>
        </w:rPr>
        <w:t>年</w:t>
      </w:r>
      <w:r>
        <w:rPr>
          <w:sz w:val="18"/>
          <w:szCs w:val="18"/>
        </w:rPr>
        <w:t>05</w:t>
      </w:r>
      <w:r>
        <w:rPr>
          <w:sz w:val="18"/>
          <w:szCs w:val="18"/>
        </w:rPr>
        <w:t>月至今，任汕头市高新技术企业协会秘书长；</w:t>
      </w:r>
      <w:r>
        <w:rPr>
          <w:sz w:val="18"/>
          <w:szCs w:val="18"/>
        </w:rPr>
        <w:t>2016</w:t>
      </w:r>
      <w:r>
        <w:rPr>
          <w:sz w:val="18"/>
          <w:szCs w:val="18"/>
        </w:rPr>
        <w:t>年</w:t>
      </w:r>
      <w:r>
        <w:rPr>
          <w:sz w:val="18"/>
          <w:szCs w:val="18"/>
        </w:rPr>
        <w:t>12</w:t>
      </w:r>
      <w:r>
        <w:rPr>
          <w:sz w:val="18"/>
          <w:szCs w:val="18"/>
        </w:rPr>
        <w:t>月至今，任汕头市智能制造产业协会秘书长；</w:t>
      </w:r>
      <w:r>
        <w:rPr>
          <w:sz w:val="18"/>
          <w:szCs w:val="18"/>
        </w:rPr>
        <w:t>2014</w:t>
      </w:r>
      <w:r>
        <w:rPr>
          <w:sz w:val="18"/>
          <w:szCs w:val="18"/>
        </w:rPr>
        <w:t>年</w:t>
      </w:r>
      <w:r>
        <w:rPr>
          <w:sz w:val="18"/>
          <w:szCs w:val="18"/>
        </w:rPr>
        <w:t>07</w:t>
      </w:r>
      <w:r>
        <w:rPr>
          <w:sz w:val="18"/>
          <w:szCs w:val="18"/>
        </w:rPr>
        <w:t>月至今兼任汕头市同行网络科技有限公司企业顾问。</w:t>
      </w:r>
      <w:r>
        <w:rPr>
          <w:sz w:val="18"/>
          <w:szCs w:val="18"/>
        </w:rPr>
        <w:lastRenderedPageBreak/>
        <w:t>2025</w:t>
      </w:r>
      <w:r>
        <w:rPr>
          <w:sz w:val="18"/>
          <w:szCs w:val="18"/>
        </w:rPr>
        <w:t>年</w:t>
      </w:r>
      <w:r>
        <w:rPr>
          <w:sz w:val="18"/>
          <w:szCs w:val="18"/>
        </w:rPr>
        <w:t>9</w:t>
      </w:r>
      <w:r>
        <w:rPr>
          <w:sz w:val="18"/>
          <w:szCs w:val="18"/>
        </w:rPr>
        <w:t>月起，兼任公司独立董事。滕丽秋女士已取得深圳证券交易所认可的独立董事资格证书，符合独立董事任职资格。</w:t>
      </w:r>
    </w:p>
    <w:p w:rsidR="00E20B54" w:rsidRDefault="00733C9E">
      <w:pPr>
        <w:pStyle w:val="a3"/>
        <w:widowControl/>
        <w:ind w:firstLineChars="200" w:firstLine="360"/>
      </w:pPr>
      <w:r>
        <w:rPr>
          <w:sz w:val="18"/>
          <w:szCs w:val="18"/>
        </w:rPr>
        <w:t>（</w:t>
      </w:r>
      <w:r>
        <w:rPr>
          <w:sz w:val="18"/>
          <w:szCs w:val="18"/>
        </w:rPr>
        <w:t>8</w:t>
      </w:r>
      <w:r>
        <w:rPr>
          <w:sz w:val="18"/>
          <w:szCs w:val="18"/>
        </w:rPr>
        <w:t>）石洁芝女士（曾用名：李洁芝）：</w:t>
      </w:r>
      <w:r>
        <w:rPr>
          <w:sz w:val="18"/>
          <w:szCs w:val="18"/>
        </w:rPr>
        <w:t>1973</w:t>
      </w:r>
      <w:r>
        <w:rPr>
          <w:sz w:val="18"/>
          <w:szCs w:val="18"/>
        </w:rPr>
        <w:t>年出生，中国国籍，无境外永久居住权，本科学历。</w:t>
      </w:r>
      <w:r>
        <w:rPr>
          <w:sz w:val="18"/>
          <w:szCs w:val="18"/>
        </w:rPr>
        <w:t>2006</w:t>
      </w:r>
      <w:r>
        <w:rPr>
          <w:sz w:val="18"/>
          <w:szCs w:val="18"/>
        </w:rPr>
        <w:t>年</w:t>
      </w:r>
      <w:r>
        <w:rPr>
          <w:sz w:val="18"/>
          <w:szCs w:val="18"/>
        </w:rPr>
        <w:t>11</w:t>
      </w:r>
      <w:r>
        <w:rPr>
          <w:sz w:val="18"/>
          <w:szCs w:val="18"/>
        </w:rPr>
        <w:t>月至今，于广东本力律师事务所任主任律师；</w:t>
      </w:r>
      <w:r>
        <w:rPr>
          <w:sz w:val="18"/>
          <w:szCs w:val="18"/>
        </w:rPr>
        <w:t>2022</w:t>
      </w:r>
      <w:r>
        <w:rPr>
          <w:sz w:val="18"/>
          <w:szCs w:val="18"/>
        </w:rPr>
        <w:t>年</w:t>
      </w:r>
      <w:r>
        <w:rPr>
          <w:sz w:val="18"/>
          <w:szCs w:val="18"/>
        </w:rPr>
        <w:t>3</w:t>
      </w:r>
      <w:r>
        <w:rPr>
          <w:sz w:val="18"/>
          <w:szCs w:val="18"/>
        </w:rPr>
        <w:t>月至今任公司独立董事、董事会薪酬与考核委员会召集人、审计委员会委员、提名委员会委员。石洁芝女士为法律专业人士，已取得深圳证券交易所认可的独立董事资格证书，符合独立董事任职资格。</w:t>
      </w:r>
    </w:p>
    <w:p w:rsidR="00E20B54" w:rsidRDefault="00733C9E">
      <w:pPr>
        <w:pStyle w:val="a3"/>
        <w:widowControl/>
        <w:ind w:firstLineChars="200" w:firstLine="360"/>
      </w:pPr>
      <w:r>
        <w:rPr>
          <w:sz w:val="18"/>
          <w:szCs w:val="18"/>
        </w:rPr>
        <w:t>（</w:t>
      </w:r>
      <w:r>
        <w:rPr>
          <w:sz w:val="18"/>
          <w:szCs w:val="18"/>
        </w:rPr>
        <w:t>9</w:t>
      </w:r>
      <w:r>
        <w:rPr>
          <w:sz w:val="18"/>
          <w:szCs w:val="18"/>
        </w:rPr>
        <w:t>）曹维先生：</w:t>
      </w:r>
      <w:r>
        <w:rPr>
          <w:sz w:val="18"/>
          <w:szCs w:val="18"/>
        </w:rPr>
        <w:t>1987</w:t>
      </w:r>
      <w:r>
        <w:rPr>
          <w:sz w:val="18"/>
          <w:szCs w:val="18"/>
        </w:rPr>
        <w:t>年生，中国国籍，无境外永久居留权，本科学历。</w:t>
      </w:r>
      <w:r>
        <w:rPr>
          <w:sz w:val="18"/>
          <w:szCs w:val="18"/>
        </w:rPr>
        <w:t>2011</w:t>
      </w:r>
      <w:r>
        <w:rPr>
          <w:sz w:val="18"/>
          <w:szCs w:val="18"/>
        </w:rPr>
        <w:t>年</w:t>
      </w:r>
      <w:r>
        <w:rPr>
          <w:sz w:val="18"/>
          <w:szCs w:val="18"/>
        </w:rPr>
        <w:t>7</w:t>
      </w:r>
      <w:r>
        <w:rPr>
          <w:sz w:val="18"/>
          <w:szCs w:val="18"/>
        </w:rPr>
        <w:t>月至</w:t>
      </w:r>
      <w:r>
        <w:rPr>
          <w:sz w:val="18"/>
          <w:szCs w:val="18"/>
        </w:rPr>
        <w:t>2012</w:t>
      </w:r>
      <w:r>
        <w:rPr>
          <w:sz w:val="18"/>
          <w:szCs w:val="18"/>
        </w:rPr>
        <w:t>年</w:t>
      </w:r>
      <w:r>
        <w:rPr>
          <w:sz w:val="18"/>
          <w:szCs w:val="18"/>
        </w:rPr>
        <w:t>12</w:t>
      </w:r>
      <w:r>
        <w:rPr>
          <w:sz w:val="18"/>
          <w:szCs w:val="18"/>
        </w:rPr>
        <w:t>月，任唐山冀东水泥股份有限公司证券事务专员；</w:t>
      </w:r>
      <w:r>
        <w:rPr>
          <w:sz w:val="18"/>
          <w:szCs w:val="18"/>
        </w:rPr>
        <w:t>2013</w:t>
      </w:r>
      <w:r>
        <w:rPr>
          <w:sz w:val="18"/>
          <w:szCs w:val="18"/>
        </w:rPr>
        <w:t>年</w:t>
      </w:r>
      <w:r>
        <w:rPr>
          <w:sz w:val="18"/>
          <w:szCs w:val="18"/>
        </w:rPr>
        <w:t>1</w:t>
      </w:r>
      <w:r>
        <w:rPr>
          <w:sz w:val="18"/>
          <w:szCs w:val="18"/>
        </w:rPr>
        <w:t>月至</w:t>
      </w:r>
      <w:r>
        <w:rPr>
          <w:sz w:val="18"/>
          <w:szCs w:val="18"/>
        </w:rPr>
        <w:t>2015</w:t>
      </w:r>
      <w:r>
        <w:rPr>
          <w:sz w:val="18"/>
          <w:szCs w:val="18"/>
        </w:rPr>
        <w:t>年</w:t>
      </w:r>
      <w:r>
        <w:rPr>
          <w:sz w:val="18"/>
          <w:szCs w:val="18"/>
        </w:rPr>
        <w:t>8</w:t>
      </w:r>
      <w:r>
        <w:rPr>
          <w:sz w:val="18"/>
          <w:szCs w:val="18"/>
        </w:rPr>
        <w:t>月，任四川浩物机电股份有限公司证券事务部部长助理；</w:t>
      </w:r>
      <w:r>
        <w:rPr>
          <w:sz w:val="18"/>
          <w:szCs w:val="18"/>
        </w:rPr>
        <w:t>2015</w:t>
      </w:r>
      <w:r>
        <w:rPr>
          <w:sz w:val="18"/>
          <w:szCs w:val="18"/>
        </w:rPr>
        <w:t>年</w:t>
      </w:r>
      <w:r>
        <w:rPr>
          <w:sz w:val="18"/>
          <w:szCs w:val="18"/>
        </w:rPr>
        <w:t>8</w:t>
      </w:r>
      <w:r>
        <w:rPr>
          <w:sz w:val="18"/>
          <w:szCs w:val="18"/>
        </w:rPr>
        <w:t>月至</w:t>
      </w:r>
      <w:r>
        <w:rPr>
          <w:sz w:val="18"/>
          <w:szCs w:val="18"/>
        </w:rPr>
        <w:t>2022</w:t>
      </w:r>
      <w:r>
        <w:rPr>
          <w:sz w:val="18"/>
          <w:szCs w:val="18"/>
        </w:rPr>
        <w:t>年</w:t>
      </w:r>
      <w:r>
        <w:rPr>
          <w:sz w:val="18"/>
          <w:szCs w:val="18"/>
        </w:rPr>
        <w:t>10</w:t>
      </w:r>
      <w:r>
        <w:rPr>
          <w:sz w:val="18"/>
          <w:szCs w:val="18"/>
        </w:rPr>
        <w:t>月，先后任恒康医疗集团股份有限公司证券事务代表（</w:t>
      </w:r>
      <w:r>
        <w:rPr>
          <w:sz w:val="18"/>
          <w:szCs w:val="18"/>
        </w:rPr>
        <w:t>2016</w:t>
      </w:r>
      <w:r>
        <w:rPr>
          <w:sz w:val="18"/>
          <w:szCs w:val="18"/>
        </w:rPr>
        <w:t>年</w:t>
      </w:r>
      <w:r>
        <w:rPr>
          <w:sz w:val="18"/>
          <w:szCs w:val="18"/>
        </w:rPr>
        <w:t>2</w:t>
      </w:r>
      <w:r>
        <w:rPr>
          <w:sz w:val="18"/>
          <w:szCs w:val="18"/>
        </w:rPr>
        <w:t>月至</w:t>
      </w:r>
      <w:r>
        <w:rPr>
          <w:sz w:val="18"/>
          <w:szCs w:val="18"/>
        </w:rPr>
        <w:t>8</w:t>
      </w:r>
      <w:r>
        <w:rPr>
          <w:sz w:val="18"/>
          <w:szCs w:val="18"/>
        </w:rPr>
        <w:t>月）、董事会秘书兼副总经理（</w:t>
      </w:r>
      <w:r>
        <w:rPr>
          <w:sz w:val="18"/>
          <w:szCs w:val="18"/>
        </w:rPr>
        <w:t>2016</w:t>
      </w:r>
      <w:r>
        <w:rPr>
          <w:sz w:val="18"/>
          <w:szCs w:val="18"/>
        </w:rPr>
        <w:t>年</w:t>
      </w:r>
      <w:r>
        <w:rPr>
          <w:sz w:val="18"/>
          <w:szCs w:val="18"/>
        </w:rPr>
        <w:t>8</w:t>
      </w:r>
      <w:r>
        <w:rPr>
          <w:sz w:val="18"/>
          <w:szCs w:val="18"/>
        </w:rPr>
        <w:t>月至</w:t>
      </w:r>
      <w:r>
        <w:rPr>
          <w:sz w:val="18"/>
          <w:szCs w:val="18"/>
        </w:rPr>
        <w:t>2022</w:t>
      </w:r>
      <w:r>
        <w:rPr>
          <w:sz w:val="18"/>
          <w:szCs w:val="18"/>
        </w:rPr>
        <w:t>年</w:t>
      </w:r>
      <w:r>
        <w:rPr>
          <w:sz w:val="18"/>
          <w:szCs w:val="18"/>
        </w:rPr>
        <w:t>9</w:t>
      </w:r>
      <w:r>
        <w:rPr>
          <w:sz w:val="18"/>
          <w:szCs w:val="18"/>
        </w:rPr>
        <w:t>月）；</w:t>
      </w:r>
      <w:r>
        <w:rPr>
          <w:sz w:val="18"/>
          <w:szCs w:val="18"/>
        </w:rPr>
        <w:t>2022</w:t>
      </w:r>
      <w:r>
        <w:rPr>
          <w:sz w:val="18"/>
          <w:szCs w:val="18"/>
        </w:rPr>
        <w:t>年</w:t>
      </w:r>
      <w:r>
        <w:rPr>
          <w:sz w:val="18"/>
          <w:szCs w:val="18"/>
        </w:rPr>
        <w:t>11</w:t>
      </w:r>
      <w:r>
        <w:rPr>
          <w:sz w:val="18"/>
          <w:szCs w:val="18"/>
        </w:rPr>
        <w:t>月至</w:t>
      </w:r>
      <w:r>
        <w:rPr>
          <w:sz w:val="18"/>
          <w:szCs w:val="18"/>
        </w:rPr>
        <w:t>2024</w:t>
      </w:r>
      <w:r>
        <w:rPr>
          <w:sz w:val="18"/>
          <w:szCs w:val="18"/>
        </w:rPr>
        <w:t>年</w:t>
      </w:r>
      <w:r>
        <w:rPr>
          <w:sz w:val="18"/>
          <w:szCs w:val="18"/>
        </w:rPr>
        <w:t>4</w:t>
      </w:r>
      <w:r>
        <w:rPr>
          <w:sz w:val="18"/>
          <w:szCs w:val="18"/>
        </w:rPr>
        <w:t>月，任深圳市费特森新能源有限责任公司投资总监；</w:t>
      </w:r>
      <w:r>
        <w:rPr>
          <w:sz w:val="18"/>
          <w:szCs w:val="18"/>
        </w:rPr>
        <w:t>2024</w:t>
      </w:r>
      <w:r>
        <w:rPr>
          <w:sz w:val="18"/>
          <w:szCs w:val="18"/>
        </w:rPr>
        <w:t>年</w:t>
      </w:r>
      <w:r>
        <w:rPr>
          <w:sz w:val="18"/>
          <w:szCs w:val="18"/>
        </w:rPr>
        <w:t>5</w:t>
      </w:r>
      <w:r>
        <w:rPr>
          <w:sz w:val="18"/>
          <w:szCs w:val="18"/>
        </w:rPr>
        <w:t>月加入公司，任总经理助理；</w:t>
      </w:r>
      <w:r>
        <w:rPr>
          <w:sz w:val="18"/>
          <w:szCs w:val="18"/>
        </w:rPr>
        <w:t>2025</w:t>
      </w:r>
      <w:r>
        <w:rPr>
          <w:sz w:val="18"/>
          <w:szCs w:val="18"/>
        </w:rPr>
        <w:t>年</w:t>
      </w:r>
      <w:r>
        <w:rPr>
          <w:sz w:val="18"/>
          <w:szCs w:val="18"/>
        </w:rPr>
        <w:t>1</w:t>
      </w:r>
      <w:r>
        <w:rPr>
          <w:sz w:val="18"/>
          <w:szCs w:val="18"/>
        </w:rPr>
        <w:t>月至</w:t>
      </w:r>
      <w:r>
        <w:rPr>
          <w:sz w:val="18"/>
          <w:szCs w:val="18"/>
        </w:rPr>
        <w:t>2025</w:t>
      </w:r>
      <w:r>
        <w:rPr>
          <w:sz w:val="18"/>
          <w:szCs w:val="18"/>
        </w:rPr>
        <w:t>年</w:t>
      </w:r>
      <w:r>
        <w:rPr>
          <w:sz w:val="18"/>
          <w:szCs w:val="18"/>
        </w:rPr>
        <w:t>9</w:t>
      </w:r>
      <w:r>
        <w:rPr>
          <w:sz w:val="18"/>
          <w:szCs w:val="18"/>
        </w:rPr>
        <w:t>月，任公司董事会秘书；</w:t>
      </w:r>
      <w:r>
        <w:rPr>
          <w:sz w:val="18"/>
          <w:szCs w:val="18"/>
        </w:rPr>
        <w:t>2025</w:t>
      </w:r>
      <w:r>
        <w:rPr>
          <w:sz w:val="18"/>
          <w:szCs w:val="18"/>
        </w:rPr>
        <w:t>年</w:t>
      </w:r>
      <w:r>
        <w:rPr>
          <w:sz w:val="18"/>
          <w:szCs w:val="18"/>
        </w:rPr>
        <w:t>9</w:t>
      </w:r>
      <w:r>
        <w:rPr>
          <w:sz w:val="18"/>
          <w:szCs w:val="18"/>
        </w:rPr>
        <w:t>月起，任公司副总经理、董事会秘书。</w:t>
      </w:r>
    </w:p>
    <w:p w:rsidR="00E20B54" w:rsidRDefault="00733C9E">
      <w:pPr>
        <w:pStyle w:val="a3"/>
        <w:widowControl/>
        <w:ind w:firstLineChars="200" w:firstLine="360"/>
      </w:pPr>
      <w:r>
        <w:rPr>
          <w:sz w:val="18"/>
          <w:szCs w:val="18"/>
        </w:rPr>
        <w:t>（</w:t>
      </w:r>
      <w:r>
        <w:rPr>
          <w:sz w:val="18"/>
          <w:szCs w:val="18"/>
        </w:rPr>
        <w:t>10</w:t>
      </w:r>
      <w:r>
        <w:rPr>
          <w:sz w:val="18"/>
          <w:szCs w:val="18"/>
        </w:rPr>
        <w:t>）林树生先生：</w:t>
      </w:r>
      <w:r>
        <w:rPr>
          <w:sz w:val="18"/>
          <w:szCs w:val="18"/>
        </w:rPr>
        <w:t>1988</w:t>
      </w:r>
      <w:r>
        <w:rPr>
          <w:sz w:val="18"/>
          <w:szCs w:val="18"/>
        </w:rPr>
        <w:t>年</w:t>
      </w:r>
      <w:r>
        <w:rPr>
          <w:sz w:val="18"/>
          <w:szCs w:val="18"/>
        </w:rPr>
        <w:t>11</w:t>
      </w:r>
      <w:r>
        <w:rPr>
          <w:sz w:val="18"/>
          <w:szCs w:val="18"/>
        </w:rPr>
        <w:t>月生，中国国籍，无境外永久居留权，本科学历，高级工程师。</w:t>
      </w:r>
      <w:r>
        <w:rPr>
          <w:sz w:val="18"/>
          <w:szCs w:val="18"/>
        </w:rPr>
        <w:t>2011</w:t>
      </w:r>
      <w:r>
        <w:rPr>
          <w:sz w:val="18"/>
          <w:szCs w:val="18"/>
        </w:rPr>
        <w:t>年</w:t>
      </w:r>
      <w:r>
        <w:rPr>
          <w:sz w:val="18"/>
          <w:szCs w:val="18"/>
        </w:rPr>
        <w:t>7</w:t>
      </w:r>
      <w:r>
        <w:rPr>
          <w:sz w:val="18"/>
          <w:szCs w:val="18"/>
        </w:rPr>
        <w:t>月至</w:t>
      </w:r>
      <w:r>
        <w:rPr>
          <w:sz w:val="18"/>
          <w:szCs w:val="18"/>
        </w:rPr>
        <w:t>2020</w:t>
      </w:r>
      <w:r>
        <w:rPr>
          <w:sz w:val="18"/>
          <w:szCs w:val="18"/>
        </w:rPr>
        <w:t>年</w:t>
      </w:r>
      <w:r>
        <w:rPr>
          <w:sz w:val="18"/>
          <w:szCs w:val="18"/>
        </w:rPr>
        <w:t>12</w:t>
      </w:r>
      <w:r>
        <w:rPr>
          <w:sz w:val="18"/>
          <w:szCs w:val="18"/>
        </w:rPr>
        <w:t>月，先后任广州市品高软件股份有限公司软件需求分析师、售前工程师、咨询顾问、项目经理、区域负责人职务；</w:t>
      </w:r>
      <w:r>
        <w:rPr>
          <w:sz w:val="18"/>
          <w:szCs w:val="18"/>
        </w:rPr>
        <w:t>2021</w:t>
      </w:r>
      <w:r>
        <w:rPr>
          <w:sz w:val="18"/>
          <w:szCs w:val="18"/>
        </w:rPr>
        <w:t>年</w:t>
      </w:r>
      <w:r>
        <w:rPr>
          <w:sz w:val="18"/>
          <w:szCs w:val="18"/>
        </w:rPr>
        <w:t>7</w:t>
      </w:r>
      <w:r>
        <w:rPr>
          <w:sz w:val="18"/>
          <w:szCs w:val="18"/>
        </w:rPr>
        <w:t>月创立广东翼启计算机软件开发公司（现广东翼启数据产业有限公司）并任总经理；</w:t>
      </w:r>
      <w:r>
        <w:rPr>
          <w:sz w:val="18"/>
          <w:szCs w:val="18"/>
        </w:rPr>
        <w:t>2024</w:t>
      </w:r>
      <w:r>
        <w:rPr>
          <w:sz w:val="18"/>
          <w:szCs w:val="18"/>
        </w:rPr>
        <w:t>年</w:t>
      </w:r>
      <w:r>
        <w:rPr>
          <w:sz w:val="18"/>
          <w:szCs w:val="18"/>
        </w:rPr>
        <w:t>9</w:t>
      </w:r>
      <w:r>
        <w:rPr>
          <w:sz w:val="18"/>
          <w:szCs w:val="18"/>
        </w:rPr>
        <w:t>月至今任公司控股子公司广东翼启数据产业有限公司的联合创始人、总经理；</w:t>
      </w:r>
      <w:r>
        <w:rPr>
          <w:sz w:val="18"/>
          <w:szCs w:val="18"/>
        </w:rPr>
        <w:t>2025</w:t>
      </w:r>
      <w:r>
        <w:rPr>
          <w:sz w:val="18"/>
          <w:szCs w:val="18"/>
        </w:rPr>
        <w:t>年</w:t>
      </w:r>
      <w:r>
        <w:rPr>
          <w:sz w:val="18"/>
          <w:szCs w:val="18"/>
        </w:rPr>
        <w:t>9</w:t>
      </w:r>
      <w:r>
        <w:rPr>
          <w:sz w:val="18"/>
          <w:szCs w:val="18"/>
        </w:rPr>
        <w:t>月起，任公司副总经理。林树生先生从事数字政务应用软件及数据研究和开发十多年，具备丰富的数据要素应用场景构建、数据产品开发和运营的实践经验。</w:t>
      </w:r>
    </w:p>
    <w:p w:rsidR="00E20B54" w:rsidRDefault="00733C9E">
      <w:pPr>
        <w:pStyle w:val="a3"/>
        <w:widowControl/>
        <w:ind w:firstLineChars="200" w:firstLine="360"/>
      </w:pPr>
      <w:r>
        <w:rPr>
          <w:sz w:val="18"/>
          <w:szCs w:val="18"/>
        </w:rPr>
        <w:t>（</w:t>
      </w:r>
      <w:r>
        <w:rPr>
          <w:sz w:val="18"/>
          <w:szCs w:val="18"/>
        </w:rPr>
        <w:t>11</w:t>
      </w:r>
      <w:r>
        <w:rPr>
          <w:sz w:val="18"/>
          <w:szCs w:val="18"/>
        </w:rPr>
        <w:t>）陈焕盛先生：</w:t>
      </w:r>
      <w:r>
        <w:rPr>
          <w:sz w:val="18"/>
          <w:szCs w:val="18"/>
        </w:rPr>
        <w:t>1983</w:t>
      </w:r>
      <w:r>
        <w:rPr>
          <w:sz w:val="18"/>
          <w:szCs w:val="18"/>
        </w:rPr>
        <w:t>年</w:t>
      </w:r>
      <w:r>
        <w:rPr>
          <w:sz w:val="18"/>
          <w:szCs w:val="18"/>
        </w:rPr>
        <w:t>5</w:t>
      </w:r>
      <w:r>
        <w:rPr>
          <w:sz w:val="18"/>
          <w:szCs w:val="18"/>
        </w:rPr>
        <w:t>月生，中国国籍，无境外永久居留权，本科学历，高级会计师。</w:t>
      </w:r>
      <w:r>
        <w:rPr>
          <w:sz w:val="18"/>
          <w:szCs w:val="18"/>
        </w:rPr>
        <w:t>2010</w:t>
      </w:r>
      <w:r>
        <w:rPr>
          <w:sz w:val="18"/>
          <w:szCs w:val="18"/>
        </w:rPr>
        <w:t>年</w:t>
      </w:r>
      <w:r>
        <w:rPr>
          <w:sz w:val="18"/>
          <w:szCs w:val="18"/>
        </w:rPr>
        <w:t>3</w:t>
      </w:r>
      <w:r>
        <w:rPr>
          <w:sz w:val="18"/>
          <w:szCs w:val="18"/>
        </w:rPr>
        <w:t>月至</w:t>
      </w:r>
      <w:r>
        <w:rPr>
          <w:sz w:val="18"/>
          <w:szCs w:val="18"/>
        </w:rPr>
        <w:t>2017</w:t>
      </w:r>
      <w:r>
        <w:rPr>
          <w:sz w:val="18"/>
          <w:szCs w:val="18"/>
        </w:rPr>
        <w:t>年</w:t>
      </w:r>
      <w:r>
        <w:rPr>
          <w:sz w:val="18"/>
          <w:szCs w:val="18"/>
        </w:rPr>
        <w:t>1</w:t>
      </w:r>
      <w:r>
        <w:rPr>
          <w:sz w:val="18"/>
          <w:szCs w:val="18"/>
        </w:rPr>
        <w:t>月任龙光交通集团有限公司财务经理；</w:t>
      </w:r>
      <w:r>
        <w:rPr>
          <w:sz w:val="18"/>
          <w:szCs w:val="18"/>
        </w:rPr>
        <w:t>2017</w:t>
      </w:r>
      <w:r>
        <w:rPr>
          <w:sz w:val="18"/>
          <w:szCs w:val="18"/>
        </w:rPr>
        <w:t>年</w:t>
      </w:r>
      <w:r>
        <w:rPr>
          <w:sz w:val="18"/>
          <w:szCs w:val="18"/>
        </w:rPr>
        <w:t>2</w:t>
      </w:r>
      <w:r>
        <w:rPr>
          <w:sz w:val="18"/>
          <w:szCs w:val="18"/>
        </w:rPr>
        <w:t>月至</w:t>
      </w:r>
      <w:r>
        <w:rPr>
          <w:sz w:val="18"/>
          <w:szCs w:val="18"/>
        </w:rPr>
        <w:t>2017</w:t>
      </w:r>
      <w:r>
        <w:rPr>
          <w:sz w:val="18"/>
          <w:szCs w:val="18"/>
        </w:rPr>
        <w:t>年</w:t>
      </w:r>
      <w:r>
        <w:rPr>
          <w:sz w:val="18"/>
          <w:szCs w:val="18"/>
        </w:rPr>
        <w:t>12</w:t>
      </w:r>
      <w:r>
        <w:rPr>
          <w:sz w:val="18"/>
          <w:szCs w:val="18"/>
        </w:rPr>
        <w:t>月任深圳市龙光基业投资咨询有限公司高级经理；</w:t>
      </w:r>
      <w:r>
        <w:rPr>
          <w:sz w:val="18"/>
          <w:szCs w:val="18"/>
        </w:rPr>
        <w:t>2018</w:t>
      </w:r>
      <w:r>
        <w:rPr>
          <w:sz w:val="18"/>
          <w:szCs w:val="18"/>
        </w:rPr>
        <w:t>年</w:t>
      </w:r>
      <w:r>
        <w:rPr>
          <w:sz w:val="18"/>
          <w:szCs w:val="18"/>
        </w:rPr>
        <w:t>1</w:t>
      </w:r>
      <w:r>
        <w:rPr>
          <w:sz w:val="18"/>
          <w:szCs w:val="18"/>
        </w:rPr>
        <w:t>月至</w:t>
      </w:r>
      <w:r>
        <w:rPr>
          <w:sz w:val="18"/>
          <w:szCs w:val="18"/>
        </w:rPr>
        <w:t>2022</w:t>
      </w:r>
      <w:r>
        <w:rPr>
          <w:sz w:val="18"/>
          <w:szCs w:val="18"/>
        </w:rPr>
        <w:t>年</w:t>
      </w:r>
      <w:r>
        <w:rPr>
          <w:sz w:val="18"/>
          <w:szCs w:val="18"/>
        </w:rPr>
        <w:t>5</w:t>
      </w:r>
      <w:r>
        <w:rPr>
          <w:sz w:val="18"/>
          <w:szCs w:val="18"/>
        </w:rPr>
        <w:t>月任深圳市龙光控股有限公司财务总监；</w:t>
      </w:r>
      <w:r>
        <w:rPr>
          <w:sz w:val="18"/>
          <w:szCs w:val="18"/>
        </w:rPr>
        <w:t>2022</w:t>
      </w:r>
      <w:r>
        <w:rPr>
          <w:sz w:val="18"/>
          <w:szCs w:val="18"/>
        </w:rPr>
        <w:t>年</w:t>
      </w:r>
      <w:r>
        <w:rPr>
          <w:sz w:val="18"/>
          <w:szCs w:val="18"/>
        </w:rPr>
        <w:t>5</w:t>
      </w:r>
      <w:r>
        <w:rPr>
          <w:sz w:val="18"/>
          <w:szCs w:val="18"/>
        </w:rPr>
        <w:t>月加入公司，</w:t>
      </w:r>
      <w:r>
        <w:rPr>
          <w:sz w:val="18"/>
          <w:szCs w:val="18"/>
        </w:rPr>
        <w:t>2022</w:t>
      </w:r>
      <w:r>
        <w:rPr>
          <w:sz w:val="18"/>
          <w:szCs w:val="18"/>
        </w:rPr>
        <w:t>年</w:t>
      </w:r>
      <w:r>
        <w:rPr>
          <w:sz w:val="18"/>
          <w:szCs w:val="18"/>
        </w:rPr>
        <w:t>10</w:t>
      </w:r>
      <w:r>
        <w:rPr>
          <w:sz w:val="18"/>
          <w:szCs w:val="18"/>
        </w:rPr>
        <w:t>月至今任公司财务负责人（财务总监）。</w:t>
      </w:r>
    </w:p>
    <w:p w:rsidR="00E20B54" w:rsidRDefault="00733C9E">
      <w:pPr>
        <w:spacing w:before="100" w:after="100" w:line="240" w:lineRule="exact"/>
        <w:rPr>
          <w:sz w:val="18"/>
          <w:szCs w:val="18"/>
        </w:rPr>
      </w:pPr>
      <w:r>
        <w:rPr>
          <w:sz w:val="18"/>
          <w:szCs w:val="18"/>
        </w:rPr>
        <w:t>控股股东、实际控制人同时担任上市公司董事长和总经理的情况</w:t>
      </w:r>
    </w:p>
    <w:p w:rsidR="00E20B54" w:rsidRDefault="00733C9E">
      <w:pPr>
        <w:spacing w:before="100" w:after="100" w:line="240" w:lineRule="exact"/>
        <w:rPr>
          <w:sz w:val="18"/>
          <w:szCs w:val="18"/>
        </w:rPr>
      </w:pPr>
      <w:r>
        <w:rPr>
          <w:sz w:val="18"/>
          <w:szCs w:val="18"/>
        </w:rPr>
        <w:sym w:font="Wingdings 2" w:char="F052"/>
      </w:r>
      <w:r>
        <w:rPr>
          <w:sz w:val="18"/>
          <w:szCs w:val="18"/>
        </w:rPr>
        <w:t>适用</w:t>
      </w:r>
      <w:r>
        <w:rPr>
          <w:sz w:val="18"/>
          <w:szCs w:val="18"/>
        </w:rPr>
        <w:t xml:space="preserve"> □</w:t>
      </w:r>
      <w:r>
        <w:rPr>
          <w:sz w:val="18"/>
          <w:szCs w:val="18"/>
        </w:rPr>
        <w:t>不适用</w:t>
      </w:r>
    </w:p>
    <w:p w:rsidR="00E20B54" w:rsidRDefault="00733C9E">
      <w:pPr>
        <w:pStyle w:val="a3"/>
        <w:widowControl/>
      </w:pPr>
      <w:r>
        <w:rPr>
          <w:sz w:val="18"/>
          <w:szCs w:val="18"/>
        </w:rPr>
        <w:t>公司控股股东、实际控制人之一林明玲女士担任公司董事长，主持董事会工作，负责战略规划、经营管理；实际控制人之一马学沛先生担任副董事长、总经理，负责公司战略规划、日常经营管理及业务发展，系公司核心经营管理人员。公司依据《公司章程》《董事会议事规则》及相关内控制度，建立健全决策与审批机制。在管理运营中，严格遵循股东会和董事会的授权及决策程序，其相关职务行为均在公司治理结构下规范进行，不会对上市公司的独立性产生不利影响。</w:t>
      </w:r>
    </w:p>
    <w:p w:rsidR="00E20B54" w:rsidRDefault="00733C9E">
      <w:pPr>
        <w:spacing w:before="100" w:after="100" w:line="240" w:lineRule="exact"/>
        <w:rPr>
          <w:sz w:val="18"/>
          <w:szCs w:val="18"/>
        </w:rPr>
      </w:pPr>
      <w:r>
        <w:rPr>
          <w:sz w:val="18"/>
          <w:szCs w:val="18"/>
        </w:rPr>
        <w:t>在股东单位任职情况</w:t>
      </w:r>
    </w:p>
    <w:p w:rsidR="00E20B54" w:rsidRDefault="00733C9E">
      <w:pPr>
        <w:spacing w:before="100" w:after="100" w:line="240" w:lineRule="exact"/>
        <w:rPr>
          <w:sz w:val="18"/>
          <w:szCs w:val="18"/>
        </w:rPr>
      </w:pPr>
      <w:r>
        <w:rPr>
          <w:sz w:val="18"/>
          <w:szCs w:val="18"/>
        </w:rPr>
        <w:t>□</w:t>
      </w:r>
      <w:r>
        <w:rPr>
          <w:sz w:val="18"/>
          <w:szCs w:val="18"/>
        </w:rPr>
        <w:t>适用</w:t>
      </w:r>
      <w:r>
        <w:rPr>
          <w:sz w:val="18"/>
          <w:szCs w:val="18"/>
        </w:rPr>
        <w:t xml:space="preserve"> </w:t>
      </w:r>
      <w:r>
        <w:rPr>
          <w:sz w:val="18"/>
          <w:szCs w:val="18"/>
        </w:rPr>
        <w:sym w:font="Wingdings 2" w:char="F052"/>
      </w:r>
      <w:r>
        <w:rPr>
          <w:sz w:val="18"/>
          <w:szCs w:val="18"/>
        </w:rPr>
        <w:t>不适用</w:t>
      </w:r>
    </w:p>
    <w:p w:rsidR="00E20B54" w:rsidRDefault="00733C9E">
      <w:pPr>
        <w:spacing w:before="100" w:after="100" w:line="240" w:lineRule="exact"/>
        <w:rPr>
          <w:sz w:val="18"/>
          <w:szCs w:val="18"/>
        </w:rPr>
      </w:pPr>
      <w:r>
        <w:rPr>
          <w:sz w:val="18"/>
          <w:szCs w:val="18"/>
        </w:rPr>
        <w:t>在其他单位任职情况</w:t>
      </w:r>
    </w:p>
    <w:p w:rsidR="00E20B54" w:rsidRDefault="00733C9E">
      <w:pPr>
        <w:spacing w:before="100" w:after="100" w:line="240" w:lineRule="exact"/>
        <w:rPr>
          <w:sz w:val="18"/>
          <w:szCs w:val="18"/>
        </w:rPr>
      </w:pPr>
      <w:r>
        <w:rPr>
          <w:sz w:val="18"/>
          <w:szCs w:val="18"/>
        </w:rPr>
        <w:sym w:font="Wingdings 2" w:char="F052"/>
      </w:r>
      <w:r>
        <w:rPr>
          <w:sz w:val="18"/>
          <w:szCs w:val="18"/>
        </w:rPr>
        <w:t>适用</w:t>
      </w:r>
      <w:r>
        <w:rPr>
          <w:sz w:val="18"/>
          <w:szCs w:val="18"/>
        </w:rPr>
        <w:t xml:space="preserve"> □</w:t>
      </w:r>
      <w:r>
        <w:rPr>
          <w:sz w:val="18"/>
          <w:szCs w:val="18"/>
        </w:rPr>
        <w:t>不适用</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607"/>
        <w:gridCol w:w="1606"/>
        <w:gridCol w:w="1606"/>
        <w:gridCol w:w="1606"/>
        <w:gridCol w:w="1606"/>
        <w:gridCol w:w="1608"/>
      </w:tblGrid>
      <w:tr w:rsidR="00E20B54">
        <w:trPr>
          <w:trHeight w:val="240"/>
          <w:tblHeader/>
        </w:trPr>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任职人员姓名</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其他单位名称</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在其他单位担任的职务</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任期起始日期</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任期终止日期</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在其他单位是否领取报酬津贴</w:t>
            </w:r>
          </w:p>
        </w:tc>
      </w:tr>
      <w:tr w:rsidR="00E20B54">
        <w:trPr>
          <w:trHeight w:val="240"/>
        </w:trPr>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马学沛</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南京优志投资管理合伙企业（有限合伙）</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合伙人</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2015</w:t>
            </w:r>
            <w:r>
              <w:rPr>
                <w:sz w:val="18"/>
                <w:szCs w:val="18"/>
              </w:rPr>
              <w:t>年</w:t>
            </w:r>
            <w:r>
              <w:rPr>
                <w:sz w:val="18"/>
                <w:szCs w:val="18"/>
              </w:rPr>
              <w:t>04</w:t>
            </w:r>
            <w:r>
              <w:rPr>
                <w:sz w:val="18"/>
                <w:szCs w:val="18"/>
              </w:rPr>
              <w:t>月</w:t>
            </w:r>
            <w:r>
              <w:rPr>
                <w:sz w:val="18"/>
                <w:szCs w:val="18"/>
              </w:rPr>
              <w:t>28</w:t>
            </w:r>
            <w:r>
              <w:rPr>
                <w:sz w:val="18"/>
                <w:szCs w:val="18"/>
              </w:rPr>
              <w:t>日</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rPr>
                <w:sz w:val="18"/>
                <w:szCs w:val="18"/>
              </w:rPr>
            </w:pP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否</w:t>
            </w:r>
          </w:p>
        </w:tc>
      </w:tr>
      <w:tr w:rsidR="00E20B54">
        <w:trPr>
          <w:trHeight w:val="240"/>
        </w:trPr>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林明玲</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广东润煌纺织新材料有限公司</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监事</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2023</w:t>
            </w:r>
            <w:r>
              <w:rPr>
                <w:sz w:val="18"/>
                <w:szCs w:val="18"/>
              </w:rPr>
              <w:t>年</w:t>
            </w:r>
            <w:r>
              <w:rPr>
                <w:sz w:val="18"/>
                <w:szCs w:val="18"/>
              </w:rPr>
              <w:t>11</w:t>
            </w:r>
            <w:r>
              <w:rPr>
                <w:sz w:val="18"/>
                <w:szCs w:val="18"/>
              </w:rPr>
              <w:t>月</w:t>
            </w:r>
            <w:r>
              <w:rPr>
                <w:sz w:val="18"/>
                <w:szCs w:val="18"/>
              </w:rPr>
              <w:t>13</w:t>
            </w:r>
            <w:r>
              <w:rPr>
                <w:sz w:val="18"/>
                <w:szCs w:val="18"/>
              </w:rPr>
              <w:t>日</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rPr>
                <w:sz w:val="18"/>
                <w:szCs w:val="18"/>
              </w:rPr>
            </w:pP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否</w:t>
            </w:r>
          </w:p>
        </w:tc>
      </w:tr>
      <w:tr w:rsidR="00E20B54">
        <w:trPr>
          <w:trHeight w:val="240"/>
        </w:trPr>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曹丽梅</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广东财经大学</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教授</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2014</w:t>
            </w:r>
            <w:r>
              <w:rPr>
                <w:sz w:val="18"/>
                <w:szCs w:val="18"/>
              </w:rPr>
              <w:t>年</w:t>
            </w:r>
            <w:r>
              <w:rPr>
                <w:sz w:val="18"/>
                <w:szCs w:val="18"/>
              </w:rPr>
              <w:t>07</w:t>
            </w:r>
            <w:r>
              <w:rPr>
                <w:sz w:val="18"/>
                <w:szCs w:val="18"/>
              </w:rPr>
              <w:t>月</w:t>
            </w:r>
            <w:r>
              <w:rPr>
                <w:sz w:val="18"/>
                <w:szCs w:val="18"/>
              </w:rPr>
              <w:t>14</w:t>
            </w:r>
            <w:r>
              <w:rPr>
                <w:sz w:val="18"/>
                <w:szCs w:val="18"/>
              </w:rPr>
              <w:lastRenderedPageBreak/>
              <w:t>日</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rPr>
                <w:sz w:val="18"/>
                <w:szCs w:val="18"/>
              </w:rPr>
            </w:pP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是</w:t>
            </w:r>
          </w:p>
        </w:tc>
      </w:tr>
      <w:tr w:rsidR="00E20B54">
        <w:trPr>
          <w:trHeight w:val="240"/>
        </w:trPr>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lastRenderedPageBreak/>
              <w:t>曹丽梅</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播恩集团股份有限公司</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独立董事</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2023</w:t>
            </w:r>
            <w:r>
              <w:rPr>
                <w:sz w:val="18"/>
                <w:szCs w:val="18"/>
              </w:rPr>
              <w:t>年</w:t>
            </w:r>
            <w:r>
              <w:rPr>
                <w:sz w:val="18"/>
                <w:szCs w:val="18"/>
              </w:rPr>
              <w:t>05</w:t>
            </w:r>
            <w:r>
              <w:rPr>
                <w:sz w:val="18"/>
                <w:szCs w:val="18"/>
              </w:rPr>
              <w:t>月</w:t>
            </w:r>
            <w:r>
              <w:rPr>
                <w:sz w:val="18"/>
                <w:szCs w:val="18"/>
              </w:rPr>
              <w:t>24</w:t>
            </w:r>
            <w:r>
              <w:rPr>
                <w:sz w:val="18"/>
                <w:szCs w:val="18"/>
              </w:rPr>
              <w:t>日</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2026</w:t>
            </w:r>
            <w:r>
              <w:rPr>
                <w:sz w:val="18"/>
                <w:szCs w:val="18"/>
              </w:rPr>
              <w:t>年</w:t>
            </w:r>
            <w:r>
              <w:rPr>
                <w:sz w:val="18"/>
                <w:szCs w:val="18"/>
              </w:rPr>
              <w:t>05</w:t>
            </w:r>
            <w:r>
              <w:rPr>
                <w:sz w:val="18"/>
                <w:szCs w:val="18"/>
              </w:rPr>
              <w:t>月</w:t>
            </w:r>
            <w:r>
              <w:rPr>
                <w:sz w:val="18"/>
                <w:szCs w:val="18"/>
              </w:rPr>
              <w:t>23</w:t>
            </w:r>
            <w:r>
              <w:rPr>
                <w:sz w:val="18"/>
                <w:szCs w:val="18"/>
              </w:rPr>
              <w:t>日</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是</w:t>
            </w:r>
          </w:p>
        </w:tc>
      </w:tr>
      <w:tr w:rsidR="00E20B54">
        <w:trPr>
          <w:trHeight w:val="240"/>
        </w:trPr>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曹丽梅</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福能东方装备科技股份有限公司</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独立董事</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2023</w:t>
            </w:r>
            <w:r>
              <w:rPr>
                <w:sz w:val="18"/>
                <w:szCs w:val="18"/>
              </w:rPr>
              <w:t>年</w:t>
            </w:r>
            <w:r>
              <w:rPr>
                <w:sz w:val="18"/>
                <w:szCs w:val="18"/>
              </w:rPr>
              <w:t>10</w:t>
            </w:r>
            <w:r>
              <w:rPr>
                <w:sz w:val="18"/>
                <w:szCs w:val="18"/>
              </w:rPr>
              <w:t>月</w:t>
            </w:r>
            <w:r>
              <w:rPr>
                <w:sz w:val="18"/>
                <w:szCs w:val="18"/>
              </w:rPr>
              <w:t>13</w:t>
            </w:r>
            <w:r>
              <w:rPr>
                <w:sz w:val="18"/>
                <w:szCs w:val="18"/>
              </w:rPr>
              <w:t>日</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2026</w:t>
            </w:r>
            <w:r>
              <w:rPr>
                <w:sz w:val="18"/>
                <w:szCs w:val="18"/>
              </w:rPr>
              <w:t>年</w:t>
            </w:r>
            <w:r>
              <w:rPr>
                <w:sz w:val="18"/>
                <w:szCs w:val="18"/>
              </w:rPr>
              <w:t>10</w:t>
            </w:r>
            <w:r>
              <w:rPr>
                <w:sz w:val="18"/>
                <w:szCs w:val="18"/>
              </w:rPr>
              <w:t>月</w:t>
            </w:r>
            <w:r>
              <w:rPr>
                <w:sz w:val="18"/>
                <w:szCs w:val="18"/>
              </w:rPr>
              <w:t>12</w:t>
            </w:r>
            <w:r>
              <w:rPr>
                <w:sz w:val="18"/>
                <w:szCs w:val="18"/>
              </w:rPr>
              <w:t>日</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是</w:t>
            </w:r>
          </w:p>
        </w:tc>
      </w:tr>
      <w:tr w:rsidR="00E20B54">
        <w:trPr>
          <w:trHeight w:val="240"/>
        </w:trPr>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曹丽梅</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桂润环境科技股份有限公司</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董事</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2021</w:t>
            </w:r>
            <w:r>
              <w:rPr>
                <w:sz w:val="18"/>
                <w:szCs w:val="18"/>
              </w:rPr>
              <w:t>年</w:t>
            </w:r>
            <w:r>
              <w:rPr>
                <w:sz w:val="18"/>
                <w:szCs w:val="18"/>
              </w:rPr>
              <w:t>01</w:t>
            </w:r>
            <w:r>
              <w:rPr>
                <w:sz w:val="18"/>
                <w:szCs w:val="18"/>
              </w:rPr>
              <w:t>月</w:t>
            </w:r>
            <w:r>
              <w:rPr>
                <w:sz w:val="18"/>
                <w:szCs w:val="18"/>
              </w:rPr>
              <w:t>29</w:t>
            </w:r>
            <w:r>
              <w:rPr>
                <w:sz w:val="18"/>
                <w:szCs w:val="18"/>
              </w:rPr>
              <w:t>日</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rPr>
                <w:sz w:val="18"/>
                <w:szCs w:val="18"/>
              </w:rPr>
            </w:pP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是</w:t>
            </w:r>
          </w:p>
        </w:tc>
      </w:tr>
      <w:tr w:rsidR="00E20B54">
        <w:trPr>
          <w:trHeight w:val="240"/>
        </w:trPr>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曹丽梅</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深圳市微源半导体股份有限公司</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董事</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2020</w:t>
            </w:r>
            <w:r>
              <w:rPr>
                <w:sz w:val="18"/>
                <w:szCs w:val="18"/>
              </w:rPr>
              <w:t>年</w:t>
            </w:r>
            <w:r>
              <w:rPr>
                <w:sz w:val="18"/>
                <w:szCs w:val="18"/>
              </w:rPr>
              <w:t>12</w:t>
            </w:r>
            <w:r>
              <w:rPr>
                <w:sz w:val="18"/>
                <w:szCs w:val="18"/>
              </w:rPr>
              <w:t>月</w:t>
            </w:r>
            <w:r>
              <w:rPr>
                <w:sz w:val="18"/>
                <w:szCs w:val="18"/>
              </w:rPr>
              <w:t>17</w:t>
            </w:r>
            <w:r>
              <w:rPr>
                <w:sz w:val="18"/>
                <w:szCs w:val="18"/>
              </w:rPr>
              <w:t>日</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rPr>
                <w:sz w:val="18"/>
                <w:szCs w:val="18"/>
              </w:rPr>
            </w:pP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是</w:t>
            </w:r>
          </w:p>
        </w:tc>
      </w:tr>
      <w:tr w:rsidR="00E20B54">
        <w:trPr>
          <w:trHeight w:val="240"/>
        </w:trPr>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曹丽梅</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南京孺子牛物业服务有限公司</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监事</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2020</w:t>
            </w:r>
            <w:r>
              <w:rPr>
                <w:sz w:val="18"/>
                <w:szCs w:val="18"/>
              </w:rPr>
              <w:t>年</w:t>
            </w:r>
            <w:r>
              <w:rPr>
                <w:sz w:val="18"/>
                <w:szCs w:val="18"/>
              </w:rPr>
              <w:t>12</w:t>
            </w:r>
            <w:r>
              <w:rPr>
                <w:sz w:val="18"/>
                <w:szCs w:val="18"/>
              </w:rPr>
              <w:t>月</w:t>
            </w:r>
            <w:r>
              <w:rPr>
                <w:sz w:val="18"/>
                <w:szCs w:val="18"/>
              </w:rPr>
              <w:t>29</w:t>
            </w:r>
            <w:r>
              <w:rPr>
                <w:sz w:val="18"/>
                <w:szCs w:val="18"/>
              </w:rPr>
              <w:t>日</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rPr>
                <w:sz w:val="18"/>
                <w:szCs w:val="18"/>
              </w:rPr>
            </w:pP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否</w:t>
            </w:r>
          </w:p>
        </w:tc>
      </w:tr>
      <w:tr w:rsidR="00E20B54">
        <w:trPr>
          <w:trHeight w:val="240"/>
        </w:trPr>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石洁芝</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广东本力律师事务所</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主任律师</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2006</w:t>
            </w:r>
            <w:r>
              <w:rPr>
                <w:sz w:val="18"/>
                <w:szCs w:val="18"/>
              </w:rPr>
              <w:t>年</w:t>
            </w:r>
            <w:r>
              <w:rPr>
                <w:sz w:val="18"/>
                <w:szCs w:val="18"/>
              </w:rPr>
              <w:t>11</w:t>
            </w:r>
            <w:r>
              <w:rPr>
                <w:sz w:val="18"/>
                <w:szCs w:val="18"/>
              </w:rPr>
              <w:t>月</w:t>
            </w:r>
            <w:r>
              <w:rPr>
                <w:sz w:val="18"/>
                <w:szCs w:val="18"/>
              </w:rPr>
              <w:t>23</w:t>
            </w:r>
            <w:r>
              <w:rPr>
                <w:sz w:val="18"/>
                <w:szCs w:val="18"/>
              </w:rPr>
              <w:t>日</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rPr>
                <w:sz w:val="18"/>
                <w:szCs w:val="18"/>
              </w:rPr>
            </w:pP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是</w:t>
            </w:r>
          </w:p>
        </w:tc>
      </w:tr>
      <w:tr w:rsidR="00E20B54">
        <w:trPr>
          <w:trHeight w:val="240"/>
        </w:trPr>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滕丽秋</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汕头市电子信息和软件行业协会</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秘书长</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2011</w:t>
            </w:r>
            <w:r>
              <w:rPr>
                <w:sz w:val="18"/>
                <w:szCs w:val="18"/>
              </w:rPr>
              <w:t>年</w:t>
            </w:r>
            <w:r>
              <w:rPr>
                <w:sz w:val="18"/>
                <w:szCs w:val="18"/>
              </w:rPr>
              <w:t>06</w:t>
            </w:r>
            <w:r>
              <w:rPr>
                <w:sz w:val="18"/>
                <w:szCs w:val="18"/>
              </w:rPr>
              <w:t>月</w:t>
            </w:r>
            <w:r>
              <w:rPr>
                <w:sz w:val="18"/>
                <w:szCs w:val="18"/>
              </w:rPr>
              <w:t>01</w:t>
            </w:r>
            <w:r>
              <w:rPr>
                <w:sz w:val="18"/>
                <w:szCs w:val="18"/>
              </w:rPr>
              <w:t>日</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rPr>
                <w:sz w:val="18"/>
                <w:szCs w:val="18"/>
              </w:rPr>
            </w:pP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是</w:t>
            </w:r>
          </w:p>
        </w:tc>
      </w:tr>
      <w:tr w:rsidR="00E20B54">
        <w:trPr>
          <w:trHeight w:val="240"/>
        </w:trPr>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滕丽秋</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汕头市高新技术企业协会</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秘书长</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2014</w:t>
            </w:r>
            <w:r>
              <w:rPr>
                <w:sz w:val="18"/>
                <w:szCs w:val="18"/>
              </w:rPr>
              <w:t>年</w:t>
            </w:r>
            <w:r>
              <w:rPr>
                <w:sz w:val="18"/>
                <w:szCs w:val="18"/>
              </w:rPr>
              <w:t>05</w:t>
            </w:r>
            <w:r>
              <w:rPr>
                <w:sz w:val="18"/>
                <w:szCs w:val="18"/>
              </w:rPr>
              <w:t>月</w:t>
            </w:r>
            <w:r>
              <w:rPr>
                <w:sz w:val="18"/>
                <w:szCs w:val="18"/>
              </w:rPr>
              <w:t>02</w:t>
            </w:r>
            <w:r>
              <w:rPr>
                <w:sz w:val="18"/>
                <w:szCs w:val="18"/>
              </w:rPr>
              <w:t>日</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rPr>
                <w:sz w:val="18"/>
                <w:szCs w:val="18"/>
              </w:rPr>
            </w:pP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是</w:t>
            </w:r>
          </w:p>
        </w:tc>
      </w:tr>
      <w:tr w:rsidR="00E20B54">
        <w:trPr>
          <w:trHeight w:val="240"/>
        </w:trPr>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滕丽秋</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汕头市同行网络科技有限公司</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企业顾问</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2014</w:t>
            </w:r>
            <w:r>
              <w:rPr>
                <w:sz w:val="18"/>
                <w:szCs w:val="18"/>
              </w:rPr>
              <w:t>年</w:t>
            </w:r>
            <w:r>
              <w:rPr>
                <w:sz w:val="18"/>
                <w:szCs w:val="18"/>
              </w:rPr>
              <w:t>07</w:t>
            </w:r>
            <w:r>
              <w:rPr>
                <w:sz w:val="18"/>
                <w:szCs w:val="18"/>
              </w:rPr>
              <w:t>月</w:t>
            </w:r>
            <w:r>
              <w:rPr>
                <w:sz w:val="18"/>
                <w:szCs w:val="18"/>
              </w:rPr>
              <w:t>01</w:t>
            </w:r>
            <w:r>
              <w:rPr>
                <w:sz w:val="18"/>
                <w:szCs w:val="18"/>
              </w:rPr>
              <w:t>日</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rPr>
                <w:sz w:val="18"/>
                <w:szCs w:val="18"/>
              </w:rPr>
            </w:pP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是</w:t>
            </w:r>
          </w:p>
        </w:tc>
      </w:tr>
      <w:tr w:rsidR="00E20B54">
        <w:trPr>
          <w:trHeight w:val="240"/>
        </w:trPr>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滕丽秋</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汕头市智能制造产业协会</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秘书长</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2016</w:t>
            </w:r>
            <w:r>
              <w:rPr>
                <w:sz w:val="18"/>
                <w:szCs w:val="18"/>
              </w:rPr>
              <w:t>年</w:t>
            </w:r>
            <w:r>
              <w:rPr>
                <w:sz w:val="18"/>
                <w:szCs w:val="18"/>
              </w:rPr>
              <w:t>12</w:t>
            </w:r>
            <w:r>
              <w:rPr>
                <w:sz w:val="18"/>
                <w:szCs w:val="18"/>
              </w:rPr>
              <w:t>月</w:t>
            </w:r>
            <w:r>
              <w:rPr>
                <w:sz w:val="18"/>
                <w:szCs w:val="18"/>
              </w:rPr>
              <w:t>25</w:t>
            </w:r>
            <w:r>
              <w:rPr>
                <w:sz w:val="18"/>
                <w:szCs w:val="18"/>
              </w:rPr>
              <w:t>日</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rPr>
                <w:sz w:val="18"/>
                <w:szCs w:val="18"/>
              </w:rPr>
            </w:pP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是</w:t>
            </w:r>
          </w:p>
        </w:tc>
      </w:tr>
      <w:tr w:rsidR="00E20B54">
        <w:trPr>
          <w:trHeight w:val="240"/>
        </w:trPr>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马翊珽</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华睿欣能投资控股有限公司</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市场策划业务员</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2023</w:t>
            </w:r>
            <w:r>
              <w:rPr>
                <w:sz w:val="18"/>
                <w:szCs w:val="18"/>
              </w:rPr>
              <w:t>年</w:t>
            </w:r>
            <w:r>
              <w:rPr>
                <w:sz w:val="18"/>
                <w:szCs w:val="18"/>
              </w:rPr>
              <w:t>07</w:t>
            </w:r>
            <w:r>
              <w:rPr>
                <w:sz w:val="18"/>
                <w:szCs w:val="18"/>
              </w:rPr>
              <w:t>月</w:t>
            </w:r>
            <w:r>
              <w:rPr>
                <w:sz w:val="18"/>
                <w:szCs w:val="18"/>
              </w:rPr>
              <w:t>01</w:t>
            </w:r>
            <w:r>
              <w:rPr>
                <w:sz w:val="18"/>
                <w:szCs w:val="18"/>
              </w:rPr>
              <w:t>日</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rPr>
                <w:sz w:val="18"/>
                <w:szCs w:val="18"/>
              </w:rPr>
            </w:pP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是</w:t>
            </w:r>
          </w:p>
        </w:tc>
      </w:tr>
      <w:tr w:rsidR="00E20B54">
        <w:trPr>
          <w:trHeight w:val="240"/>
        </w:trPr>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刘楚境</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上海前锦众程人力资源有限公司</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客户业务主管</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2023</w:t>
            </w:r>
            <w:r>
              <w:rPr>
                <w:sz w:val="18"/>
                <w:szCs w:val="18"/>
              </w:rPr>
              <w:t>年</w:t>
            </w:r>
            <w:r>
              <w:rPr>
                <w:sz w:val="18"/>
                <w:szCs w:val="18"/>
              </w:rPr>
              <w:t>09</w:t>
            </w:r>
            <w:r>
              <w:rPr>
                <w:sz w:val="18"/>
                <w:szCs w:val="18"/>
              </w:rPr>
              <w:t>月</w:t>
            </w:r>
            <w:r>
              <w:rPr>
                <w:sz w:val="18"/>
                <w:szCs w:val="18"/>
              </w:rPr>
              <w:t>01</w:t>
            </w:r>
            <w:r>
              <w:rPr>
                <w:sz w:val="18"/>
                <w:szCs w:val="18"/>
              </w:rPr>
              <w:t>日</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rPr>
                <w:sz w:val="18"/>
                <w:szCs w:val="18"/>
              </w:rPr>
            </w:pP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是</w:t>
            </w:r>
          </w:p>
        </w:tc>
      </w:tr>
      <w:tr w:rsidR="00E20B54">
        <w:trPr>
          <w:trHeight w:val="240"/>
        </w:trPr>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在其他单位任职情况的说明</w:t>
            </w:r>
          </w:p>
        </w:tc>
        <w:tc>
          <w:tcPr>
            <w:tcW w:w="8032" w:type="dxa"/>
            <w:gridSpan w:val="5"/>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无。</w:t>
            </w:r>
          </w:p>
        </w:tc>
      </w:tr>
    </w:tbl>
    <w:p w:rsidR="00E20B54" w:rsidRDefault="00733C9E">
      <w:pPr>
        <w:spacing w:before="100" w:after="100" w:line="240" w:lineRule="exact"/>
        <w:rPr>
          <w:sz w:val="18"/>
          <w:szCs w:val="18"/>
        </w:rPr>
      </w:pPr>
      <w:r>
        <w:rPr>
          <w:sz w:val="18"/>
          <w:szCs w:val="18"/>
        </w:rPr>
        <w:t>公司现任及报告期内离任董事和高级管理人员近三年证券监管机构处罚的情况</w:t>
      </w:r>
    </w:p>
    <w:p w:rsidR="00E20B54" w:rsidRDefault="00733C9E">
      <w:pPr>
        <w:spacing w:before="100" w:after="100" w:line="240" w:lineRule="exact"/>
        <w:rPr>
          <w:sz w:val="18"/>
          <w:szCs w:val="18"/>
        </w:rPr>
      </w:pPr>
      <w:r>
        <w:rPr>
          <w:sz w:val="18"/>
          <w:szCs w:val="18"/>
        </w:rPr>
        <w:t>□</w:t>
      </w:r>
      <w:r>
        <w:rPr>
          <w:sz w:val="18"/>
          <w:szCs w:val="18"/>
        </w:rPr>
        <w:t>适用</w:t>
      </w:r>
      <w:r>
        <w:rPr>
          <w:sz w:val="18"/>
          <w:szCs w:val="18"/>
        </w:rPr>
        <w:t xml:space="preserve"> </w:t>
      </w:r>
      <w:r>
        <w:rPr>
          <w:sz w:val="18"/>
          <w:szCs w:val="18"/>
        </w:rPr>
        <w:sym w:font="Wingdings 2" w:char="F052"/>
      </w:r>
      <w:r>
        <w:rPr>
          <w:sz w:val="18"/>
          <w:szCs w:val="18"/>
        </w:rPr>
        <w:t>不适用</w:t>
      </w:r>
    </w:p>
    <w:p w:rsidR="00E20B54" w:rsidRDefault="00733C9E">
      <w:pPr>
        <w:pStyle w:val="3"/>
        <w:spacing w:line="280" w:lineRule="exact"/>
        <w:jc w:val="left"/>
        <w:rPr>
          <w:b/>
          <w:bCs/>
        </w:rPr>
      </w:pPr>
      <w:bookmarkStart w:id="60" w:name="_Toc988949"/>
      <w:r>
        <w:rPr>
          <w:b/>
          <w:bCs/>
        </w:rPr>
        <w:t>3</w:t>
      </w:r>
      <w:r>
        <w:rPr>
          <w:b/>
          <w:bCs/>
        </w:rPr>
        <w:t>、董事、高级管理人员薪酬情况</w:t>
      </w:r>
      <w:bookmarkEnd w:id="60"/>
    </w:p>
    <w:p w:rsidR="00E20B54" w:rsidRDefault="00733C9E">
      <w:pPr>
        <w:spacing w:before="100" w:after="100" w:line="240" w:lineRule="exact"/>
        <w:rPr>
          <w:sz w:val="18"/>
          <w:szCs w:val="18"/>
        </w:rPr>
      </w:pPr>
      <w:r>
        <w:rPr>
          <w:sz w:val="18"/>
          <w:szCs w:val="18"/>
        </w:rPr>
        <w:t>董事、高级管理人员薪酬的决策程序、确定依据、实际支付情况</w:t>
      </w:r>
    </w:p>
    <w:p w:rsidR="00E20B54" w:rsidRDefault="00733C9E">
      <w:pPr>
        <w:pStyle w:val="a3"/>
        <w:widowControl/>
        <w:rPr>
          <w:sz w:val="21"/>
          <w:szCs w:val="21"/>
        </w:rPr>
      </w:pPr>
      <w:r>
        <w:rPr>
          <w:sz w:val="21"/>
          <w:szCs w:val="21"/>
        </w:rPr>
        <w:t>（</w:t>
      </w:r>
      <w:r>
        <w:rPr>
          <w:sz w:val="21"/>
          <w:szCs w:val="21"/>
        </w:rPr>
        <w:t>1</w:t>
      </w:r>
      <w:r>
        <w:rPr>
          <w:sz w:val="21"/>
          <w:szCs w:val="21"/>
        </w:rPr>
        <w:t>）薪酬基本情况</w:t>
      </w:r>
      <w:r>
        <w:rPr>
          <w:sz w:val="21"/>
          <w:szCs w:val="21"/>
        </w:rPr>
        <w:br/>
        <w:t>①</w:t>
      </w:r>
      <w:r>
        <w:rPr>
          <w:sz w:val="21"/>
          <w:szCs w:val="21"/>
        </w:rPr>
        <w:t>在公司任职的董事薪酬</w:t>
      </w:r>
      <w:r>
        <w:rPr>
          <w:sz w:val="21"/>
          <w:szCs w:val="21"/>
        </w:rPr>
        <w:br/>
      </w:r>
      <w:r>
        <w:rPr>
          <w:sz w:val="21"/>
          <w:szCs w:val="21"/>
        </w:rPr>
        <w:t>在公司任职的董事薪酬由基本薪酬和绩效薪酬构成：</w:t>
      </w:r>
      <w:r>
        <w:rPr>
          <w:sz w:val="21"/>
          <w:szCs w:val="21"/>
        </w:rPr>
        <w:br/>
      </w:r>
      <w:r>
        <w:rPr>
          <w:sz w:val="21"/>
          <w:szCs w:val="21"/>
        </w:rPr>
        <w:t>基本薪酬综合考虑所任职务的岗位重要性、个人能力、履职情况等因素，结合行业及地区薪酬水平确定，按月以银行转账方式予以结算；绩效薪酬根据公司经营规划、绩效目标及实际实施情况，结合整体效益，综合考核后以银行转账方式予以结算。</w:t>
      </w:r>
      <w:r>
        <w:rPr>
          <w:sz w:val="21"/>
          <w:szCs w:val="21"/>
        </w:rPr>
        <w:br/>
      </w:r>
      <w:r>
        <w:rPr>
          <w:sz w:val="21"/>
          <w:szCs w:val="21"/>
        </w:rPr>
        <w:t>此外，在公司任职的董事不再领取董事津贴；兼任高级管理人员的董事薪酬方案按此实行。</w:t>
      </w:r>
      <w:r>
        <w:rPr>
          <w:sz w:val="21"/>
          <w:szCs w:val="21"/>
        </w:rPr>
        <w:br/>
        <w:t>②</w:t>
      </w:r>
      <w:r>
        <w:rPr>
          <w:sz w:val="21"/>
          <w:szCs w:val="21"/>
        </w:rPr>
        <w:t>独立董事津贴</w:t>
      </w:r>
      <w:r>
        <w:rPr>
          <w:sz w:val="21"/>
          <w:szCs w:val="21"/>
        </w:rPr>
        <w:br/>
      </w:r>
      <w:r>
        <w:rPr>
          <w:sz w:val="21"/>
          <w:szCs w:val="21"/>
        </w:rPr>
        <w:t>公司独立董事实行津贴方案，按月以银行转账方式予以结算。</w:t>
      </w:r>
      <w:r>
        <w:rPr>
          <w:sz w:val="21"/>
          <w:szCs w:val="21"/>
        </w:rPr>
        <w:br/>
        <w:t>③</w:t>
      </w:r>
      <w:r>
        <w:rPr>
          <w:sz w:val="21"/>
          <w:szCs w:val="21"/>
        </w:rPr>
        <w:t>外部董事津贴</w:t>
      </w:r>
      <w:r>
        <w:rPr>
          <w:sz w:val="21"/>
          <w:szCs w:val="21"/>
        </w:rPr>
        <w:br/>
      </w:r>
      <w:r>
        <w:rPr>
          <w:sz w:val="21"/>
          <w:szCs w:val="21"/>
        </w:rPr>
        <w:t>外部董事未在公司任其他职务，按月以银行转账方式予以结算。</w:t>
      </w:r>
      <w:r>
        <w:rPr>
          <w:sz w:val="21"/>
          <w:szCs w:val="21"/>
        </w:rPr>
        <w:br/>
      </w:r>
      <w:r>
        <w:rPr>
          <w:sz w:val="21"/>
          <w:szCs w:val="21"/>
        </w:rPr>
        <w:t>（</w:t>
      </w:r>
      <w:r>
        <w:rPr>
          <w:sz w:val="21"/>
          <w:szCs w:val="21"/>
        </w:rPr>
        <w:t>2</w:t>
      </w:r>
      <w:r>
        <w:rPr>
          <w:sz w:val="21"/>
          <w:szCs w:val="21"/>
        </w:rPr>
        <w:t>）决策程序</w:t>
      </w:r>
      <w:r>
        <w:rPr>
          <w:sz w:val="21"/>
          <w:szCs w:val="21"/>
        </w:rPr>
        <w:br/>
      </w:r>
      <w:r>
        <w:rPr>
          <w:sz w:val="21"/>
          <w:szCs w:val="21"/>
        </w:rPr>
        <w:t>公司于</w:t>
      </w:r>
      <w:r>
        <w:rPr>
          <w:sz w:val="21"/>
          <w:szCs w:val="21"/>
        </w:rPr>
        <w:t>2025</w:t>
      </w:r>
      <w:r>
        <w:rPr>
          <w:sz w:val="21"/>
          <w:szCs w:val="21"/>
        </w:rPr>
        <w:t>年</w:t>
      </w:r>
      <w:r>
        <w:rPr>
          <w:sz w:val="21"/>
          <w:szCs w:val="21"/>
        </w:rPr>
        <w:t>4</w:t>
      </w:r>
      <w:r>
        <w:rPr>
          <w:sz w:val="21"/>
          <w:szCs w:val="21"/>
        </w:rPr>
        <w:t>月</w:t>
      </w:r>
      <w:r>
        <w:rPr>
          <w:sz w:val="21"/>
          <w:szCs w:val="21"/>
        </w:rPr>
        <w:t>18</w:t>
      </w:r>
      <w:r>
        <w:rPr>
          <w:sz w:val="21"/>
          <w:szCs w:val="21"/>
        </w:rPr>
        <w:t>日召开第三届董事会第三十次会议、第三届监事会第二十次会议，并于</w:t>
      </w:r>
      <w:r>
        <w:rPr>
          <w:sz w:val="21"/>
          <w:szCs w:val="21"/>
        </w:rPr>
        <w:t>2025</w:t>
      </w:r>
      <w:r>
        <w:rPr>
          <w:sz w:val="21"/>
          <w:szCs w:val="21"/>
        </w:rPr>
        <w:t>年</w:t>
      </w:r>
      <w:r>
        <w:rPr>
          <w:sz w:val="21"/>
          <w:szCs w:val="21"/>
        </w:rPr>
        <w:t>5</w:t>
      </w:r>
      <w:r>
        <w:rPr>
          <w:sz w:val="21"/>
          <w:szCs w:val="21"/>
        </w:rPr>
        <w:t>月</w:t>
      </w:r>
      <w:r>
        <w:rPr>
          <w:sz w:val="21"/>
          <w:szCs w:val="21"/>
        </w:rPr>
        <w:t>13</w:t>
      </w:r>
      <w:r>
        <w:rPr>
          <w:sz w:val="21"/>
          <w:szCs w:val="21"/>
        </w:rPr>
        <w:t>日召开</w:t>
      </w:r>
      <w:r>
        <w:rPr>
          <w:sz w:val="21"/>
          <w:szCs w:val="21"/>
        </w:rPr>
        <w:t>2024</w:t>
      </w:r>
      <w:r>
        <w:rPr>
          <w:sz w:val="21"/>
          <w:szCs w:val="21"/>
        </w:rPr>
        <w:t>年年度股东会，审议通过了《关于公司董事及高级管理人员</w:t>
      </w:r>
      <w:r>
        <w:rPr>
          <w:sz w:val="21"/>
          <w:szCs w:val="21"/>
        </w:rPr>
        <w:t>2025</w:t>
      </w:r>
      <w:r>
        <w:rPr>
          <w:sz w:val="21"/>
          <w:szCs w:val="21"/>
        </w:rPr>
        <w:t>年度薪酬待遇方案的议案》。</w:t>
      </w:r>
      <w:r>
        <w:rPr>
          <w:sz w:val="21"/>
          <w:szCs w:val="21"/>
        </w:rPr>
        <w:br/>
      </w:r>
      <w:r>
        <w:rPr>
          <w:sz w:val="21"/>
          <w:szCs w:val="21"/>
        </w:rPr>
        <w:lastRenderedPageBreak/>
        <w:t>（</w:t>
      </w:r>
      <w:r>
        <w:rPr>
          <w:sz w:val="21"/>
          <w:szCs w:val="21"/>
        </w:rPr>
        <w:t>3</w:t>
      </w:r>
      <w:r>
        <w:rPr>
          <w:sz w:val="21"/>
          <w:szCs w:val="21"/>
        </w:rPr>
        <w:t>）确定依据</w:t>
      </w:r>
      <w:r>
        <w:rPr>
          <w:sz w:val="21"/>
          <w:szCs w:val="21"/>
        </w:rPr>
        <w:br/>
      </w:r>
      <w:r>
        <w:rPr>
          <w:sz w:val="21"/>
          <w:szCs w:val="21"/>
        </w:rPr>
        <w:t>综合考虑所任职务的岗位重要性、个人能力、履职情况等因素，结合行业及地区薪酬水平确定。</w:t>
      </w:r>
      <w:r>
        <w:rPr>
          <w:sz w:val="21"/>
          <w:szCs w:val="21"/>
        </w:rPr>
        <w:br/>
      </w:r>
      <w:r>
        <w:rPr>
          <w:sz w:val="21"/>
          <w:szCs w:val="21"/>
        </w:rPr>
        <w:t>（</w:t>
      </w:r>
      <w:r>
        <w:rPr>
          <w:sz w:val="21"/>
          <w:szCs w:val="21"/>
        </w:rPr>
        <w:t>4</w:t>
      </w:r>
      <w:r>
        <w:rPr>
          <w:sz w:val="21"/>
          <w:szCs w:val="21"/>
        </w:rPr>
        <w:t>）实际支付情况</w:t>
      </w:r>
      <w:r>
        <w:rPr>
          <w:sz w:val="21"/>
          <w:szCs w:val="21"/>
        </w:rPr>
        <w:br/>
      </w:r>
      <w:r>
        <w:rPr>
          <w:sz w:val="21"/>
          <w:szCs w:val="21"/>
        </w:rPr>
        <w:t>在公司任职的董事、高级管理人员按月支付基本薪酬并进行年度考核，根据年度述职情况对述职人进行绩效评价，后依据绩效评价结果发放绩效工资。</w:t>
      </w:r>
      <w:r>
        <w:rPr>
          <w:sz w:val="21"/>
          <w:szCs w:val="21"/>
        </w:rPr>
        <w:br/>
      </w:r>
      <w:r>
        <w:rPr>
          <w:sz w:val="21"/>
          <w:szCs w:val="21"/>
        </w:rPr>
        <w:t>独立董事、外部董事按月发放津贴。</w:t>
      </w:r>
    </w:p>
    <w:p w:rsidR="00E20B54" w:rsidRDefault="00733C9E">
      <w:pPr>
        <w:spacing w:before="100" w:after="100" w:line="240" w:lineRule="exact"/>
        <w:rPr>
          <w:sz w:val="18"/>
          <w:szCs w:val="18"/>
        </w:rPr>
      </w:pPr>
      <w:r>
        <w:rPr>
          <w:sz w:val="18"/>
          <w:szCs w:val="18"/>
        </w:rPr>
        <w:t>公司报告期内董事和高级管理人员薪酬情况</w:t>
      </w:r>
    </w:p>
    <w:p w:rsidR="00E20B54" w:rsidRDefault="00733C9E">
      <w:pPr>
        <w:spacing w:before="120" w:after="120" w:line="240" w:lineRule="exact"/>
        <w:jc w:val="right"/>
        <w:rPr>
          <w:sz w:val="18"/>
          <w:szCs w:val="18"/>
        </w:rPr>
      </w:pPr>
      <w:r>
        <w:rPr>
          <w:sz w:val="18"/>
          <w:szCs w:val="18"/>
        </w:rPr>
        <w:t>单位：万元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377"/>
        <w:gridCol w:w="1377"/>
        <w:gridCol w:w="1377"/>
        <w:gridCol w:w="1377"/>
        <w:gridCol w:w="1377"/>
        <w:gridCol w:w="1377"/>
        <w:gridCol w:w="1377"/>
      </w:tblGrid>
      <w:tr w:rsidR="00E20B54">
        <w:trPr>
          <w:trHeight w:val="240"/>
        </w:trPr>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姓名</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性别</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年龄</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职务</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任职状态</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从公司获得的税前报酬总额</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是否在公司关联方获取报酬</w:t>
            </w:r>
          </w:p>
        </w:tc>
      </w:tr>
      <w:tr w:rsidR="00E20B54">
        <w:trPr>
          <w:trHeight w:val="240"/>
        </w:trPr>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林明玲</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女</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55</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董事长</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现任</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77.58</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否</w:t>
            </w:r>
          </w:p>
        </w:tc>
      </w:tr>
      <w:tr w:rsidR="00E20B54">
        <w:trPr>
          <w:trHeight w:val="240"/>
        </w:trPr>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马学沛</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男</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54</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副董事长、总经理</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现任</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60.02</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否</w:t>
            </w:r>
          </w:p>
        </w:tc>
      </w:tr>
      <w:tr w:rsidR="00E20B54">
        <w:trPr>
          <w:trHeight w:val="240"/>
        </w:trPr>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马翊珽</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男</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28</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董事</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现任</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1.5</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否</w:t>
            </w:r>
          </w:p>
        </w:tc>
      </w:tr>
      <w:tr w:rsidR="00E20B54">
        <w:trPr>
          <w:trHeight w:val="240"/>
        </w:trPr>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刘楚境</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男</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48</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董事</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现任</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1.5</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否</w:t>
            </w:r>
          </w:p>
        </w:tc>
      </w:tr>
      <w:tr w:rsidR="00E20B54">
        <w:trPr>
          <w:trHeight w:val="240"/>
        </w:trPr>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郭树荣</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男</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51</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董事</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现任</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3.7</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否</w:t>
            </w:r>
          </w:p>
        </w:tc>
      </w:tr>
      <w:tr w:rsidR="00E20B54">
        <w:trPr>
          <w:trHeight w:val="240"/>
        </w:trPr>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曹丽梅</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女</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48</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独立董事</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现任</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9.4</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否</w:t>
            </w:r>
          </w:p>
        </w:tc>
      </w:tr>
      <w:tr w:rsidR="00E20B54">
        <w:trPr>
          <w:trHeight w:val="240"/>
        </w:trPr>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石洁芝</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女</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53</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独立董事</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现任</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9.4</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否</w:t>
            </w:r>
          </w:p>
        </w:tc>
      </w:tr>
      <w:tr w:rsidR="00E20B54">
        <w:trPr>
          <w:trHeight w:val="240"/>
        </w:trPr>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滕丽秋</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女</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52</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独立董事</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现任</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2.4</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否</w:t>
            </w:r>
          </w:p>
        </w:tc>
      </w:tr>
      <w:tr w:rsidR="00E20B54">
        <w:trPr>
          <w:trHeight w:val="240"/>
        </w:trPr>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曹维</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男</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39</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副总经理、董事会秘书</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现任</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44.05</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否</w:t>
            </w:r>
          </w:p>
        </w:tc>
      </w:tr>
      <w:tr w:rsidR="00E20B54">
        <w:trPr>
          <w:trHeight w:val="240"/>
        </w:trPr>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林树生</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男</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38</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副总经理</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现任</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7.03</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否</w:t>
            </w:r>
          </w:p>
        </w:tc>
      </w:tr>
      <w:tr w:rsidR="00E20B54">
        <w:trPr>
          <w:trHeight w:val="240"/>
        </w:trPr>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陈焕盛</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男</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43</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财务负责人</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现任</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33.18</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否</w:t>
            </w:r>
          </w:p>
        </w:tc>
      </w:tr>
      <w:tr w:rsidR="00E20B54">
        <w:trPr>
          <w:trHeight w:val="240"/>
        </w:trPr>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高俊斌</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男</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42</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董事</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离任</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20.51</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否</w:t>
            </w:r>
          </w:p>
        </w:tc>
      </w:tr>
      <w:tr w:rsidR="00E20B54">
        <w:trPr>
          <w:trHeight w:val="240"/>
        </w:trPr>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张毅</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男</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55</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董事</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离任</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15.64</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否</w:t>
            </w:r>
          </w:p>
        </w:tc>
      </w:tr>
      <w:tr w:rsidR="00E20B54">
        <w:trPr>
          <w:trHeight w:val="240"/>
        </w:trPr>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蔡浩</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男</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52</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独立董事</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离任</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否</w:t>
            </w:r>
          </w:p>
        </w:tc>
      </w:tr>
      <w:tr w:rsidR="00E20B54">
        <w:trPr>
          <w:trHeight w:val="240"/>
        </w:trPr>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马淦江</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男</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34</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董事</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离任</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6.6</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否</w:t>
            </w:r>
          </w:p>
        </w:tc>
      </w:tr>
      <w:tr w:rsidR="00E20B54">
        <w:trPr>
          <w:trHeight w:val="240"/>
        </w:trPr>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李华青</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男</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48</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副总经理、董事会秘书</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离任</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44.15</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否</w:t>
            </w:r>
          </w:p>
        </w:tc>
      </w:tr>
      <w:tr w:rsidR="00E20B54">
        <w:trPr>
          <w:trHeight w:val="240"/>
        </w:trPr>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林少勇</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男</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52</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副总经理</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离任</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30.76</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否</w:t>
            </w:r>
          </w:p>
        </w:tc>
      </w:tr>
      <w:tr w:rsidR="00E20B54">
        <w:trPr>
          <w:trHeight w:val="240"/>
        </w:trPr>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合计</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370.42</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w:t>
            </w:r>
          </w:p>
        </w:tc>
      </w:tr>
    </w:tbl>
    <w:p w:rsidR="00E20B54" w:rsidRDefault="00E20B54">
      <w:pPr>
        <w:spacing w:line="0" w:lineRule="atLeast"/>
      </w:pP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4820"/>
        <w:gridCol w:w="4819"/>
      </w:tblGrid>
      <w:tr w:rsidR="00E20B54">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报告期末全体董事和高级管理人员实际获得薪酬的考核依据</w:t>
            </w:r>
          </w:p>
        </w:tc>
        <w:tc>
          <w:tcPr>
            <w:tcW w:w="4820" w:type="dxa"/>
            <w:tcBorders>
              <w:top w:val="single" w:sz="2" w:space="0" w:color="auto"/>
              <w:left w:val="single" w:sz="2" w:space="0" w:color="auto"/>
              <w:bottom w:val="single" w:sz="2" w:space="0" w:color="auto"/>
              <w:right w:val="single" w:sz="2" w:space="0" w:color="auto"/>
            </w:tcBorders>
            <w:vAlign w:val="center"/>
          </w:tcPr>
          <w:p w:rsidR="00E20B54" w:rsidRDefault="00733C9E" w:rsidP="00F77896">
            <w:pPr>
              <w:spacing w:line="240" w:lineRule="exact"/>
              <w:rPr>
                <w:sz w:val="18"/>
                <w:szCs w:val="18"/>
              </w:rPr>
            </w:pPr>
            <w:r>
              <w:rPr>
                <w:sz w:val="18"/>
                <w:szCs w:val="18"/>
              </w:rPr>
              <w:t>为规范公司各级员工的绩效管理，牵引公司经营目标的实现，科学合理评价各级人员的工作绩效，本着公开、公平、公正的原则，公司制定了各级员工的绩效考核规定。董事和高管的考核分两类，一是层级考核：被考核人的直接上级根据被考核人的工作计划和</w:t>
            </w:r>
            <w:r>
              <w:rPr>
                <w:sz w:val="18"/>
                <w:szCs w:val="18"/>
              </w:rPr>
              <w:t>KPI</w:t>
            </w:r>
            <w:r w:rsidR="00F77896">
              <w:rPr>
                <w:sz w:val="18"/>
                <w:szCs w:val="18"/>
              </w:rPr>
              <w:t>指标完成情况，依照考核标准对被考核者进行评价，适</w:t>
            </w:r>
            <w:r w:rsidR="00F77896">
              <w:rPr>
                <w:rFonts w:hint="eastAsia"/>
                <w:sz w:val="18"/>
                <w:szCs w:val="18"/>
              </w:rPr>
              <w:t>用于</w:t>
            </w:r>
            <w:r>
              <w:rPr>
                <w:sz w:val="18"/>
                <w:szCs w:val="18"/>
              </w:rPr>
              <w:t>月度；二是述职考核：述职考核是指被考核人通过述职会议的形式，围绕</w:t>
            </w:r>
            <w:r>
              <w:rPr>
                <w:sz w:val="18"/>
                <w:szCs w:val="18"/>
              </w:rPr>
              <w:t>KPI</w:t>
            </w:r>
            <w:r>
              <w:rPr>
                <w:sz w:val="18"/>
                <w:szCs w:val="18"/>
              </w:rPr>
              <w:t>指标，向考核人及述职考核委员会汇报有关业绩完成的情况并作相应的分析。述职考核委员会根据述职情况对述职人进行绩效评价，适</w:t>
            </w:r>
            <w:r w:rsidR="00F77896">
              <w:rPr>
                <w:rFonts w:hint="eastAsia"/>
                <w:sz w:val="18"/>
                <w:szCs w:val="18"/>
              </w:rPr>
              <w:t>用于</w:t>
            </w:r>
            <w:r>
              <w:rPr>
                <w:sz w:val="18"/>
                <w:szCs w:val="18"/>
              </w:rPr>
              <w:t>年度述职考核。</w:t>
            </w:r>
          </w:p>
        </w:tc>
      </w:tr>
      <w:tr w:rsidR="00E20B54">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报告期末全体董事和高级管理人员实际获得薪酬的考核完成情况</w:t>
            </w:r>
          </w:p>
        </w:tc>
        <w:tc>
          <w:tcPr>
            <w:tcW w:w="482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完成。</w:t>
            </w:r>
          </w:p>
        </w:tc>
      </w:tr>
      <w:tr w:rsidR="00E20B54">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报告期末全体董事和高级管理人员实际获得薪酬的递延支付安排</w:t>
            </w:r>
          </w:p>
        </w:tc>
        <w:tc>
          <w:tcPr>
            <w:tcW w:w="482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暂无。</w:t>
            </w:r>
          </w:p>
        </w:tc>
      </w:tr>
      <w:tr w:rsidR="00E20B54">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报告期末全体董事和高级管理人员实际获得薪酬的止付追索情况</w:t>
            </w:r>
          </w:p>
        </w:tc>
        <w:tc>
          <w:tcPr>
            <w:tcW w:w="482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暂无。</w:t>
            </w:r>
          </w:p>
        </w:tc>
      </w:tr>
    </w:tbl>
    <w:p w:rsidR="00E20B54" w:rsidRDefault="00E20B54">
      <w:pPr>
        <w:spacing w:line="0" w:lineRule="atLeast"/>
      </w:pPr>
    </w:p>
    <w:p w:rsidR="00E20B54" w:rsidRDefault="00733C9E">
      <w:pPr>
        <w:spacing w:before="100" w:after="100" w:line="240" w:lineRule="exact"/>
        <w:rPr>
          <w:sz w:val="18"/>
          <w:szCs w:val="18"/>
        </w:rPr>
      </w:pPr>
      <w:r>
        <w:rPr>
          <w:sz w:val="18"/>
          <w:szCs w:val="18"/>
        </w:rPr>
        <w:t>其他情况说明</w:t>
      </w:r>
    </w:p>
    <w:p w:rsidR="00E20B54" w:rsidRDefault="00733C9E">
      <w:pPr>
        <w:spacing w:before="40" w:after="40" w:line="240" w:lineRule="exact"/>
        <w:rPr>
          <w:sz w:val="18"/>
          <w:szCs w:val="18"/>
        </w:rPr>
      </w:pPr>
      <w:r>
        <w:rPr>
          <w:sz w:val="18"/>
          <w:szCs w:val="18"/>
        </w:rPr>
        <w:t>□</w:t>
      </w:r>
      <w:r>
        <w:rPr>
          <w:sz w:val="18"/>
          <w:szCs w:val="18"/>
        </w:rPr>
        <w:t>适用</w:t>
      </w:r>
      <w:r>
        <w:rPr>
          <w:sz w:val="18"/>
          <w:szCs w:val="18"/>
        </w:rPr>
        <w:t xml:space="preserve"> </w:t>
      </w:r>
      <w:r>
        <w:rPr>
          <w:sz w:val="18"/>
          <w:szCs w:val="18"/>
        </w:rPr>
        <w:sym w:font="Wingdings 2" w:char="F052"/>
      </w:r>
      <w:r>
        <w:rPr>
          <w:sz w:val="18"/>
          <w:szCs w:val="18"/>
        </w:rPr>
        <w:t>不适用</w:t>
      </w:r>
    </w:p>
    <w:p w:rsidR="00E20B54" w:rsidRDefault="00733C9E">
      <w:pPr>
        <w:pStyle w:val="2"/>
        <w:spacing w:before="300" w:after="300" w:line="320" w:lineRule="exact"/>
        <w:rPr>
          <w:b/>
          <w:bCs/>
          <w:sz w:val="24"/>
          <w:szCs w:val="24"/>
        </w:rPr>
      </w:pPr>
      <w:bookmarkStart w:id="61" w:name="_Toc988950"/>
      <w:r>
        <w:rPr>
          <w:b/>
          <w:bCs/>
          <w:sz w:val="24"/>
          <w:szCs w:val="24"/>
        </w:rPr>
        <w:lastRenderedPageBreak/>
        <w:t>七、报告期内董事履行职责的情况</w:t>
      </w:r>
      <w:bookmarkEnd w:id="61"/>
    </w:p>
    <w:p w:rsidR="00E20B54" w:rsidRDefault="00733C9E">
      <w:pPr>
        <w:pStyle w:val="3"/>
        <w:spacing w:line="280" w:lineRule="exact"/>
        <w:jc w:val="left"/>
        <w:rPr>
          <w:b/>
          <w:bCs/>
        </w:rPr>
      </w:pPr>
      <w:bookmarkStart w:id="62" w:name="_Toc988951"/>
      <w:r>
        <w:rPr>
          <w:b/>
          <w:bCs/>
        </w:rPr>
        <w:t>1</w:t>
      </w:r>
      <w:r>
        <w:rPr>
          <w:b/>
          <w:bCs/>
        </w:rPr>
        <w:t>、董事出席董事会及股东会的情况</w:t>
      </w:r>
      <w:bookmarkEnd w:id="62"/>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204"/>
        <w:gridCol w:w="1205"/>
        <w:gridCol w:w="1205"/>
        <w:gridCol w:w="1205"/>
        <w:gridCol w:w="1205"/>
        <w:gridCol w:w="1205"/>
        <w:gridCol w:w="1205"/>
        <w:gridCol w:w="1205"/>
      </w:tblGrid>
      <w:tr w:rsidR="00E20B54">
        <w:trPr>
          <w:trHeight w:val="240"/>
        </w:trPr>
        <w:tc>
          <w:tcPr>
            <w:tcW w:w="9639" w:type="dxa"/>
            <w:gridSpan w:val="8"/>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董事出席董事会及股东会的情况</w:t>
            </w:r>
          </w:p>
        </w:tc>
      </w:tr>
      <w:tr w:rsidR="00E20B54">
        <w:trPr>
          <w:trHeight w:val="240"/>
        </w:trPr>
        <w:tc>
          <w:tcPr>
            <w:tcW w:w="1205"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董事姓名</w:t>
            </w:r>
          </w:p>
        </w:tc>
        <w:tc>
          <w:tcPr>
            <w:tcW w:w="1205"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本报告期应参加董事会次数</w:t>
            </w:r>
          </w:p>
        </w:tc>
        <w:tc>
          <w:tcPr>
            <w:tcW w:w="1205"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现场出席董事会次数</w:t>
            </w:r>
          </w:p>
        </w:tc>
        <w:tc>
          <w:tcPr>
            <w:tcW w:w="1205"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以通讯方式参加董事会次数</w:t>
            </w:r>
          </w:p>
        </w:tc>
        <w:tc>
          <w:tcPr>
            <w:tcW w:w="1205"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委托出席董事会次数</w:t>
            </w:r>
          </w:p>
        </w:tc>
        <w:tc>
          <w:tcPr>
            <w:tcW w:w="1205"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缺席董事会次数</w:t>
            </w:r>
          </w:p>
        </w:tc>
        <w:tc>
          <w:tcPr>
            <w:tcW w:w="1205"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是否连续两次未亲自参加董事会会议</w:t>
            </w:r>
          </w:p>
        </w:tc>
        <w:tc>
          <w:tcPr>
            <w:tcW w:w="1205"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出席股东会次数</w:t>
            </w:r>
          </w:p>
        </w:tc>
      </w:tr>
      <w:tr w:rsidR="00E20B54">
        <w:trPr>
          <w:trHeight w:val="240"/>
        </w:trPr>
        <w:tc>
          <w:tcPr>
            <w:tcW w:w="1205"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林明玲</w:t>
            </w:r>
          </w:p>
        </w:tc>
        <w:tc>
          <w:tcPr>
            <w:tcW w:w="1205"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9</w:t>
            </w:r>
          </w:p>
        </w:tc>
        <w:tc>
          <w:tcPr>
            <w:tcW w:w="1205"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9</w:t>
            </w:r>
          </w:p>
        </w:tc>
        <w:tc>
          <w:tcPr>
            <w:tcW w:w="1205"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w:t>
            </w:r>
          </w:p>
        </w:tc>
        <w:tc>
          <w:tcPr>
            <w:tcW w:w="1205"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w:t>
            </w:r>
          </w:p>
        </w:tc>
        <w:tc>
          <w:tcPr>
            <w:tcW w:w="1205"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w:t>
            </w:r>
          </w:p>
        </w:tc>
        <w:tc>
          <w:tcPr>
            <w:tcW w:w="1205"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否</w:t>
            </w:r>
          </w:p>
        </w:tc>
        <w:tc>
          <w:tcPr>
            <w:tcW w:w="1205"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w:t>
            </w:r>
          </w:p>
        </w:tc>
      </w:tr>
      <w:tr w:rsidR="00E20B54">
        <w:trPr>
          <w:trHeight w:val="240"/>
        </w:trPr>
        <w:tc>
          <w:tcPr>
            <w:tcW w:w="1205"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马学沛</w:t>
            </w:r>
          </w:p>
        </w:tc>
        <w:tc>
          <w:tcPr>
            <w:tcW w:w="1205"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9</w:t>
            </w:r>
          </w:p>
        </w:tc>
        <w:tc>
          <w:tcPr>
            <w:tcW w:w="1205"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6</w:t>
            </w:r>
          </w:p>
        </w:tc>
        <w:tc>
          <w:tcPr>
            <w:tcW w:w="1205"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w:t>
            </w:r>
          </w:p>
        </w:tc>
        <w:tc>
          <w:tcPr>
            <w:tcW w:w="1205"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w:t>
            </w:r>
          </w:p>
        </w:tc>
        <w:tc>
          <w:tcPr>
            <w:tcW w:w="1205"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w:t>
            </w:r>
          </w:p>
        </w:tc>
        <w:tc>
          <w:tcPr>
            <w:tcW w:w="1205"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否</w:t>
            </w:r>
          </w:p>
        </w:tc>
        <w:tc>
          <w:tcPr>
            <w:tcW w:w="1205"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w:t>
            </w:r>
          </w:p>
        </w:tc>
      </w:tr>
      <w:tr w:rsidR="00E20B54">
        <w:trPr>
          <w:trHeight w:val="240"/>
        </w:trPr>
        <w:tc>
          <w:tcPr>
            <w:tcW w:w="1205"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马翊珽</w:t>
            </w:r>
          </w:p>
        </w:tc>
        <w:tc>
          <w:tcPr>
            <w:tcW w:w="1205"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w:t>
            </w:r>
          </w:p>
        </w:tc>
        <w:tc>
          <w:tcPr>
            <w:tcW w:w="1205"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w:t>
            </w:r>
          </w:p>
        </w:tc>
        <w:tc>
          <w:tcPr>
            <w:tcW w:w="1205"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w:t>
            </w:r>
          </w:p>
        </w:tc>
        <w:tc>
          <w:tcPr>
            <w:tcW w:w="1205"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w:t>
            </w:r>
          </w:p>
        </w:tc>
        <w:tc>
          <w:tcPr>
            <w:tcW w:w="1205"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w:t>
            </w:r>
          </w:p>
        </w:tc>
        <w:tc>
          <w:tcPr>
            <w:tcW w:w="1205"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否</w:t>
            </w:r>
          </w:p>
        </w:tc>
        <w:tc>
          <w:tcPr>
            <w:tcW w:w="1205"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w:t>
            </w:r>
          </w:p>
        </w:tc>
      </w:tr>
      <w:tr w:rsidR="00E20B54">
        <w:trPr>
          <w:trHeight w:val="240"/>
        </w:trPr>
        <w:tc>
          <w:tcPr>
            <w:tcW w:w="1205"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刘楚境</w:t>
            </w:r>
          </w:p>
        </w:tc>
        <w:tc>
          <w:tcPr>
            <w:tcW w:w="1205"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w:t>
            </w:r>
          </w:p>
        </w:tc>
        <w:tc>
          <w:tcPr>
            <w:tcW w:w="1205"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w:t>
            </w:r>
          </w:p>
        </w:tc>
        <w:tc>
          <w:tcPr>
            <w:tcW w:w="1205"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w:t>
            </w:r>
          </w:p>
        </w:tc>
        <w:tc>
          <w:tcPr>
            <w:tcW w:w="1205"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w:t>
            </w:r>
          </w:p>
        </w:tc>
        <w:tc>
          <w:tcPr>
            <w:tcW w:w="1205"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w:t>
            </w:r>
          </w:p>
        </w:tc>
        <w:tc>
          <w:tcPr>
            <w:tcW w:w="1205"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否</w:t>
            </w:r>
          </w:p>
        </w:tc>
        <w:tc>
          <w:tcPr>
            <w:tcW w:w="1205"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w:t>
            </w:r>
          </w:p>
        </w:tc>
      </w:tr>
      <w:tr w:rsidR="00E20B54">
        <w:trPr>
          <w:trHeight w:val="240"/>
        </w:trPr>
        <w:tc>
          <w:tcPr>
            <w:tcW w:w="1205"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郭树荣</w:t>
            </w:r>
          </w:p>
        </w:tc>
        <w:tc>
          <w:tcPr>
            <w:tcW w:w="1205"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w:t>
            </w:r>
          </w:p>
        </w:tc>
        <w:tc>
          <w:tcPr>
            <w:tcW w:w="1205"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w:t>
            </w:r>
          </w:p>
        </w:tc>
        <w:tc>
          <w:tcPr>
            <w:tcW w:w="1205"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w:t>
            </w:r>
          </w:p>
        </w:tc>
        <w:tc>
          <w:tcPr>
            <w:tcW w:w="1205"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w:t>
            </w:r>
          </w:p>
        </w:tc>
        <w:tc>
          <w:tcPr>
            <w:tcW w:w="1205"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w:t>
            </w:r>
          </w:p>
        </w:tc>
        <w:tc>
          <w:tcPr>
            <w:tcW w:w="1205"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否</w:t>
            </w:r>
          </w:p>
        </w:tc>
        <w:tc>
          <w:tcPr>
            <w:tcW w:w="1205"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w:t>
            </w:r>
          </w:p>
        </w:tc>
      </w:tr>
      <w:tr w:rsidR="00E20B54">
        <w:trPr>
          <w:trHeight w:val="240"/>
        </w:trPr>
        <w:tc>
          <w:tcPr>
            <w:tcW w:w="1205"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曹丽梅</w:t>
            </w:r>
          </w:p>
        </w:tc>
        <w:tc>
          <w:tcPr>
            <w:tcW w:w="1205"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9</w:t>
            </w:r>
          </w:p>
        </w:tc>
        <w:tc>
          <w:tcPr>
            <w:tcW w:w="1205"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w:t>
            </w:r>
          </w:p>
        </w:tc>
        <w:tc>
          <w:tcPr>
            <w:tcW w:w="1205"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9</w:t>
            </w:r>
          </w:p>
        </w:tc>
        <w:tc>
          <w:tcPr>
            <w:tcW w:w="1205"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w:t>
            </w:r>
          </w:p>
        </w:tc>
        <w:tc>
          <w:tcPr>
            <w:tcW w:w="1205"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w:t>
            </w:r>
          </w:p>
        </w:tc>
        <w:tc>
          <w:tcPr>
            <w:tcW w:w="1205"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否</w:t>
            </w:r>
          </w:p>
        </w:tc>
        <w:tc>
          <w:tcPr>
            <w:tcW w:w="1205"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w:t>
            </w:r>
          </w:p>
        </w:tc>
      </w:tr>
      <w:tr w:rsidR="00E20B54">
        <w:trPr>
          <w:trHeight w:val="240"/>
        </w:trPr>
        <w:tc>
          <w:tcPr>
            <w:tcW w:w="1205"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滕丽秋</w:t>
            </w:r>
          </w:p>
        </w:tc>
        <w:tc>
          <w:tcPr>
            <w:tcW w:w="1205"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w:t>
            </w:r>
          </w:p>
        </w:tc>
        <w:tc>
          <w:tcPr>
            <w:tcW w:w="1205"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w:t>
            </w:r>
          </w:p>
        </w:tc>
        <w:tc>
          <w:tcPr>
            <w:tcW w:w="1205"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w:t>
            </w:r>
          </w:p>
        </w:tc>
        <w:tc>
          <w:tcPr>
            <w:tcW w:w="1205"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w:t>
            </w:r>
          </w:p>
        </w:tc>
        <w:tc>
          <w:tcPr>
            <w:tcW w:w="1205"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w:t>
            </w:r>
          </w:p>
        </w:tc>
        <w:tc>
          <w:tcPr>
            <w:tcW w:w="1205"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否</w:t>
            </w:r>
          </w:p>
        </w:tc>
        <w:tc>
          <w:tcPr>
            <w:tcW w:w="1205"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w:t>
            </w:r>
          </w:p>
        </w:tc>
      </w:tr>
      <w:tr w:rsidR="00E20B54">
        <w:trPr>
          <w:trHeight w:val="240"/>
        </w:trPr>
        <w:tc>
          <w:tcPr>
            <w:tcW w:w="1205"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石洁芝</w:t>
            </w:r>
          </w:p>
        </w:tc>
        <w:tc>
          <w:tcPr>
            <w:tcW w:w="1205"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9</w:t>
            </w:r>
          </w:p>
        </w:tc>
        <w:tc>
          <w:tcPr>
            <w:tcW w:w="1205"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w:t>
            </w:r>
          </w:p>
        </w:tc>
        <w:tc>
          <w:tcPr>
            <w:tcW w:w="1205"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8</w:t>
            </w:r>
          </w:p>
        </w:tc>
        <w:tc>
          <w:tcPr>
            <w:tcW w:w="1205"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w:t>
            </w:r>
          </w:p>
        </w:tc>
        <w:tc>
          <w:tcPr>
            <w:tcW w:w="1205"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w:t>
            </w:r>
          </w:p>
        </w:tc>
        <w:tc>
          <w:tcPr>
            <w:tcW w:w="1205"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否</w:t>
            </w:r>
          </w:p>
        </w:tc>
        <w:tc>
          <w:tcPr>
            <w:tcW w:w="1205"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w:t>
            </w:r>
          </w:p>
        </w:tc>
      </w:tr>
      <w:tr w:rsidR="00E20B54">
        <w:trPr>
          <w:trHeight w:val="240"/>
        </w:trPr>
        <w:tc>
          <w:tcPr>
            <w:tcW w:w="1205"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高俊斌</w:t>
            </w:r>
          </w:p>
        </w:tc>
        <w:tc>
          <w:tcPr>
            <w:tcW w:w="1205"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6</w:t>
            </w:r>
          </w:p>
        </w:tc>
        <w:tc>
          <w:tcPr>
            <w:tcW w:w="1205"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5</w:t>
            </w:r>
          </w:p>
        </w:tc>
        <w:tc>
          <w:tcPr>
            <w:tcW w:w="1205"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w:t>
            </w:r>
          </w:p>
        </w:tc>
        <w:tc>
          <w:tcPr>
            <w:tcW w:w="1205"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w:t>
            </w:r>
          </w:p>
        </w:tc>
        <w:tc>
          <w:tcPr>
            <w:tcW w:w="1205"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w:t>
            </w:r>
          </w:p>
        </w:tc>
        <w:tc>
          <w:tcPr>
            <w:tcW w:w="1205"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否</w:t>
            </w:r>
          </w:p>
        </w:tc>
        <w:tc>
          <w:tcPr>
            <w:tcW w:w="1205"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w:t>
            </w:r>
          </w:p>
        </w:tc>
      </w:tr>
      <w:tr w:rsidR="00E20B54">
        <w:trPr>
          <w:trHeight w:val="240"/>
        </w:trPr>
        <w:tc>
          <w:tcPr>
            <w:tcW w:w="1205"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张毅</w:t>
            </w:r>
          </w:p>
        </w:tc>
        <w:tc>
          <w:tcPr>
            <w:tcW w:w="1205"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6</w:t>
            </w:r>
          </w:p>
        </w:tc>
        <w:tc>
          <w:tcPr>
            <w:tcW w:w="1205"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5</w:t>
            </w:r>
          </w:p>
        </w:tc>
        <w:tc>
          <w:tcPr>
            <w:tcW w:w="1205"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w:t>
            </w:r>
          </w:p>
        </w:tc>
        <w:tc>
          <w:tcPr>
            <w:tcW w:w="1205"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w:t>
            </w:r>
          </w:p>
        </w:tc>
        <w:tc>
          <w:tcPr>
            <w:tcW w:w="1205"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w:t>
            </w:r>
          </w:p>
        </w:tc>
        <w:tc>
          <w:tcPr>
            <w:tcW w:w="1205"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否</w:t>
            </w:r>
          </w:p>
        </w:tc>
        <w:tc>
          <w:tcPr>
            <w:tcW w:w="1205"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w:t>
            </w:r>
          </w:p>
        </w:tc>
      </w:tr>
      <w:tr w:rsidR="00E20B54">
        <w:trPr>
          <w:trHeight w:val="240"/>
        </w:trPr>
        <w:tc>
          <w:tcPr>
            <w:tcW w:w="1205"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蔡浩</w:t>
            </w:r>
          </w:p>
        </w:tc>
        <w:tc>
          <w:tcPr>
            <w:tcW w:w="1205"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6</w:t>
            </w:r>
          </w:p>
        </w:tc>
        <w:tc>
          <w:tcPr>
            <w:tcW w:w="1205"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6</w:t>
            </w:r>
          </w:p>
        </w:tc>
        <w:tc>
          <w:tcPr>
            <w:tcW w:w="1205"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w:t>
            </w:r>
          </w:p>
        </w:tc>
        <w:tc>
          <w:tcPr>
            <w:tcW w:w="1205"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w:t>
            </w:r>
          </w:p>
        </w:tc>
        <w:tc>
          <w:tcPr>
            <w:tcW w:w="1205"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w:t>
            </w:r>
          </w:p>
        </w:tc>
        <w:tc>
          <w:tcPr>
            <w:tcW w:w="1205"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否</w:t>
            </w:r>
          </w:p>
        </w:tc>
        <w:tc>
          <w:tcPr>
            <w:tcW w:w="1205"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w:t>
            </w:r>
          </w:p>
        </w:tc>
      </w:tr>
      <w:tr w:rsidR="00E20B54">
        <w:trPr>
          <w:trHeight w:val="240"/>
        </w:trPr>
        <w:tc>
          <w:tcPr>
            <w:tcW w:w="1205"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马淦江</w:t>
            </w:r>
          </w:p>
        </w:tc>
        <w:tc>
          <w:tcPr>
            <w:tcW w:w="1205"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6</w:t>
            </w:r>
          </w:p>
        </w:tc>
        <w:tc>
          <w:tcPr>
            <w:tcW w:w="1205"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w:t>
            </w:r>
          </w:p>
        </w:tc>
        <w:tc>
          <w:tcPr>
            <w:tcW w:w="1205"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5</w:t>
            </w:r>
          </w:p>
        </w:tc>
        <w:tc>
          <w:tcPr>
            <w:tcW w:w="1205"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w:t>
            </w:r>
          </w:p>
        </w:tc>
        <w:tc>
          <w:tcPr>
            <w:tcW w:w="1205"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w:t>
            </w:r>
          </w:p>
        </w:tc>
        <w:tc>
          <w:tcPr>
            <w:tcW w:w="1205"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否</w:t>
            </w:r>
          </w:p>
        </w:tc>
        <w:tc>
          <w:tcPr>
            <w:tcW w:w="1205"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w:t>
            </w:r>
          </w:p>
        </w:tc>
      </w:tr>
    </w:tbl>
    <w:p w:rsidR="00E20B54" w:rsidRDefault="00733C9E">
      <w:pPr>
        <w:spacing w:before="100" w:after="100" w:line="240" w:lineRule="exact"/>
        <w:rPr>
          <w:sz w:val="18"/>
          <w:szCs w:val="18"/>
        </w:rPr>
      </w:pPr>
      <w:r>
        <w:rPr>
          <w:sz w:val="18"/>
          <w:szCs w:val="18"/>
        </w:rPr>
        <w:t>连续两次未亲自出席董事会的说明</w:t>
      </w:r>
    </w:p>
    <w:p w:rsidR="00E20B54" w:rsidRDefault="00733C9E">
      <w:pPr>
        <w:widowControl/>
        <w:spacing w:line="560" w:lineRule="atLeast"/>
        <w:ind w:firstLine="357"/>
        <w:rPr>
          <w:sz w:val="18"/>
          <w:szCs w:val="18"/>
        </w:rPr>
      </w:pPr>
      <w:r>
        <w:rPr>
          <w:sz w:val="18"/>
          <w:szCs w:val="18"/>
          <w:lang w:bidi="ar"/>
        </w:rPr>
        <w:t>不适用。</w:t>
      </w:r>
    </w:p>
    <w:p w:rsidR="00E20B54" w:rsidRDefault="00733C9E">
      <w:pPr>
        <w:pStyle w:val="3"/>
        <w:spacing w:line="280" w:lineRule="exact"/>
        <w:jc w:val="left"/>
        <w:rPr>
          <w:b/>
          <w:bCs/>
        </w:rPr>
      </w:pPr>
      <w:bookmarkStart w:id="63" w:name="_Toc988952"/>
      <w:r>
        <w:rPr>
          <w:b/>
          <w:bCs/>
        </w:rPr>
        <w:t>2</w:t>
      </w:r>
      <w:r>
        <w:rPr>
          <w:b/>
          <w:bCs/>
        </w:rPr>
        <w:t>、董事对公司有关事项提出异议的情况</w:t>
      </w:r>
      <w:bookmarkEnd w:id="63"/>
    </w:p>
    <w:p w:rsidR="00E20B54" w:rsidRDefault="00733C9E">
      <w:pPr>
        <w:spacing w:before="100" w:after="100" w:line="240" w:lineRule="exact"/>
        <w:rPr>
          <w:sz w:val="18"/>
          <w:szCs w:val="18"/>
        </w:rPr>
      </w:pPr>
      <w:r>
        <w:rPr>
          <w:sz w:val="18"/>
          <w:szCs w:val="18"/>
        </w:rPr>
        <w:t>董事对公司有关事项是否提出异议</w:t>
      </w:r>
    </w:p>
    <w:p w:rsidR="00E20B54" w:rsidRDefault="00733C9E">
      <w:pPr>
        <w:spacing w:before="100" w:after="100" w:line="240" w:lineRule="exact"/>
        <w:rPr>
          <w:sz w:val="18"/>
          <w:szCs w:val="18"/>
        </w:rPr>
      </w:pPr>
      <w:r>
        <w:rPr>
          <w:sz w:val="18"/>
          <w:szCs w:val="18"/>
        </w:rPr>
        <w:t>□</w:t>
      </w:r>
      <w:r>
        <w:rPr>
          <w:sz w:val="18"/>
          <w:szCs w:val="18"/>
        </w:rPr>
        <w:t>是</w:t>
      </w:r>
      <w:r>
        <w:rPr>
          <w:sz w:val="18"/>
          <w:szCs w:val="18"/>
        </w:rPr>
        <w:t xml:space="preserve"> </w:t>
      </w:r>
      <w:r>
        <w:rPr>
          <w:sz w:val="18"/>
          <w:szCs w:val="18"/>
        </w:rPr>
        <w:sym w:font="Wingdings 2" w:char="F052"/>
      </w:r>
      <w:r>
        <w:rPr>
          <w:sz w:val="18"/>
          <w:szCs w:val="18"/>
        </w:rPr>
        <w:t>否</w:t>
      </w:r>
    </w:p>
    <w:p w:rsidR="00E20B54" w:rsidRDefault="00733C9E">
      <w:pPr>
        <w:spacing w:before="40" w:after="40" w:line="240" w:lineRule="exact"/>
        <w:rPr>
          <w:sz w:val="18"/>
          <w:szCs w:val="18"/>
        </w:rPr>
      </w:pPr>
      <w:r>
        <w:rPr>
          <w:sz w:val="18"/>
          <w:szCs w:val="18"/>
        </w:rPr>
        <w:t>报告期内董事对公司有关事项未提出异议。</w:t>
      </w:r>
    </w:p>
    <w:p w:rsidR="00E20B54" w:rsidRDefault="00733C9E">
      <w:pPr>
        <w:pStyle w:val="3"/>
        <w:spacing w:line="280" w:lineRule="exact"/>
        <w:jc w:val="left"/>
        <w:rPr>
          <w:b/>
          <w:bCs/>
        </w:rPr>
      </w:pPr>
      <w:bookmarkStart w:id="64" w:name="_Toc988953"/>
      <w:r>
        <w:rPr>
          <w:b/>
          <w:bCs/>
        </w:rPr>
        <w:t>3</w:t>
      </w:r>
      <w:r>
        <w:rPr>
          <w:b/>
          <w:bCs/>
        </w:rPr>
        <w:t>、董事履行职责的其他说明</w:t>
      </w:r>
      <w:bookmarkEnd w:id="64"/>
    </w:p>
    <w:p w:rsidR="00E20B54" w:rsidRDefault="00733C9E">
      <w:pPr>
        <w:spacing w:before="100" w:after="100" w:line="240" w:lineRule="exact"/>
        <w:rPr>
          <w:sz w:val="18"/>
          <w:szCs w:val="18"/>
        </w:rPr>
      </w:pPr>
      <w:r>
        <w:rPr>
          <w:sz w:val="18"/>
          <w:szCs w:val="18"/>
        </w:rPr>
        <w:t>董事对公司有关建议是否被采纳</w:t>
      </w:r>
    </w:p>
    <w:p w:rsidR="00E20B54" w:rsidRDefault="00733C9E">
      <w:pPr>
        <w:spacing w:before="100" w:after="100" w:line="240" w:lineRule="exact"/>
        <w:rPr>
          <w:sz w:val="18"/>
          <w:szCs w:val="18"/>
        </w:rPr>
      </w:pPr>
      <w:r>
        <w:rPr>
          <w:sz w:val="18"/>
          <w:szCs w:val="18"/>
        </w:rPr>
        <w:t>□</w:t>
      </w:r>
      <w:r>
        <w:rPr>
          <w:sz w:val="18"/>
          <w:szCs w:val="18"/>
        </w:rPr>
        <w:t>是</w:t>
      </w:r>
      <w:r>
        <w:rPr>
          <w:sz w:val="18"/>
          <w:szCs w:val="18"/>
        </w:rPr>
        <w:t xml:space="preserve"> </w:t>
      </w:r>
      <w:r>
        <w:rPr>
          <w:sz w:val="18"/>
          <w:szCs w:val="18"/>
        </w:rPr>
        <w:sym w:font="Wingdings 2" w:char="F052"/>
      </w:r>
      <w:r>
        <w:rPr>
          <w:sz w:val="18"/>
          <w:szCs w:val="18"/>
        </w:rPr>
        <w:t>否</w:t>
      </w:r>
    </w:p>
    <w:p w:rsidR="00E20B54" w:rsidRDefault="00733C9E">
      <w:pPr>
        <w:spacing w:before="100" w:after="100" w:line="240" w:lineRule="exact"/>
        <w:rPr>
          <w:sz w:val="18"/>
          <w:szCs w:val="18"/>
        </w:rPr>
      </w:pPr>
      <w:r>
        <w:rPr>
          <w:sz w:val="18"/>
          <w:szCs w:val="18"/>
        </w:rPr>
        <w:t>董事对公司有关建议被采纳或未被采纳的说明</w:t>
      </w:r>
    </w:p>
    <w:p w:rsidR="00E20B54" w:rsidRDefault="00733C9E">
      <w:pPr>
        <w:pStyle w:val="a3"/>
        <w:widowControl/>
      </w:pPr>
      <w:r>
        <w:rPr>
          <w:sz w:val="18"/>
          <w:szCs w:val="18"/>
        </w:rPr>
        <w:t>不适用。</w:t>
      </w:r>
    </w:p>
    <w:p w:rsidR="00E20B54" w:rsidRDefault="00733C9E">
      <w:pPr>
        <w:pStyle w:val="2"/>
        <w:spacing w:before="300" w:after="300" w:line="320" w:lineRule="exact"/>
        <w:rPr>
          <w:b/>
          <w:bCs/>
          <w:sz w:val="24"/>
          <w:szCs w:val="24"/>
        </w:rPr>
      </w:pPr>
      <w:bookmarkStart w:id="65" w:name="_Toc988954"/>
      <w:r>
        <w:rPr>
          <w:b/>
          <w:bCs/>
          <w:sz w:val="24"/>
          <w:szCs w:val="24"/>
        </w:rPr>
        <w:t>八、董事会下设专门委员会在报告期内的情况</w:t>
      </w:r>
      <w:bookmarkEnd w:id="65"/>
    </w:p>
    <w:tbl>
      <w:tblPr>
        <w:tblW w:w="9640"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205"/>
        <w:gridCol w:w="1008"/>
        <w:gridCol w:w="709"/>
        <w:gridCol w:w="832"/>
        <w:gridCol w:w="3531"/>
        <w:gridCol w:w="928"/>
        <w:gridCol w:w="682"/>
        <w:gridCol w:w="745"/>
      </w:tblGrid>
      <w:tr w:rsidR="00E20B54">
        <w:trPr>
          <w:trHeight w:val="240"/>
          <w:tblHeader/>
        </w:trPr>
        <w:tc>
          <w:tcPr>
            <w:tcW w:w="1205"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委员会名称</w:t>
            </w:r>
          </w:p>
        </w:tc>
        <w:tc>
          <w:tcPr>
            <w:tcW w:w="1008"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成员情况</w:t>
            </w:r>
          </w:p>
        </w:tc>
        <w:tc>
          <w:tcPr>
            <w:tcW w:w="709"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召开会议次数</w:t>
            </w:r>
          </w:p>
        </w:tc>
        <w:tc>
          <w:tcPr>
            <w:tcW w:w="832"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召开日期</w:t>
            </w:r>
          </w:p>
        </w:tc>
        <w:tc>
          <w:tcPr>
            <w:tcW w:w="3531"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会议内容</w:t>
            </w:r>
          </w:p>
        </w:tc>
        <w:tc>
          <w:tcPr>
            <w:tcW w:w="928"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提出的重要意见和建议</w:t>
            </w:r>
          </w:p>
        </w:tc>
        <w:tc>
          <w:tcPr>
            <w:tcW w:w="682"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其他履行职责的情况</w:t>
            </w:r>
          </w:p>
        </w:tc>
        <w:tc>
          <w:tcPr>
            <w:tcW w:w="745"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异议事项具体情况（如有）</w:t>
            </w:r>
          </w:p>
        </w:tc>
      </w:tr>
      <w:tr w:rsidR="00E20B54">
        <w:trPr>
          <w:trHeight w:val="240"/>
        </w:trPr>
        <w:tc>
          <w:tcPr>
            <w:tcW w:w="1205" w:type="dxa"/>
            <w:vMerge w:val="restar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第三届董事会审计委员会</w:t>
            </w:r>
          </w:p>
        </w:tc>
        <w:tc>
          <w:tcPr>
            <w:tcW w:w="1008" w:type="dxa"/>
            <w:vMerge w:val="restar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曹丽梅、石洁芝、高俊斌</w:t>
            </w:r>
          </w:p>
        </w:tc>
        <w:tc>
          <w:tcPr>
            <w:tcW w:w="709" w:type="dxa"/>
            <w:vMerge w:val="restar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5</w:t>
            </w:r>
          </w:p>
        </w:tc>
        <w:tc>
          <w:tcPr>
            <w:tcW w:w="832"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2025</w:t>
            </w:r>
            <w:r>
              <w:rPr>
                <w:sz w:val="18"/>
                <w:szCs w:val="18"/>
              </w:rPr>
              <w:t>年</w:t>
            </w:r>
            <w:r>
              <w:rPr>
                <w:sz w:val="18"/>
                <w:szCs w:val="18"/>
              </w:rPr>
              <w:t>02</w:t>
            </w:r>
            <w:r>
              <w:rPr>
                <w:sz w:val="18"/>
                <w:szCs w:val="18"/>
              </w:rPr>
              <w:t>月</w:t>
            </w:r>
            <w:r>
              <w:rPr>
                <w:sz w:val="18"/>
                <w:szCs w:val="18"/>
              </w:rPr>
              <w:t>21</w:t>
            </w:r>
            <w:r>
              <w:rPr>
                <w:sz w:val="18"/>
                <w:szCs w:val="18"/>
              </w:rPr>
              <w:t>日</w:t>
            </w:r>
          </w:p>
        </w:tc>
        <w:tc>
          <w:tcPr>
            <w:tcW w:w="3531"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召开第十八次会议，审议如下议案：</w:t>
            </w:r>
          </w:p>
          <w:p w:rsidR="00E20B54" w:rsidRDefault="00733C9E">
            <w:pPr>
              <w:spacing w:line="240" w:lineRule="exact"/>
              <w:rPr>
                <w:sz w:val="18"/>
                <w:szCs w:val="18"/>
              </w:rPr>
            </w:pPr>
            <w:r>
              <w:rPr>
                <w:sz w:val="18"/>
                <w:szCs w:val="18"/>
              </w:rPr>
              <w:t>1.</w:t>
            </w:r>
            <w:r>
              <w:rPr>
                <w:sz w:val="18"/>
                <w:szCs w:val="18"/>
              </w:rPr>
              <w:t>《关于公司</w:t>
            </w:r>
            <w:r>
              <w:rPr>
                <w:sz w:val="18"/>
                <w:szCs w:val="18"/>
              </w:rPr>
              <w:t>&lt;2024</w:t>
            </w:r>
            <w:r>
              <w:rPr>
                <w:sz w:val="18"/>
                <w:szCs w:val="18"/>
              </w:rPr>
              <w:t>年度内部审计报告</w:t>
            </w:r>
            <w:r>
              <w:rPr>
                <w:sz w:val="18"/>
                <w:szCs w:val="18"/>
              </w:rPr>
              <w:t>&gt;</w:t>
            </w:r>
            <w:r>
              <w:rPr>
                <w:sz w:val="18"/>
                <w:szCs w:val="18"/>
              </w:rPr>
              <w:t>的议案》</w:t>
            </w:r>
          </w:p>
        </w:tc>
        <w:tc>
          <w:tcPr>
            <w:tcW w:w="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审议通过该议案。</w:t>
            </w:r>
          </w:p>
        </w:tc>
        <w:tc>
          <w:tcPr>
            <w:tcW w:w="682"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无</w:t>
            </w:r>
          </w:p>
        </w:tc>
        <w:tc>
          <w:tcPr>
            <w:tcW w:w="745"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无</w:t>
            </w:r>
          </w:p>
        </w:tc>
      </w:tr>
      <w:tr w:rsidR="00E20B54">
        <w:trPr>
          <w:trHeight w:val="240"/>
        </w:trPr>
        <w:tc>
          <w:tcPr>
            <w:tcW w:w="1205" w:type="dxa"/>
            <w:vMerge/>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lastRenderedPageBreak/>
              <w:t>第三届董事会审计委员会</w:t>
            </w:r>
          </w:p>
        </w:tc>
        <w:tc>
          <w:tcPr>
            <w:tcW w:w="1008" w:type="dxa"/>
            <w:vMerge/>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曹丽梅、石洁芝、高俊斌</w:t>
            </w:r>
          </w:p>
        </w:tc>
        <w:tc>
          <w:tcPr>
            <w:tcW w:w="709" w:type="dxa"/>
            <w:vMerge/>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5</w:t>
            </w:r>
          </w:p>
        </w:tc>
        <w:tc>
          <w:tcPr>
            <w:tcW w:w="832"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2025</w:t>
            </w:r>
            <w:r>
              <w:rPr>
                <w:sz w:val="18"/>
                <w:szCs w:val="18"/>
              </w:rPr>
              <w:t>年</w:t>
            </w:r>
            <w:r>
              <w:rPr>
                <w:sz w:val="18"/>
                <w:szCs w:val="18"/>
              </w:rPr>
              <w:t>04</w:t>
            </w:r>
            <w:r>
              <w:rPr>
                <w:sz w:val="18"/>
                <w:szCs w:val="18"/>
              </w:rPr>
              <w:t>月</w:t>
            </w:r>
            <w:r>
              <w:rPr>
                <w:sz w:val="18"/>
                <w:szCs w:val="18"/>
              </w:rPr>
              <w:t>16</w:t>
            </w:r>
            <w:r>
              <w:rPr>
                <w:sz w:val="18"/>
                <w:szCs w:val="18"/>
              </w:rPr>
              <w:t>日</w:t>
            </w:r>
          </w:p>
        </w:tc>
        <w:tc>
          <w:tcPr>
            <w:tcW w:w="3531"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召开第十九次会议，审议如下议案：</w:t>
            </w:r>
          </w:p>
          <w:p w:rsidR="00E20B54" w:rsidRDefault="00733C9E">
            <w:pPr>
              <w:spacing w:line="240" w:lineRule="exact"/>
              <w:rPr>
                <w:sz w:val="18"/>
                <w:szCs w:val="18"/>
              </w:rPr>
            </w:pPr>
            <w:r>
              <w:rPr>
                <w:sz w:val="18"/>
                <w:szCs w:val="18"/>
              </w:rPr>
              <w:t>1.</w:t>
            </w:r>
            <w:r>
              <w:rPr>
                <w:sz w:val="18"/>
                <w:szCs w:val="18"/>
              </w:rPr>
              <w:t>《关于</w:t>
            </w:r>
            <w:r>
              <w:rPr>
                <w:sz w:val="18"/>
                <w:szCs w:val="18"/>
              </w:rPr>
              <w:t>&lt;2024</w:t>
            </w:r>
            <w:r>
              <w:rPr>
                <w:sz w:val="18"/>
                <w:szCs w:val="18"/>
              </w:rPr>
              <w:t>年度财务决算报告</w:t>
            </w:r>
            <w:r>
              <w:rPr>
                <w:sz w:val="18"/>
                <w:szCs w:val="18"/>
              </w:rPr>
              <w:t>&gt;</w:t>
            </w:r>
            <w:r>
              <w:rPr>
                <w:sz w:val="18"/>
                <w:szCs w:val="18"/>
              </w:rPr>
              <w:t>的议案》</w:t>
            </w:r>
          </w:p>
          <w:p w:rsidR="00E20B54" w:rsidRDefault="00733C9E">
            <w:pPr>
              <w:spacing w:line="240" w:lineRule="exact"/>
              <w:rPr>
                <w:sz w:val="18"/>
                <w:szCs w:val="18"/>
              </w:rPr>
            </w:pPr>
            <w:r>
              <w:rPr>
                <w:sz w:val="18"/>
                <w:szCs w:val="18"/>
              </w:rPr>
              <w:t>2.</w:t>
            </w:r>
            <w:r>
              <w:rPr>
                <w:sz w:val="18"/>
                <w:szCs w:val="18"/>
              </w:rPr>
              <w:t>《关于</w:t>
            </w:r>
            <w:r>
              <w:rPr>
                <w:sz w:val="18"/>
                <w:szCs w:val="18"/>
              </w:rPr>
              <w:t>2024</w:t>
            </w:r>
            <w:r>
              <w:rPr>
                <w:sz w:val="18"/>
                <w:szCs w:val="18"/>
              </w:rPr>
              <w:t>年度拟不进行利润分配的议案》</w:t>
            </w:r>
          </w:p>
          <w:p w:rsidR="00E20B54" w:rsidRDefault="00733C9E">
            <w:pPr>
              <w:spacing w:line="240" w:lineRule="exact"/>
              <w:rPr>
                <w:sz w:val="18"/>
                <w:szCs w:val="18"/>
              </w:rPr>
            </w:pPr>
            <w:r>
              <w:rPr>
                <w:sz w:val="18"/>
                <w:szCs w:val="18"/>
              </w:rPr>
              <w:t>3.</w:t>
            </w:r>
            <w:r>
              <w:rPr>
                <w:sz w:val="18"/>
                <w:szCs w:val="18"/>
              </w:rPr>
              <w:t>《关于预计</w:t>
            </w:r>
            <w:r>
              <w:rPr>
                <w:sz w:val="18"/>
                <w:szCs w:val="18"/>
              </w:rPr>
              <w:t>2025</w:t>
            </w:r>
            <w:r>
              <w:rPr>
                <w:sz w:val="18"/>
                <w:szCs w:val="18"/>
              </w:rPr>
              <w:t>年度日常性关联交易的议案》</w:t>
            </w:r>
          </w:p>
          <w:p w:rsidR="00E20B54" w:rsidRDefault="00733C9E">
            <w:pPr>
              <w:spacing w:line="240" w:lineRule="exact"/>
              <w:rPr>
                <w:sz w:val="18"/>
                <w:szCs w:val="18"/>
              </w:rPr>
            </w:pPr>
            <w:r>
              <w:rPr>
                <w:sz w:val="18"/>
                <w:szCs w:val="18"/>
              </w:rPr>
              <w:t>4.</w:t>
            </w:r>
            <w:r>
              <w:rPr>
                <w:sz w:val="18"/>
                <w:szCs w:val="18"/>
              </w:rPr>
              <w:t>《关于公司及子公司拟申请综合授信额度暨关联方提供担保的议案》</w:t>
            </w:r>
          </w:p>
          <w:p w:rsidR="00E20B54" w:rsidRDefault="00733C9E">
            <w:pPr>
              <w:spacing w:line="240" w:lineRule="exact"/>
              <w:rPr>
                <w:sz w:val="18"/>
                <w:szCs w:val="18"/>
              </w:rPr>
            </w:pPr>
            <w:r>
              <w:rPr>
                <w:sz w:val="18"/>
                <w:szCs w:val="18"/>
              </w:rPr>
              <w:t>5.</w:t>
            </w:r>
            <w:r>
              <w:rPr>
                <w:sz w:val="18"/>
                <w:szCs w:val="18"/>
              </w:rPr>
              <w:t>《关于子公司拟申请综合授信额度并由公司为其提供担保的议案》</w:t>
            </w:r>
          </w:p>
          <w:p w:rsidR="00E20B54" w:rsidRDefault="00733C9E">
            <w:pPr>
              <w:spacing w:line="240" w:lineRule="exact"/>
              <w:rPr>
                <w:sz w:val="18"/>
                <w:szCs w:val="18"/>
              </w:rPr>
            </w:pPr>
            <w:r>
              <w:rPr>
                <w:sz w:val="18"/>
                <w:szCs w:val="18"/>
              </w:rPr>
              <w:t>6.</w:t>
            </w:r>
            <w:r>
              <w:rPr>
                <w:sz w:val="18"/>
                <w:szCs w:val="18"/>
              </w:rPr>
              <w:t>《关于</w:t>
            </w:r>
            <w:r>
              <w:rPr>
                <w:sz w:val="18"/>
                <w:szCs w:val="18"/>
              </w:rPr>
              <w:t>2024</w:t>
            </w:r>
            <w:r>
              <w:rPr>
                <w:sz w:val="18"/>
                <w:szCs w:val="18"/>
              </w:rPr>
              <w:t>年度计提资产减值准备的议案》</w:t>
            </w:r>
          </w:p>
          <w:p w:rsidR="00E20B54" w:rsidRDefault="00733C9E">
            <w:pPr>
              <w:spacing w:line="240" w:lineRule="exact"/>
              <w:rPr>
                <w:sz w:val="18"/>
                <w:szCs w:val="18"/>
              </w:rPr>
            </w:pPr>
            <w:r>
              <w:rPr>
                <w:sz w:val="18"/>
                <w:szCs w:val="18"/>
              </w:rPr>
              <w:t>7.</w:t>
            </w:r>
            <w:r>
              <w:rPr>
                <w:sz w:val="18"/>
                <w:szCs w:val="18"/>
              </w:rPr>
              <w:t>《关于</w:t>
            </w:r>
            <w:r>
              <w:rPr>
                <w:sz w:val="18"/>
                <w:szCs w:val="18"/>
              </w:rPr>
              <w:t>&lt;</w:t>
            </w:r>
            <w:r>
              <w:rPr>
                <w:sz w:val="18"/>
                <w:szCs w:val="18"/>
              </w:rPr>
              <w:t>公司</w:t>
            </w:r>
            <w:r>
              <w:rPr>
                <w:sz w:val="18"/>
                <w:szCs w:val="18"/>
              </w:rPr>
              <w:t>2024</w:t>
            </w:r>
            <w:r>
              <w:rPr>
                <w:sz w:val="18"/>
                <w:szCs w:val="18"/>
              </w:rPr>
              <w:t>年年度报告</w:t>
            </w:r>
            <w:r>
              <w:rPr>
                <w:sz w:val="18"/>
                <w:szCs w:val="18"/>
              </w:rPr>
              <w:t>&gt;</w:t>
            </w:r>
            <w:r>
              <w:rPr>
                <w:sz w:val="18"/>
                <w:szCs w:val="18"/>
              </w:rPr>
              <w:t>及</w:t>
            </w:r>
            <w:r>
              <w:rPr>
                <w:sz w:val="18"/>
                <w:szCs w:val="18"/>
              </w:rPr>
              <w:t>&lt;2024</w:t>
            </w:r>
            <w:r>
              <w:rPr>
                <w:sz w:val="18"/>
                <w:szCs w:val="18"/>
              </w:rPr>
              <w:t>年年度报告摘要</w:t>
            </w:r>
            <w:r>
              <w:rPr>
                <w:sz w:val="18"/>
                <w:szCs w:val="18"/>
              </w:rPr>
              <w:t>&gt;</w:t>
            </w:r>
            <w:r>
              <w:rPr>
                <w:sz w:val="18"/>
                <w:szCs w:val="18"/>
              </w:rPr>
              <w:t>的议案》</w:t>
            </w:r>
          </w:p>
          <w:p w:rsidR="00E20B54" w:rsidRDefault="00733C9E">
            <w:pPr>
              <w:spacing w:line="240" w:lineRule="exact"/>
              <w:rPr>
                <w:sz w:val="18"/>
                <w:szCs w:val="18"/>
              </w:rPr>
            </w:pPr>
            <w:r>
              <w:rPr>
                <w:sz w:val="18"/>
                <w:szCs w:val="18"/>
              </w:rPr>
              <w:t>8.</w:t>
            </w:r>
            <w:r>
              <w:rPr>
                <w:sz w:val="18"/>
                <w:szCs w:val="18"/>
              </w:rPr>
              <w:t>《关于</w:t>
            </w:r>
            <w:r>
              <w:rPr>
                <w:sz w:val="18"/>
                <w:szCs w:val="18"/>
              </w:rPr>
              <w:t>&lt;</w:t>
            </w:r>
            <w:r>
              <w:rPr>
                <w:sz w:val="18"/>
                <w:szCs w:val="18"/>
              </w:rPr>
              <w:t>公司</w:t>
            </w:r>
            <w:r>
              <w:rPr>
                <w:sz w:val="18"/>
                <w:szCs w:val="18"/>
              </w:rPr>
              <w:t>2024</w:t>
            </w:r>
            <w:r>
              <w:rPr>
                <w:sz w:val="18"/>
                <w:szCs w:val="18"/>
              </w:rPr>
              <w:t>年度募集资金存放与使用情况的专项报告</w:t>
            </w:r>
            <w:r>
              <w:rPr>
                <w:sz w:val="18"/>
                <w:szCs w:val="18"/>
              </w:rPr>
              <w:t>&gt;</w:t>
            </w:r>
            <w:r>
              <w:rPr>
                <w:sz w:val="18"/>
                <w:szCs w:val="18"/>
              </w:rPr>
              <w:t>的议案》</w:t>
            </w:r>
          </w:p>
          <w:p w:rsidR="00E20B54" w:rsidRDefault="00733C9E">
            <w:pPr>
              <w:spacing w:line="240" w:lineRule="exact"/>
              <w:rPr>
                <w:sz w:val="18"/>
                <w:szCs w:val="18"/>
              </w:rPr>
            </w:pPr>
            <w:r>
              <w:rPr>
                <w:sz w:val="18"/>
                <w:szCs w:val="18"/>
              </w:rPr>
              <w:t>9.</w:t>
            </w:r>
            <w:r>
              <w:rPr>
                <w:sz w:val="18"/>
                <w:szCs w:val="18"/>
              </w:rPr>
              <w:t>《关于</w:t>
            </w:r>
            <w:r>
              <w:rPr>
                <w:sz w:val="18"/>
                <w:szCs w:val="18"/>
              </w:rPr>
              <w:t>&lt;2024</w:t>
            </w:r>
            <w:r>
              <w:rPr>
                <w:sz w:val="18"/>
                <w:szCs w:val="18"/>
              </w:rPr>
              <w:t>年度财务审计报告</w:t>
            </w:r>
            <w:r>
              <w:rPr>
                <w:sz w:val="18"/>
                <w:szCs w:val="18"/>
              </w:rPr>
              <w:t>&gt;</w:t>
            </w:r>
            <w:r>
              <w:rPr>
                <w:sz w:val="18"/>
                <w:szCs w:val="18"/>
              </w:rPr>
              <w:t>的议案》</w:t>
            </w:r>
          </w:p>
          <w:p w:rsidR="00E20B54" w:rsidRDefault="00733C9E">
            <w:pPr>
              <w:spacing w:line="240" w:lineRule="exact"/>
              <w:rPr>
                <w:sz w:val="18"/>
                <w:szCs w:val="18"/>
              </w:rPr>
            </w:pPr>
            <w:r>
              <w:rPr>
                <w:sz w:val="18"/>
                <w:szCs w:val="18"/>
              </w:rPr>
              <w:t>10.</w:t>
            </w:r>
            <w:r>
              <w:rPr>
                <w:sz w:val="18"/>
                <w:szCs w:val="18"/>
              </w:rPr>
              <w:t>《关于</w:t>
            </w:r>
            <w:r>
              <w:rPr>
                <w:sz w:val="18"/>
                <w:szCs w:val="18"/>
              </w:rPr>
              <w:t>&lt;</w:t>
            </w:r>
            <w:r>
              <w:rPr>
                <w:sz w:val="18"/>
                <w:szCs w:val="18"/>
              </w:rPr>
              <w:t>公司非经营性资金占用及其他关联资金往来情况汇总表的专项审核报告</w:t>
            </w:r>
            <w:r>
              <w:rPr>
                <w:sz w:val="18"/>
                <w:szCs w:val="18"/>
              </w:rPr>
              <w:t>&gt;</w:t>
            </w:r>
            <w:r>
              <w:rPr>
                <w:sz w:val="18"/>
                <w:szCs w:val="18"/>
              </w:rPr>
              <w:t>的议案》</w:t>
            </w:r>
          </w:p>
          <w:p w:rsidR="00E20B54" w:rsidRDefault="00733C9E">
            <w:pPr>
              <w:spacing w:line="240" w:lineRule="exact"/>
              <w:rPr>
                <w:sz w:val="18"/>
                <w:szCs w:val="18"/>
              </w:rPr>
            </w:pPr>
            <w:r>
              <w:rPr>
                <w:sz w:val="18"/>
                <w:szCs w:val="18"/>
              </w:rPr>
              <w:t>11.</w:t>
            </w:r>
            <w:r>
              <w:rPr>
                <w:sz w:val="18"/>
                <w:szCs w:val="18"/>
              </w:rPr>
              <w:t>《关于</w:t>
            </w:r>
            <w:r>
              <w:rPr>
                <w:sz w:val="18"/>
                <w:szCs w:val="18"/>
              </w:rPr>
              <w:t>&lt;</w:t>
            </w:r>
            <w:r>
              <w:rPr>
                <w:sz w:val="18"/>
                <w:szCs w:val="18"/>
              </w:rPr>
              <w:t>公司内部控制有效性的自我评价报告</w:t>
            </w:r>
            <w:r>
              <w:rPr>
                <w:sz w:val="18"/>
                <w:szCs w:val="18"/>
              </w:rPr>
              <w:t>&gt;</w:t>
            </w:r>
            <w:r>
              <w:rPr>
                <w:sz w:val="18"/>
                <w:szCs w:val="18"/>
              </w:rPr>
              <w:t>及</w:t>
            </w:r>
            <w:r>
              <w:rPr>
                <w:sz w:val="18"/>
                <w:szCs w:val="18"/>
              </w:rPr>
              <w:t>&lt;</w:t>
            </w:r>
            <w:r>
              <w:rPr>
                <w:sz w:val="18"/>
                <w:szCs w:val="18"/>
              </w:rPr>
              <w:t>公司内部控制有效性审计报告</w:t>
            </w:r>
            <w:r>
              <w:rPr>
                <w:sz w:val="18"/>
                <w:szCs w:val="18"/>
              </w:rPr>
              <w:t>&gt;</w:t>
            </w:r>
            <w:r>
              <w:rPr>
                <w:sz w:val="18"/>
                <w:szCs w:val="18"/>
              </w:rPr>
              <w:t>的议案》</w:t>
            </w:r>
          </w:p>
          <w:p w:rsidR="00E20B54" w:rsidRDefault="00733C9E">
            <w:pPr>
              <w:spacing w:line="240" w:lineRule="exact"/>
              <w:rPr>
                <w:sz w:val="18"/>
                <w:szCs w:val="18"/>
              </w:rPr>
            </w:pPr>
            <w:r>
              <w:rPr>
                <w:sz w:val="18"/>
                <w:szCs w:val="18"/>
              </w:rPr>
              <w:t>12.</w:t>
            </w:r>
            <w:r>
              <w:rPr>
                <w:sz w:val="18"/>
                <w:szCs w:val="18"/>
              </w:rPr>
              <w:t>《关于使用部分闲置自有资金进行现金管理的议案》</w:t>
            </w:r>
          </w:p>
          <w:p w:rsidR="00E20B54" w:rsidRDefault="00733C9E">
            <w:pPr>
              <w:spacing w:line="240" w:lineRule="exact"/>
              <w:rPr>
                <w:sz w:val="18"/>
                <w:szCs w:val="18"/>
              </w:rPr>
            </w:pPr>
            <w:r>
              <w:rPr>
                <w:sz w:val="18"/>
                <w:szCs w:val="18"/>
              </w:rPr>
              <w:t>13.</w:t>
            </w:r>
            <w:r>
              <w:rPr>
                <w:sz w:val="18"/>
                <w:szCs w:val="18"/>
              </w:rPr>
              <w:t>《关于未来三年（</w:t>
            </w:r>
            <w:r>
              <w:rPr>
                <w:sz w:val="18"/>
                <w:szCs w:val="18"/>
              </w:rPr>
              <w:t>2025-2027</w:t>
            </w:r>
            <w:r>
              <w:rPr>
                <w:sz w:val="18"/>
                <w:szCs w:val="18"/>
              </w:rPr>
              <w:t>年）股东回报规划的议案》</w:t>
            </w:r>
          </w:p>
          <w:p w:rsidR="00E20B54" w:rsidRDefault="00733C9E">
            <w:pPr>
              <w:spacing w:line="240" w:lineRule="exact"/>
              <w:rPr>
                <w:sz w:val="18"/>
                <w:szCs w:val="18"/>
              </w:rPr>
            </w:pPr>
            <w:r>
              <w:rPr>
                <w:sz w:val="18"/>
                <w:szCs w:val="18"/>
              </w:rPr>
              <w:t>14.</w:t>
            </w:r>
            <w:r>
              <w:rPr>
                <w:sz w:val="18"/>
                <w:szCs w:val="18"/>
              </w:rPr>
              <w:t>《关于</w:t>
            </w:r>
            <w:r>
              <w:rPr>
                <w:sz w:val="18"/>
                <w:szCs w:val="18"/>
              </w:rPr>
              <w:t>&lt;</w:t>
            </w:r>
            <w:r>
              <w:rPr>
                <w:sz w:val="18"/>
                <w:szCs w:val="18"/>
              </w:rPr>
              <w:t>董事会审计委员会关于对会计师事务所</w:t>
            </w:r>
            <w:r>
              <w:rPr>
                <w:sz w:val="18"/>
                <w:szCs w:val="18"/>
              </w:rPr>
              <w:t>2024</w:t>
            </w:r>
            <w:r>
              <w:rPr>
                <w:sz w:val="18"/>
                <w:szCs w:val="18"/>
              </w:rPr>
              <w:t>年度履职情况评估及履行监督职责情况的报告</w:t>
            </w:r>
            <w:r>
              <w:rPr>
                <w:sz w:val="18"/>
                <w:szCs w:val="18"/>
              </w:rPr>
              <w:t>&gt;</w:t>
            </w:r>
            <w:r>
              <w:rPr>
                <w:sz w:val="18"/>
                <w:szCs w:val="18"/>
              </w:rPr>
              <w:t>的议案》</w:t>
            </w:r>
          </w:p>
        </w:tc>
        <w:tc>
          <w:tcPr>
            <w:tcW w:w="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审议通过上述议案并将相关议案提交至董事会审议。</w:t>
            </w:r>
          </w:p>
        </w:tc>
        <w:tc>
          <w:tcPr>
            <w:tcW w:w="682"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无</w:t>
            </w:r>
          </w:p>
        </w:tc>
        <w:tc>
          <w:tcPr>
            <w:tcW w:w="745"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无</w:t>
            </w:r>
          </w:p>
        </w:tc>
      </w:tr>
      <w:tr w:rsidR="00E20B54">
        <w:trPr>
          <w:trHeight w:val="240"/>
        </w:trPr>
        <w:tc>
          <w:tcPr>
            <w:tcW w:w="1205" w:type="dxa"/>
            <w:vMerge/>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第三届董事会审计委员会</w:t>
            </w:r>
          </w:p>
        </w:tc>
        <w:tc>
          <w:tcPr>
            <w:tcW w:w="1008" w:type="dxa"/>
            <w:vMerge/>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曹丽梅、石洁芝、高俊斌</w:t>
            </w:r>
          </w:p>
        </w:tc>
        <w:tc>
          <w:tcPr>
            <w:tcW w:w="709" w:type="dxa"/>
            <w:vMerge/>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5</w:t>
            </w:r>
          </w:p>
        </w:tc>
        <w:tc>
          <w:tcPr>
            <w:tcW w:w="832"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2025</w:t>
            </w:r>
            <w:r>
              <w:rPr>
                <w:sz w:val="18"/>
                <w:szCs w:val="18"/>
              </w:rPr>
              <w:t>年</w:t>
            </w:r>
            <w:r>
              <w:rPr>
                <w:sz w:val="18"/>
                <w:szCs w:val="18"/>
              </w:rPr>
              <w:t>04</w:t>
            </w:r>
            <w:r>
              <w:rPr>
                <w:sz w:val="18"/>
                <w:szCs w:val="18"/>
              </w:rPr>
              <w:t>月</w:t>
            </w:r>
            <w:r>
              <w:rPr>
                <w:sz w:val="18"/>
                <w:szCs w:val="18"/>
              </w:rPr>
              <w:t>27</w:t>
            </w:r>
            <w:r>
              <w:rPr>
                <w:sz w:val="18"/>
                <w:szCs w:val="18"/>
              </w:rPr>
              <w:t>日</w:t>
            </w:r>
          </w:p>
        </w:tc>
        <w:tc>
          <w:tcPr>
            <w:tcW w:w="3531"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召开第二十次会议，审议如下议案：</w:t>
            </w:r>
          </w:p>
          <w:p w:rsidR="00E20B54" w:rsidRDefault="00733C9E">
            <w:pPr>
              <w:spacing w:line="240" w:lineRule="exact"/>
              <w:rPr>
                <w:sz w:val="18"/>
                <w:szCs w:val="18"/>
              </w:rPr>
            </w:pPr>
            <w:r>
              <w:rPr>
                <w:sz w:val="18"/>
                <w:szCs w:val="18"/>
              </w:rPr>
              <w:t>1.</w:t>
            </w:r>
            <w:r>
              <w:rPr>
                <w:sz w:val="18"/>
                <w:szCs w:val="18"/>
              </w:rPr>
              <w:t>《关于〈公司</w:t>
            </w:r>
            <w:r>
              <w:rPr>
                <w:sz w:val="18"/>
                <w:szCs w:val="18"/>
              </w:rPr>
              <w:t>2025</w:t>
            </w:r>
            <w:r>
              <w:rPr>
                <w:sz w:val="18"/>
                <w:szCs w:val="18"/>
              </w:rPr>
              <w:t>年第一季度报告〉的议案》</w:t>
            </w:r>
          </w:p>
          <w:p w:rsidR="00E20B54" w:rsidRDefault="00733C9E">
            <w:pPr>
              <w:spacing w:line="240" w:lineRule="exact"/>
              <w:rPr>
                <w:sz w:val="18"/>
                <w:szCs w:val="18"/>
              </w:rPr>
            </w:pPr>
            <w:r>
              <w:rPr>
                <w:sz w:val="18"/>
                <w:szCs w:val="18"/>
              </w:rPr>
              <w:t>2.</w:t>
            </w:r>
            <w:r>
              <w:rPr>
                <w:sz w:val="18"/>
                <w:szCs w:val="18"/>
              </w:rPr>
              <w:t>《关于公司</w:t>
            </w:r>
            <w:r>
              <w:rPr>
                <w:sz w:val="18"/>
                <w:szCs w:val="18"/>
              </w:rPr>
              <w:t>&lt;2025</w:t>
            </w:r>
            <w:r>
              <w:rPr>
                <w:sz w:val="18"/>
                <w:szCs w:val="18"/>
              </w:rPr>
              <w:t>年第一季度内部审计报告</w:t>
            </w:r>
            <w:r>
              <w:rPr>
                <w:sz w:val="18"/>
                <w:szCs w:val="18"/>
              </w:rPr>
              <w:t>&gt;</w:t>
            </w:r>
            <w:r>
              <w:rPr>
                <w:sz w:val="18"/>
                <w:szCs w:val="18"/>
              </w:rPr>
              <w:t>的议案》</w:t>
            </w:r>
          </w:p>
          <w:p w:rsidR="00E20B54" w:rsidRDefault="00733C9E">
            <w:pPr>
              <w:spacing w:line="240" w:lineRule="exact"/>
              <w:rPr>
                <w:sz w:val="18"/>
                <w:szCs w:val="18"/>
              </w:rPr>
            </w:pPr>
            <w:r>
              <w:rPr>
                <w:sz w:val="18"/>
                <w:szCs w:val="18"/>
              </w:rPr>
              <w:t>3.</w:t>
            </w:r>
            <w:r>
              <w:rPr>
                <w:sz w:val="18"/>
                <w:szCs w:val="18"/>
              </w:rPr>
              <w:t>《关于公司</w:t>
            </w:r>
            <w:r>
              <w:rPr>
                <w:sz w:val="18"/>
                <w:szCs w:val="18"/>
              </w:rPr>
              <w:t>&lt;2025</w:t>
            </w:r>
            <w:r>
              <w:rPr>
                <w:sz w:val="18"/>
                <w:szCs w:val="18"/>
              </w:rPr>
              <w:t>年第二季度内部审计计划</w:t>
            </w:r>
            <w:r>
              <w:rPr>
                <w:sz w:val="18"/>
                <w:szCs w:val="18"/>
              </w:rPr>
              <w:t>&gt;</w:t>
            </w:r>
            <w:r>
              <w:rPr>
                <w:sz w:val="18"/>
                <w:szCs w:val="18"/>
              </w:rPr>
              <w:t>的议案》</w:t>
            </w:r>
          </w:p>
        </w:tc>
        <w:tc>
          <w:tcPr>
            <w:tcW w:w="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审议通过上述议案并将议案《关于〈公司</w:t>
            </w:r>
            <w:r>
              <w:rPr>
                <w:sz w:val="18"/>
                <w:szCs w:val="18"/>
              </w:rPr>
              <w:t>2025</w:t>
            </w:r>
            <w:r>
              <w:rPr>
                <w:sz w:val="18"/>
                <w:szCs w:val="18"/>
              </w:rPr>
              <w:t>年第一季度报告〉的议案》提交至董事会审议。</w:t>
            </w:r>
          </w:p>
        </w:tc>
        <w:tc>
          <w:tcPr>
            <w:tcW w:w="682"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无</w:t>
            </w:r>
          </w:p>
        </w:tc>
        <w:tc>
          <w:tcPr>
            <w:tcW w:w="745"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无</w:t>
            </w:r>
          </w:p>
        </w:tc>
      </w:tr>
      <w:tr w:rsidR="00E20B54">
        <w:trPr>
          <w:trHeight w:val="240"/>
        </w:trPr>
        <w:tc>
          <w:tcPr>
            <w:tcW w:w="1205" w:type="dxa"/>
            <w:vMerge/>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第三届董事会审计委员会</w:t>
            </w:r>
          </w:p>
        </w:tc>
        <w:tc>
          <w:tcPr>
            <w:tcW w:w="1008" w:type="dxa"/>
            <w:vMerge/>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曹丽梅、石洁芝、高俊斌</w:t>
            </w:r>
          </w:p>
        </w:tc>
        <w:tc>
          <w:tcPr>
            <w:tcW w:w="709" w:type="dxa"/>
            <w:vMerge/>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5</w:t>
            </w:r>
          </w:p>
        </w:tc>
        <w:tc>
          <w:tcPr>
            <w:tcW w:w="832"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2025</w:t>
            </w:r>
            <w:r>
              <w:rPr>
                <w:sz w:val="18"/>
                <w:szCs w:val="18"/>
              </w:rPr>
              <w:t>年</w:t>
            </w:r>
            <w:r>
              <w:rPr>
                <w:sz w:val="18"/>
                <w:szCs w:val="18"/>
              </w:rPr>
              <w:t>06</w:t>
            </w:r>
            <w:r>
              <w:rPr>
                <w:sz w:val="18"/>
                <w:szCs w:val="18"/>
              </w:rPr>
              <w:t>月</w:t>
            </w:r>
            <w:r>
              <w:rPr>
                <w:sz w:val="18"/>
                <w:szCs w:val="18"/>
              </w:rPr>
              <w:t>22</w:t>
            </w:r>
            <w:r>
              <w:rPr>
                <w:sz w:val="18"/>
                <w:szCs w:val="18"/>
              </w:rPr>
              <w:t>日</w:t>
            </w:r>
          </w:p>
        </w:tc>
        <w:tc>
          <w:tcPr>
            <w:tcW w:w="3531"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召开第二十一次会议，审议如下议案：</w:t>
            </w:r>
          </w:p>
          <w:p w:rsidR="00E20B54" w:rsidRDefault="00733C9E">
            <w:pPr>
              <w:spacing w:line="240" w:lineRule="exact"/>
              <w:rPr>
                <w:sz w:val="18"/>
                <w:szCs w:val="18"/>
              </w:rPr>
            </w:pPr>
            <w:r>
              <w:rPr>
                <w:sz w:val="18"/>
                <w:szCs w:val="18"/>
              </w:rPr>
              <w:t>1.</w:t>
            </w:r>
            <w:r>
              <w:rPr>
                <w:sz w:val="18"/>
                <w:szCs w:val="18"/>
              </w:rPr>
              <w:t>《关于公司符合发行股份及支付现金购买资产并募集配套资金暨关联交易相关法律法规规定条件的议案》</w:t>
            </w:r>
          </w:p>
          <w:p w:rsidR="00E20B54" w:rsidRDefault="00733C9E">
            <w:pPr>
              <w:spacing w:line="240" w:lineRule="exact"/>
              <w:rPr>
                <w:sz w:val="18"/>
                <w:szCs w:val="18"/>
              </w:rPr>
            </w:pPr>
            <w:r>
              <w:rPr>
                <w:sz w:val="18"/>
                <w:szCs w:val="18"/>
              </w:rPr>
              <w:t>2.</w:t>
            </w:r>
            <w:r>
              <w:rPr>
                <w:sz w:val="18"/>
                <w:szCs w:val="18"/>
              </w:rPr>
              <w:t>《关于公司发行股份及支付现金购买资</w:t>
            </w:r>
            <w:r>
              <w:rPr>
                <w:sz w:val="18"/>
                <w:szCs w:val="18"/>
              </w:rPr>
              <w:lastRenderedPageBreak/>
              <w:t>产并募集配套资金暨关联交易的议案》</w:t>
            </w:r>
          </w:p>
          <w:p w:rsidR="00E20B54" w:rsidRDefault="00733C9E">
            <w:pPr>
              <w:spacing w:line="240" w:lineRule="exact"/>
              <w:rPr>
                <w:sz w:val="18"/>
                <w:szCs w:val="18"/>
              </w:rPr>
            </w:pPr>
            <w:r>
              <w:rPr>
                <w:sz w:val="18"/>
                <w:szCs w:val="18"/>
              </w:rPr>
              <w:t>3.</w:t>
            </w:r>
            <w:r>
              <w:rPr>
                <w:sz w:val="18"/>
                <w:szCs w:val="18"/>
              </w:rPr>
              <w:t>《关于</w:t>
            </w:r>
            <w:r>
              <w:rPr>
                <w:sz w:val="18"/>
                <w:szCs w:val="18"/>
              </w:rPr>
              <w:t>&lt;</w:t>
            </w:r>
            <w:r>
              <w:rPr>
                <w:sz w:val="18"/>
                <w:szCs w:val="18"/>
              </w:rPr>
              <w:t>广东天亿马信息产业股份有限公司发行股份及支付现金购买资产并募集配套资金暨关联交易预案</w:t>
            </w:r>
            <w:r>
              <w:rPr>
                <w:sz w:val="18"/>
                <w:szCs w:val="18"/>
              </w:rPr>
              <w:t>&gt;</w:t>
            </w:r>
            <w:r>
              <w:rPr>
                <w:sz w:val="18"/>
                <w:szCs w:val="18"/>
              </w:rPr>
              <w:t>及其摘要的议案》</w:t>
            </w:r>
          </w:p>
          <w:p w:rsidR="00E20B54" w:rsidRDefault="00733C9E">
            <w:pPr>
              <w:spacing w:line="240" w:lineRule="exact"/>
              <w:rPr>
                <w:sz w:val="18"/>
                <w:szCs w:val="18"/>
              </w:rPr>
            </w:pPr>
            <w:r>
              <w:rPr>
                <w:sz w:val="18"/>
                <w:szCs w:val="18"/>
              </w:rPr>
              <w:t>4.</w:t>
            </w:r>
            <w:r>
              <w:rPr>
                <w:sz w:val="18"/>
                <w:szCs w:val="18"/>
              </w:rPr>
              <w:t>《关于本次交易预计构成重大资产重组但不构成重组上市的议案》</w:t>
            </w:r>
          </w:p>
          <w:p w:rsidR="00E20B54" w:rsidRDefault="00733C9E">
            <w:pPr>
              <w:spacing w:line="240" w:lineRule="exact"/>
              <w:rPr>
                <w:sz w:val="18"/>
                <w:szCs w:val="18"/>
              </w:rPr>
            </w:pPr>
            <w:r>
              <w:rPr>
                <w:sz w:val="18"/>
                <w:szCs w:val="18"/>
              </w:rPr>
              <w:t>5.</w:t>
            </w:r>
            <w:r>
              <w:rPr>
                <w:sz w:val="18"/>
                <w:szCs w:val="18"/>
              </w:rPr>
              <w:t>《关于本次交易预计构成关联交易的议案》</w:t>
            </w:r>
          </w:p>
          <w:p w:rsidR="00E20B54" w:rsidRDefault="00733C9E">
            <w:pPr>
              <w:spacing w:line="240" w:lineRule="exact"/>
              <w:rPr>
                <w:sz w:val="18"/>
                <w:szCs w:val="18"/>
              </w:rPr>
            </w:pPr>
            <w:r>
              <w:rPr>
                <w:sz w:val="18"/>
                <w:szCs w:val="18"/>
              </w:rPr>
              <w:t>6.</w:t>
            </w:r>
            <w:r>
              <w:rPr>
                <w:sz w:val="18"/>
                <w:szCs w:val="18"/>
              </w:rPr>
              <w:t>《关于公司与交易对方签署附生效条件的交易文件的议案》</w:t>
            </w:r>
          </w:p>
          <w:p w:rsidR="00E20B54" w:rsidRDefault="00733C9E">
            <w:pPr>
              <w:spacing w:line="240" w:lineRule="exact"/>
              <w:rPr>
                <w:sz w:val="18"/>
                <w:szCs w:val="18"/>
              </w:rPr>
            </w:pPr>
            <w:r>
              <w:rPr>
                <w:sz w:val="18"/>
                <w:szCs w:val="18"/>
              </w:rPr>
              <w:t>7.</w:t>
            </w:r>
            <w:r>
              <w:rPr>
                <w:sz w:val="18"/>
                <w:szCs w:val="18"/>
              </w:rPr>
              <w:t>《关于本次交易符合</w:t>
            </w:r>
            <w:r>
              <w:rPr>
                <w:sz w:val="18"/>
                <w:szCs w:val="18"/>
              </w:rPr>
              <w:t>&lt;</w:t>
            </w:r>
            <w:r>
              <w:rPr>
                <w:sz w:val="18"/>
                <w:szCs w:val="18"/>
              </w:rPr>
              <w:t>上市公司重大资产重组管理办法</w:t>
            </w:r>
            <w:r>
              <w:rPr>
                <w:sz w:val="18"/>
                <w:szCs w:val="18"/>
              </w:rPr>
              <w:t>&gt;</w:t>
            </w:r>
            <w:r>
              <w:rPr>
                <w:sz w:val="18"/>
                <w:szCs w:val="18"/>
              </w:rPr>
              <w:t>第十一条、第四十三条和第四十四条规定的议案》</w:t>
            </w:r>
          </w:p>
          <w:p w:rsidR="00E20B54" w:rsidRDefault="00733C9E">
            <w:pPr>
              <w:spacing w:line="240" w:lineRule="exact"/>
              <w:rPr>
                <w:sz w:val="18"/>
                <w:szCs w:val="18"/>
              </w:rPr>
            </w:pPr>
            <w:r>
              <w:rPr>
                <w:sz w:val="18"/>
                <w:szCs w:val="18"/>
              </w:rPr>
              <w:t>8.</w:t>
            </w:r>
            <w:r>
              <w:rPr>
                <w:sz w:val="18"/>
                <w:szCs w:val="18"/>
              </w:rPr>
              <w:t>《关于本次交易符合</w:t>
            </w:r>
            <w:r>
              <w:rPr>
                <w:sz w:val="18"/>
                <w:szCs w:val="18"/>
              </w:rPr>
              <w:t>&lt;</w:t>
            </w:r>
            <w:r>
              <w:rPr>
                <w:sz w:val="18"/>
                <w:szCs w:val="18"/>
              </w:rPr>
              <w:t>上市公司证券发行注册管理办法</w:t>
            </w:r>
            <w:r>
              <w:rPr>
                <w:sz w:val="18"/>
                <w:szCs w:val="18"/>
              </w:rPr>
              <w:t>&gt;</w:t>
            </w:r>
            <w:r>
              <w:rPr>
                <w:sz w:val="18"/>
                <w:szCs w:val="18"/>
              </w:rPr>
              <w:t>第十一条规定的议案》</w:t>
            </w:r>
          </w:p>
          <w:p w:rsidR="00E20B54" w:rsidRDefault="00733C9E">
            <w:pPr>
              <w:spacing w:line="240" w:lineRule="exact"/>
              <w:rPr>
                <w:sz w:val="18"/>
                <w:szCs w:val="18"/>
              </w:rPr>
            </w:pPr>
            <w:r>
              <w:rPr>
                <w:sz w:val="18"/>
                <w:szCs w:val="18"/>
              </w:rPr>
              <w:t>9.</w:t>
            </w:r>
            <w:r>
              <w:rPr>
                <w:sz w:val="18"/>
                <w:szCs w:val="18"/>
              </w:rPr>
              <w:t>《关于本次交易符合</w:t>
            </w:r>
            <w:r>
              <w:rPr>
                <w:sz w:val="18"/>
                <w:szCs w:val="18"/>
              </w:rPr>
              <w:t>&lt;</w:t>
            </w:r>
            <w:r>
              <w:rPr>
                <w:sz w:val="18"/>
                <w:szCs w:val="18"/>
              </w:rPr>
              <w:t>上市公司监管指引第</w:t>
            </w:r>
            <w:r>
              <w:rPr>
                <w:sz w:val="18"/>
                <w:szCs w:val="18"/>
              </w:rPr>
              <w:t xml:space="preserve"> 9 </w:t>
            </w:r>
            <w:r>
              <w:rPr>
                <w:sz w:val="18"/>
                <w:szCs w:val="18"/>
              </w:rPr>
              <w:t>号</w:t>
            </w:r>
            <w:r>
              <w:rPr>
                <w:sz w:val="18"/>
                <w:szCs w:val="18"/>
              </w:rPr>
              <w:t>——</w:t>
            </w:r>
            <w:r>
              <w:rPr>
                <w:sz w:val="18"/>
                <w:szCs w:val="18"/>
              </w:rPr>
              <w:t>上市公司筹划和实施重大资产重组的监管要求</w:t>
            </w:r>
            <w:r>
              <w:rPr>
                <w:sz w:val="18"/>
                <w:szCs w:val="18"/>
              </w:rPr>
              <w:t>&gt;</w:t>
            </w:r>
            <w:r>
              <w:rPr>
                <w:sz w:val="18"/>
                <w:szCs w:val="18"/>
              </w:rPr>
              <w:t>第四条规定的议案》</w:t>
            </w:r>
          </w:p>
          <w:p w:rsidR="00E20B54" w:rsidRDefault="00733C9E">
            <w:pPr>
              <w:spacing w:line="240" w:lineRule="exact"/>
              <w:rPr>
                <w:sz w:val="18"/>
                <w:szCs w:val="18"/>
              </w:rPr>
            </w:pPr>
            <w:r>
              <w:rPr>
                <w:sz w:val="18"/>
                <w:szCs w:val="18"/>
              </w:rPr>
              <w:t>10.</w:t>
            </w:r>
            <w:r>
              <w:rPr>
                <w:sz w:val="18"/>
                <w:szCs w:val="18"/>
              </w:rPr>
              <w:t>《关于本次交易符合</w:t>
            </w:r>
            <w:r>
              <w:rPr>
                <w:sz w:val="18"/>
                <w:szCs w:val="18"/>
              </w:rPr>
              <w:t>&lt;</w:t>
            </w:r>
            <w:r>
              <w:rPr>
                <w:sz w:val="18"/>
                <w:szCs w:val="18"/>
              </w:rPr>
              <w:t>创业板上市公司持续监管办法（试行）</w:t>
            </w:r>
            <w:r>
              <w:rPr>
                <w:sz w:val="18"/>
                <w:szCs w:val="18"/>
              </w:rPr>
              <w:t>&gt;</w:t>
            </w:r>
            <w:r>
              <w:rPr>
                <w:sz w:val="18"/>
                <w:szCs w:val="18"/>
              </w:rPr>
              <w:t>第十八条、第二十一条以及</w:t>
            </w:r>
            <w:r>
              <w:rPr>
                <w:sz w:val="18"/>
                <w:szCs w:val="18"/>
              </w:rPr>
              <w:t>&lt;</w:t>
            </w:r>
            <w:r>
              <w:rPr>
                <w:sz w:val="18"/>
                <w:szCs w:val="18"/>
              </w:rPr>
              <w:t>深圳证券交易所上市公司重大资产重组审核规则</w:t>
            </w:r>
            <w:r>
              <w:rPr>
                <w:sz w:val="18"/>
                <w:szCs w:val="18"/>
              </w:rPr>
              <w:t>&gt;</w:t>
            </w:r>
            <w:r>
              <w:rPr>
                <w:sz w:val="18"/>
                <w:szCs w:val="18"/>
              </w:rPr>
              <w:t>第八条规定的议案》</w:t>
            </w:r>
          </w:p>
          <w:p w:rsidR="00E20B54" w:rsidRDefault="00733C9E">
            <w:pPr>
              <w:spacing w:line="240" w:lineRule="exact"/>
              <w:rPr>
                <w:sz w:val="18"/>
                <w:szCs w:val="18"/>
              </w:rPr>
            </w:pPr>
            <w:r>
              <w:rPr>
                <w:sz w:val="18"/>
                <w:szCs w:val="18"/>
              </w:rPr>
              <w:t>11.</w:t>
            </w:r>
            <w:r>
              <w:rPr>
                <w:sz w:val="18"/>
                <w:szCs w:val="18"/>
              </w:rPr>
              <w:t>《关于本次交易相关主体不存在</w:t>
            </w:r>
            <w:r>
              <w:rPr>
                <w:sz w:val="18"/>
                <w:szCs w:val="18"/>
              </w:rPr>
              <w:t>&lt;</w:t>
            </w:r>
            <w:r>
              <w:rPr>
                <w:sz w:val="18"/>
                <w:szCs w:val="18"/>
              </w:rPr>
              <w:t>上市公司监管指引第</w:t>
            </w:r>
            <w:r>
              <w:rPr>
                <w:sz w:val="18"/>
                <w:szCs w:val="18"/>
              </w:rPr>
              <w:t xml:space="preserve"> 7 </w:t>
            </w:r>
            <w:r>
              <w:rPr>
                <w:sz w:val="18"/>
                <w:szCs w:val="18"/>
              </w:rPr>
              <w:t>号</w:t>
            </w:r>
            <w:r>
              <w:rPr>
                <w:sz w:val="18"/>
                <w:szCs w:val="18"/>
              </w:rPr>
              <w:t>——</w:t>
            </w:r>
            <w:r>
              <w:rPr>
                <w:sz w:val="18"/>
                <w:szCs w:val="18"/>
              </w:rPr>
              <w:t>上市公司重大资产重组相关股票异常交易监管</w:t>
            </w:r>
            <w:r>
              <w:rPr>
                <w:sz w:val="18"/>
                <w:szCs w:val="18"/>
              </w:rPr>
              <w:t>&gt;</w:t>
            </w:r>
            <w:r>
              <w:rPr>
                <w:sz w:val="18"/>
                <w:szCs w:val="18"/>
              </w:rPr>
              <w:t>第十二条及</w:t>
            </w:r>
            <w:r>
              <w:rPr>
                <w:sz w:val="18"/>
                <w:szCs w:val="18"/>
              </w:rPr>
              <w:t>&lt;</w:t>
            </w:r>
            <w:r>
              <w:rPr>
                <w:sz w:val="18"/>
                <w:szCs w:val="18"/>
              </w:rPr>
              <w:t>深圳证券交易所上市公司自律监管指引第</w:t>
            </w:r>
            <w:r>
              <w:rPr>
                <w:sz w:val="18"/>
                <w:szCs w:val="18"/>
              </w:rPr>
              <w:t xml:space="preserve"> 8 </w:t>
            </w:r>
            <w:r>
              <w:rPr>
                <w:sz w:val="18"/>
                <w:szCs w:val="18"/>
              </w:rPr>
              <w:t>号</w:t>
            </w:r>
            <w:r>
              <w:rPr>
                <w:sz w:val="18"/>
                <w:szCs w:val="18"/>
              </w:rPr>
              <w:t>——</w:t>
            </w:r>
            <w:r>
              <w:rPr>
                <w:sz w:val="18"/>
                <w:szCs w:val="18"/>
              </w:rPr>
              <w:t>重大资产重组</w:t>
            </w:r>
            <w:r>
              <w:rPr>
                <w:sz w:val="18"/>
                <w:szCs w:val="18"/>
              </w:rPr>
              <w:t>&gt;</w:t>
            </w:r>
            <w:r>
              <w:rPr>
                <w:sz w:val="18"/>
                <w:szCs w:val="18"/>
              </w:rPr>
              <w:t>第三十条规定情形的议案》</w:t>
            </w:r>
          </w:p>
          <w:p w:rsidR="00E20B54" w:rsidRDefault="00733C9E">
            <w:pPr>
              <w:spacing w:line="240" w:lineRule="exact"/>
              <w:rPr>
                <w:sz w:val="18"/>
                <w:szCs w:val="18"/>
              </w:rPr>
            </w:pPr>
            <w:r>
              <w:rPr>
                <w:sz w:val="18"/>
                <w:szCs w:val="18"/>
              </w:rPr>
              <w:t>12.</w:t>
            </w:r>
            <w:r>
              <w:rPr>
                <w:sz w:val="18"/>
                <w:szCs w:val="18"/>
              </w:rPr>
              <w:t>《关于本次交易履行法定程序的完备性、合规性及提交法律文件的有效性的说明的议案》</w:t>
            </w:r>
          </w:p>
          <w:p w:rsidR="00E20B54" w:rsidRDefault="00733C9E">
            <w:pPr>
              <w:spacing w:line="240" w:lineRule="exact"/>
              <w:rPr>
                <w:sz w:val="18"/>
                <w:szCs w:val="18"/>
              </w:rPr>
            </w:pPr>
            <w:r>
              <w:rPr>
                <w:sz w:val="18"/>
                <w:szCs w:val="18"/>
              </w:rPr>
              <w:t>13.</w:t>
            </w:r>
            <w:r>
              <w:rPr>
                <w:sz w:val="18"/>
                <w:szCs w:val="18"/>
              </w:rPr>
              <w:t>《关于本次交易前十二个月内上市公司购买、出售资产情况的议案》</w:t>
            </w:r>
          </w:p>
          <w:p w:rsidR="00E20B54" w:rsidRDefault="00733C9E">
            <w:pPr>
              <w:spacing w:line="240" w:lineRule="exact"/>
              <w:rPr>
                <w:sz w:val="18"/>
                <w:szCs w:val="18"/>
              </w:rPr>
            </w:pPr>
            <w:r>
              <w:rPr>
                <w:sz w:val="18"/>
                <w:szCs w:val="18"/>
              </w:rPr>
              <w:t>14.</w:t>
            </w:r>
            <w:r w:rsidR="00954846">
              <w:rPr>
                <w:sz w:val="18"/>
                <w:szCs w:val="18"/>
              </w:rPr>
              <w:t xml:space="preserve"> </w:t>
            </w:r>
            <w:r w:rsidR="00954846">
              <w:rPr>
                <w:sz w:val="18"/>
                <w:szCs w:val="18"/>
              </w:rPr>
              <w:t>《</w:t>
            </w:r>
            <w:r>
              <w:rPr>
                <w:sz w:val="18"/>
                <w:szCs w:val="18"/>
              </w:rPr>
              <w:t>关于本次交易采取的保密措施及保密制度的议案》</w:t>
            </w:r>
          </w:p>
          <w:p w:rsidR="00E20B54" w:rsidRDefault="00733C9E">
            <w:pPr>
              <w:spacing w:line="240" w:lineRule="exact"/>
              <w:rPr>
                <w:sz w:val="18"/>
                <w:szCs w:val="18"/>
              </w:rPr>
            </w:pPr>
            <w:r>
              <w:rPr>
                <w:sz w:val="18"/>
                <w:szCs w:val="18"/>
              </w:rPr>
              <w:t>15.</w:t>
            </w:r>
            <w:r>
              <w:rPr>
                <w:sz w:val="18"/>
                <w:szCs w:val="18"/>
              </w:rPr>
              <w:t>《关于公司股票价格在本次交易首次公告日前</w:t>
            </w:r>
            <w:r>
              <w:rPr>
                <w:sz w:val="18"/>
                <w:szCs w:val="18"/>
              </w:rPr>
              <w:t>20</w:t>
            </w:r>
            <w:r>
              <w:rPr>
                <w:sz w:val="18"/>
                <w:szCs w:val="18"/>
              </w:rPr>
              <w:t>个交易日是否异常波动的议案》</w:t>
            </w:r>
          </w:p>
          <w:p w:rsidR="00E20B54" w:rsidRDefault="00733C9E">
            <w:pPr>
              <w:spacing w:line="240" w:lineRule="exact"/>
              <w:rPr>
                <w:sz w:val="18"/>
                <w:szCs w:val="18"/>
              </w:rPr>
            </w:pPr>
            <w:r>
              <w:rPr>
                <w:sz w:val="18"/>
                <w:szCs w:val="18"/>
              </w:rPr>
              <w:t>16.</w:t>
            </w:r>
            <w:r>
              <w:rPr>
                <w:sz w:val="18"/>
                <w:szCs w:val="18"/>
              </w:rPr>
              <w:t>《关于提请股东会授权董事会办理本次发行股份及支付现金购买资产并募集配套资金相关事宜的议案》</w:t>
            </w:r>
          </w:p>
        </w:tc>
        <w:tc>
          <w:tcPr>
            <w:tcW w:w="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lastRenderedPageBreak/>
              <w:t>审议通过上述议案并将相关议案提</w:t>
            </w:r>
            <w:r>
              <w:rPr>
                <w:sz w:val="18"/>
                <w:szCs w:val="18"/>
              </w:rPr>
              <w:lastRenderedPageBreak/>
              <w:t>交至董事会审议。</w:t>
            </w:r>
          </w:p>
        </w:tc>
        <w:tc>
          <w:tcPr>
            <w:tcW w:w="682"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lastRenderedPageBreak/>
              <w:t>无</w:t>
            </w:r>
          </w:p>
        </w:tc>
        <w:tc>
          <w:tcPr>
            <w:tcW w:w="745"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无</w:t>
            </w:r>
          </w:p>
        </w:tc>
      </w:tr>
      <w:tr w:rsidR="00E20B54">
        <w:trPr>
          <w:trHeight w:val="240"/>
        </w:trPr>
        <w:tc>
          <w:tcPr>
            <w:tcW w:w="1205" w:type="dxa"/>
            <w:vMerge/>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lastRenderedPageBreak/>
              <w:t>第三届董事会审计委员会</w:t>
            </w:r>
          </w:p>
        </w:tc>
        <w:tc>
          <w:tcPr>
            <w:tcW w:w="1008" w:type="dxa"/>
            <w:vMerge/>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曹丽梅、石洁芝、高俊斌</w:t>
            </w:r>
          </w:p>
        </w:tc>
        <w:tc>
          <w:tcPr>
            <w:tcW w:w="709" w:type="dxa"/>
            <w:vMerge/>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5</w:t>
            </w:r>
          </w:p>
        </w:tc>
        <w:tc>
          <w:tcPr>
            <w:tcW w:w="832"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2025</w:t>
            </w:r>
            <w:r>
              <w:rPr>
                <w:sz w:val="18"/>
                <w:szCs w:val="18"/>
              </w:rPr>
              <w:t>年</w:t>
            </w:r>
            <w:r>
              <w:rPr>
                <w:sz w:val="18"/>
                <w:szCs w:val="18"/>
              </w:rPr>
              <w:t>08</w:t>
            </w:r>
            <w:r>
              <w:rPr>
                <w:sz w:val="18"/>
                <w:szCs w:val="18"/>
              </w:rPr>
              <w:t>月</w:t>
            </w:r>
            <w:r>
              <w:rPr>
                <w:sz w:val="18"/>
                <w:szCs w:val="18"/>
              </w:rPr>
              <w:t>25</w:t>
            </w:r>
            <w:r>
              <w:rPr>
                <w:sz w:val="18"/>
                <w:szCs w:val="18"/>
              </w:rPr>
              <w:t>日</w:t>
            </w:r>
          </w:p>
        </w:tc>
        <w:tc>
          <w:tcPr>
            <w:tcW w:w="3531"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召开第二十二次会议，审议如下议案：</w:t>
            </w:r>
          </w:p>
          <w:p w:rsidR="00E20B54" w:rsidRDefault="00733C9E">
            <w:pPr>
              <w:spacing w:line="240" w:lineRule="exact"/>
              <w:rPr>
                <w:sz w:val="18"/>
                <w:szCs w:val="18"/>
              </w:rPr>
            </w:pPr>
            <w:r>
              <w:rPr>
                <w:sz w:val="18"/>
                <w:szCs w:val="18"/>
              </w:rPr>
              <w:t>1.</w:t>
            </w:r>
            <w:r>
              <w:rPr>
                <w:sz w:val="18"/>
                <w:szCs w:val="18"/>
              </w:rPr>
              <w:t>《关于公司</w:t>
            </w:r>
            <w:r>
              <w:rPr>
                <w:sz w:val="18"/>
                <w:szCs w:val="18"/>
              </w:rPr>
              <w:t>&lt;2025</w:t>
            </w:r>
            <w:r>
              <w:rPr>
                <w:sz w:val="18"/>
                <w:szCs w:val="18"/>
              </w:rPr>
              <w:t>年半年度报告</w:t>
            </w:r>
            <w:r>
              <w:rPr>
                <w:sz w:val="18"/>
                <w:szCs w:val="18"/>
              </w:rPr>
              <w:t>&gt;</w:t>
            </w:r>
            <w:r>
              <w:rPr>
                <w:sz w:val="18"/>
                <w:szCs w:val="18"/>
              </w:rPr>
              <w:t>及</w:t>
            </w:r>
            <w:r>
              <w:rPr>
                <w:sz w:val="18"/>
                <w:szCs w:val="18"/>
              </w:rPr>
              <w:t>&lt;2025</w:t>
            </w:r>
            <w:r>
              <w:rPr>
                <w:sz w:val="18"/>
                <w:szCs w:val="18"/>
              </w:rPr>
              <w:t>年半年度报告摘要</w:t>
            </w:r>
            <w:r>
              <w:rPr>
                <w:sz w:val="18"/>
                <w:szCs w:val="18"/>
              </w:rPr>
              <w:t>&gt;</w:t>
            </w:r>
            <w:r>
              <w:rPr>
                <w:sz w:val="18"/>
                <w:szCs w:val="18"/>
              </w:rPr>
              <w:t>的议案》</w:t>
            </w:r>
          </w:p>
          <w:p w:rsidR="00E20B54" w:rsidRDefault="00733C9E">
            <w:pPr>
              <w:spacing w:line="240" w:lineRule="exact"/>
              <w:rPr>
                <w:sz w:val="18"/>
                <w:szCs w:val="18"/>
              </w:rPr>
            </w:pPr>
            <w:r>
              <w:rPr>
                <w:sz w:val="18"/>
                <w:szCs w:val="18"/>
              </w:rPr>
              <w:t>2.</w:t>
            </w:r>
            <w:r>
              <w:rPr>
                <w:sz w:val="18"/>
                <w:szCs w:val="18"/>
              </w:rPr>
              <w:t>《关于公司</w:t>
            </w:r>
            <w:r>
              <w:rPr>
                <w:sz w:val="18"/>
                <w:szCs w:val="18"/>
              </w:rPr>
              <w:t>&lt;2025</w:t>
            </w:r>
            <w:r>
              <w:rPr>
                <w:sz w:val="18"/>
                <w:szCs w:val="18"/>
              </w:rPr>
              <w:t>年半年度募集资金存放与使用情况的专项报告</w:t>
            </w:r>
            <w:r>
              <w:rPr>
                <w:sz w:val="18"/>
                <w:szCs w:val="18"/>
              </w:rPr>
              <w:t>&gt;</w:t>
            </w:r>
            <w:r>
              <w:rPr>
                <w:sz w:val="18"/>
                <w:szCs w:val="18"/>
              </w:rPr>
              <w:t>的议案》</w:t>
            </w:r>
          </w:p>
          <w:p w:rsidR="00E20B54" w:rsidRDefault="00733C9E">
            <w:pPr>
              <w:spacing w:line="240" w:lineRule="exact"/>
              <w:rPr>
                <w:sz w:val="18"/>
                <w:szCs w:val="18"/>
              </w:rPr>
            </w:pPr>
            <w:r>
              <w:rPr>
                <w:sz w:val="18"/>
                <w:szCs w:val="18"/>
              </w:rPr>
              <w:t>3.</w:t>
            </w:r>
            <w:r>
              <w:rPr>
                <w:sz w:val="18"/>
                <w:szCs w:val="18"/>
              </w:rPr>
              <w:t>《关于公司</w:t>
            </w:r>
            <w:r>
              <w:rPr>
                <w:sz w:val="18"/>
                <w:szCs w:val="18"/>
              </w:rPr>
              <w:t>&lt;2025</w:t>
            </w:r>
            <w:r>
              <w:rPr>
                <w:sz w:val="18"/>
                <w:szCs w:val="18"/>
              </w:rPr>
              <w:t>年半年度内部审计报告</w:t>
            </w:r>
            <w:r>
              <w:rPr>
                <w:sz w:val="18"/>
                <w:szCs w:val="18"/>
              </w:rPr>
              <w:t>&gt;</w:t>
            </w:r>
            <w:r>
              <w:rPr>
                <w:sz w:val="18"/>
                <w:szCs w:val="18"/>
              </w:rPr>
              <w:t>的议案》</w:t>
            </w:r>
          </w:p>
          <w:p w:rsidR="00E20B54" w:rsidRDefault="00733C9E">
            <w:pPr>
              <w:spacing w:line="240" w:lineRule="exact"/>
              <w:rPr>
                <w:sz w:val="18"/>
                <w:szCs w:val="18"/>
              </w:rPr>
            </w:pPr>
            <w:r>
              <w:rPr>
                <w:sz w:val="18"/>
                <w:szCs w:val="18"/>
              </w:rPr>
              <w:t>4.</w:t>
            </w:r>
            <w:r>
              <w:rPr>
                <w:sz w:val="18"/>
                <w:szCs w:val="18"/>
              </w:rPr>
              <w:t>《关于公司</w:t>
            </w:r>
            <w:r>
              <w:rPr>
                <w:sz w:val="18"/>
                <w:szCs w:val="18"/>
              </w:rPr>
              <w:t>&lt;2025</w:t>
            </w:r>
            <w:r>
              <w:rPr>
                <w:sz w:val="18"/>
                <w:szCs w:val="18"/>
              </w:rPr>
              <w:t>年第三季度内部审计</w:t>
            </w:r>
            <w:r>
              <w:rPr>
                <w:sz w:val="18"/>
                <w:szCs w:val="18"/>
              </w:rPr>
              <w:lastRenderedPageBreak/>
              <w:t>计划</w:t>
            </w:r>
            <w:r>
              <w:rPr>
                <w:sz w:val="18"/>
                <w:szCs w:val="18"/>
              </w:rPr>
              <w:t>&gt;</w:t>
            </w:r>
            <w:r>
              <w:rPr>
                <w:sz w:val="18"/>
                <w:szCs w:val="18"/>
              </w:rPr>
              <w:t>的议案</w:t>
            </w:r>
          </w:p>
        </w:tc>
        <w:tc>
          <w:tcPr>
            <w:tcW w:w="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lastRenderedPageBreak/>
              <w:t>审议通过上述议案并将相关议案提交至董事会审议。</w:t>
            </w:r>
          </w:p>
        </w:tc>
        <w:tc>
          <w:tcPr>
            <w:tcW w:w="682"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无</w:t>
            </w:r>
          </w:p>
        </w:tc>
        <w:tc>
          <w:tcPr>
            <w:tcW w:w="745"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无</w:t>
            </w:r>
          </w:p>
        </w:tc>
      </w:tr>
      <w:tr w:rsidR="00E20B54">
        <w:trPr>
          <w:trHeight w:val="240"/>
        </w:trPr>
        <w:tc>
          <w:tcPr>
            <w:tcW w:w="1205" w:type="dxa"/>
            <w:vMerge w:val="restar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lastRenderedPageBreak/>
              <w:t>第四届董事会审计委员会</w:t>
            </w:r>
          </w:p>
        </w:tc>
        <w:tc>
          <w:tcPr>
            <w:tcW w:w="1008" w:type="dxa"/>
            <w:vMerge w:val="restar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曹丽梅、石洁芝、郭树荣</w:t>
            </w:r>
          </w:p>
        </w:tc>
        <w:tc>
          <w:tcPr>
            <w:tcW w:w="709" w:type="dxa"/>
            <w:vMerge w:val="restar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w:t>
            </w:r>
          </w:p>
        </w:tc>
        <w:tc>
          <w:tcPr>
            <w:tcW w:w="832"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2025</w:t>
            </w:r>
            <w:r>
              <w:rPr>
                <w:sz w:val="18"/>
                <w:szCs w:val="18"/>
              </w:rPr>
              <w:t>年</w:t>
            </w:r>
            <w:r>
              <w:rPr>
                <w:sz w:val="18"/>
                <w:szCs w:val="18"/>
              </w:rPr>
              <w:t>10</w:t>
            </w:r>
            <w:r>
              <w:rPr>
                <w:sz w:val="18"/>
                <w:szCs w:val="18"/>
              </w:rPr>
              <w:t>月</w:t>
            </w:r>
            <w:r>
              <w:rPr>
                <w:sz w:val="18"/>
                <w:szCs w:val="18"/>
              </w:rPr>
              <w:t>27</w:t>
            </w:r>
            <w:r>
              <w:rPr>
                <w:sz w:val="18"/>
                <w:szCs w:val="18"/>
              </w:rPr>
              <w:t>日</w:t>
            </w:r>
          </w:p>
        </w:tc>
        <w:tc>
          <w:tcPr>
            <w:tcW w:w="3531"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召开第一次会议，审议如下议案：</w:t>
            </w:r>
          </w:p>
          <w:p w:rsidR="00E20B54" w:rsidRDefault="00733C9E">
            <w:pPr>
              <w:spacing w:line="240" w:lineRule="exact"/>
              <w:rPr>
                <w:sz w:val="18"/>
                <w:szCs w:val="18"/>
              </w:rPr>
            </w:pPr>
            <w:r>
              <w:rPr>
                <w:sz w:val="18"/>
                <w:szCs w:val="18"/>
              </w:rPr>
              <w:t>1.</w:t>
            </w:r>
            <w:r>
              <w:rPr>
                <w:sz w:val="18"/>
                <w:szCs w:val="18"/>
              </w:rPr>
              <w:t>《关于公司</w:t>
            </w:r>
            <w:r>
              <w:rPr>
                <w:sz w:val="18"/>
                <w:szCs w:val="18"/>
              </w:rPr>
              <w:t>&lt;2025</w:t>
            </w:r>
            <w:r>
              <w:rPr>
                <w:sz w:val="18"/>
                <w:szCs w:val="18"/>
              </w:rPr>
              <w:t>年第三季度内部审计报告</w:t>
            </w:r>
            <w:r>
              <w:rPr>
                <w:sz w:val="18"/>
                <w:szCs w:val="18"/>
              </w:rPr>
              <w:t>&gt;</w:t>
            </w:r>
            <w:r>
              <w:rPr>
                <w:sz w:val="18"/>
                <w:szCs w:val="18"/>
              </w:rPr>
              <w:t>的议案》</w:t>
            </w:r>
          </w:p>
          <w:p w:rsidR="00E20B54" w:rsidRDefault="00733C9E">
            <w:pPr>
              <w:spacing w:line="240" w:lineRule="exact"/>
              <w:rPr>
                <w:sz w:val="18"/>
                <w:szCs w:val="18"/>
              </w:rPr>
            </w:pPr>
            <w:r>
              <w:rPr>
                <w:sz w:val="18"/>
                <w:szCs w:val="18"/>
              </w:rPr>
              <w:t>2.</w:t>
            </w:r>
            <w:r>
              <w:rPr>
                <w:sz w:val="18"/>
                <w:szCs w:val="18"/>
              </w:rPr>
              <w:t>《关于公司</w:t>
            </w:r>
            <w:r>
              <w:rPr>
                <w:sz w:val="18"/>
                <w:szCs w:val="18"/>
              </w:rPr>
              <w:t>&lt;2025</w:t>
            </w:r>
            <w:r>
              <w:rPr>
                <w:sz w:val="18"/>
                <w:szCs w:val="18"/>
              </w:rPr>
              <w:t>年第四季度内部审计计划</w:t>
            </w:r>
            <w:r>
              <w:rPr>
                <w:sz w:val="18"/>
                <w:szCs w:val="18"/>
              </w:rPr>
              <w:t>&gt;</w:t>
            </w:r>
            <w:r>
              <w:rPr>
                <w:sz w:val="18"/>
                <w:szCs w:val="18"/>
              </w:rPr>
              <w:t>的议案》</w:t>
            </w:r>
          </w:p>
          <w:p w:rsidR="00E20B54" w:rsidRDefault="00733C9E">
            <w:pPr>
              <w:spacing w:line="240" w:lineRule="exact"/>
              <w:rPr>
                <w:sz w:val="18"/>
                <w:szCs w:val="18"/>
              </w:rPr>
            </w:pPr>
            <w:r>
              <w:rPr>
                <w:sz w:val="18"/>
                <w:szCs w:val="18"/>
              </w:rPr>
              <w:t>3.</w:t>
            </w:r>
            <w:r>
              <w:rPr>
                <w:sz w:val="18"/>
                <w:szCs w:val="18"/>
              </w:rPr>
              <w:t>《关于公司</w:t>
            </w:r>
            <w:r>
              <w:rPr>
                <w:sz w:val="18"/>
                <w:szCs w:val="18"/>
              </w:rPr>
              <w:t>&lt;2025</w:t>
            </w:r>
            <w:r>
              <w:rPr>
                <w:sz w:val="18"/>
                <w:szCs w:val="18"/>
              </w:rPr>
              <w:t>年第三季度报告</w:t>
            </w:r>
            <w:r>
              <w:rPr>
                <w:sz w:val="18"/>
                <w:szCs w:val="18"/>
              </w:rPr>
              <w:t>&gt;</w:t>
            </w:r>
            <w:r>
              <w:rPr>
                <w:sz w:val="18"/>
                <w:szCs w:val="18"/>
              </w:rPr>
              <w:t>的议案》</w:t>
            </w:r>
          </w:p>
        </w:tc>
        <w:tc>
          <w:tcPr>
            <w:tcW w:w="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审议通过上述议案并将《关于公司</w:t>
            </w:r>
            <w:r>
              <w:rPr>
                <w:sz w:val="18"/>
                <w:szCs w:val="18"/>
              </w:rPr>
              <w:t>&lt;2025</w:t>
            </w:r>
            <w:r>
              <w:rPr>
                <w:sz w:val="18"/>
                <w:szCs w:val="18"/>
              </w:rPr>
              <w:t>年第三季度报告</w:t>
            </w:r>
            <w:r>
              <w:rPr>
                <w:sz w:val="18"/>
                <w:szCs w:val="18"/>
              </w:rPr>
              <w:t>&gt;</w:t>
            </w:r>
            <w:r>
              <w:rPr>
                <w:sz w:val="18"/>
                <w:szCs w:val="18"/>
              </w:rPr>
              <w:t>的议案》提交至董事会审议。</w:t>
            </w:r>
          </w:p>
        </w:tc>
        <w:tc>
          <w:tcPr>
            <w:tcW w:w="682"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无</w:t>
            </w:r>
          </w:p>
        </w:tc>
        <w:tc>
          <w:tcPr>
            <w:tcW w:w="745"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无</w:t>
            </w:r>
          </w:p>
        </w:tc>
      </w:tr>
      <w:tr w:rsidR="00E20B54">
        <w:trPr>
          <w:trHeight w:val="240"/>
        </w:trPr>
        <w:tc>
          <w:tcPr>
            <w:tcW w:w="1205" w:type="dxa"/>
            <w:vMerge/>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第四届董事会审计委员会</w:t>
            </w:r>
          </w:p>
        </w:tc>
        <w:tc>
          <w:tcPr>
            <w:tcW w:w="1008" w:type="dxa"/>
            <w:vMerge/>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曹丽梅、石洁芝、郭树荣</w:t>
            </w:r>
          </w:p>
        </w:tc>
        <w:tc>
          <w:tcPr>
            <w:tcW w:w="709" w:type="dxa"/>
            <w:vMerge/>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w:t>
            </w:r>
          </w:p>
        </w:tc>
        <w:tc>
          <w:tcPr>
            <w:tcW w:w="832"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2025</w:t>
            </w:r>
            <w:r>
              <w:rPr>
                <w:sz w:val="18"/>
                <w:szCs w:val="18"/>
              </w:rPr>
              <w:t>年</w:t>
            </w:r>
            <w:r>
              <w:rPr>
                <w:sz w:val="18"/>
                <w:szCs w:val="18"/>
              </w:rPr>
              <w:t>11</w:t>
            </w:r>
            <w:r>
              <w:rPr>
                <w:sz w:val="18"/>
                <w:szCs w:val="18"/>
              </w:rPr>
              <w:t>月</w:t>
            </w:r>
            <w:r>
              <w:rPr>
                <w:sz w:val="18"/>
                <w:szCs w:val="18"/>
              </w:rPr>
              <w:t>18</w:t>
            </w:r>
            <w:r>
              <w:rPr>
                <w:sz w:val="18"/>
                <w:szCs w:val="18"/>
              </w:rPr>
              <w:t>日</w:t>
            </w:r>
          </w:p>
        </w:tc>
        <w:tc>
          <w:tcPr>
            <w:tcW w:w="3531"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召开第二次会议，审议如下议案：</w:t>
            </w:r>
          </w:p>
          <w:p w:rsidR="00E20B54" w:rsidRDefault="00733C9E">
            <w:pPr>
              <w:spacing w:line="240" w:lineRule="exact"/>
              <w:rPr>
                <w:sz w:val="18"/>
                <w:szCs w:val="18"/>
              </w:rPr>
            </w:pPr>
            <w:r>
              <w:rPr>
                <w:sz w:val="18"/>
                <w:szCs w:val="18"/>
              </w:rPr>
              <w:t>1.</w:t>
            </w:r>
            <w:r>
              <w:rPr>
                <w:sz w:val="18"/>
                <w:szCs w:val="18"/>
              </w:rPr>
              <w:t>《关于公司符合发行股份及支付现金购买资产并募集配套资金暨关联交易相关法律法规规定条件的议案》</w:t>
            </w:r>
          </w:p>
          <w:p w:rsidR="00E20B54" w:rsidRDefault="00733C9E">
            <w:pPr>
              <w:spacing w:line="240" w:lineRule="exact"/>
              <w:rPr>
                <w:sz w:val="18"/>
                <w:szCs w:val="18"/>
              </w:rPr>
            </w:pPr>
            <w:r>
              <w:rPr>
                <w:sz w:val="18"/>
                <w:szCs w:val="18"/>
              </w:rPr>
              <w:t>2.</w:t>
            </w:r>
            <w:r>
              <w:rPr>
                <w:sz w:val="18"/>
                <w:szCs w:val="18"/>
              </w:rPr>
              <w:t>《关于公司发行股份及支付现金购买资产并募集配套资金暨关联交易方案的议案》</w:t>
            </w:r>
          </w:p>
          <w:p w:rsidR="00E20B54" w:rsidRDefault="00733C9E">
            <w:pPr>
              <w:spacing w:line="240" w:lineRule="exact"/>
              <w:rPr>
                <w:sz w:val="18"/>
                <w:szCs w:val="18"/>
              </w:rPr>
            </w:pPr>
            <w:r>
              <w:rPr>
                <w:sz w:val="18"/>
                <w:szCs w:val="18"/>
              </w:rPr>
              <w:t>3.</w:t>
            </w:r>
            <w:r>
              <w:rPr>
                <w:sz w:val="18"/>
                <w:szCs w:val="18"/>
              </w:rPr>
              <w:t>《关于</w:t>
            </w:r>
            <w:r>
              <w:rPr>
                <w:sz w:val="18"/>
                <w:szCs w:val="18"/>
              </w:rPr>
              <w:t>&lt;</w:t>
            </w:r>
            <w:r>
              <w:rPr>
                <w:sz w:val="18"/>
                <w:szCs w:val="18"/>
              </w:rPr>
              <w:t>广东天亿马信息产业股份有限公司发行股份及支付现金购买资产并募集配套资金暨关联交易报告书（草案）</w:t>
            </w:r>
            <w:r>
              <w:rPr>
                <w:sz w:val="18"/>
                <w:szCs w:val="18"/>
              </w:rPr>
              <w:t>&gt;</w:t>
            </w:r>
            <w:r>
              <w:rPr>
                <w:sz w:val="18"/>
                <w:szCs w:val="18"/>
              </w:rPr>
              <w:t>及其摘要的议案》</w:t>
            </w:r>
          </w:p>
          <w:p w:rsidR="00E20B54" w:rsidRDefault="00733C9E">
            <w:pPr>
              <w:spacing w:line="240" w:lineRule="exact"/>
              <w:rPr>
                <w:sz w:val="18"/>
                <w:szCs w:val="18"/>
              </w:rPr>
            </w:pPr>
            <w:r>
              <w:rPr>
                <w:sz w:val="18"/>
                <w:szCs w:val="18"/>
              </w:rPr>
              <w:t>4.</w:t>
            </w:r>
            <w:r>
              <w:rPr>
                <w:sz w:val="18"/>
                <w:szCs w:val="18"/>
              </w:rPr>
              <w:t>《关于签署附条件生效的</w:t>
            </w:r>
            <w:r>
              <w:rPr>
                <w:sz w:val="18"/>
                <w:szCs w:val="18"/>
              </w:rPr>
              <w:t>&lt;</w:t>
            </w:r>
            <w:r>
              <w:rPr>
                <w:sz w:val="18"/>
                <w:szCs w:val="18"/>
              </w:rPr>
              <w:t>发行股份及支付现金购买资产协议之补充协议</w:t>
            </w:r>
            <w:r>
              <w:rPr>
                <w:sz w:val="18"/>
                <w:szCs w:val="18"/>
              </w:rPr>
              <w:t>&gt;&lt;</w:t>
            </w:r>
            <w:r>
              <w:rPr>
                <w:sz w:val="18"/>
                <w:szCs w:val="18"/>
              </w:rPr>
              <w:t>业绩承诺补偿协议书</w:t>
            </w:r>
            <w:r>
              <w:rPr>
                <w:sz w:val="18"/>
                <w:szCs w:val="18"/>
              </w:rPr>
              <w:t>&gt;</w:t>
            </w:r>
            <w:r>
              <w:rPr>
                <w:sz w:val="18"/>
                <w:szCs w:val="18"/>
              </w:rPr>
              <w:t>及</w:t>
            </w:r>
            <w:r>
              <w:rPr>
                <w:sz w:val="18"/>
                <w:szCs w:val="18"/>
              </w:rPr>
              <w:t>&lt;</w:t>
            </w:r>
            <w:r>
              <w:rPr>
                <w:sz w:val="18"/>
                <w:szCs w:val="18"/>
              </w:rPr>
              <w:t>附生效条件的股份认购协议</w:t>
            </w:r>
            <w:r>
              <w:rPr>
                <w:sz w:val="18"/>
                <w:szCs w:val="18"/>
              </w:rPr>
              <w:t>&gt;</w:t>
            </w:r>
            <w:r>
              <w:rPr>
                <w:sz w:val="18"/>
                <w:szCs w:val="18"/>
              </w:rPr>
              <w:t>的议案》</w:t>
            </w:r>
          </w:p>
          <w:p w:rsidR="00E20B54" w:rsidRDefault="00733C9E">
            <w:pPr>
              <w:spacing w:line="240" w:lineRule="exact"/>
              <w:rPr>
                <w:sz w:val="18"/>
                <w:szCs w:val="18"/>
              </w:rPr>
            </w:pPr>
            <w:r>
              <w:rPr>
                <w:sz w:val="18"/>
                <w:szCs w:val="18"/>
              </w:rPr>
              <w:t>5.</w:t>
            </w:r>
            <w:r>
              <w:rPr>
                <w:sz w:val="18"/>
                <w:szCs w:val="18"/>
              </w:rPr>
              <w:t>《关于本次交易构成关联交易情况的议案》</w:t>
            </w:r>
          </w:p>
          <w:p w:rsidR="00E20B54" w:rsidRDefault="00733C9E">
            <w:pPr>
              <w:spacing w:line="240" w:lineRule="exact"/>
              <w:rPr>
                <w:sz w:val="18"/>
                <w:szCs w:val="18"/>
              </w:rPr>
            </w:pPr>
            <w:r>
              <w:rPr>
                <w:sz w:val="18"/>
                <w:szCs w:val="18"/>
              </w:rPr>
              <w:t>6.</w:t>
            </w:r>
            <w:r>
              <w:rPr>
                <w:sz w:val="18"/>
                <w:szCs w:val="18"/>
              </w:rPr>
              <w:t>《关于本次交易符合</w:t>
            </w:r>
            <w:r>
              <w:rPr>
                <w:sz w:val="18"/>
                <w:szCs w:val="18"/>
              </w:rPr>
              <w:t>&lt;</w:t>
            </w:r>
            <w:r>
              <w:rPr>
                <w:sz w:val="18"/>
                <w:szCs w:val="18"/>
              </w:rPr>
              <w:t>上市公司重大资产重组管理办法</w:t>
            </w:r>
            <w:r>
              <w:rPr>
                <w:sz w:val="18"/>
                <w:szCs w:val="18"/>
              </w:rPr>
              <w:t>&gt;</w:t>
            </w:r>
            <w:r>
              <w:rPr>
                <w:sz w:val="18"/>
                <w:szCs w:val="18"/>
              </w:rPr>
              <w:t>第十一条、第四十三条和第四十四条规定的议案》</w:t>
            </w:r>
          </w:p>
          <w:p w:rsidR="00E20B54" w:rsidRDefault="00733C9E">
            <w:pPr>
              <w:spacing w:line="240" w:lineRule="exact"/>
              <w:rPr>
                <w:sz w:val="18"/>
                <w:szCs w:val="18"/>
              </w:rPr>
            </w:pPr>
            <w:r>
              <w:rPr>
                <w:sz w:val="18"/>
                <w:szCs w:val="18"/>
              </w:rPr>
              <w:t>7.</w:t>
            </w:r>
            <w:r>
              <w:rPr>
                <w:sz w:val="18"/>
                <w:szCs w:val="18"/>
              </w:rPr>
              <w:t>《关于本次交易符合</w:t>
            </w:r>
            <w:r>
              <w:rPr>
                <w:sz w:val="18"/>
                <w:szCs w:val="18"/>
              </w:rPr>
              <w:t>&lt;</w:t>
            </w:r>
            <w:r>
              <w:rPr>
                <w:sz w:val="18"/>
                <w:szCs w:val="18"/>
              </w:rPr>
              <w:t>上市公司监管指引第</w:t>
            </w:r>
            <w:r>
              <w:rPr>
                <w:sz w:val="18"/>
                <w:szCs w:val="18"/>
              </w:rPr>
              <w:t>9</w:t>
            </w:r>
            <w:r>
              <w:rPr>
                <w:sz w:val="18"/>
                <w:szCs w:val="18"/>
              </w:rPr>
              <w:t>号</w:t>
            </w:r>
            <w:r>
              <w:rPr>
                <w:sz w:val="18"/>
                <w:szCs w:val="18"/>
              </w:rPr>
              <w:t>——</w:t>
            </w:r>
            <w:r>
              <w:rPr>
                <w:sz w:val="18"/>
                <w:szCs w:val="18"/>
              </w:rPr>
              <w:t>上市公司筹划和实施重大资产重组的监管要求</w:t>
            </w:r>
            <w:r>
              <w:rPr>
                <w:sz w:val="18"/>
                <w:szCs w:val="18"/>
              </w:rPr>
              <w:t>&gt;</w:t>
            </w:r>
            <w:r>
              <w:rPr>
                <w:sz w:val="18"/>
                <w:szCs w:val="18"/>
              </w:rPr>
              <w:t>第四条规定的议案》</w:t>
            </w:r>
          </w:p>
          <w:p w:rsidR="00E20B54" w:rsidRDefault="00733C9E">
            <w:pPr>
              <w:spacing w:line="240" w:lineRule="exact"/>
              <w:rPr>
                <w:sz w:val="18"/>
                <w:szCs w:val="18"/>
              </w:rPr>
            </w:pPr>
            <w:r>
              <w:rPr>
                <w:sz w:val="18"/>
                <w:szCs w:val="18"/>
              </w:rPr>
              <w:t>8.</w:t>
            </w:r>
            <w:r>
              <w:rPr>
                <w:sz w:val="18"/>
                <w:szCs w:val="18"/>
              </w:rPr>
              <w:t>《关于本次交易符合</w:t>
            </w:r>
            <w:r>
              <w:rPr>
                <w:sz w:val="18"/>
                <w:szCs w:val="18"/>
              </w:rPr>
              <w:t>&lt;</w:t>
            </w:r>
            <w:r>
              <w:rPr>
                <w:sz w:val="18"/>
                <w:szCs w:val="18"/>
              </w:rPr>
              <w:t>上市公司证券发行注册管理办法</w:t>
            </w:r>
            <w:r>
              <w:rPr>
                <w:sz w:val="18"/>
                <w:szCs w:val="18"/>
              </w:rPr>
              <w:t>&gt;</w:t>
            </w:r>
            <w:r>
              <w:rPr>
                <w:sz w:val="18"/>
                <w:szCs w:val="18"/>
              </w:rPr>
              <w:t>第十一条规定的议案》</w:t>
            </w:r>
          </w:p>
          <w:p w:rsidR="00E20B54" w:rsidRDefault="00733C9E">
            <w:pPr>
              <w:spacing w:line="240" w:lineRule="exact"/>
              <w:rPr>
                <w:sz w:val="18"/>
                <w:szCs w:val="18"/>
              </w:rPr>
            </w:pPr>
            <w:r>
              <w:rPr>
                <w:sz w:val="18"/>
                <w:szCs w:val="18"/>
              </w:rPr>
              <w:t>9.</w:t>
            </w:r>
            <w:r>
              <w:rPr>
                <w:sz w:val="18"/>
                <w:szCs w:val="18"/>
              </w:rPr>
              <w:t>《关于本次交易符合</w:t>
            </w:r>
            <w:r>
              <w:rPr>
                <w:sz w:val="18"/>
                <w:szCs w:val="18"/>
              </w:rPr>
              <w:t>&lt;</w:t>
            </w:r>
            <w:r>
              <w:rPr>
                <w:sz w:val="18"/>
                <w:szCs w:val="18"/>
              </w:rPr>
              <w:t>创业板上市公司持续监管办法（试行）</w:t>
            </w:r>
            <w:r>
              <w:rPr>
                <w:sz w:val="18"/>
                <w:szCs w:val="18"/>
              </w:rPr>
              <w:t>&gt;</w:t>
            </w:r>
            <w:r>
              <w:rPr>
                <w:sz w:val="18"/>
                <w:szCs w:val="18"/>
              </w:rPr>
              <w:t>第十八条、第二十一条以及</w:t>
            </w:r>
            <w:r>
              <w:rPr>
                <w:sz w:val="18"/>
                <w:szCs w:val="18"/>
              </w:rPr>
              <w:t>&lt;</w:t>
            </w:r>
            <w:r>
              <w:rPr>
                <w:sz w:val="18"/>
                <w:szCs w:val="18"/>
              </w:rPr>
              <w:t>深圳证券交易所上市公司重大资产重组审核规则</w:t>
            </w:r>
            <w:r>
              <w:rPr>
                <w:sz w:val="18"/>
                <w:szCs w:val="18"/>
              </w:rPr>
              <w:t>&gt;</w:t>
            </w:r>
            <w:r>
              <w:rPr>
                <w:sz w:val="18"/>
                <w:szCs w:val="18"/>
              </w:rPr>
              <w:t>第八条规定的议案》</w:t>
            </w:r>
          </w:p>
          <w:p w:rsidR="00E20B54" w:rsidRDefault="00733C9E">
            <w:pPr>
              <w:spacing w:line="240" w:lineRule="exact"/>
              <w:rPr>
                <w:sz w:val="18"/>
                <w:szCs w:val="18"/>
              </w:rPr>
            </w:pPr>
            <w:r>
              <w:rPr>
                <w:sz w:val="18"/>
                <w:szCs w:val="18"/>
              </w:rPr>
              <w:t>10.</w:t>
            </w:r>
            <w:r>
              <w:rPr>
                <w:sz w:val="18"/>
                <w:szCs w:val="18"/>
              </w:rPr>
              <w:t>《关于本次交易相关主体不存在依据</w:t>
            </w:r>
            <w:r>
              <w:rPr>
                <w:sz w:val="18"/>
                <w:szCs w:val="18"/>
              </w:rPr>
              <w:t>&lt;</w:t>
            </w:r>
            <w:r>
              <w:rPr>
                <w:sz w:val="18"/>
                <w:szCs w:val="18"/>
              </w:rPr>
              <w:t>上市公司监管指引第</w:t>
            </w:r>
            <w:r>
              <w:rPr>
                <w:sz w:val="18"/>
                <w:szCs w:val="18"/>
              </w:rPr>
              <w:t xml:space="preserve"> 7 </w:t>
            </w:r>
            <w:r>
              <w:rPr>
                <w:sz w:val="18"/>
                <w:szCs w:val="18"/>
              </w:rPr>
              <w:t>号</w:t>
            </w:r>
            <w:r>
              <w:rPr>
                <w:sz w:val="18"/>
                <w:szCs w:val="18"/>
              </w:rPr>
              <w:t>—</w:t>
            </w:r>
            <w:r>
              <w:rPr>
                <w:sz w:val="18"/>
                <w:szCs w:val="18"/>
              </w:rPr>
              <w:t>上市公司重大资产重组相关股票异常交易监管</w:t>
            </w:r>
            <w:r>
              <w:rPr>
                <w:sz w:val="18"/>
                <w:szCs w:val="18"/>
              </w:rPr>
              <w:t>&gt;</w:t>
            </w:r>
            <w:r>
              <w:rPr>
                <w:sz w:val="18"/>
                <w:szCs w:val="18"/>
              </w:rPr>
              <w:t>第十二条以及</w:t>
            </w:r>
            <w:r>
              <w:rPr>
                <w:sz w:val="18"/>
                <w:szCs w:val="18"/>
              </w:rPr>
              <w:t>&lt;</w:t>
            </w:r>
            <w:r>
              <w:rPr>
                <w:sz w:val="18"/>
                <w:szCs w:val="18"/>
              </w:rPr>
              <w:t>深圳证券交易所上市公司自律监管指引第</w:t>
            </w:r>
            <w:r>
              <w:rPr>
                <w:sz w:val="18"/>
                <w:szCs w:val="18"/>
              </w:rPr>
              <w:t xml:space="preserve"> 8 </w:t>
            </w:r>
            <w:r>
              <w:rPr>
                <w:sz w:val="18"/>
                <w:szCs w:val="18"/>
              </w:rPr>
              <w:t>号</w:t>
            </w:r>
            <w:r>
              <w:rPr>
                <w:sz w:val="18"/>
                <w:szCs w:val="18"/>
              </w:rPr>
              <w:t>——</w:t>
            </w:r>
            <w:r>
              <w:rPr>
                <w:sz w:val="18"/>
                <w:szCs w:val="18"/>
              </w:rPr>
              <w:t>重大资产重组</w:t>
            </w:r>
            <w:r>
              <w:rPr>
                <w:sz w:val="18"/>
                <w:szCs w:val="18"/>
              </w:rPr>
              <w:t>&gt;</w:t>
            </w:r>
            <w:r>
              <w:rPr>
                <w:sz w:val="18"/>
                <w:szCs w:val="18"/>
              </w:rPr>
              <w:t>第三十条规定的不得参与任何上市公司重大资产重组情形的议案》</w:t>
            </w:r>
          </w:p>
          <w:p w:rsidR="00E20B54" w:rsidRDefault="00733C9E">
            <w:pPr>
              <w:spacing w:line="240" w:lineRule="exact"/>
              <w:rPr>
                <w:sz w:val="18"/>
                <w:szCs w:val="18"/>
              </w:rPr>
            </w:pPr>
            <w:r>
              <w:rPr>
                <w:sz w:val="18"/>
                <w:szCs w:val="18"/>
              </w:rPr>
              <w:t>11.</w:t>
            </w:r>
            <w:r>
              <w:rPr>
                <w:sz w:val="18"/>
                <w:szCs w:val="18"/>
              </w:rPr>
              <w:t>《关于本次交易构成</w:t>
            </w:r>
            <w:r>
              <w:rPr>
                <w:sz w:val="18"/>
                <w:szCs w:val="18"/>
              </w:rPr>
              <w:t>&lt;</w:t>
            </w:r>
            <w:r>
              <w:rPr>
                <w:sz w:val="18"/>
                <w:szCs w:val="18"/>
              </w:rPr>
              <w:t>上市公司重大资</w:t>
            </w:r>
            <w:r>
              <w:rPr>
                <w:sz w:val="18"/>
                <w:szCs w:val="18"/>
              </w:rPr>
              <w:lastRenderedPageBreak/>
              <w:t>产重组管理办法</w:t>
            </w:r>
            <w:r>
              <w:rPr>
                <w:sz w:val="18"/>
                <w:szCs w:val="18"/>
              </w:rPr>
              <w:t>&gt;</w:t>
            </w:r>
            <w:r>
              <w:rPr>
                <w:sz w:val="18"/>
                <w:szCs w:val="18"/>
              </w:rPr>
              <w:t>第十二条规定的重大资产重组以及不构成第十三条规定的重组上市情形的议案》</w:t>
            </w:r>
          </w:p>
          <w:p w:rsidR="00E20B54" w:rsidRDefault="00733C9E">
            <w:pPr>
              <w:spacing w:line="240" w:lineRule="exact"/>
              <w:rPr>
                <w:sz w:val="18"/>
                <w:szCs w:val="18"/>
              </w:rPr>
            </w:pPr>
            <w:r>
              <w:rPr>
                <w:sz w:val="18"/>
                <w:szCs w:val="18"/>
              </w:rPr>
              <w:t>12.</w:t>
            </w:r>
            <w:r>
              <w:rPr>
                <w:sz w:val="18"/>
                <w:szCs w:val="18"/>
              </w:rPr>
              <w:t>《关于本次交易定价的依据及公平合理性的议案》</w:t>
            </w:r>
          </w:p>
          <w:p w:rsidR="00E20B54" w:rsidRDefault="00733C9E">
            <w:pPr>
              <w:spacing w:line="240" w:lineRule="exact"/>
              <w:rPr>
                <w:sz w:val="18"/>
                <w:szCs w:val="18"/>
              </w:rPr>
            </w:pPr>
            <w:r>
              <w:rPr>
                <w:sz w:val="18"/>
                <w:szCs w:val="18"/>
              </w:rPr>
              <w:t>13.</w:t>
            </w:r>
            <w:r>
              <w:rPr>
                <w:sz w:val="18"/>
                <w:szCs w:val="18"/>
              </w:rPr>
              <w:t>《关于本次交易履行法定程序完备性、合规性及提交法律文件有效性的议案》</w:t>
            </w:r>
          </w:p>
          <w:p w:rsidR="00E20B54" w:rsidRDefault="00733C9E">
            <w:pPr>
              <w:spacing w:line="240" w:lineRule="exact"/>
              <w:rPr>
                <w:sz w:val="18"/>
                <w:szCs w:val="18"/>
              </w:rPr>
            </w:pPr>
            <w:r>
              <w:rPr>
                <w:sz w:val="18"/>
                <w:szCs w:val="18"/>
              </w:rPr>
              <w:t>14.</w:t>
            </w:r>
            <w:r>
              <w:rPr>
                <w:sz w:val="18"/>
                <w:szCs w:val="18"/>
              </w:rPr>
              <w:t>《关于本次交易信息发布前公司股票价格波动情况的议案》</w:t>
            </w:r>
          </w:p>
          <w:p w:rsidR="00E20B54" w:rsidRDefault="00733C9E">
            <w:pPr>
              <w:spacing w:line="240" w:lineRule="exact"/>
              <w:rPr>
                <w:sz w:val="18"/>
                <w:szCs w:val="18"/>
              </w:rPr>
            </w:pPr>
            <w:r>
              <w:rPr>
                <w:sz w:val="18"/>
                <w:szCs w:val="18"/>
              </w:rPr>
              <w:t>15.</w:t>
            </w:r>
            <w:r>
              <w:rPr>
                <w:sz w:val="18"/>
                <w:szCs w:val="18"/>
              </w:rPr>
              <w:t>《关于本次交易摊薄上市公司即期回报的情况及填补措施的议案》</w:t>
            </w:r>
          </w:p>
          <w:p w:rsidR="00E20B54" w:rsidRDefault="00733C9E">
            <w:pPr>
              <w:spacing w:line="240" w:lineRule="exact"/>
              <w:rPr>
                <w:sz w:val="18"/>
                <w:szCs w:val="18"/>
              </w:rPr>
            </w:pPr>
            <w:r>
              <w:rPr>
                <w:sz w:val="18"/>
                <w:szCs w:val="18"/>
              </w:rPr>
              <w:t>16.</w:t>
            </w:r>
            <w:r>
              <w:rPr>
                <w:sz w:val="18"/>
                <w:szCs w:val="18"/>
              </w:rPr>
              <w:t>《关于批准公司重大资产重组暨关联交易有关审计报告、备考审阅报告、评估报告的议案》</w:t>
            </w:r>
          </w:p>
          <w:p w:rsidR="00E20B54" w:rsidRDefault="00733C9E">
            <w:pPr>
              <w:spacing w:line="240" w:lineRule="exact"/>
              <w:rPr>
                <w:sz w:val="18"/>
                <w:szCs w:val="18"/>
              </w:rPr>
            </w:pPr>
            <w:r>
              <w:rPr>
                <w:sz w:val="18"/>
                <w:szCs w:val="18"/>
              </w:rPr>
              <w:t>17.</w:t>
            </w:r>
            <w:r>
              <w:rPr>
                <w:sz w:val="18"/>
                <w:szCs w:val="18"/>
              </w:rPr>
              <w:t>《关于本次交易前十二个月内上市公司购买、出售资产情况的议案》</w:t>
            </w:r>
          </w:p>
          <w:p w:rsidR="00E20B54" w:rsidRDefault="00733C9E">
            <w:pPr>
              <w:spacing w:line="240" w:lineRule="exact"/>
              <w:rPr>
                <w:sz w:val="18"/>
                <w:szCs w:val="18"/>
              </w:rPr>
            </w:pPr>
            <w:r>
              <w:rPr>
                <w:sz w:val="18"/>
                <w:szCs w:val="18"/>
              </w:rPr>
              <w:t>18.</w:t>
            </w:r>
            <w:r>
              <w:rPr>
                <w:sz w:val="18"/>
                <w:szCs w:val="18"/>
              </w:rPr>
              <w:t>《关于本次交易采取的保密措施及保密制度的议案》</w:t>
            </w:r>
          </w:p>
          <w:p w:rsidR="00E20B54" w:rsidRDefault="00733C9E">
            <w:pPr>
              <w:spacing w:line="240" w:lineRule="exact"/>
              <w:rPr>
                <w:sz w:val="18"/>
                <w:szCs w:val="18"/>
              </w:rPr>
            </w:pPr>
            <w:r>
              <w:rPr>
                <w:sz w:val="18"/>
                <w:szCs w:val="18"/>
              </w:rPr>
              <w:t>19.</w:t>
            </w:r>
            <w:r>
              <w:rPr>
                <w:sz w:val="18"/>
                <w:szCs w:val="18"/>
              </w:rPr>
              <w:t>《关于本次交易方案调整不构成重大调整的议案》</w:t>
            </w:r>
          </w:p>
          <w:p w:rsidR="00E20B54" w:rsidRDefault="00733C9E">
            <w:pPr>
              <w:spacing w:line="240" w:lineRule="exact"/>
              <w:rPr>
                <w:sz w:val="18"/>
                <w:szCs w:val="18"/>
              </w:rPr>
            </w:pPr>
            <w:r>
              <w:rPr>
                <w:sz w:val="18"/>
                <w:szCs w:val="18"/>
              </w:rPr>
              <w:t>20.</w:t>
            </w:r>
            <w:r>
              <w:rPr>
                <w:sz w:val="18"/>
                <w:szCs w:val="18"/>
              </w:rPr>
              <w:t>《关于本次交易是否存在直接或间接有偿聘请其他第三方机构和个人的议案》</w:t>
            </w:r>
          </w:p>
          <w:p w:rsidR="00E20B54" w:rsidRDefault="00733C9E">
            <w:pPr>
              <w:spacing w:line="240" w:lineRule="exact"/>
              <w:rPr>
                <w:sz w:val="18"/>
                <w:szCs w:val="18"/>
              </w:rPr>
            </w:pPr>
            <w:r>
              <w:rPr>
                <w:sz w:val="18"/>
                <w:szCs w:val="18"/>
              </w:rPr>
              <w:t>21.</w:t>
            </w:r>
            <w:r>
              <w:rPr>
                <w:sz w:val="18"/>
                <w:szCs w:val="18"/>
              </w:rPr>
              <w:t>《关于评估机构的独立性、评估假设前提的合理性、评估方法与评估目的的相关性以及评估定价公允性的议案》</w:t>
            </w:r>
          </w:p>
          <w:p w:rsidR="00E20B54" w:rsidRDefault="00733C9E">
            <w:pPr>
              <w:spacing w:line="240" w:lineRule="exact"/>
              <w:rPr>
                <w:sz w:val="18"/>
                <w:szCs w:val="18"/>
              </w:rPr>
            </w:pPr>
            <w:r>
              <w:rPr>
                <w:sz w:val="18"/>
                <w:szCs w:val="18"/>
              </w:rPr>
              <w:t>22.</w:t>
            </w:r>
            <w:r>
              <w:rPr>
                <w:sz w:val="18"/>
                <w:szCs w:val="18"/>
              </w:rPr>
              <w:t>《关于提请股东会授权董事会办理本次发行股份及支付现金购买资产并募集配套资金相关事宜的议案》</w:t>
            </w:r>
          </w:p>
          <w:p w:rsidR="00E20B54" w:rsidRDefault="00733C9E">
            <w:pPr>
              <w:spacing w:line="240" w:lineRule="exact"/>
              <w:rPr>
                <w:sz w:val="18"/>
                <w:szCs w:val="18"/>
              </w:rPr>
            </w:pPr>
            <w:r>
              <w:rPr>
                <w:sz w:val="18"/>
                <w:szCs w:val="18"/>
              </w:rPr>
              <w:t>23.</w:t>
            </w:r>
            <w:r>
              <w:rPr>
                <w:sz w:val="18"/>
                <w:szCs w:val="18"/>
              </w:rPr>
              <w:t>《关于续聘</w:t>
            </w:r>
            <w:r>
              <w:rPr>
                <w:sz w:val="18"/>
                <w:szCs w:val="18"/>
              </w:rPr>
              <w:t xml:space="preserve"> 2025 </w:t>
            </w:r>
            <w:r>
              <w:rPr>
                <w:sz w:val="18"/>
                <w:szCs w:val="18"/>
              </w:rPr>
              <w:t>年度审计机构的议案》</w:t>
            </w:r>
          </w:p>
        </w:tc>
        <w:tc>
          <w:tcPr>
            <w:tcW w:w="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lastRenderedPageBreak/>
              <w:t>审议通过上述议案并将相关议案提交至董事会审议。</w:t>
            </w:r>
          </w:p>
        </w:tc>
        <w:tc>
          <w:tcPr>
            <w:tcW w:w="682"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无</w:t>
            </w:r>
          </w:p>
        </w:tc>
        <w:tc>
          <w:tcPr>
            <w:tcW w:w="745"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无</w:t>
            </w:r>
          </w:p>
        </w:tc>
      </w:tr>
      <w:tr w:rsidR="00E20B54">
        <w:trPr>
          <w:trHeight w:val="240"/>
        </w:trPr>
        <w:tc>
          <w:tcPr>
            <w:tcW w:w="1205" w:type="dxa"/>
            <w:vMerge/>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lastRenderedPageBreak/>
              <w:t>第四届董事会审计委员会</w:t>
            </w:r>
          </w:p>
        </w:tc>
        <w:tc>
          <w:tcPr>
            <w:tcW w:w="1008" w:type="dxa"/>
            <w:vMerge/>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曹丽梅、石洁芝、郭树荣</w:t>
            </w:r>
          </w:p>
        </w:tc>
        <w:tc>
          <w:tcPr>
            <w:tcW w:w="709" w:type="dxa"/>
            <w:vMerge/>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w:t>
            </w:r>
          </w:p>
        </w:tc>
        <w:tc>
          <w:tcPr>
            <w:tcW w:w="832"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2025</w:t>
            </w:r>
            <w:r>
              <w:rPr>
                <w:sz w:val="18"/>
                <w:szCs w:val="18"/>
              </w:rPr>
              <w:t>年</w:t>
            </w:r>
            <w:r>
              <w:rPr>
                <w:sz w:val="18"/>
                <w:szCs w:val="18"/>
              </w:rPr>
              <w:t>12</w:t>
            </w:r>
            <w:r>
              <w:rPr>
                <w:sz w:val="18"/>
                <w:szCs w:val="18"/>
              </w:rPr>
              <w:t>月</w:t>
            </w:r>
            <w:r>
              <w:rPr>
                <w:sz w:val="18"/>
                <w:szCs w:val="18"/>
              </w:rPr>
              <w:t>30</w:t>
            </w:r>
            <w:r>
              <w:rPr>
                <w:sz w:val="18"/>
                <w:szCs w:val="18"/>
              </w:rPr>
              <w:t>日</w:t>
            </w:r>
          </w:p>
        </w:tc>
        <w:tc>
          <w:tcPr>
            <w:tcW w:w="3531"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召开第三次会议，审议《关于</w:t>
            </w:r>
            <w:r>
              <w:rPr>
                <w:sz w:val="18"/>
                <w:szCs w:val="18"/>
              </w:rPr>
              <w:t>2026</w:t>
            </w:r>
            <w:r>
              <w:rPr>
                <w:sz w:val="18"/>
                <w:szCs w:val="18"/>
              </w:rPr>
              <w:t>年内部审计工作计划的议案》。</w:t>
            </w:r>
          </w:p>
        </w:tc>
        <w:tc>
          <w:tcPr>
            <w:tcW w:w="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审议通过该议案。</w:t>
            </w:r>
          </w:p>
        </w:tc>
        <w:tc>
          <w:tcPr>
            <w:tcW w:w="682"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无</w:t>
            </w:r>
          </w:p>
        </w:tc>
        <w:tc>
          <w:tcPr>
            <w:tcW w:w="745"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无</w:t>
            </w:r>
          </w:p>
        </w:tc>
      </w:tr>
      <w:tr w:rsidR="00E20B54">
        <w:trPr>
          <w:trHeight w:val="240"/>
        </w:trPr>
        <w:tc>
          <w:tcPr>
            <w:tcW w:w="1205" w:type="dxa"/>
            <w:vMerge w:val="restar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第三届董事会提名委员会</w:t>
            </w:r>
          </w:p>
        </w:tc>
        <w:tc>
          <w:tcPr>
            <w:tcW w:w="1008" w:type="dxa"/>
            <w:vMerge w:val="restar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石洁芝、曹丽梅、张毅</w:t>
            </w:r>
          </w:p>
        </w:tc>
        <w:tc>
          <w:tcPr>
            <w:tcW w:w="709" w:type="dxa"/>
            <w:vMerge w:val="restar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w:t>
            </w:r>
          </w:p>
        </w:tc>
        <w:tc>
          <w:tcPr>
            <w:tcW w:w="832"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2025</w:t>
            </w:r>
            <w:r>
              <w:rPr>
                <w:sz w:val="18"/>
                <w:szCs w:val="18"/>
              </w:rPr>
              <w:t>年</w:t>
            </w:r>
            <w:r>
              <w:rPr>
                <w:sz w:val="18"/>
                <w:szCs w:val="18"/>
              </w:rPr>
              <w:t>01</w:t>
            </w:r>
            <w:r>
              <w:rPr>
                <w:sz w:val="18"/>
                <w:szCs w:val="18"/>
              </w:rPr>
              <w:t>月</w:t>
            </w:r>
            <w:r>
              <w:rPr>
                <w:sz w:val="18"/>
                <w:szCs w:val="18"/>
              </w:rPr>
              <w:t>16</w:t>
            </w:r>
            <w:r>
              <w:rPr>
                <w:sz w:val="18"/>
                <w:szCs w:val="18"/>
              </w:rPr>
              <w:t>日</w:t>
            </w:r>
          </w:p>
        </w:tc>
        <w:tc>
          <w:tcPr>
            <w:tcW w:w="3531"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召开第三次会议，审议《关于公司高级管理人员调整暨变更董事会秘书的议案》。</w:t>
            </w:r>
          </w:p>
        </w:tc>
        <w:tc>
          <w:tcPr>
            <w:tcW w:w="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审议通过该议案并提交至董事会审议。</w:t>
            </w:r>
          </w:p>
        </w:tc>
        <w:tc>
          <w:tcPr>
            <w:tcW w:w="682"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无</w:t>
            </w:r>
          </w:p>
        </w:tc>
        <w:tc>
          <w:tcPr>
            <w:tcW w:w="745"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无</w:t>
            </w:r>
          </w:p>
        </w:tc>
      </w:tr>
      <w:tr w:rsidR="00E20B54">
        <w:trPr>
          <w:trHeight w:val="240"/>
        </w:trPr>
        <w:tc>
          <w:tcPr>
            <w:tcW w:w="1205" w:type="dxa"/>
            <w:vMerge/>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第三届董事会提名委员会</w:t>
            </w:r>
          </w:p>
        </w:tc>
        <w:tc>
          <w:tcPr>
            <w:tcW w:w="1008" w:type="dxa"/>
            <w:vMerge/>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石洁芝、曹丽梅、张毅</w:t>
            </w:r>
          </w:p>
        </w:tc>
        <w:tc>
          <w:tcPr>
            <w:tcW w:w="709" w:type="dxa"/>
            <w:vMerge/>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w:t>
            </w:r>
          </w:p>
        </w:tc>
        <w:tc>
          <w:tcPr>
            <w:tcW w:w="832"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2025</w:t>
            </w:r>
            <w:r>
              <w:rPr>
                <w:sz w:val="18"/>
                <w:szCs w:val="18"/>
              </w:rPr>
              <w:t>年</w:t>
            </w:r>
            <w:r>
              <w:rPr>
                <w:sz w:val="18"/>
                <w:szCs w:val="18"/>
              </w:rPr>
              <w:t>08</w:t>
            </w:r>
            <w:r>
              <w:rPr>
                <w:sz w:val="18"/>
                <w:szCs w:val="18"/>
              </w:rPr>
              <w:t>月</w:t>
            </w:r>
            <w:r>
              <w:rPr>
                <w:sz w:val="18"/>
                <w:szCs w:val="18"/>
              </w:rPr>
              <w:t>25</w:t>
            </w:r>
            <w:r>
              <w:rPr>
                <w:sz w:val="18"/>
                <w:szCs w:val="18"/>
              </w:rPr>
              <w:t>日</w:t>
            </w:r>
          </w:p>
        </w:tc>
        <w:tc>
          <w:tcPr>
            <w:tcW w:w="3531"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召开第四次会议，审议如下议案：</w:t>
            </w:r>
          </w:p>
          <w:p w:rsidR="00E20B54" w:rsidRDefault="00733C9E">
            <w:pPr>
              <w:spacing w:line="240" w:lineRule="exact"/>
              <w:rPr>
                <w:sz w:val="18"/>
                <w:szCs w:val="18"/>
              </w:rPr>
            </w:pPr>
            <w:r>
              <w:rPr>
                <w:sz w:val="18"/>
                <w:szCs w:val="18"/>
              </w:rPr>
              <w:t>1.</w:t>
            </w:r>
            <w:r>
              <w:rPr>
                <w:sz w:val="18"/>
                <w:szCs w:val="18"/>
              </w:rPr>
              <w:t>《关于提名第四届董事会非独立董事候选人的议案》</w:t>
            </w:r>
          </w:p>
          <w:p w:rsidR="00E20B54" w:rsidRDefault="00733C9E">
            <w:pPr>
              <w:spacing w:line="240" w:lineRule="exact"/>
              <w:rPr>
                <w:sz w:val="18"/>
                <w:szCs w:val="18"/>
              </w:rPr>
            </w:pPr>
            <w:r>
              <w:rPr>
                <w:sz w:val="18"/>
                <w:szCs w:val="18"/>
              </w:rPr>
              <w:t>2.</w:t>
            </w:r>
            <w:r>
              <w:rPr>
                <w:sz w:val="18"/>
                <w:szCs w:val="18"/>
              </w:rPr>
              <w:t>《关于提名第四届董事会独立董事候选人的议案》</w:t>
            </w:r>
          </w:p>
        </w:tc>
        <w:tc>
          <w:tcPr>
            <w:tcW w:w="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审议通过该议案并提交至董事会审议。</w:t>
            </w:r>
          </w:p>
        </w:tc>
        <w:tc>
          <w:tcPr>
            <w:tcW w:w="682"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无</w:t>
            </w:r>
          </w:p>
        </w:tc>
        <w:tc>
          <w:tcPr>
            <w:tcW w:w="745"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无</w:t>
            </w:r>
          </w:p>
        </w:tc>
      </w:tr>
      <w:tr w:rsidR="00E20B54">
        <w:trPr>
          <w:trHeight w:val="240"/>
        </w:trPr>
        <w:tc>
          <w:tcPr>
            <w:tcW w:w="1205"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第四届董事会提名委员会</w:t>
            </w:r>
          </w:p>
        </w:tc>
        <w:tc>
          <w:tcPr>
            <w:tcW w:w="100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石洁芝、曹丽梅、刘楚境</w:t>
            </w:r>
          </w:p>
        </w:tc>
        <w:tc>
          <w:tcPr>
            <w:tcW w:w="709"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w:t>
            </w:r>
          </w:p>
        </w:tc>
        <w:tc>
          <w:tcPr>
            <w:tcW w:w="832"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2025</w:t>
            </w:r>
            <w:r>
              <w:rPr>
                <w:sz w:val="18"/>
                <w:szCs w:val="18"/>
              </w:rPr>
              <w:t>年</w:t>
            </w:r>
            <w:r>
              <w:rPr>
                <w:sz w:val="18"/>
                <w:szCs w:val="18"/>
              </w:rPr>
              <w:t>09</w:t>
            </w:r>
            <w:r>
              <w:rPr>
                <w:sz w:val="18"/>
                <w:szCs w:val="18"/>
              </w:rPr>
              <w:t>月</w:t>
            </w:r>
            <w:r>
              <w:rPr>
                <w:sz w:val="18"/>
                <w:szCs w:val="18"/>
              </w:rPr>
              <w:t>16</w:t>
            </w:r>
            <w:r>
              <w:rPr>
                <w:sz w:val="18"/>
                <w:szCs w:val="18"/>
              </w:rPr>
              <w:t>日</w:t>
            </w:r>
          </w:p>
        </w:tc>
        <w:tc>
          <w:tcPr>
            <w:tcW w:w="3531"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召开第一次会议，审议《关于聘任公司高级管理人员、审计负责人、证券事务代表的议案》</w:t>
            </w:r>
          </w:p>
        </w:tc>
        <w:tc>
          <w:tcPr>
            <w:tcW w:w="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审议通过该议案并提交至董事会审议。</w:t>
            </w:r>
          </w:p>
        </w:tc>
        <w:tc>
          <w:tcPr>
            <w:tcW w:w="682"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无</w:t>
            </w:r>
          </w:p>
        </w:tc>
        <w:tc>
          <w:tcPr>
            <w:tcW w:w="745"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无</w:t>
            </w:r>
          </w:p>
        </w:tc>
      </w:tr>
      <w:tr w:rsidR="00E20B54">
        <w:trPr>
          <w:trHeight w:val="240"/>
        </w:trPr>
        <w:tc>
          <w:tcPr>
            <w:tcW w:w="1205"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lastRenderedPageBreak/>
              <w:t>第三届董事会薪酬与考核委员会</w:t>
            </w:r>
          </w:p>
        </w:tc>
        <w:tc>
          <w:tcPr>
            <w:tcW w:w="100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石洁芝、曹丽梅、张毅</w:t>
            </w:r>
          </w:p>
        </w:tc>
        <w:tc>
          <w:tcPr>
            <w:tcW w:w="709"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w:t>
            </w:r>
          </w:p>
        </w:tc>
        <w:tc>
          <w:tcPr>
            <w:tcW w:w="832"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2025</w:t>
            </w:r>
            <w:r>
              <w:rPr>
                <w:sz w:val="18"/>
                <w:szCs w:val="18"/>
              </w:rPr>
              <w:t>年</w:t>
            </w:r>
            <w:r>
              <w:rPr>
                <w:sz w:val="18"/>
                <w:szCs w:val="18"/>
              </w:rPr>
              <w:t>04</w:t>
            </w:r>
            <w:r>
              <w:rPr>
                <w:sz w:val="18"/>
                <w:szCs w:val="18"/>
              </w:rPr>
              <w:t>月</w:t>
            </w:r>
            <w:r>
              <w:rPr>
                <w:sz w:val="18"/>
                <w:szCs w:val="18"/>
              </w:rPr>
              <w:t>16</w:t>
            </w:r>
            <w:r>
              <w:rPr>
                <w:sz w:val="18"/>
                <w:szCs w:val="18"/>
              </w:rPr>
              <w:t>日</w:t>
            </w:r>
          </w:p>
        </w:tc>
        <w:tc>
          <w:tcPr>
            <w:tcW w:w="3531"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召开第八次会议，审议如下议案：</w:t>
            </w:r>
          </w:p>
          <w:p w:rsidR="00E20B54" w:rsidRDefault="00733C9E">
            <w:pPr>
              <w:spacing w:line="240" w:lineRule="exact"/>
              <w:rPr>
                <w:sz w:val="18"/>
                <w:szCs w:val="18"/>
              </w:rPr>
            </w:pPr>
            <w:r>
              <w:rPr>
                <w:sz w:val="18"/>
                <w:szCs w:val="18"/>
              </w:rPr>
              <w:t>1.</w:t>
            </w:r>
            <w:r>
              <w:rPr>
                <w:sz w:val="18"/>
                <w:szCs w:val="18"/>
              </w:rPr>
              <w:t>《关于公司董事及高级管理人员</w:t>
            </w:r>
            <w:r>
              <w:rPr>
                <w:sz w:val="18"/>
                <w:szCs w:val="18"/>
              </w:rPr>
              <w:t>2025</w:t>
            </w:r>
            <w:r>
              <w:rPr>
                <w:sz w:val="18"/>
                <w:szCs w:val="18"/>
              </w:rPr>
              <w:t>年度薪酬待遇方案的议案》</w:t>
            </w:r>
          </w:p>
          <w:p w:rsidR="00E20B54" w:rsidRDefault="00733C9E">
            <w:pPr>
              <w:spacing w:line="240" w:lineRule="exact"/>
              <w:rPr>
                <w:sz w:val="18"/>
                <w:szCs w:val="18"/>
              </w:rPr>
            </w:pPr>
            <w:r>
              <w:rPr>
                <w:sz w:val="18"/>
                <w:szCs w:val="18"/>
              </w:rPr>
              <w:t>2.</w:t>
            </w:r>
            <w:r>
              <w:rPr>
                <w:sz w:val="18"/>
                <w:szCs w:val="18"/>
              </w:rPr>
              <w:t>《关于回购注销部分已授予但尚未解除限售的限制性股票的议案》</w:t>
            </w:r>
          </w:p>
          <w:p w:rsidR="00E20B54" w:rsidRDefault="00733C9E">
            <w:pPr>
              <w:spacing w:line="240" w:lineRule="exact"/>
              <w:rPr>
                <w:sz w:val="18"/>
                <w:szCs w:val="18"/>
              </w:rPr>
            </w:pPr>
            <w:r>
              <w:rPr>
                <w:sz w:val="18"/>
                <w:szCs w:val="18"/>
              </w:rPr>
              <w:t>3.</w:t>
            </w:r>
            <w:r>
              <w:rPr>
                <w:sz w:val="18"/>
                <w:szCs w:val="18"/>
              </w:rPr>
              <w:t>《关于作废部分已授予但尚未归属的限制性股票的议案》</w:t>
            </w:r>
          </w:p>
        </w:tc>
        <w:tc>
          <w:tcPr>
            <w:tcW w:w="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审议通过上述议案并提交至董事会审议。</w:t>
            </w:r>
          </w:p>
        </w:tc>
        <w:tc>
          <w:tcPr>
            <w:tcW w:w="682"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无</w:t>
            </w:r>
          </w:p>
        </w:tc>
        <w:tc>
          <w:tcPr>
            <w:tcW w:w="745"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无</w:t>
            </w:r>
          </w:p>
        </w:tc>
      </w:tr>
      <w:tr w:rsidR="00E20B54">
        <w:trPr>
          <w:trHeight w:val="240"/>
        </w:trPr>
        <w:tc>
          <w:tcPr>
            <w:tcW w:w="1205" w:type="dxa"/>
            <w:vMerge w:val="restar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第三届董事会战略委员会</w:t>
            </w:r>
          </w:p>
        </w:tc>
        <w:tc>
          <w:tcPr>
            <w:tcW w:w="1008" w:type="dxa"/>
            <w:vMerge w:val="restar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林明玲、马学沛、蔡浩</w:t>
            </w:r>
          </w:p>
        </w:tc>
        <w:tc>
          <w:tcPr>
            <w:tcW w:w="709" w:type="dxa"/>
            <w:vMerge w:val="restar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w:t>
            </w:r>
          </w:p>
        </w:tc>
        <w:tc>
          <w:tcPr>
            <w:tcW w:w="832"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2025</w:t>
            </w:r>
            <w:r>
              <w:rPr>
                <w:sz w:val="18"/>
                <w:szCs w:val="18"/>
              </w:rPr>
              <w:t>年</w:t>
            </w:r>
            <w:r>
              <w:rPr>
                <w:sz w:val="18"/>
                <w:szCs w:val="18"/>
              </w:rPr>
              <w:t>04</w:t>
            </w:r>
            <w:r>
              <w:rPr>
                <w:sz w:val="18"/>
                <w:szCs w:val="18"/>
              </w:rPr>
              <w:t>月</w:t>
            </w:r>
            <w:r>
              <w:rPr>
                <w:sz w:val="18"/>
                <w:szCs w:val="18"/>
              </w:rPr>
              <w:t>16</w:t>
            </w:r>
            <w:r>
              <w:rPr>
                <w:sz w:val="18"/>
                <w:szCs w:val="18"/>
              </w:rPr>
              <w:t>日</w:t>
            </w:r>
          </w:p>
        </w:tc>
        <w:tc>
          <w:tcPr>
            <w:tcW w:w="3531"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召开第四次会议，审议《关于公司</w:t>
            </w:r>
            <w:r>
              <w:rPr>
                <w:sz w:val="18"/>
                <w:szCs w:val="18"/>
              </w:rPr>
              <w:t>2025</w:t>
            </w:r>
            <w:r>
              <w:rPr>
                <w:sz w:val="18"/>
                <w:szCs w:val="18"/>
              </w:rPr>
              <w:t>年度目标与发展规划的议案》。</w:t>
            </w:r>
          </w:p>
        </w:tc>
        <w:tc>
          <w:tcPr>
            <w:tcW w:w="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审议通过该议案。</w:t>
            </w:r>
          </w:p>
        </w:tc>
        <w:tc>
          <w:tcPr>
            <w:tcW w:w="682"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无</w:t>
            </w:r>
          </w:p>
        </w:tc>
        <w:tc>
          <w:tcPr>
            <w:tcW w:w="745"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无</w:t>
            </w:r>
          </w:p>
        </w:tc>
      </w:tr>
      <w:tr w:rsidR="00E20B54">
        <w:trPr>
          <w:trHeight w:val="240"/>
        </w:trPr>
        <w:tc>
          <w:tcPr>
            <w:tcW w:w="1205" w:type="dxa"/>
            <w:vMerge/>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第三届董事会战略委员会</w:t>
            </w:r>
          </w:p>
        </w:tc>
        <w:tc>
          <w:tcPr>
            <w:tcW w:w="1008" w:type="dxa"/>
            <w:vMerge/>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林明玲、马学沛、蔡浩</w:t>
            </w:r>
          </w:p>
        </w:tc>
        <w:tc>
          <w:tcPr>
            <w:tcW w:w="709" w:type="dxa"/>
            <w:vMerge/>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w:t>
            </w:r>
          </w:p>
        </w:tc>
        <w:tc>
          <w:tcPr>
            <w:tcW w:w="832"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2025</w:t>
            </w:r>
            <w:r>
              <w:rPr>
                <w:sz w:val="18"/>
                <w:szCs w:val="18"/>
              </w:rPr>
              <w:t>年</w:t>
            </w:r>
            <w:r>
              <w:rPr>
                <w:sz w:val="18"/>
                <w:szCs w:val="18"/>
              </w:rPr>
              <w:t>06</w:t>
            </w:r>
            <w:r>
              <w:rPr>
                <w:sz w:val="18"/>
                <w:szCs w:val="18"/>
              </w:rPr>
              <w:t>月</w:t>
            </w:r>
            <w:r>
              <w:rPr>
                <w:sz w:val="18"/>
                <w:szCs w:val="18"/>
              </w:rPr>
              <w:t>22</w:t>
            </w:r>
            <w:r>
              <w:rPr>
                <w:sz w:val="18"/>
                <w:szCs w:val="18"/>
              </w:rPr>
              <w:t>日</w:t>
            </w:r>
          </w:p>
        </w:tc>
        <w:tc>
          <w:tcPr>
            <w:tcW w:w="3531"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召开第四次会议，审议如下议案：</w:t>
            </w:r>
          </w:p>
          <w:p w:rsidR="00E20B54" w:rsidRDefault="00733C9E">
            <w:pPr>
              <w:spacing w:line="240" w:lineRule="exact"/>
              <w:rPr>
                <w:sz w:val="18"/>
                <w:szCs w:val="18"/>
              </w:rPr>
            </w:pPr>
            <w:r>
              <w:rPr>
                <w:sz w:val="18"/>
                <w:szCs w:val="18"/>
              </w:rPr>
              <w:t>1.</w:t>
            </w:r>
            <w:r>
              <w:rPr>
                <w:sz w:val="18"/>
                <w:szCs w:val="18"/>
              </w:rPr>
              <w:t>《关于公司符合发行股份及支付现金购买资产并募集配套资金暨关联交易相关法律法规规定条件的议案》</w:t>
            </w:r>
          </w:p>
          <w:p w:rsidR="00E20B54" w:rsidRDefault="00733C9E">
            <w:pPr>
              <w:spacing w:line="240" w:lineRule="exact"/>
              <w:rPr>
                <w:sz w:val="18"/>
                <w:szCs w:val="18"/>
              </w:rPr>
            </w:pPr>
            <w:r>
              <w:rPr>
                <w:sz w:val="18"/>
                <w:szCs w:val="18"/>
              </w:rPr>
              <w:t>2.</w:t>
            </w:r>
            <w:r>
              <w:rPr>
                <w:sz w:val="18"/>
                <w:szCs w:val="18"/>
              </w:rPr>
              <w:t>《关于公司发行股份及支付现金购买资产并募集配套资金暨关联交易的议案》</w:t>
            </w:r>
          </w:p>
          <w:p w:rsidR="00E20B54" w:rsidRDefault="00733C9E">
            <w:pPr>
              <w:spacing w:line="240" w:lineRule="exact"/>
              <w:rPr>
                <w:sz w:val="18"/>
                <w:szCs w:val="18"/>
              </w:rPr>
            </w:pPr>
            <w:r>
              <w:rPr>
                <w:sz w:val="18"/>
                <w:szCs w:val="18"/>
              </w:rPr>
              <w:t>3.</w:t>
            </w:r>
            <w:r>
              <w:rPr>
                <w:sz w:val="18"/>
                <w:szCs w:val="18"/>
              </w:rPr>
              <w:t>《关于</w:t>
            </w:r>
            <w:r>
              <w:rPr>
                <w:sz w:val="18"/>
                <w:szCs w:val="18"/>
              </w:rPr>
              <w:t>&lt;</w:t>
            </w:r>
            <w:r>
              <w:rPr>
                <w:sz w:val="18"/>
                <w:szCs w:val="18"/>
              </w:rPr>
              <w:t>广东天亿马信息产业股份有限公司发行股份及支付现金购买资产并募集配套资金暨关联交易预案</w:t>
            </w:r>
            <w:r>
              <w:rPr>
                <w:sz w:val="18"/>
                <w:szCs w:val="18"/>
              </w:rPr>
              <w:t>&gt;</w:t>
            </w:r>
            <w:r>
              <w:rPr>
                <w:sz w:val="18"/>
                <w:szCs w:val="18"/>
              </w:rPr>
              <w:t>及其摘要的议案》</w:t>
            </w:r>
          </w:p>
          <w:p w:rsidR="00E20B54" w:rsidRDefault="00733C9E">
            <w:pPr>
              <w:spacing w:line="240" w:lineRule="exact"/>
              <w:rPr>
                <w:sz w:val="18"/>
                <w:szCs w:val="18"/>
              </w:rPr>
            </w:pPr>
            <w:r>
              <w:rPr>
                <w:sz w:val="18"/>
                <w:szCs w:val="18"/>
              </w:rPr>
              <w:t>4.</w:t>
            </w:r>
            <w:r>
              <w:rPr>
                <w:sz w:val="18"/>
                <w:szCs w:val="18"/>
              </w:rPr>
              <w:t>《关于本次交易预计构成重大资产重组但不构成重组上市的议案》</w:t>
            </w:r>
          </w:p>
          <w:p w:rsidR="00E20B54" w:rsidRDefault="00733C9E">
            <w:pPr>
              <w:spacing w:line="240" w:lineRule="exact"/>
              <w:rPr>
                <w:sz w:val="18"/>
                <w:szCs w:val="18"/>
              </w:rPr>
            </w:pPr>
            <w:r>
              <w:rPr>
                <w:sz w:val="18"/>
                <w:szCs w:val="18"/>
              </w:rPr>
              <w:t>5.</w:t>
            </w:r>
            <w:r>
              <w:rPr>
                <w:sz w:val="18"/>
                <w:szCs w:val="18"/>
              </w:rPr>
              <w:t>《关于本次交易预计构成关联交易的议案》</w:t>
            </w:r>
          </w:p>
          <w:p w:rsidR="00E20B54" w:rsidRDefault="00733C9E">
            <w:pPr>
              <w:spacing w:line="240" w:lineRule="exact"/>
              <w:rPr>
                <w:sz w:val="18"/>
                <w:szCs w:val="18"/>
              </w:rPr>
            </w:pPr>
            <w:r>
              <w:rPr>
                <w:sz w:val="18"/>
                <w:szCs w:val="18"/>
              </w:rPr>
              <w:t>6.</w:t>
            </w:r>
            <w:r>
              <w:rPr>
                <w:sz w:val="18"/>
                <w:szCs w:val="18"/>
              </w:rPr>
              <w:t>《关于公司与交易对方签署附生效条件的交易文件的议案》</w:t>
            </w:r>
          </w:p>
          <w:p w:rsidR="00E20B54" w:rsidRDefault="00733C9E">
            <w:pPr>
              <w:spacing w:line="240" w:lineRule="exact"/>
              <w:rPr>
                <w:sz w:val="18"/>
                <w:szCs w:val="18"/>
              </w:rPr>
            </w:pPr>
            <w:r>
              <w:rPr>
                <w:sz w:val="18"/>
                <w:szCs w:val="18"/>
              </w:rPr>
              <w:t>7.</w:t>
            </w:r>
            <w:r>
              <w:rPr>
                <w:sz w:val="18"/>
                <w:szCs w:val="18"/>
              </w:rPr>
              <w:t>《关于本次交易符合</w:t>
            </w:r>
            <w:r>
              <w:rPr>
                <w:sz w:val="18"/>
                <w:szCs w:val="18"/>
              </w:rPr>
              <w:t>&lt;</w:t>
            </w:r>
            <w:r>
              <w:rPr>
                <w:sz w:val="18"/>
                <w:szCs w:val="18"/>
              </w:rPr>
              <w:t>上市公司重大资产重组管理办法</w:t>
            </w:r>
            <w:r>
              <w:rPr>
                <w:sz w:val="18"/>
                <w:szCs w:val="18"/>
              </w:rPr>
              <w:t>&gt;</w:t>
            </w:r>
            <w:r>
              <w:rPr>
                <w:sz w:val="18"/>
                <w:szCs w:val="18"/>
              </w:rPr>
              <w:t>第十一条、第四十三条和第四十四条规定的议案》</w:t>
            </w:r>
          </w:p>
          <w:p w:rsidR="00E20B54" w:rsidRDefault="00733C9E">
            <w:pPr>
              <w:spacing w:line="240" w:lineRule="exact"/>
              <w:rPr>
                <w:sz w:val="18"/>
                <w:szCs w:val="18"/>
              </w:rPr>
            </w:pPr>
            <w:r>
              <w:rPr>
                <w:sz w:val="18"/>
                <w:szCs w:val="18"/>
              </w:rPr>
              <w:t>8.</w:t>
            </w:r>
            <w:r>
              <w:rPr>
                <w:sz w:val="18"/>
                <w:szCs w:val="18"/>
              </w:rPr>
              <w:t>《关于本次交易符合</w:t>
            </w:r>
            <w:r>
              <w:rPr>
                <w:sz w:val="18"/>
                <w:szCs w:val="18"/>
              </w:rPr>
              <w:t>&lt;</w:t>
            </w:r>
            <w:r>
              <w:rPr>
                <w:sz w:val="18"/>
                <w:szCs w:val="18"/>
              </w:rPr>
              <w:t>上市公司证券发行注册管理办法</w:t>
            </w:r>
            <w:r>
              <w:rPr>
                <w:sz w:val="18"/>
                <w:szCs w:val="18"/>
              </w:rPr>
              <w:t>&gt;</w:t>
            </w:r>
            <w:r>
              <w:rPr>
                <w:sz w:val="18"/>
                <w:szCs w:val="18"/>
              </w:rPr>
              <w:t>第十一条规定的议案》</w:t>
            </w:r>
          </w:p>
          <w:p w:rsidR="00E20B54" w:rsidRDefault="00733C9E">
            <w:pPr>
              <w:spacing w:line="240" w:lineRule="exact"/>
              <w:rPr>
                <w:sz w:val="18"/>
                <w:szCs w:val="18"/>
              </w:rPr>
            </w:pPr>
            <w:r>
              <w:rPr>
                <w:sz w:val="18"/>
                <w:szCs w:val="18"/>
              </w:rPr>
              <w:t>9.</w:t>
            </w:r>
            <w:r>
              <w:rPr>
                <w:sz w:val="18"/>
                <w:szCs w:val="18"/>
              </w:rPr>
              <w:t>《关于本次交易符合</w:t>
            </w:r>
            <w:r>
              <w:rPr>
                <w:sz w:val="18"/>
                <w:szCs w:val="18"/>
              </w:rPr>
              <w:t>&lt;</w:t>
            </w:r>
            <w:r>
              <w:rPr>
                <w:sz w:val="18"/>
                <w:szCs w:val="18"/>
              </w:rPr>
              <w:t>上市公司监管指引第</w:t>
            </w:r>
            <w:r>
              <w:rPr>
                <w:sz w:val="18"/>
                <w:szCs w:val="18"/>
              </w:rPr>
              <w:t xml:space="preserve"> 9 </w:t>
            </w:r>
            <w:r>
              <w:rPr>
                <w:sz w:val="18"/>
                <w:szCs w:val="18"/>
              </w:rPr>
              <w:t>号</w:t>
            </w:r>
            <w:r>
              <w:rPr>
                <w:sz w:val="18"/>
                <w:szCs w:val="18"/>
              </w:rPr>
              <w:t>——</w:t>
            </w:r>
            <w:r>
              <w:rPr>
                <w:sz w:val="18"/>
                <w:szCs w:val="18"/>
              </w:rPr>
              <w:t>上市公司筹划和实施重大资产重组的监管要求</w:t>
            </w:r>
            <w:r>
              <w:rPr>
                <w:sz w:val="18"/>
                <w:szCs w:val="18"/>
              </w:rPr>
              <w:t>&gt;</w:t>
            </w:r>
            <w:r>
              <w:rPr>
                <w:sz w:val="18"/>
                <w:szCs w:val="18"/>
              </w:rPr>
              <w:t>第四条规定的议案》</w:t>
            </w:r>
          </w:p>
          <w:p w:rsidR="00E20B54" w:rsidRDefault="00733C9E">
            <w:pPr>
              <w:spacing w:line="240" w:lineRule="exact"/>
              <w:rPr>
                <w:sz w:val="18"/>
                <w:szCs w:val="18"/>
              </w:rPr>
            </w:pPr>
            <w:r>
              <w:rPr>
                <w:sz w:val="18"/>
                <w:szCs w:val="18"/>
              </w:rPr>
              <w:t>10.</w:t>
            </w:r>
            <w:r>
              <w:rPr>
                <w:sz w:val="18"/>
                <w:szCs w:val="18"/>
              </w:rPr>
              <w:t>《关于本次交易符合</w:t>
            </w:r>
            <w:r>
              <w:rPr>
                <w:sz w:val="18"/>
                <w:szCs w:val="18"/>
              </w:rPr>
              <w:t>&lt;</w:t>
            </w:r>
            <w:r>
              <w:rPr>
                <w:sz w:val="18"/>
                <w:szCs w:val="18"/>
              </w:rPr>
              <w:t>创业板上市公司持续监管办法（试行）</w:t>
            </w:r>
            <w:r>
              <w:rPr>
                <w:sz w:val="18"/>
                <w:szCs w:val="18"/>
              </w:rPr>
              <w:t>&gt;</w:t>
            </w:r>
            <w:r>
              <w:rPr>
                <w:sz w:val="18"/>
                <w:szCs w:val="18"/>
              </w:rPr>
              <w:t>第十八条、第二十一条以及</w:t>
            </w:r>
            <w:r>
              <w:rPr>
                <w:sz w:val="18"/>
                <w:szCs w:val="18"/>
              </w:rPr>
              <w:t>&lt;</w:t>
            </w:r>
            <w:r>
              <w:rPr>
                <w:sz w:val="18"/>
                <w:szCs w:val="18"/>
              </w:rPr>
              <w:t>深圳证券交易所上市公司重大资产重组审核规则</w:t>
            </w:r>
            <w:r>
              <w:rPr>
                <w:sz w:val="18"/>
                <w:szCs w:val="18"/>
              </w:rPr>
              <w:t>&gt;</w:t>
            </w:r>
            <w:r>
              <w:rPr>
                <w:sz w:val="18"/>
                <w:szCs w:val="18"/>
              </w:rPr>
              <w:t>第八条规定的议案》</w:t>
            </w:r>
          </w:p>
          <w:p w:rsidR="00E20B54" w:rsidRDefault="00733C9E">
            <w:pPr>
              <w:spacing w:line="240" w:lineRule="exact"/>
              <w:rPr>
                <w:sz w:val="18"/>
                <w:szCs w:val="18"/>
              </w:rPr>
            </w:pPr>
            <w:r>
              <w:rPr>
                <w:sz w:val="18"/>
                <w:szCs w:val="18"/>
              </w:rPr>
              <w:t>11.</w:t>
            </w:r>
            <w:r>
              <w:rPr>
                <w:sz w:val="18"/>
                <w:szCs w:val="18"/>
              </w:rPr>
              <w:t>《关于本次交易相关主体不存在</w:t>
            </w:r>
            <w:r>
              <w:rPr>
                <w:sz w:val="18"/>
                <w:szCs w:val="18"/>
              </w:rPr>
              <w:t>&lt;</w:t>
            </w:r>
            <w:r>
              <w:rPr>
                <w:sz w:val="18"/>
                <w:szCs w:val="18"/>
              </w:rPr>
              <w:t>上市公司监管指引第</w:t>
            </w:r>
            <w:r>
              <w:rPr>
                <w:sz w:val="18"/>
                <w:szCs w:val="18"/>
              </w:rPr>
              <w:t xml:space="preserve"> 7 </w:t>
            </w:r>
            <w:r>
              <w:rPr>
                <w:sz w:val="18"/>
                <w:szCs w:val="18"/>
              </w:rPr>
              <w:t>号</w:t>
            </w:r>
            <w:r>
              <w:rPr>
                <w:sz w:val="18"/>
                <w:szCs w:val="18"/>
              </w:rPr>
              <w:t>——</w:t>
            </w:r>
            <w:r>
              <w:rPr>
                <w:sz w:val="18"/>
                <w:szCs w:val="18"/>
              </w:rPr>
              <w:t>上市公司重大资产重组相关股票异常交易监管</w:t>
            </w:r>
            <w:r>
              <w:rPr>
                <w:sz w:val="18"/>
                <w:szCs w:val="18"/>
              </w:rPr>
              <w:t>&gt;</w:t>
            </w:r>
            <w:r>
              <w:rPr>
                <w:sz w:val="18"/>
                <w:szCs w:val="18"/>
              </w:rPr>
              <w:t>第十二条及</w:t>
            </w:r>
            <w:r>
              <w:rPr>
                <w:sz w:val="18"/>
                <w:szCs w:val="18"/>
              </w:rPr>
              <w:t>&lt;</w:t>
            </w:r>
            <w:r>
              <w:rPr>
                <w:sz w:val="18"/>
                <w:szCs w:val="18"/>
              </w:rPr>
              <w:t>深圳证券交易所上市公司自律监管指引第</w:t>
            </w:r>
            <w:r>
              <w:rPr>
                <w:sz w:val="18"/>
                <w:szCs w:val="18"/>
              </w:rPr>
              <w:t xml:space="preserve"> 8 </w:t>
            </w:r>
            <w:r>
              <w:rPr>
                <w:sz w:val="18"/>
                <w:szCs w:val="18"/>
              </w:rPr>
              <w:t>号</w:t>
            </w:r>
            <w:r>
              <w:rPr>
                <w:sz w:val="18"/>
                <w:szCs w:val="18"/>
              </w:rPr>
              <w:t>——</w:t>
            </w:r>
            <w:r>
              <w:rPr>
                <w:sz w:val="18"/>
                <w:szCs w:val="18"/>
              </w:rPr>
              <w:t>重大资产重组</w:t>
            </w:r>
            <w:r>
              <w:rPr>
                <w:sz w:val="18"/>
                <w:szCs w:val="18"/>
              </w:rPr>
              <w:t>&gt;</w:t>
            </w:r>
            <w:r>
              <w:rPr>
                <w:sz w:val="18"/>
                <w:szCs w:val="18"/>
              </w:rPr>
              <w:t>第三十条规定情形的议案》</w:t>
            </w:r>
          </w:p>
          <w:p w:rsidR="00E20B54" w:rsidRDefault="00733C9E">
            <w:pPr>
              <w:spacing w:line="240" w:lineRule="exact"/>
              <w:rPr>
                <w:sz w:val="18"/>
                <w:szCs w:val="18"/>
              </w:rPr>
            </w:pPr>
            <w:r>
              <w:rPr>
                <w:sz w:val="18"/>
                <w:szCs w:val="18"/>
              </w:rPr>
              <w:t>12.</w:t>
            </w:r>
            <w:r>
              <w:rPr>
                <w:sz w:val="18"/>
                <w:szCs w:val="18"/>
              </w:rPr>
              <w:t>《关于本次交易履行法定程序的完备性、合规性及提交法律文件的有效性的说明的议案》</w:t>
            </w:r>
          </w:p>
          <w:p w:rsidR="00E20B54" w:rsidRDefault="00733C9E">
            <w:pPr>
              <w:spacing w:line="240" w:lineRule="exact"/>
              <w:rPr>
                <w:sz w:val="18"/>
                <w:szCs w:val="18"/>
              </w:rPr>
            </w:pPr>
            <w:r>
              <w:rPr>
                <w:sz w:val="18"/>
                <w:szCs w:val="18"/>
              </w:rPr>
              <w:t>13.</w:t>
            </w:r>
            <w:r>
              <w:rPr>
                <w:sz w:val="18"/>
                <w:szCs w:val="18"/>
              </w:rPr>
              <w:t>《关于本次交易前十二个月内上市公司购买、出售资产情况的议案》</w:t>
            </w:r>
          </w:p>
          <w:p w:rsidR="00E20B54" w:rsidRDefault="00733C9E">
            <w:pPr>
              <w:spacing w:line="240" w:lineRule="exact"/>
              <w:rPr>
                <w:sz w:val="18"/>
                <w:szCs w:val="18"/>
              </w:rPr>
            </w:pPr>
            <w:r>
              <w:rPr>
                <w:sz w:val="18"/>
                <w:szCs w:val="18"/>
              </w:rPr>
              <w:t>14.</w:t>
            </w:r>
            <w:r>
              <w:rPr>
                <w:sz w:val="18"/>
                <w:szCs w:val="18"/>
              </w:rPr>
              <w:t>《关于本次交易采取的保密措施及保密</w:t>
            </w:r>
            <w:r>
              <w:rPr>
                <w:sz w:val="18"/>
                <w:szCs w:val="18"/>
              </w:rPr>
              <w:lastRenderedPageBreak/>
              <w:t>制度的议案》</w:t>
            </w:r>
          </w:p>
          <w:p w:rsidR="00E20B54" w:rsidRDefault="00733C9E">
            <w:pPr>
              <w:spacing w:line="240" w:lineRule="exact"/>
              <w:rPr>
                <w:sz w:val="18"/>
                <w:szCs w:val="18"/>
              </w:rPr>
            </w:pPr>
            <w:r>
              <w:rPr>
                <w:sz w:val="18"/>
                <w:szCs w:val="18"/>
              </w:rPr>
              <w:t>15.</w:t>
            </w:r>
            <w:r>
              <w:rPr>
                <w:sz w:val="18"/>
                <w:szCs w:val="18"/>
              </w:rPr>
              <w:t>《关于公司股票价格在本次交易首次公告日前</w:t>
            </w:r>
            <w:r>
              <w:rPr>
                <w:sz w:val="18"/>
                <w:szCs w:val="18"/>
              </w:rPr>
              <w:t>20</w:t>
            </w:r>
            <w:r>
              <w:rPr>
                <w:sz w:val="18"/>
                <w:szCs w:val="18"/>
              </w:rPr>
              <w:t>个交易日是否异常波动的议案》</w:t>
            </w:r>
          </w:p>
          <w:p w:rsidR="00E20B54" w:rsidRDefault="00733C9E">
            <w:pPr>
              <w:spacing w:line="240" w:lineRule="exact"/>
              <w:rPr>
                <w:sz w:val="18"/>
                <w:szCs w:val="18"/>
              </w:rPr>
            </w:pPr>
            <w:r>
              <w:rPr>
                <w:sz w:val="18"/>
                <w:szCs w:val="18"/>
              </w:rPr>
              <w:t>16.</w:t>
            </w:r>
            <w:r>
              <w:rPr>
                <w:sz w:val="18"/>
                <w:szCs w:val="18"/>
              </w:rPr>
              <w:t>《关于提请股东会授权董事会办理本次发行股份及支付现金购买资产并募集配套资金相关事宜的议案》。</w:t>
            </w:r>
          </w:p>
        </w:tc>
        <w:tc>
          <w:tcPr>
            <w:tcW w:w="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lastRenderedPageBreak/>
              <w:t xml:space="preserve"> </w:t>
            </w:r>
            <w:r>
              <w:rPr>
                <w:sz w:val="18"/>
                <w:szCs w:val="18"/>
              </w:rPr>
              <w:t>审议通过上述议案并提交至董事会审议。</w:t>
            </w:r>
          </w:p>
        </w:tc>
        <w:tc>
          <w:tcPr>
            <w:tcW w:w="682"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无</w:t>
            </w:r>
          </w:p>
        </w:tc>
        <w:tc>
          <w:tcPr>
            <w:tcW w:w="745"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无</w:t>
            </w:r>
          </w:p>
        </w:tc>
      </w:tr>
      <w:tr w:rsidR="00E20B54">
        <w:trPr>
          <w:trHeight w:val="240"/>
        </w:trPr>
        <w:tc>
          <w:tcPr>
            <w:tcW w:w="1205"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lastRenderedPageBreak/>
              <w:t>第四届董事会战略委员会</w:t>
            </w:r>
          </w:p>
        </w:tc>
        <w:tc>
          <w:tcPr>
            <w:tcW w:w="100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林明玲、马学沛、滕丽秋</w:t>
            </w:r>
          </w:p>
        </w:tc>
        <w:tc>
          <w:tcPr>
            <w:tcW w:w="709"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w:t>
            </w:r>
          </w:p>
        </w:tc>
        <w:tc>
          <w:tcPr>
            <w:tcW w:w="832"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2025</w:t>
            </w:r>
            <w:r>
              <w:rPr>
                <w:sz w:val="18"/>
                <w:szCs w:val="18"/>
              </w:rPr>
              <w:t>年</w:t>
            </w:r>
            <w:r>
              <w:rPr>
                <w:sz w:val="18"/>
                <w:szCs w:val="18"/>
              </w:rPr>
              <w:t>11</w:t>
            </w:r>
            <w:r>
              <w:rPr>
                <w:sz w:val="18"/>
                <w:szCs w:val="18"/>
              </w:rPr>
              <w:t>月</w:t>
            </w:r>
            <w:r>
              <w:rPr>
                <w:sz w:val="18"/>
                <w:szCs w:val="18"/>
              </w:rPr>
              <w:t>18</w:t>
            </w:r>
            <w:r>
              <w:rPr>
                <w:sz w:val="18"/>
                <w:szCs w:val="18"/>
              </w:rPr>
              <w:t>日</w:t>
            </w:r>
          </w:p>
        </w:tc>
        <w:tc>
          <w:tcPr>
            <w:tcW w:w="3531"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召开第一次会议，审议如下议案：</w:t>
            </w:r>
          </w:p>
          <w:p w:rsidR="00E20B54" w:rsidRDefault="00733C9E">
            <w:pPr>
              <w:spacing w:line="240" w:lineRule="exact"/>
              <w:rPr>
                <w:sz w:val="18"/>
                <w:szCs w:val="18"/>
              </w:rPr>
            </w:pPr>
            <w:r>
              <w:rPr>
                <w:sz w:val="18"/>
                <w:szCs w:val="18"/>
              </w:rPr>
              <w:t>1.</w:t>
            </w:r>
            <w:r>
              <w:rPr>
                <w:sz w:val="18"/>
                <w:szCs w:val="18"/>
              </w:rPr>
              <w:t>《关于公司符合发行股份及支付现金购买资产并募集配套资金暨关联交易相关法律法规规定条件的议案》</w:t>
            </w:r>
          </w:p>
          <w:p w:rsidR="00E20B54" w:rsidRDefault="00733C9E">
            <w:pPr>
              <w:spacing w:line="240" w:lineRule="exact"/>
              <w:rPr>
                <w:sz w:val="18"/>
                <w:szCs w:val="18"/>
              </w:rPr>
            </w:pPr>
            <w:r>
              <w:rPr>
                <w:sz w:val="18"/>
                <w:szCs w:val="18"/>
              </w:rPr>
              <w:t>2.</w:t>
            </w:r>
            <w:r>
              <w:rPr>
                <w:sz w:val="18"/>
                <w:szCs w:val="18"/>
              </w:rPr>
              <w:t>《关于公司发行股份及支付现金购买资产并募集配套资金暨关联交易方案的议案》</w:t>
            </w:r>
          </w:p>
          <w:p w:rsidR="00E20B54" w:rsidRDefault="00733C9E">
            <w:pPr>
              <w:spacing w:line="240" w:lineRule="exact"/>
              <w:rPr>
                <w:sz w:val="18"/>
                <w:szCs w:val="18"/>
              </w:rPr>
            </w:pPr>
            <w:r>
              <w:rPr>
                <w:sz w:val="18"/>
                <w:szCs w:val="18"/>
              </w:rPr>
              <w:t>3.</w:t>
            </w:r>
            <w:r>
              <w:rPr>
                <w:sz w:val="18"/>
                <w:szCs w:val="18"/>
              </w:rPr>
              <w:t>《关于</w:t>
            </w:r>
            <w:r>
              <w:rPr>
                <w:sz w:val="18"/>
                <w:szCs w:val="18"/>
              </w:rPr>
              <w:t>&lt;</w:t>
            </w:r>
            <w:r>
              <w:rPr>
                <w:sz w:val="18"/>
                <w:szCs w:val="18"/>
              </w:rPr>
              <w:t>广东天亿马信息产业股份有限公司发行股份及支付现金购买资产并募集配套资金暨关联交易报告书（草案）</w:t>
            </w:r>
            <w:r>
              <w:rPr>
                <w:sz w:val="18"/>
                <w:szCs w:val="18"/>
              </w:rPr>
              <w:t>&gt;</w:t>
            </w:r>
            <w:r>
              <w:rPr>
                <w:sz w:val="18"/>
                <w:szCs w:val="18"/>
              </w:rPr>
              <w:t>及其摘要的议案》</w:t>
            </w:r>
          </w:p>
          <w:p w:rsidR="00E20B54" w:rsidRDefault="00733C9E">
            <w:pPr>
              <w:spacing w:line="240" w:lineRule="exact"/>
              <w:rPr>
                <w:sz w:val="18"/>
                <w:szCs w:val="18"/>
              </w:rPr>
            </w:pPr>
            <w:r>
              <w:rPr>
                <w:sz w:val="18"/>
                <w:szCs w:val="18"/>
              </w:rPr>
              <w:t>4.</w:t>
            </w:r>
            <w:r>
              <w:rPr>
                <w:sz w:val="18"/>
                <w:szCs w:val="18"/>
              </w:rPr>
              <w:t>《关于签署附条件生效的</w:t>
            </w:r>
            <w:r>
              <w:rPr>
                <w:sz w:val="18"/>
                <w:szCs w:val="18"/>
              </w:rPr>
              <w:t>&lt;</w:t>
            </w:r>
            <w:r>
              <w:rPr>
                <w:sz w:val="18"/>
                <w:szCs w:val="18"/>
              </w:rPr>
              <w:t>发行股份及支付现金购买资产协议之补充协议</w:t>
            </w:r>
            <w:r>
              <w:rPr>
                <w:sz w:val="18"/>
                <w:szCs w:val="18"/>
              </w:rPr>
              <w:t>&gt;&lt;</w:t>
            </w:r>
            <w:r>
              <w:rPr>
                <w:sz w:val="18"/>
                <w:szCs w:val="18"/>
              </w:rPr>
              <w:t>业绩承诺补偿协议书</w:t>
            </w:r>
            <w:r>
              <w:rPr>
                <w:sz w:val="18"/>
                <w:szCs w:val="18"/>
              </w:rPr>
              <w:t>&gt;</w:t>
            </w:r>
            <w:r>
              <w:rPr>
                <w:sz w:val="18"/>
                <w:szCs w:val="18"/>
              </w:rPr>
              <w:t>及</w:t>
            </w:r>
            <w:r>
              <w:rPr>
                <w:sz w:val="18"/>
                <w:szCs w:val="18"/>
              </w:rPr>
              <w:t>&lt;</w:t>
            </w:r>
            <w:r>
              <w:rPr>
                <w:sz w:val="18"/>
                <w:szCs w:val="18"/>
              </w:rPr>
              <w:t>附生效条件的股份认购协议</w:t>
            </w:r>
            <w:r>
              <w:rPr>
                <w:sz w:val="18"/>
                <w:szCs w:val="18"/>
              </w:rPr>
              <w:t>&gt;</w:t>
            </w:r>
            <w:r>
              <w:rPr>
                <w:sz w:val="18"/>
                <w:szCs w:val="18"/>
              </w:rPr>
              <w:t>的议案》</w:t>
            </w:r>
          </w:p>
          <w:p w:rsidR="00E20B54" w:rsidRDefault="00733C9E">
            <w:pPr>
              <w:spacing w:line="240" w:lineRule="exact"/>
              <w:rPr>
                <w:sz w:val="18"/>
                <w:szCs w:val="18"/>
              </w:rPr>
            </w:pPr>
            <w:r>
              <w:rPr>
                <w:sz w:val="18"/>
                <w:szCs w:val="18"/>
              </w:rPr>
              <w:t>5.</w:t>
            </w:r>
            <w:r>
              <w:rPr>
                <w:sz w:val="18"/>
                <w:szCs w:val="18"/>
              </w:rPr>
              <w:t>《关于本次交易构成关联交易情况的议案》</w:t>
            </w:r>
          </w:p>
          <w:p w:rsidR="00E20B54" w:rsidRDefault="00733C9E">
            <w:pPr>
              <w:spacing w:line="240" w:lineRule="exact"/>
              <w:rPr>
                <w:sz w:val="18"/>
                <w:szCs w:val="18"/>
              </w:rPr>
            </w:pPr>
            <w:r>
              <w:rPr>
                <w:sz w:val="18"/>
                <w:szCs w:val="18"/>
              </w:rPr>
              <w:t>6.</w:t>
            </w:r>
            <w:r>
              <w:rPr>
                <w:sz w:val="18"/>
                <w:szCs w:val="18"/>
              </w:rPr>
              <w:t>《关于本次交易符合</w:t>
            </w:r>
            <w:r>
              <w:rPr>
                <w:sz w:val="18"/>
                <w:szCs w:val="18"/>
              </w:rPr>
              <w:t>&lt;</w:t>
            </w:r>
            <w:r>
              <w:rPr>
                <w:sz w:val="18"/>
                <w:szCs w:val="18"/>
              </w:rPr>
              <w:t>上市公司重大资产重组管理办法</w:t>
            </w:r>
            <w:r>
              <w:rPr>
                <w:sz w:val="18"/>
                <w:szCs w:val="18"/>
              </w:rPr>
              <w:t>&gt;</w:t>
            </w:r>
            <w:r>
              <w:rPr>
                <w:sz w:val="18"/>
                <w:szCs w:val="18"/>
              </w:rPr>
              <w:t>第十一条、第四十三条和第四十四条规定的议案》</w:t>
            </w:r>
          </w:p>
          <w:p w:rsidR="00E20B54" w:rsidRDefault="00733C9E">
            <w:pPr>
              <w:spacing w:line="240" w:lineRule="exact"/>
              <w:rPr>
                <w:sz w:val="18"/>
                <w:szCs w:val="18"/>
              </w:rPr>
            </w:pPr>
            <w:r>
              <w:rPr>
                <w:sz w:val="18"/>
                <w:szCs w:val="18"/>
              </w:rPr>
              <w:t>7.</w:t>
            </w:r>
            <w:r>
              <w:rPr>
                <w:sz w:val="18"/>
                <w:szCs w:val="18"/>
              </w:rPr>
              <w:t>《关于本次交易符合</w:t>
            </w:r>
            <w:r>
              <w:rPr>
                <w:sz w:val="18"/>
                <w:szCs w:val="18"/>
              </w:rPr>
              <w:t>&lt;</w:t>
            </w:r>
            <w:r>
              <w:rPr>
                <w:sz w:val="18"/>
                <w:szCs w:val="18"/>
              </w:rPr>
              <w:t>上市公司监管指引第</w:t>
            </w:r>
            <w:r>
              <w:rPr>
                <w:sz w:val="18"/>
                <w:szCs w:val="18"/>
              </w:rPr>
              <w:t>9</w:t>
            </w:r>
            <w:r>
              <w:rPr>
                <w:sz w:val="18"/>
                <w:szCs w:val="18"/>
              </w:rPr>
              <w:t>号</w:t>
            </w:r>
            <w:r>
              <w:rPr>
                <w:sz w:val="18"/>
                <w:szCs w:val="18"/>
              </w:rPr>
              <w:t>——</w:t>
            </w:r>
            <w:r>
              <w:rPr>
                <w:sz w:val="18"/>
                <w:szCs w:val="18"/>
              </w:rPr>
              <w:t>上市公司筹划和实施重大资产重组的监管要求</w:t>
            </w:r>
            <w:r>
              <w:rPr>
                <w:sz w:val="18"/>
                <w:szCs w:val="18"/>
              </w:rPr>
              <w:t>&gt;</w:t>
            </w:r>
            <w:r>
              <w:rPr>
                <w:sz w:val="18"/>
                <w:szCs w:val="18"/>
              </w:rPr>
              <w:t>第四条规定的议案》</w:t>
            </w:r>
          </w:p>
          <w:p w:rsidR="00E20B54" w:rsidRDefault="00733C9E">
            <w:pPr>
              <w:spacing w:line="240" w:lineRule="exact"/>
              <w:rPr>
                <w:sz w:val="18"/>
                <w:szCs w:val="18"/>
              </w:rPr>
            </w:pPr>
            <w:r>
              <w:rPr>
                <w:sz w:val="18"/>
                <w:szCs w:val="18"/>
              </w:rPr>
              <w:t>8.</w:t>
            </w:r>
            <w:r>
              <w:rPr>
                <w:sz w:val="18"/>
                <w:szCs w:val="18"/>
              </w:rPr>
              <w:t>《关于本次交易符合</w:t>
            </w:r>
            <w:r>
              <w:rPr>
                <w:sz w:val="18"/>
                <w:szCs w:val="18"/>
              </w:rPr>
              <w:t>&lt;</w:t>
            </w:r>
            <w:r>
              <w:rPr>
                <w:sz w:val="18"/>
                <w:szCs w:val="18"/>
              </w:rPr>
              <w:t>上市公司证券发行注册管理办法</w:t>
            </w:r>
            <w:r>
              <w:rPr>
                <w:sz w:val="18"/>
                <w:szCs w:val="18"/>
              </w:rPr>
              <w:t>&gt;</w:t>
            </w:r>
            <w:r>
              <w:rPr>
                <w:sz w:val="18"/>
                <w:szCs w:val="18"/>
              </w:rPr>
              <w:t>第十一条规定的议案》</w:t>
            </w:r>
          </w:p>
          <w:p w:rsidR="00E20B54" w:rsidRDefault="00733C9E">
            <w:pPr>
              <w:spacing w:line="240" w:lineRule="exact"/>
              <w:rPr>
                <w:sz w:val="18"/>
                <w:szCs w:val="18"/>
              </w:rPr>
            </w:pPr>
            <w:r>
              <w:rPr>
                <w:sz w:val="18"/>
                <w:szCs w:val="18"/>
              </w:rPr>
              <w:t>9.</w:t>
            </w:r>
            <w:r>
              <w:rPr>
                <w:sz w:val="18"/>
                <w:szCs w:val="18"/>
              </w:rPr>
              <w:t>《关于本次交易符合</w:t>
            </w:r>
            <w:r>
              <w:rPr>
                <w:sz w:val="18"/>
                <w:szCs w:val="18"/>
              </w:rPr>
              <w:t>&lt;</w:t>
            </w:r>
            <w:r>
              <w:rPr>
                <w:sz w:val="18"/>
                <w:szCs w:val="18"/>
              </w:rPr>
              <w:t>创业板上市公司持续监管办法（试行）</w:t>
            </w:r>
            <w:r>
              <w:rPr>
                <w:sz w:val="18"/>
                <w:szCs w:val="18"/>
              </w:rPr>
              <w:t>&gt;</w:t>
            </w:r>
            <w:r>
              <w:rPr>
                <w:sz w:val="18"/>
                <w:szCs w:val="18"/>
              </w:rPr>
              <w:t>第十八条、第二十一条以及</w:t>
            </w:r>
            <w:r>
              <w:rPr>
                <w:sz w:val="18"/>
                <w:szCs w:val="18"/>
              </w:rPr>
              <w:t>&lt;</w:t>
            </w:r>
            <w:r>
              <w:rPr>
                <w:sz w:val="18"/>
                <w:szCs w:val="18"/>
              </w:rPr>
              <w:t>深圳证券交易所上市公司重大资产重组审核规则</w:t>
            </w:r>
            <w:r>
              <w:rPr>
                <w:sz w:val="18"/>
                <w:szCs w:val="18"/>
              </w:rPr>
              <w:t>&gt;</w:t>
            </w:r>
            <w:r>
              <w:rPr>
                <w:sz w:val="18"/>
                <w:szCs w:val="18"/>
              </w:rPr>
              <w:t>第八条规定的议案》</w:t>
            </w:r>
          </w:p>
          <w:p w:rsidR="00E20B54" w:rsidRDefault="00733C9E">
            <w:pPr>
              <w:spacing w:line="240" w:lineRule="exact"/>
              <w:rPr>
                <w:sz w:val="18"/>
                <w:szCs w:val="18"/>
              </w:rPr>
            </w:pPr>
            <w:r>
              <w:rPr>
                <w:sz w:val="18"/>
                <w:szCs w:val="18"/>
              </w:rPr>
              <w:t>10.</w:t>
            </w:r>
            <w:r>
              <w:rPr>
                <w:sz w:val="18"/>
                <w:szCs w:val="18"/>
              </w:rPr>
              <w:t>《关于本次交易相关主体不存在依据</w:t>
            </w:r>
            <w:r>
              <w:rPr>
                <w:sz w:val="18"/>
                <w:szCs w:val="18"/>
              </w:rPr>
              <w:t>&lt;</w:t>
            </w:r>
            <w:r>
              <w:rPr>
                <w:sz w:val="18"/>
                <w:szCs w:val="18"/>
              </w:rPr>
              <w:t>上市公司监管指引第</w:t>
            </w:r>
            <w:r>
              <w:rPr>
                <w:sz w:val="18"/>
                <w:szCs w:val="18"/>
              </w:rPr>
              <w:t xml:space="preserve"> 7 </w:t>
            </w:r>
            <w:r>
              <w:rPr>
                <w:sz w:val="18"/>
                <w:szCs w:val="18"/>
              </w:rPr>
              <w:t>号</w:t>
            </w:r>
            <w:r>
              <w:rPr>
                <w:sz w:val="18"/>
                <w:szCs w:val="18"/>
              </w:rPr>
              <w:t>—</w:t>
            </w:r>
            <w:r>
              <w:rPr>
                <w:sz w:val="18"/>
                <w:szCs w:val="18"/>
              </w:rPr>
              <w:t>上市公司重大资产重组相关股票异常交易监管</w:t>
            </w:r>
            <w:r>
              <w:rPr>
                <w:sz w:val="18"/>
                <w:szCs w:val="18"/>
              </w:rPr>
              <w:t>&gt;</w:t>
            </w:r>
            <w:r>
              <w:rPr>
                <w:sz w:val="18"/>
                <w:szCs w:val="18"/>
              </w:rPr>
              <w:t>第十二条以及</w:t>
            </w:r>
            <w:r>
              <w:rPr>
                <w:sz w:val="18"/>
                <w:szCs w:val="18"/>
              </w:rPr>
              <w:t>&lt;</w:t>
            </w:r>
            <w:r>
              <w:rPr>
                <w:sz w:val="18"/>
                <w:szCs w:val="18"/>
              </w:rPr>
              <w:t>深圳证券交易所上市公司自律监管指引第</w:t>
            </w:r>
            <w:r>
              <w:rPr>
                <w:sz w:val="18"/>
                <w:szCs w:val="18"/>
              </w:rPr>
              <w:t xml:space="preserve"> 8 </w:t>
            </w:r>
            <w:r>
              <w:rPr>
                <w:sz w:val="18"/>
                <w:szCs w:val="18"/>
              </w:rPr>
              <w:t>号</w:t>
            </w:r>
            <w:r>
              <w:rPr>
                <w:sz w:val="18"/>
                <w:szCs w:val="18"/>
              </w:rPr>
              <w:t>——</w:t>
            </w:r>
            <w:r>
              <w:rPr>
                <w:sz w:val="18"/>
                <w:szCs w:val="18"/>
              </w:rPr>
              <w:t>重大资产重组</w:t>
            </w:r>
            <w:r>
              <w:rPr>
                <w:sz w:val="18"/>
                <w:szCs w:val="18"/>
              </w:rPr>
              <w:t>&gt;</w:t>
            </w:r>
            <w:r>
              <w:rPr>
                <w:sz w:val="18"/>
                <w:szCs w:val="18"/>
              </w:rPr>
              <w:t>第三十条规定的不得参与任何上市公司重大资产重组情形的议案》</w:t>
            </w:r>
          </w:p>
          <w:p w:rsidR="00E20B54" w:rsidRDefault="00733C9E">
            <w:pPr>
              <w:spacing w:line="240" w:lineRule="exact"/>
              <w:rPr>
                <w:sz w:val="18"/>
                <w:szCs w:val="18"/>
              </w:rPr>
            </w:pPr>
            <w:r>
              <w:rPr>
                <w:sz w:val="18"/>
                <w:szCs w:val="18"/>
              </w:rPr>
              <w:t>11.</w:t>
            </w:r>
            <w:r>
              <w:rPr>
                <w:sz w:val="18"/>
                <w:szCs w:val="18"/>
              </w:rPr>
              <w:t>《关于本次交易构成</w:t>
            </w:r>
            <w:r>
              <w:rPr>
                <w:sz w:val="18"/>
                <w:szCs w:val="18"/>
              </w:rPr>
              <w:t>&lt;</w:t>
            </w:r>
            <w:r>
              <w:rPr>
                <w:sz w:val="18"/>
                <w:szCs w:val="18"/>
              </w:rPr>
              <w:t>上市公司重大资产重组管理办法</w:t>
            </w:r>
            <w:r>
              <w:rPr>
                <w:sz w:val="18"/>
                <w:szCs w:val="18"/>
              </w:rPr>
              <w:t>&gt;</w:t>
            </w:r>
            <w:r>
              <w:rPr>
                <w:sz w:val="18"/>
                <w:szCs w:val="18"/>
              </w:rPr>
              <w:t>第十二条规定的重大资产重组以及不构成第十三条规定的重组上市情形的议案》</w:t>
            </w:r>
          </w:p>
          <w:p w:rsidR="00E20B54" w:rsidRDefault="00733C9E">
            <w:pPr>
              <w:spacing w:line="240" w:lineRule="exact"/>
              <w:rPr>
                <w:sz w:val="18"/>
                <w:szCs w:val="18"/>
              </w:rPr>
            </w:pPr>
            <w:r>
              <w:rPr>
                <w:sz w:val="18"/>
                <w:szCs w:val="18"/>
              </w:rPr>
              <w:t>12.</w:t>
            </w:r>
            <w:r>
              <w:rPr>
                <w:sz w:val="18"/>
                <w:szCs w:val="18"/>
              </w:rPr>
              <w:t>《关于本次交易定价的依据及公平合理性的议案》</w:t>
            </w:r>
          </w:p>
          <w:p w:rsidR="00E20B54" w:rsidRDefault="00733C9E">
            <w:pPr>
              <w:spacing w:line="240" w:lineRule="exact"/>
              <w:rPr>
                <w:sz w:val="18"/>
                <w:szCs w:val="18"/>
              </w:rPr>
            </w:pPr>
            <w:r>
              <w:rPr>
                <w:sz w:val="18"/>
                <w:szCs w:val="18"/>
              </w:rPr>
              <w:t>13.</w:t>
            </w:r>
            <w:r>
              <w:rPr>
                <w:sz w:val="18"/>
                <w:szCs w:val="18"/>
              </w:rPr>
              <w:t>《关于本次交易履行法定程序完备性、合规性及提交法律文件有效性的议案》</w:t>
            </w:r>
          </w:p>
          <w:p w:rsidR="00E20B54" w:rsidRDefault="00733C9E">
            <w:pPr>
              <w:spacing w:line="240" w:lineRule="exact"/>
              <w:rPr>
                <w:sz w:val="18"/>
                <w:szCs w:val="18"/>
              </w:rPr>
            </w:pPr>
            <w:r>
              <w:rPr>
                <w:sz w:val="18"/>
                <w:szCs w:val="18"/>
              </w:rPr>
              <w:lastRenderedPageBreak/>
              <w:t>14.</w:t>
            </w:r>
            <w:r>
              <w:rPr>
                <w:sz w:val="18"/>
                <w:szCs w:val="18"/>
              </w:rPr>
              <w:t>《关于本次交易信息发布前公司股票价格波动情况的议案》</w:t>
            </w:r>
          </w:p>
          <w:p w:rsidR="00E20B54" w:rsidRDefault="00733C9E">
            <w:pPr>
              <w:spacing w:line="240" w:lineRule="exact"/>
              <w:rPr>
                <w:sz w:val="18"/>
                <w:szCs w:val="18"/>
              </w:rPr>
            </w:pPr>
            <w:r>
              <w:rPr>
                <w:sz w:val="18"/>
                <w:szCs w:val="18"/>
              </w:rPr>
              <w:t>15.</w:t>
            </w:r>
            <w:r>
              <w:rPr>
                <w:sz w:val="18"/>
                <w:szCs w:val="18"/>
              </w:rPr>
              <w:t>《关于本次交易摊薄上市公司即期回报的情况及填补措施的议案》</w:t>
            </w:r>
          </w:p>
          <w:p w:rsidR="00E20B54" w:rsidRDefault="00733C9E">
            <w:pPr>
              <w:spacing w:line="240" w:lineRule="exact"/>
              <w:rPr>
                <w:sz w:val="18"/>
                <w:szCs w:val="18"/>
              </w:rPr>
            </w:pPr>
            <w:r>
              <w:rPr>
                <w:sz w:val="18"/>
                <w:szCs w:val="18"/>
              </w:rPr>
              <w:t>16.</w:t>
            </w:r>
            <w:r>
              <w:rPr>
                <w:sz w:val="18"/>
                <w:szCs w:val="18"/>
              </w:rPr>
              <w:t>《关于批准公司重大资产重组暨关联交易有关审计报告、备考审阅报告、评估报告的议案》</w:t>
            </w:r>
          </w:p>
          <w:p w:rsidR="00E20B54" w:rsidRDefault="00733C9E">
            <w:pPr>
              <w:spacing w:line="240" w:lineRule="exact"/>
              <w:rPr>
                <w:sz w:val="18"/>
                <w:szCs w:val="18"/>
              </w:rPr>
            </w:pPr>
            <w:r>
              <w:rPr>
                <w:sz w:val="18"/>
                <w:szCs w:val="18"/>
              </w:rPr>
              <w:t>17.</w:t>
            </w:r>
            <w:r>
              <w:rPr>
                <w:sz w:val="18"/>
                <w:szCs w:val="18"/>
              </w:rPr>
              <w:t>《关于本次交易前十二个月内上市公司购买、出售资产情况的议案》</w:t>
            </w:r>
          </w:p>
          <w:p w:rsidR="00E20B54" w:rsidRDefault="00733C9E">
            <w:pPr>
              <w:spacing w:line="240" w:lineRule="exact"/>
              <w:rPr>
                <w:sz w:val="18"/>
                <w:szCs w:val="18"/>
              </w:rPr>
            </w:pPr>
            <w:r>
              <w:rPr>
                <w:sz w:val="18"/>
                <w:szCs w:val="18"/>
              </w:rPr>
              <w:t>18.</w:t>
            </w:r>
            <w:r>
              <w:rPr>
                <w:sz w:val="18"/>
                <w:szCs w:val="18"/>
              </w:rPr>
              <w:t>《关于本次交易采取的保密措施及保密制度的议案》</w:t>
            </w:r>
          </w:p>
          <w:p w:rsidR="00E20B54" w:rsidRDefault="00733C9E">
            <w:pPr>
              <w:spacing w:line="240" w:lineRule="exact"/>
              <w:rPr>
                <w:sz w:val="18"/>
                <w:szCs w:val="18"/>
              </w:rPr>
            </w:pPr>
            <w:r>
              <w:rPr>
                <w:sz w:val="18"/>
                <w:szCs w:val="18"/>
              </w:rPr>
              <w:t>19.</w:t>
            </w:r>
            <w:r>
              <w:rPr>
                <w:sz w:val="18"/>
                <w:szCs w:val="18"/>
              </w:rPr>
              <w:t>《关于本次交易方案调整不构成重大调整的议案》</w:t>
            </w:r>
          </w:p>
          <w:p w:rsidR="00E20B54" w:rsidRDefault="00733C9E">
            <w:pPr>
              <w:spacing w:line="240" w:lineRule="exact"/>
              <w:rPr>
                <w:sz w:val="18"/>
                <w:szCs w:val="18"/>
              </w:rPr>
            </w:pPr>
            <w:r>
              <w:rPr>
                <w:sz w:val="18"/>
                <w:szCs w:val="18"/>
              </w:rPr>
              <w:t>20.</w:t>
            </w:r>
            <w:r>
              <w:rPr>
                <w:sz w:val="18"/>
                <w:szCs w:val="18"/>
              </w:rPr>
              <w:t>《关于本次交易是否存在直接或间接有偿聘请其他第三方机构和个人的议案》</w:t>
            </w:r>
          </w:p>
          <w:p w:rsidR="00E20B54" w:rsidRDefault="00733C9E">
            <w:pPr>
              <w:spacing w:line="240" w:lineRule="exact"/>
              <w:rPr>
                <w:sz w:val="18"/>
                <w:szCs w:val="18"/>
              </w:rPr>
            </w:pPr>
            <w:r>
              <w:rPr>
                <w:sz w:val="18"/>
                <w:szCs w:val="18"/>
              </w:rPr>
              <w:t>21.</w:t>
            </w:r>
            <w:r>
              <w:rPr>
                <w:sz w:val="18"/>
                <w:szCs w:val="18"/>
              </w:rPr>
              <w:t>《关于评估机构的独立性、评估假设前提的合理性、评估方法与评估目的的相关性以及评估定价公允性的议案》</w:t>
            </w:r>
          </w:p>
          <w:p w:rsidR="00E20B54" w:rsidRDefault="00733C9E">
            <w:pPr>
              <w:spacing w:line="240" w:lineRule="exact"/>
              <w:rPr>
                <w:sz w:val="18"/>
                <w:szCs w:val="18"/>
              </w:rPr>
            </w:pPr>
            <w:r>
              <w:rPr>
                <w:sz w:val="18"/>
                <w:szCs w:val="18"/>
              </w:rPr>
              <w:t>22.</w:t>
            </w:r>
            <w:r>
              <w:rPr>
                <w:sz w:val="18"/>
                <w:szCs w:val="18"/>
              </w:rPr>
              <w:t>《关于提请股东会授权董事会办理本次发行股份及支付现金购买资产并募集配套资金相关事宜的议案》</w:t>
            </w:r>
          </w:p>
        </w:tc>
        <w:tc>
          <w:tcPr>
            <w:tcW w:w="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lastRenderedPageBreak/>
              <w:t>审议通过上述议案并提交至董事会审议。</w:t>
            </w:r>
          </w:p>
        </w:tc>
        <w:tc>
          <w:tcPr>
            <w:tcW w:w="682"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无</w:t>
            </w:r>
          </w:p>
        </w:tc>
        <w:tc>
          <w:tcPr>
            <w:tcW w:w="745"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无</w:t>
            </w:r>
          </w:p>
        </w:tc>
      </w:tr>
    </w:tbl>
    <w:p w:rsidR="00E20B54" w:rsidRDefault="00733C9E">
      <w:pPr>
        <w:pStyle w:val="2"/>
        <w:spacing w:before="300" w:after="300" w:line="320" w:lineRule="exact"/>
        <w:rPr>
          <w:b/>
          <w:bCs/>
          <w:sz w:val="24"/>
          <w:szCs w:val="24"/>
        </w:rPr>
      </w:pPr>
      <w:bookmarkStart w:id="66" w:name="_Toc988955"/>
      <w:r>
        <w:rPr>
          <w:b/>
          <w:bCs/>
          <w:sz w:val="24"/>
          <w:szCs w:val="24"/>
        </w:rPr>
        <w:lastRenderedPageBreak/>
        <w:t>九、审计委员会工作情况</w:t>
      </w:r>
      <w:bookmarkEnd w:id="66"/>
    </w:p>
    <w:p w:rsidR="00E20B54" w:rsidRDefault="00733C9E">
      <w:pPr>
        <w:spacing w:before="100" w:after="100" w:line="240" w:lineRule="exact"/>
        <w:rPr>
          <w:sz w:val="18"/>
          <w:szCs w:val="18"/>
        </w:rPr>
      </w:pPr>
      <w:r>
        <w:rPr>
          <w:sz w:val="18"/>
          <w:szCs w:val="18"/>
        </w:rPr>
        <w:t>审计委员会在报告期内的监督活动中发现公司是否存在风险</w:t>
      </w:r>
    </w:p>
    <w:p w:rsidR="00E20B54" w:rsidRDefault="00733C9E">
      <w:pPr>
        <w:spacing w:before="100" w:after="100" w:line="240" w:lineRule="exact"/>
        <w:rPr>
          <w:sz w:val="18"/>
          <w:szCs w:val="18"/>
        </w:rPr>
      </w:pPr>
      <w:r>
        <w:rPr>
          <w:sz w:val="18"/>
          <w:szCs w:val="18"/>
        </w:rPr>
        <w:t>□</w:t>
      </w:r>
      <w:r>
        <w:rPr>
          <w:sz w:val="18"/>
          <w:szCs w:val="18"/>
        </w:rPr>
        <w:t>是</w:t>
      </w:r>
      <w:r>
        <w:rPr>
          <w:sz w:val="18"/>
          <w:szCs w:val="18"/>
        </w:rPr>
        <w:t xml:space="preserve"> </w:t>
      </w:r>
      <w:r>
        <w:rPr>
          <w:sz w:val="18"/>
          <w:szCs w:val="18"/>
        </w:rPr>
        <w:sym w:font="Wingdings 2" w:char="F052"/>
      </w:r>
      <w:r>
        <w:rPr>
          <w:sz w:val="18"/>
          <w:szCs w:val="18"/>
        </w:rPr>
        <w:t>否</w:t>
      </w:r>
    </w:p>
    <w:p w:rsidR="00E20B54" w:rsidRDefault="00733C9E">
      <w:pPr>
        <w:spacing w:before="100" w:after="100" w:line="240" w:lineRule="exact"/>
        <w:rPr>
          <w:sz w:val="18"/>
          <w:szCs w:val="18"/>
        </w:rPr>
      </w:pPr>
      <w:r>
        <w:rPr>
          <w:sz w:val="18"/>
          <w:szCs w:val="18"/>
        </w:rPr>
        <w:t>审计委员会对报告期内的监督事项无异议。</w:t>
      </w:r>
    </w:p>
    <w:p w:rsidR="00E20B54" w:rsidRDefault="00733C9E">
      <w:pPr>
        <w:pStyle w:val="2"/>
        <w:spacing w:before="300" w:after="300" w:line="320" w:lineRule="exact"/>
        <w:rPr>
          <w:b/>
          <w:bCs/>
          <w:sz w:val="24"/>
          <w:szCs w:val="24"/>
        </w:rPr>
      </w:pPr>
      <w:bookmarkStart w:id="67" w:name="_Toc988956"/>
      <w:r>
        <w:rPr>
          <w:b/>
          <w:bCs/>
          <w:sz w:val="24"/>
          <w:szCs w:val="24"/>
        </w:rPr>
        <w:t>十、公司员工情况</w:t>
      </w:r>
      <w:bookmarkEnd w:id="67"/>
    </w:p>
    <w:p w:rsidR="00E20B54" w:rsidRDefault="00733C9E">
      <w:pPr>
        <w:pStyle w:val="3"/>
        <w:spacing w:line="280" w:lineRule="exact"/>
        <w:jc w:val="left"/>
        <w:rPr>
          <w:b/>
          <w:bCs/>
        </w:rPr>
      </w:pPr>
      <w:bookmarkStart w:id="68" w:name="_Toc988957"/>
      <w:r>
        <w:rPr>
          <w:b/>
          <w:bCs/>
        </w:rPr>
        <w:t>1</w:t>
      </w:r>
      <w:r>
        <w:rPr>
          <w:b/>
          <w:bCs/>
        </w:rPr>
        <w:t>、员工数量、专业构成及教育程度</w:t>
      </w:r>
      <w:bookmarkEnd w:id="68"/>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4820"/>
        <w:gridCol w:w="4819"/>
      </w:tblGrid>
      <w:tr w:rsidR="00E20B54">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报告期末母公司在职员工的数量（人）</w:t>
            </w:r>
          </w:p>
        </w:tc>
        <w:tc>
          <w:tcPr>
            <w:tcW w:w="482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191</w:t>
            </w:r>
          </w:p>
        </w:tc>
      </w:tr>
      <w:tr w:rsidR="00E20B54">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报告期末主要子公司在职员工的数量（人）</w:t>
            </w:r>
          </w:p>
        </w:tc>
        <w:tc>
          <w:tcPr>
            <w:tcW w:w="482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147</w:t>
            </w:r>
          </w:p>
        </w:tc>
      </w:tr>
      <w:tr w:rsidR="00E20B54">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报告期末在职员工的数量合计（人）</w:t>
            </w:r>
          </w:p>
        </w:tc>
        <w:tc>
          <w:tcPr>
            <w:tcW w:w="482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338</w:t>
            </w:r>
          </w:p>
        </w:tc>
      </w:tr>
      <w:tr w:rsidR="00E20B54">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当期领取薪酬员工总人数（人）</w:t>
            </w:r>
          </w:p>
        </w:tc>
        <w:tc>
          <w:tcPr>
            <w:tcW w:w="482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338</w:t>
            </w:r>
          </w:p>
        </w:tc>
      </w:tr>
      <w:tr w:rsidR="00E20B54">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母公司及主要子公司需承担费用的离退休职工人数（人）</w:t>
            </w:r>
          </w:p>
        </w:tc>
        <w:tc>
          <w:tcPr>
            <w:tcW w:w="482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5</w:t>
            </w:r>
          </w:p>
        </w:tc>
      </w:tr>
      <w:tr w:rsidR="00E20B54">
        <w:trPr>
          <w:trHeight w:val="240"/>
        </w:trPr>
        <w:tc>
          <w:tcPr>
            <w:tcW w:w="9639"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专业构成</w:t>
            </w:r>
          </w:p>
        </w:tc>
      </w:tr>
      <w:tr w:rsidR="00E20B54">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专业构成类别</w:t>
            </w:r>
          </w:p>
        </w:tc>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专业构成人数（人）</w:t>
            </w:r>
          </w:p>
        </w:tc>
      </w:tr>
      <w:tr w:rsidR="00E20B54">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销售人员</w:t>
            </w:r>
          </w:p>
        </w:tc>
        <w:tc>
          <w:tcPr>
            <w:tcW w:w="482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61</w:t>
            </w:r>
          </w:p>
        </w:tc>
      </w:tr>
      <w:tr w:rsidR="00E20B54">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技术人员</w:t>
            </w:r>
          </w:p>
        </w:tc>
        <w:tc>
          <w:tcPr>
            <w:tcW w:w="482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100</w:t>
            </w:r>
          </w:p>
        </w:tc>
      </w:tr>
      <w:tr w:rsidR="00E20B54">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财务人员</w:t>
            </w:r>
          </w:p>
        </w:tc>
        <w:tc>
          <w:tcPr>
            <w:tcW w:w="482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18</w:t>
            </w:r>
          </w:p>
        </w:tc>
      </w:tr>
      <w:tr w:rsidR="00E20B54">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行政人员</w:t>
            </w:r>
          </w:p>
        </w:tc>
        <w:tc>
          <w:tcPr>
            <w:tcW w:w="482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66</w:t>
            </w:r>
          </w:p>
        </w:tc>
      </w:tr>
      <w:tr w:rsidR="00E20B54">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8D8D8" w:themeFill="background1" w:themeFillShade="D8"/>
            <w:vAlign w:val="center"/>
          </w:tcPr>
          <w:p w:rsidR="00E20B54" w:rsidRDefault="00733C9E">
            <w:pPr>
              <w:spacing w:line="240" w:lineRule="exact"/>
              <w:rPr>
                <w:sz w:val="18"/>
                <w:szCs w:val="18"/>
              </w:rPr>
            </w:pPr>
            <w:r>
              <w:rPr>
                <w:sz w:val="18"/>
                <w:szCs w:val="18"/>
              </w:rPr>
              <w:t>项目实施人员</w:t>
            </w:r>
          </w:p>
        </w:tc>
        <w:tc>
          <w:tcPr>
            <w:tcW w:w="482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93</w:t>
            </w:r>
          </w:p>
        </w:tc>
      </w:tr>
      <w:tr w:rsidR="00E20B54">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8D8D8" w:themeFill="background1" w:themeFillShade="D8"/>
            <w:vAlign w:val="center"/>
          </w:tcPr>
          <w:p w:rsidR="00E20B54" w:rsidRDefault="00733C9E">
            <w:pPr>
              <w:spacing w:before="40" w:after="40" w:line="240" w:lineRule="exact"/>
              <w:rPr>
                <w:sz w:val="18"/>
                <w:szCs w:val="18"/>
              </w:rPr>
            </w:pPr>
            <w:r>
              <w:rPr>
                <w:sz w:val="18"/>
                <w:szCs w:val="18"/>
              </w:rPr>
              <w:lastRenderedPageBreak/>
              <w:t>合计</w:t>
            </w:r>
          </w:p>
        </w:tc>
        <w:tc>
          <w:tcPr>
            <w:tcW w:w="482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338</w:t>
            </w:r>
          </w:p>
        </w:tc>
      </w:tr>
      <w:tr w:rsidR="00E20B54">
        <w:trPr>
          <w:trHeight w:val="240"/>
        </w:trPr>
        <w:tc>
          <w:tcPr>
            <w:tcW w:w="9639" w:type="dxa"/>
            <w:gridSpan w:val="2"/>
            <w:tcBorders>
              <w:top w:val="single" w:sz="2" w:space="0" w:color="auto"/>
              <w:left w:val="single" w:sz="2" w:space="0" w:color="auto"/>
              <w:bottom w:val="single" w:sz="2" w:space="0" w:color="auto"/>
              <w:right w:val="single" w:sz="2" w:space="0" w:color="auto"/>
            </w:tcBorders>
            <w:shd w:val="clear" w:color="auto" w:fill="D8D8D8" w:themeFill="background1" w:themeFillShade="D8"/>
            <w:vAlign w:val="center"/>
          </w:tcPr>
          <w:p w:rsidR="00E20B54" w:rsidRDefault="00733C9E">
            <w:pPr>
              <w:spacing w:before="40" w:after="40" w:line="240" w:lineRule="exact"/>
              <w:jc w:val="center"/>
              <w:rPr>
                <w:sz w:val="18"/>
                <w:szCs w:val="18"/>
              </w:rPr>
            </w:pPr>
            <w:r>
              <w:rPr>
                <w:sz w:val="18"/>
                <w:szCs w:val="18"/>
              </w:rPr>
              <w:t>教育程度</w:t>
            </w:r>
          </w:p>
        </w:tc>
      </w:tr>
      <w:tr w:rsidR="00E20B54">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8D8D8" w:themeFill="background1" w:themeFillShade="D8"/>
            <w:vAlign w:val="center"/>
          </w:tcPr>
          <w:p w:rsidR="00E20B54" w:rsidRDefault="00733C9E">
            <w:pPr>
              <w:spacing w:before="40" w:after="40" w:line="240" w:lineRule="exact"/>
              <w:jc w:val="center"/>
              <w:rPr>
                <w:sz w:val="18"/>
                <w:szCs w:val="18"/>
              </w:rPr>
            </w:pPr>
            <w:r>
              <w:rPr>
                <w:sz w:val="18"/>
                <w:szCs w:val="18"/>
              </w:rPr>
              <w:t>教育程度类别</w:t>
            </w:r>
          </w:p>
        </w:tc>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数量（人）</w:t>
            </w:r>
          </w:p>
        </w:tc>
      </w:tr>
      <w:tr w:rsidR="00E20B54">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8D8D8" w:themeFill="background1" w:themeFillShade="D8"/>
            <w:vAlign w:val="center"/>
          </w:tcPr>
          <w:p w:rsidR="00E20B54" w:rsidRDefault="00733C9E">
            <w:pPr>
              <w:spacing w:line="240" w:lineRule="exact"/>
              <w:rPr>
                <w:sz w:val="18"/>
                <w:szCs w:val="18"/>
              </w:rPr>
            </w:pPr>
            <w:r>
              <w:rPr>
                <w:sz w:val="18"/>
                <w:szCs w:val="18"/>
              </w:rPr>
              <w:t>硕士及以上</w:t>
            </w:r>
          </w:p>
        </w:tc>
        <w:tc>
          <w:tcPr>
            <w:tcW w:w="482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11</w:t>
            </w:r>
          </w:p>
        </w:tc>
      </w:tr>
      <w:tr w:rsidR="00E20B54">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8D8D8" w:themeFill="background1" w:themeFillShade="D8"/>
            <w:vAlign w:val="center"/>
          </w:tcPr>
          <w:p w:rsidR="00E20B54" w:rsidRDefault="00733C9E">
            <w:pPr>
              <w:spacing w:line="240" w:lineRule="exact"/>
              <w:rPr>
                <w:sz w:val="18"/>
                <w:szCs w:val="18"/>
              </w:rPr>
            </w:pPr>
            <w:r>
              <w:rPr>
                <w:sz w:val="18"/>
                <w:szCs w:val="18"/>
              </w:rPr>
              <w:t>本科</w:t>
            </w:r>
          </w:p>
        </w:tc>
        <w:tc>
          <w:tcPr>
            <w:tcW w:w="482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150</w:t>
            </w:r>
          </w:p>
        </w:tc>
      </w:tr>
      <w:tr w:rsidR="00E20B54">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8D8D8" w:themeFill="background1" w:themeFillShade="D8"/>
            <w:vAlign w:val="center"/>
          </w:tcPr>
          <w:p w:rsidR="00E20B54" w:rsidRDefault="00733C9E">
            <w:pPr>
              <w:spacing w:line="240" w:lineRule="exact"/>
              <w:rPr>
                <w:sz w:val="18"/>
                <w:szCs w:val="18"/>
              </w:rPr>
            </w:pPr>
            <w:r>
              <w:rPr>
                <w:sz w:val="18"/>
                <w:szCs w:val="18"/>
              </w:rPr>
              <w:t>大专</w:t>
            </w:r>
          </w:p>
        </w:tc>
        <w:tc>
          <w:tcPr>
            <w:tcW w:w="482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141</w:t>
            </w:r>
          </w:p>
        </w:tc>
      </w:tr>
      <w:tr w:rsidR="00E20B54">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8D8D8" w:themeFill="background1" w:themeFillShade="D8"/>
            <w:vAlign w:val="center"/>
          </w:tcPr>
          <w:p w:rsidR="00E20B54" w:rsidRDefault="00733C9E">
            <w:pPr>
              <w:spacing w:line="240" w:lineRule="exact"/>
              <w:rPr>
                <w:sz w:val="18"/>
                <w:szCs w:val="18"/>
              </w:rPr>
            </w:pPr>
            <w:r>
              <w:rPr>
                <w:sz w:val="18"/>
                <w:szCs w:val="18"/>
              </w:rPr>
              <w:t>大专以下</w:t>
            </w:r>
          </w:p>
        </w:tc>
        <w:tc>
          <w:tcPr>
            <w:tcW w:w="482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36</w:t>
            </w:r>
          </w:p>
        </w:tc>
      </w:tr>
      <w:tr w:rsidR="00E20B54">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合计</w:t>
            </w:r>
          </w:p>
        </w:tc>
        <w:tc>
          <w:tcPr>
            <w:tcW w:w="482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338</w:t>
            </w:r>
          </w:p>
        </w:tc>
      </w:tr>
    </w:tbl>
    <w:p w:rsidR="00E20B54" w:rsidRDefault="00733C9E">
      <w:pPr>
        <w:pStyle w:val="3"/>
        <w:spacing w:line="280" w:lineRule="exact"/>
        <w:jc w:val="left"/>
        <w:rPr>
          <w:b/>
          <w:bCs/>
        </w:rPr>
      </w:pPr>
      <w:bookmarkStart w:id="69" w:name="_Toc988958"/>
      <w:r>
        <w:rPr>
          <w:b/>
          <w:bCs/>
        </w:rPr>
        <w:t>2</w:t>
      </w:r>
      <w:r>
        <w:rPr>
          <w:b/>
          <w:bCs/>
        </w:rPr>
        <w:t>、薪酬政策</w:t>
      </w:r>
      <w:bookmarkEnd w:id="69"/>
    </w:p>
    <w:p w:rsidR="00E20B54" w:rsidRDefault="00733C9E">
      <w:pPr>
        <w:pStyle w:val="a3"/>
        <w:widowControl/>
        <w:spacing w:beforeAutospacing="0" w:afterAutospacing="0"/>
        <w:ind w:firstLine="420"/>
        <w:jc w:val="both"/>
        <w:rPr>
          <w:sz w:val="21"/>
          <w:szCs w:val="21"/>
        </w:rPr>
      </w:pPr>
      <w:r>
        <w:rPr>
          <w:color w:val="000000"/>
          <w:sz w:val="21"/>
          <w:szCs w:val="21"/>
          <w:shd w:val="clear" w:color="auto" w:fill="FFFFFF"/>
        </w:rPr>
        <w:t>公司基于</w:t>
      </w:r>
      <w:r>
        <w:rPr>
          <w:color w:val="000000"/>
          <w:sz w:val="21"/>
          <w:szCs w:val="21"/>
          <w:shd w:val="clear" w:color="auto" w:fill="FFFFFF"/>
        </w:rPr>
        <w:t>IT</w:t>
      </w:r>
      <w:r>
        <w:rPr>
          <w:color w:val="000000"/>
          <w:sz w:val="21"/>
          <w:szCs w:val="21"/>
          <w:shd w:val="clear" w:color="auto" w:fill="FFFFFF"/>
        </w:rPr>
        <w:t>行业人力资源管理的特点和难点，建立起了系统的人力资源管理体系来保障员工的合法权益。为了吸引、激励和保留优秀人才以帮助公司达成战略目标，公司在兼顾市场竞争力和内部公平性的基础上，为员工提供全面的、富有竞争力的报酬，经理级及以上级别采用年薪制，普通员工实行基本工资</w:t>
      </w:r>
      <w:r>
        <w:rPr>
          <w:color w:val="000000"/>
          <w:sz w:val="21"/>
          <w:szCs w:val="21"/>
          <w:shd w:val="clear" w:color="auto" w:fill="FFFFFF"/>
        </w:rPr>
        <w:t>+</w:t>
      </w:r>
      <w:r>
        <w:rPr>
          <w:color w:val="000000"/>
          <w:sz w:val="21"/>
          <w:szCs w:val="21"/>
          <w:shd w:val="clear" w:color="auto" w:fill="FFFFFF"/>
        </w:rPr>
        <w:t>浮动工资</w:t>
      </w:r>
      <w:r>
        <w:rPr>
          <w:color w:val="000000"/>
          <w:sz w:val="21"/>
          <w:szCs w:val="21"/>
          <w:shd w:val="clear" w:color="auto" w:fill="FFFFFF"/>
        </w:rPr>
        <w:t>+</w:t>
      </w:r>
      <w:r>
        <w:rPr>
          <w:color w:val="000000"/>
          <w:sz w:val="21"/>
          <w:szCs w:val="21"/>
          <w:shd w:val="clear" w:color="auto" w:fill="FFFFFF"/>
        </w:rPr>
        <w:t>绩效奖金年终</w:t>
      </w:r>
      <w:r w:rsidR="00CF2D8B">
        <w:rPr>
          <w:rFonts w:hint="eastAsia"/>
          <w:color w:val="000000"/>
          <w:sz w:val="21"/>
          <w:szCs w:val="21"/>
          <w:shd w:val="clear" w:color="auto" w:fill="FFFFFF"/>
        </w:rPr>
        <w:t>奖</w:t>
      </w:r>
      <w:r>
        <w:rPr>
          <w:color w:val="000000"/>
          <w:sz w:val="21"/>
          <w:szCs w:val="21"/>
          <w:shd w:val="clear" w:color="auto" w:fill="FFFFFF"/>
        </w:rPr>
        <w:t>金组成的薪酬结构，制定和实施了明确的薪酬增长机制和考核奖励制度，有效激发员工的主动性和创造性，增强了企业的凝聚力和战斗力。</w:t>
      </w:r>
    </w:p>
    <w:p w:rsidR="00E20B54" w:rsidRDefault="00733C9E">
      <w:pPr>
        <w:spacing w:before="100" w:after="100" w:line="240" w:lineRule="exact"/>
        <w:rPr>
          <w:sz w:val="18"/>
          <w:szCs w:val="18"/>
        </w:rPr>
      </w:pPr>
      <w:r>
        <w:rPr>
          <w:sz w:val="18"/>
          <w:szCs w:val="18"/>
        </w:rPr>
        <w:t>公司需遵守《深圳证券交易所上市公司自律监管指引第</w:t>
      </w:r>
      <w:r>
        <w:rPr>
          <w:sz w:val="18"/>
          <w:szCs w:val="18"/>
        </w:rPr>
        <w:t>3</w:t>
      </w:r>
      <w:r>
        <w:rPr>
          <w:sz w:val="18"/>
          <w:szCs w:val="18"/>
        </w:rPr>
        <w:t>号</w:t>
      </w:r>
      <w:r>
        <w:rPr>
          <w:sz w:val="18"/>
          <w:szCs w:val="18"/>
        </w:rPr>
        <w:t>——</w:t>
      </w:r>
      <w:r>
        <w:rPr>
          <w:sz w:val="18"/>
          <w:szCs w:val="18"/>
        </w:rPr>
        <w:t>行业信息披露》中的</w:t>
      </w:r>
      <w:r>
        <w:rPr>
          <w:sz w:val="18"/>
          <w:szCs w:val="18"/>
        </w:rPr>
        <w:t>“</w:t>
      </w:r>
      <w:r>
        <w:rPr>
          <w:sz w:val="18"/>
          <w:szCs w:val="18"/>
        </w:rPr>
        <w:t>软件与信息技术服务业</w:t>
      </w:r>
      <w:r>
        <w:rPr>
          <w:sz w:val="18"/>
          <w:szCs w:val="18"/>
        </w:rPr>
        <w:t>”</w:t>
      </w:r>
      <w:r>
        <w:rPr>
          <w:sz w:val="18"/>
          <w:szCs w:val="18"/>
        </w:rPr>
        <w:t>的披露要求</w:t>
      </w:r>
    </w:p>
    <w:p w:rsidR="00E20B54" w:rsidRDefault="00733C9E">
      <w:pPr>
        <w:pStyle w:val="a3"/>
        <w:widowControl/>
        <w:spacing w:beforeAutospacing="0" w:afterAutospacing="0"/>
        <w:ind w:firstLine="420"/>
        <w:jc w:val="both"/>
        <w:rPr>
          <w:sz w:val="21"/>
          <w:szCs w:val="21"/>
        </w:rPr>
      </w:pPr>
      <w:r>
        <w:rPr>
          <w:color w:val="000000"/>
          <w:sz w:val="21"/>
          <w:szCs w:val="21"/>
          <w:shd w:val="clear" w:color="auto" w:fill="FFFFFF"/>
        </w:rPr>
        <w:t>公司职工薪酬总额（计入成本部分）</w:t>
      </w:r>
      <w:r>
        <w:rPr>
          <w:color w:val="000000"/>
          <w:sz w:val="21"/>
          <w:szCs w:val="21"/>
          <w:shd w:val="clear" w:color="auto" w:fill="FFFFFF"/>
        </w:rPr>
        <w:t>13,698,320.88</w:t>
      </w:r>
      <w:r>
        <w:rPr>
          <w:color w:val="000000"/>
          <w:sz w:val="21"/>
          <w:szCs w:val="21"/>
          <w:shd w:val="clear" w:color="auto" w:fill="FFFFFF"/>
        </w:rPr>
        <w:t>元，占公司营业成本</w:t>
      </w:r>
      <w:r>
        <w:rPr>
          <w:color w:val="000000"/>
          <w:sz w:val="21"/>
          <w:szCs w:val="21"/>
          <w:shd w:val="clear" w:color="auto" w:fill="FFFFFF"/>
        </w:rPr>
        <w:t>351,915,132.21</w:t>
      </w:r>
      <w:r>
        <w:rPr>
          <w:color w:val="000000"/>
          <w:sz w:val="21"/>
          <w:szCs w:val="21"/>
          <w:shd w:val="clear" w:color="auto" w:fill="FFFFFF"/>
        </w:rPr>
        <w:t>元的</w:t>
      </w:r>
      <w:r>
        <w:rPr>
          <w:color w:val="000000"/>
          <w:sz w:val="21"/>
          <w:szCs w:val="21"/>
          <w:shd w:val="clear" w:color="auto" w:fill="FFFFFF"/>
        </w:rPr>
        <w:t>3.89%</w:t>
      </w:r>
      <w:r>
        <w:rPr>
          <w:color w:val="000000"/>
          <w:sz w:val="21"/>
          <w:szCs w:val="21"/>
          <w:shd w:val="clear" w:color="auto" w:fill="FFFFFF"/>
        </w:rPr>
        <w:t>。</w:t>
      </w:r>
    </w:p>
    <w:p w:rsidR="00E20B54" w:rsidRDefault="00733C9E">
      <w:pPr>
        <w:pStyle w:val="a3"/>
        <w:widowControl/>
        <w:spacing w:beforeAutospacing="0" w:afterAutospacing="0"/>
        <w:ind w:firstLine="420"/>
        <w:jc w:val="both"/>
        <w:rPr>
          <w:sz w:val="21"/>
          <w:szCs w:val="21"/>
        </w:rPr>
      </w:pPr>
      <w:r>
        <w:rPr>
          <w:color w:val="000000"/>
          <w:sz w:val="21"/>
          <w:szCs w:val="21"/>
          <w:shd w:val="clear" w:color="auto" w:fill="FFFFFF"/>
        </w:rPr>
        <w:t>截至</w:t>
      </w:r>
      <w:r>
        <w:rPr>
          <w:color w:val="000000"/>
          <w:sz w:val="21"/>
          <w:szCs w:val="21"/>
          <w:shd w:val="clear" w:color="auto" w:fill="FFFFFF"/>
        </w:rPr>
        <w:t>2025</w:t>
      </w:r>
      <w:r>
        <w:rPr>
          <w:color w:val="000000"/>
          <w:sz w:val="21"/>
          <w:szCs w:val="21"/>
          <w:shd w:val="clear" w:color="auto" w:fill="FFFFFF"/>
        </w:rPr>
        <w:t>年</w:t>
      </w:r>
      <w:r>
        <w:rPr>
          <w:color w:val="000000"/>
          <w:sz w:val="21"/>
          <w:szCs w:val="21"/>
          <w:shd w:val="clear" w:color="auto" w:fill="FFFFFF"/>
        </w:rPr>
        <w:t>12</w:t>
      </w:r>
      <w:r>
        <w:rPr>
          <w:color w:val="000000"/>
          <w:sz w:val="21"/>
          <w:szCs w:val="21"/>
          <w:shd w:val="clear" w:color="auto" w:fill="FFFFFF"/>
        </w:rPr>
        <w:t>月</w:t>
      </w:r>
      <w:r>
        <w:rPr>
          <w:color w:val="000000"/>
          <w:sz w:val="21"/>
          <w:szCs w:val="21"/>
          <w:shd w:val="clear" w:color="auto" w:fill="FFFFFF"/>
        </w:rPr>
        <w:t>31</w:t>
      </w:r>
      <w:r>
        <w:rPr>
          <w:color w:val="000000"/>
          <w:sz w:val="21"/>
          <w:szCs w:val="21"/>
          <w:shd w:val="clear" w:color="auto" w:fill="FFFFFF"/>
        </w:rPr>
        <w:t>日，公司核心技术人员为</w:t>
      </w:r>
      <w:r>
        <w:rPr>
          <w:color w:val="000000"/>
          <w:sz w:val="21"/>
          <w:szCs w:val="21"/>
          <w:shd w:val="clear" w:color="auto" w:fill="FFFFFF"/>
        </w:rPr>
        <w:t>6</w:t>
      </w:r>
      <w:r>
        <w:rPr>
          <w:color w:val="000000"/>
          <w:sz w:val="21"/>
          <w:szCs w:val="21"/>
          <w:shd w:val="clear" w:color="auto" w:fill="FFFFFF"/>
        </w:rPr>
        <w:t>人，占全体员工人数的</w:t>
      </w:r>
      <w:r>
        <w:rPr>
          <w:color w:val="000000"/>
          <w:sz w:val="21"/>
          <w:szCs w:val="21"/>
          <w:shd w:val="clear" w:color="auto" w:fill="FFFFFF"/>
        </w:rPr>
        <w:t>1.78%</w:t>
      </w:r>
      <w:r>
        <w:rPr>
          <w:color w:val="000000"/>
          <w:sz w:val="21"/>
          <w:szCs w:val="21"/>
          <w:shd w:val="clear" w:color="auto" w:fill="FFFFFF"/>
        </w:rPr>
        <w:t>；上年同期核心技术人员为</w:t>
      </w:r>
      <w:r>
        <w:rPr>
          <w:color w:val="000000"/>
          <w:sz w:val="21"/>
          <w:szCs w:val="21"/>
          <w:shd w:val="clear" w:color="auto" w:fill="FFFFFF"/>
        </w:rPr>
        <w:t>6</w:t>
      </w:r>
      <w:r>
        <w:rPr>
          <w:color w:val="000000"/>
          <w:sz w:val="21"/>
          <w:szCs w:val="21"/>
          <w:shd w:val="clear" w:color="auto" w:fill="FFFFFF"/>
        </w:rPr>
        <w:t>人，占全体员工人数的</w:t>
      </w:r>
      <w:r>
        <w:rPr>
          <w:color w:val="000000"/>
          <w:sz w:val="21"/>
          <w:szCs w:val="21"/>
          <w:shd w:val="clear" w:color="auto" w:fill="FFFFFF"/>
        </w:rPr>
        <w:t>1.61%</w:t>
      </w:r>
      <w:r>
        <w:rPr>
          <w:color w:val="000000"/>
          <w:sz w:val="21"/>
          <w:szCs w:val="21"/>
          <w:shd w:val="clear" w:color="auto" w:fill="FFFFFF"/>
        </w:rPr>
        <w:t>。截至报告期末，核心技术人员薪酬占全体员工薪酬的</w:t>
      </w:r>
      <w:r>
        <w:rPr>
          <w:color w:val="000000"/>
          <w:sz w:val="21"/>
          <w:szCs w:val="21"/>
          <w:shd w:val="clear" w:color="auto" w:fill="FFFFFF"/>
        </w:rPr>
        <w:t>2.99%</w:t>
      </w:r>
      <w:r>
        <w:rPr>
          <w:color w:val="000000"/>
          <w:sz w:val="21"/>
          <w:szCs w:val="21"/>
          <w:shd w:val="clear" w:color="auto" w:fill="FFFFFF"/>
        </w:rPr>
        <w:t>，上年同期为</w:t>
      </w:r>
      <w:r>
        <w:rPr>
          <w:color w:val="000000"/>
          <w:sz w:val="21"/>
          <w:szCs w:val="21"/>
          <w:shd w:val="clear" w:color="auto" w:fill="FFFFFF"/>
        </w:rPr>
        <w:t>2.68%</w:t>
      </w:r>
      <w:r>
        <w:rPr>
          <w:color w:val="000000"/>
          <w:sz w:val="21"/>
          <w:szCs w:val="21"/>
          <w:shd w:val="clear" w:color="auto" w:fill="FFFFFF"/>
        </w:rPr>
        <w:t>。</w:t>
      </w:r>
    </w:p>
    <w:p w:rsidR="00E20B54" w:rsidRDefault="00733C9E">
      <w:pPr>
        <w:pStyle w:val="3"/>
        <w:spacing w:line="280" w:lineRule="exact"/>
        <w:jc w:val="left"/>
        <w:rPr>
          <w:b/>
          <w:bCs/>
        </w:rPr>
      </w:pPr>
      <w:bookmarkStart w:id="70" w:name="_Toc988959"/>
      <w:r>
        <w:rPr>
          <w:b/>
          <w:bCs/>
        </w:rPr>
        <w:t>3</w:t>
      </w:r>
      <w:r>
        <w:rPr>
          <w:b/>
          <w:bCs/>
        </w:rPr>
        <w:t>、培训计划</w:t>
      </w:r>
      <w:bookmarkEnd w:id="70"/>
    </w:p>
    <w:p w:rsidR="00E20B54" w:rsidRDefault="00733C9E">
      <w:pPr>
        <w:pStyle w:val="a3"/>
        <w:widowControl/>
        <w:spacing w:beforeAutospacing="0" w:afterAutospacing="0"/>
        <w:ind w:firstLine="420"/>
        <w:jc w:val="both"/>
        <w:rPr>
          <w:sz w:val="21"/>
          <w:szCs w:val="21"/>
        </w:rPr>
      </w:pPr>
      <w:r>
        <w:rPr>
          <w:rStyle w:val="a4"/>
          <w:b w:val="0"/>
          <w:color w:val="000000"/>
          <w:sz w:val="21"/>
          <w:szCs w:val="21"/>
          <w:shd w:val="clear" w:color="auto" w:fill="FFFFFF"/>
        </w:rPr>
        <w:t>为确保员工安全高效开展工作，在思想理念价值观与企业保持一致，并与社会、企业发展同步进步，公司每年初制定年度培训计划，长期有序推进企业职业技能培训工作和管理干部管理能力提升培训、营销培训、保密培训等，线上、线下教学，电子、纸质资料相结合等多种形式进行员工培训。培训内容涵盖行业信息、政策导向，企业文化、制度流程，素质、技能技术等多方面，培训效果显著，团队战斗力、凝聚力，员工素养、工匠精神、业务技能、服务意识等均有较大提升。</w:t>
      </w:r>
    </w:p>
    <w:p w:rsidR="00E20B54" w:rsidRDefault="00733C9E">
      <w:pPr>
        <w:pStyle w:val="3"/>
        <w:spacing w:line="280" w:lineRule="exact"/>
        <w:jc w:val="left"/>
        <w:rPr>
          <w:b/>
          <w:bCs/>
        </w:rPr>
      </w:pPr>
      <w:bookmarkStart w:id="71" w:name="_Toc988960"/>
      <w:r>
        <w:rPr>
          <w:b/>
          <w:bCs/>
        </w:rPr>
        <w:t>4</w:t>
      </w:r>
      <w:r>
        <w:rPr>
          <w:b/>
          <w:bCs/>
        </w:rPr>
        <w:t>、劳务外包情况</w:t>
      </w:r>
      <w:bookmarkEnd w:id="71"/>
    </w:p>
    <w:p w:rsidR="00E20B54" w:rsidRDefault="00733C9E">
      <w:pPr>
        <w:spacing w:before="100" w:after="100" w:line="240" w:lineRule="exact"/>
        <w:rPr>
          <w:sz w:val="18"/>
          <w:szCs w:val="18"/>
        </w:rPr>
      </w:pPr>
      <w:r>
        <w:rPr>
          <w:sz w:val="18"/>
          <w:szCs w:val="18"/>
        </w:rPr>
        <w:t>□</w:t>
      </w:r>
      <w:r>
        <w:rPr>
          <w:sz w:val="18"/>
          <w:szCs w:val="18"/>
        </w:rPr>
        <w:t>适用</w:t>
      </w:r>
      <w:r>
        <w:rPr>
          <w:sz w:val="18"/>
          <w:szCs w:val="18"/>
        </w:rPr>
        <w:t xml:space="preserve"> </w:t>
      </w:r>
      <w:r>
        <w:rPr>
          <w:sz w:val="18"/>
          <w:szCs w:val="18"/>
        </w:rPr>
        <w:sym w:font="Wingdings 2" w:char="F052"/>
      </w:r>
      <w:r>
        <w:rPr>
          <w:sz w:val="18"/>
          <w:szCs w:val="18"/>
        </w:rPr>
        <w:t>不适用</w:t>
      </w:r>
    </w:p>
    <w:p w:rsidR="00E20B54" w:rsidRDefault="00733C9E">
      <w:pPr>
        <w:pStyle w:val="2"/>
        <w:spacing w:before="300" w:after="300" w:line="320" w:lineRule="exact"/>
        <w:rPr>
          <w:b/>
          <w:bCs/>
          <w:sz w:val="24"/>
          <w:szCs w:val="24"/>
        </w:rPr>
      </w:pPr>
      <w:bookmarkStart w:id="72" w:name="_Toc988961"/>
      <w:r>
        <w:rPr>
          <w:b/>
          <w:bCs/>
          <w:sz w:val="24"/>
          <w:szCs w:val="24"/>
        </w:rPr>
        <w:t>十一、公司利润分配及资本公积金转增股本情况</w:t>
      </w:r>
      <w:bookmarkEnd w:id="72"/>
    </w:p>
    <w:p w:rsidR="00E20B54" w:rsidRDefault="00733C9E">
      <w:pPr>
        <w:spacing w:before="100" w:after="100" w:line="240" w:lineRule="exact"/>
        <w:rPr>
          <w:sz w:val="18"/>
          <w:szCs w:val="18"/>
        </w:rPr>
      </w:pPr>
      <w:r>
        <w:rPr>
          <w:sz w:val="18"/>
          <w:szCs w:val="18"/>
        </w:rPr>
        <w:t>报告期内利润分配政策，特别是现金分红政策的制定、执行或调整情况</w:t>
      </w:r>
    </w:p>
    <w:p w:rsidR="00E20B54" w:rsidRDefault="00733C9E">
      <w:pPr>
        <w:spacing w:before="100" w:after="100" w:line="240" w:lineRule="exact"/>
        <w:rPr>
          <w:sz w:val="18"/>
          <w:szCs w:val="18"/>
        </w:rPr>
      </w:pPr>
      <w:r>
        <w:rPr>
          <w:sz w:val="18"/>
          <w:szCs w:val="18"/>
        </w:rPr>
        <w:sym w:font="Wingdings 2" w:char="F052"/>
      </w:r>
      <w:r>
        <w:rPr>
          <w:sz w:val="18"/>
          <w:szCs w:val="18"/>
        </w:rPr>
        <w:t>适用</w:t>
      </w:r>
      <w:r>
        <w:rPr>
          <w:sz w:val="18"/>
          <w:szCs w:val="18"/>
        </w:rPr>
        <w:t xml:space="preserve"> □</w:t>
      </w:r>
      <w:r>
        <w:rPr>
          <w:sz w:val="18"/>
          <w:szCs w:val="18"/>
        </w:rPr>
        <w:t>不适用</w:t>
      </w:r>
    </w:p>
    <w:p w:rsidR="00E20B54" w:rsidRDefault="00733C9E">
      <w:pPr>
        <w:pStyle w:val="a3"/>
        <w:widowControl/>
        <w:spacing w:beforeAutospacing="0" w:afterAutospacing="0" w:line="288" w:lineRule="auto"/>
        <w:ind w:firstLine="420"/>
        <w:jc w:val="both"/>
        <w:rPr>
          <w:sz w:val="21"/>
          <w:szCs w:val="21"/>
        </w:rPr>
      </w:pPr>
      <w:r>
        <w:rPr>
          <w:color w:val="000000"/>
          <w:sz w:val="21"/>
          <w:szCs w:val="21"/>
        </w:rPr>
        <w:t>为进一步完善公司利润分配政策，建立对投资者持续、稳定、科学的回报机制，保持利润分配政策的连续性和稳定性，引导投资者树立长期投资和理性投资理念，公司根据证监会下发的《关于进一步落实上市公司现金分红有关事项的通知》《上市公司监管指引第</w:t>
      </w:r>
      <w:r>
        <w:rPr>
          <w:color w:val="000000"/>
          <w:sz w:val="21"/>
          <w:szCs w:val="21"/>
        </w:rPr>
        <w:t>3</w:t>
      </w:r>
      <w:r>
        <w:rPr>
          <w:color w:val="000000"/>
          <w:sz w:val="21"/>
          <w:szCs w:val="21"/>
        </w:rPr>
        <w:t>号</w:t>
      </w:r>
      <w:r>
        <w:rPr>
          <w:color w:val="000000"/>
          <w:sz w:val="21"/>
          <w:szCs w:val="21"/>
        </w:rPr>
        <w:t>——</w:t>
      </w:r>
      <w:r>
        <w:rPr>
          <w:color w:val="000000"/>
          <w:sz w:val="21"/>
          <w:szCs w:val="21"/>
        </w:rPr>
        <w:t>上市公司现金分红》及《公司章程》有关规定，综合考虑了公司的经营业绩、现金流量、财务状况、业务开展状况和发展前景等重要因</w:t>
      </w:r>
      <w:r>
        <w:rPr>
          <w:color w:val="000000"/>
          <w:sz w:val="21"/>
          <w:szCs w:val="21"/>
        </w:rPr>
        <w:lastRenderedPageBreak/>
        <w:t>素，结合实际情况，编制了公司《未来三年（</w:t>
      </w:r>
      <w:r>
        <w:rPr>
          <w:color w:val="000000"/>
          <w:sz w:val="21"/>
          <w:szCs w:val="21"/>
        </w:rPr>
        <w:t>2025-2027</w:t>
      </w:r>
      <w:r>
        <w:rPr>
          <w:color w:val="000000"/>
          <w:sz w:val="21"/>
          <w:szCs w:val="21"/>
        </w:rPr>
        <w:t>年）股东分红回报规划》，并经</w:t>
      </w:r>
      <w:r>
        <w:rPr>
          <w:color w:val="000000"/>
          <w:sz w:val="21"/>
          <w:szCs w:val="21"/>
        </w:rPr>
        <w:t>2025</w:t>
      </w:r>
      <w:r>
        <w:rPr>
          <w:color w:val="000000"/>
          <w:sz w:val="21"/>
          <w:szCs w:val="21"/>
        </w:rPr>
        <w:t>年</w:t>
      </w:r>
      <w:r>
        <w:rPr>
          <w:color w:val="000000"/>
          <w:sz w:val="21"/>
          <w:szCs w:val="21"/>
        </w:rPr>
        <w:t>4</w:t>
      </w:r>
      <w:r>
        <w:rPr>
          <w:color w:val="000000"/>
          <w:sz w:val="21"/>
          <w:szCs w:val="21"/>
        </w:rPr>
        <w:t>月</w:t>
      </w:r>
      <w:r>
        <w:rPr>
          <w:color w:val="000000"/>
          <w:sz w:val="21"/>
          <w:szCs w:val="21"/>
        </w:rPr>
        <w:t>18</w:t>
      </w:r>
      <w:r>
        <w:rPr>
          <w:color w:val="000000"/>
          <w:sz w:val="21"/>
          <w:szCs w:val="21"/>
        </w:rPr>
        <w:t>日召开的第三届董事会第三十次会议、</w:t>
      </w:r>
      <w:r>
        <w:rPr>
          <w:color w:val="000000"/>
          <w:sz w:val="21"/>
          <w:szCs w:val="21"/>
        </w:rPr>
        <w:t>2025</w:t>
      </w:r>
      <w:r>
        <w:rPr>
          <w:color w:val="000000"/>
          <w:sz w:val="21"/>
          <w:szCs w:val="21"/>
        </w:rPr>
        <w:t>年</w:t>
      </w:r>
      <w:r>
        <w:rPr>
          <w:color w:val="000000"/>
          <w:sz w:val="21"/>
          <w:szCs w:val="21"/>
        </w:rPr>
        <w:t>5</w:t>
      </w:r>
      <w:r>
        <w:rPr>
          <w:color w:val="000000"/>
          <w:sz w:val="21"/>
          <w:szCs w:val="21"/>
        </w:rPr>
        <w:t>月</w:t>
      </w:r>
      <w:r>
        <w:rPr>
          <w:color w:val="000000"/>
          <w:sz w:val="21"/>
          <w:szCs w:val="21"/>
        </w:rPr>
        <w:t>13</w:t>
      </w:r>
      <w:r>
        <w:rPr>
          <w:color w:val="000000"/>
          <w:sz w:val="21"/>
          <w:szCs w:val="21"/>
        </w:rPr>
        <w:t>日召开的</w:t>
      </w:r>
      <w:r>
        <w:rPr>
          <w:color w:val="000000"/>
          <w:sz w:val="21"/>
          <w:szCs w:val="21"/>
        </w:rPr>
        <w:t>2024</w:t>
      </w:r>
      <w:r>
        <w:rPr>
          <w:color w:val="000000"/>
          <w:sz w:val="21"/>
          <w:szCs w:val="21"/>
        </w:rPr>
        <w:t>年年度股东会审议通过。</w:t>
      </w:r>
    </w:p>
    <w:p w:rsidR="00E20B54" w:rsidRDefault="00733C9E">
      <w:pPr>
        <w:pStyle w:val="a3"/>
        <w:widowControl/>
        <w:spacing w:beforeAutospacing="0" w:afterAutospacing="0" w:line="288" w:lineRule="auto"/>
        <w:ind w:firstLine="420"/>
        <w:jc w:val="both"/>
        <w:rPr>
          <w:sz w:val="21"/>
          <w:szCs w:val="21"/>
        </w:rPr>
      </w:pPr>
      <w:r>
        <w:rPr>
          <w:color w:val="000000"/>
          <w:sz w:val="21"/>
          <w:szCs w:val="21"/>
        </w:rPr>
        <w:t>鉴于公司</w:t>
      </w:r>
      <w:r>
        <w:rPr>
          <w:color w:val="000000"/>
          <w:sz w:val="21"/>
          <w:szCs w:val="21"/>
        </w:rPr>
        <w:t>2024</w:t>
      </w:r>
      <w:r>
        <w:rPr>
          <w:color w:val="000000"/>
          <w:sz w:val="21"/>
          <w:szCs w:val="21"/>
        </w:rPr>
        <w:t>年度经审计业绩发生亏损，不满足现金分红的条件，经</w:t>
      </w:r>
      <w:r>
        <w:rPr>
          <w:color w:val="000000"/>
          <w:sz w:val="21"/>
          <w:szCs w:val="21"/>
        </w:rPr>
        <w:t>2025</w:t>
      </w:r>
      <w:r>
        <w:rPr>
          <w:color w:val="000000"/>
          <w:sz w:val="21"/>
          <w:szCs w:val="21"/>
        </w:rPr>
        <w:t>年</w:t>
      </w:r>
      <w:r>
        <w:rPr>
          <w:color w:val="000000"/>
          <w:sz w:val="21"/>
          <w:szCs w:val="21"/>
        </w:rPr>
        <w:t>4</w:t>
      </w:r>
      <w:r>
        <w:rPr>
          <w:color w:val="000000"/>
          <w:sz w:val="21"/>
          <w:szCs w:val="21"/>
        </w:rPr>
        <w:t>月</w:t>
      </w:r>
      <w:r>
        <w:rPr>
          <w:color w:val="000000"/>
          <w:sz w:val="21"/>
          <w:szCs w:val="21"/>
        </w:rPr>
        <w:t>18</w:t>
      </w:r>
      <w:r>
        <w:rPr>
          <w:color w:val="000000"/>
          <w:sz w:val="21"/>
          <w:szCs w:val="21"/>
        </w:rPr>
        <w:t>日召开的第三届董事会第三十次会议、</w:t>
      </w:r>
      <w:r>
        <w:rPr>
          <w:color w:val="000000"/>
          <w:sz w:val="21"/>
          <w:szCs w:val="21"/>
        </w:rPr>
        <w:t>2025</w:t>
      </w:r>
      <w:r>
        <w:rPr>
          <w:color w:val="000000"/>
          <w:sz w:val="21"/>
          <w:szCs w:val="21"/>
        </w:rPr>
        <w:t>年</w:t>
      </w:r>
      <w:r>
        <w:rPr>
          <w:color w:val="000000"/>
          <w:sz w:val="21"/>
          <w:szCs w:val="21"/>
        </w:rPr>
        <w:t>5</w:t>
      </w:r>
      <w:r>
        <w:rPr>
          <w:color w:val="000000"/>
          <w:sz w:val="21"/>
          <w:szCs w:val="21"/>
        </w:rPr>
        <w:t>月</w:t>
      </w:r>
      <w:r>
        <w:rPr>
          <w:color w:val="000000"/>
          <w:sz w:val="21"/>
          <w:szCs w:val="21"/>
        </w:rPr>
        <w:t>13</w:t>
      </w:r>
      <w:r>
        <w:rPr>
          <w:color w:val="000000"/>
          <w:sz w:val="21"/>
          <w:szCs w:val="21"/>
        </w:rPr>
        <w:t>日召开的</w:t>
      </w:r>
      <w:r>
        <w:rPr>
          <w:color w:val="000000"/>
          <w:sz w:val="21"/>
          <w:szCs w:val="21"/>
        </w:rPr>
        <w:t>2024</w:t>
      </w:r>
      <w:r>
        <w:rPr>
          <w:color w:val="000000"/>
          <w:sz w:val="21"/>
          <w:szCs w:val="21"/>
        </w:rPr>
        <w:t>年年度股东会审议通过，公司</w:t>
      </w:r>
      <w:r>
        <w:rPr>
          <w:color w:val="000000"/>
          <w:sz w:val="21"/>
          <w:szCs w:val="21"/>
        </w:rPr>
        <w:t>2024</w:t>
      </w:r>
      <w:r>
        <w:rPr>
          <w:color w:val="000000"/>
          <w:sz w:val="21"/>
          <w:szCs w:val="21"/>
        </w:rPr>
        <w:t>年度不进行利润分配。报告期内，公司未实施权益分派。</w:t>
      </w:r>
      <w:r>
        <w:rPr>
          <w:color w:val="333333"/>
          <w:sz w:val="21"/>
          <w:szCs w:val="21"/>
          <w:shd w:val="clear" w:color="auto" w:fill="FFFFFF"/>
        </w:rPr>
        <w:t>公司已拟定并披露了《未来三年（</w:t>
      </w:r>
      <w:r>
        <w:rPr>
          <w:color w:val="333333"/>
          <w:sz w:val="21"/>
          <w:szCs w:val="21"/>
          <w:shd w:val="clear" w:color="auto" w:fill="FFFFFF"/>
        </w:rPr>
        <w:t>2025-2027</w:t>
      </w:r>
      <w:r>
        <w:rPr>
          <w:color w:val="333333"/>
          <w:sz w:val="21"/>
          <w:szCs w:val="21"/>
          <w:shd w:val="clear" w:color="auto" w:fill="FFFFFF"/>
        </w:rPr>
        <w:t>年）股东分红回报规划》，将结合经营情况，增强投资者回报水平。</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4820"/>
        <w:gridCol w:w="4819"/>
      </w:tblGrid>
      <w:tr w:rsidR="00E20B54">
        <w:trPr>
          <w:trHeight w:val="240"/>
        </w:trPr>
        <w:tc>
          <w:tcPr>
            <w:tcW w:w="9639"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现金分红政策的专项说明</w:t>
            </w:r>
          </w:p>
        </w:tc>
      </w:tr>
      <w:tr w:rsidR="00E20B54">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是否符合公司章程的规定或股东会决议的要求：</w:t>
            </w:r>
          </w:p>
        </w:tc>
        <w:tc>
          <w:tcPr>
            <w:tcW w:w="482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是</w:t>
            </w:r>
          </w:p>
        </w:tc>
      </w:tr>
      <w:tr w:rsidR="00E20B54">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分红标准和比例是否明确和清晰：</w:t>
            </w:r>
          </w:p>
        </w:tc>
        <w:tc>
          <w:tcPr>
            <w:tcW w:w="482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是</w:t>
            </w:r>
          </w:p>
        </w:tc>
      </w:tr>
      <w:tr w:rsidR="00E20B54">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相关的决策程序和机制是否完备：</w:t>
            </w:r>
          </w:p>
        </w:tc>
        <w:tc>
          <w:tcPr>
            <w:tcW w:w="482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是</w:t>
            </w:r>
          </w:p>
        </w:tc>
      </w:tr>
      <w:tr w:rsidR="00E20B54">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独立董事是否履职尽责并发挥了应有的作用：</w:t>
            </w:r>
          </w:p>
        </w:tc>
        <w:tc>
          <w:tcPr>
            <w:tcW w:w="482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是</w:t>
            </w:r>
          </w:p>
        </w:tc>
      </w:tr>
      <w:tr w:rsidR="00E20B54">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公司未进行现金分红的，应当披露具体原因，以及下一步为增强投资者回报水平拟采取的举措：</w:t>
            </w:r>
          </w:p>
        </w:tc>
        <w:tc>
          <w:tcPr>
            <w:tcW w:w="482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公司</w:t>
            </w:r>
            <w:r>
              <w:rPr>
                <w:sz w:val="18"/>
                <w:szCs w:val="18"/>
              </w:rPr>
              <w:t>2024</w:t>
            </w:r>
            <w:r>
              <w:rPr>
                <w:sz w:val="18"/>
                <w:szCs w:val="18"/>
              </w:rPr>
              <w:t>年度﻿经审计业绩发生亏损，不满足现金分红的条件。经</w:t>
            </w:r>
            <w:r>
              <w:rPr>
                <w:sz w:val="18"/>
                <w:szCs w:val="18"/>
              </w:rPr>
              <w:t>2025</w:t>
            </w:r>
            <w:r>
              <w:rPr>
                <w:sz w:val="18"/>
                <w:szCs w:val="18"/>
              </w:rPr>
              <w:t>年</w:t>
            </w:r>
            <w:r>
              <w:rPr>
                <w:sz w:val="18"/>
                <w:szCs w:val="18"/>
              </w:rPr>
              <w:t>4</w:t>
            </w:r>
            <w:r>
              <w:rPr>
                <w:sz w:val="18"/>
                <w:szCs w:val="18"/>
              </w:rPr>
              <w:t>月</w:t>
            </w:r>
            <w:r>
              <w:rPr>
                <w:sz w:val="18"/>
                <w:szCs w:val="18"/>
              </w:rPr>
              <w:t>18</w:t>
            </w:r>
            <w:r>
              <w:rPr>
                <w:sz w:val="18"/>
                <w:szCs w:val="18"/>
              </w:rPr>
              <w:t>日召开的第三届董事会第三十次会议、</w:t>
            </w:r>
            <w:r>
              <w:rPr>
                <w:sz w:val="18"/>
                <w:szCs w:val="18"/>
              </w:rPr>
              <w:t>2025</w:t>
            </w:r>
            <w:r>
              <w:rPr>
                <w:sz w:val="18"/>
                <w:szCs w:val="18"/>
              </w:rPr>
              <w:t>年</w:t>
            </w:r>
            <w:r>
              <w:rPr>
                <w:sz w:val="18"/>
                <w:szCs w:val="18"/>
              </w:rPr>
              <w:t>5</w:t>
            </w:r>
            <w:r>
              <w:rPr>
                <w:sz w:val="18"/>
                <w:szCs w:val="18"/>
              </w:rPr>
              <w:t>月</w:t>
            </w:r>
            <w:r>
              <w:rPr>
                <w:sz w:val="18"/>
                <w:szCs w:val="18"/>
              </w:rPr>
              <w:t>13</w:t>
            </w:r>
            <w:r>
              <w:rPr>
                <w:sz w:val="18"/>
                <w:szCs w:val="18"/>
              </w:rPr>
              <w:t>日召开的</w:t>
            </w:r>
            <w:r>
              <w:rPr>
                <w:sz w:val="18"/>
                <w:szCs w:val="18"/>
              </w:rPr>
              <w:t>2024</w:t>
            </w:r>
            <w:r>
              <w:rPr>
                <w:sz w:val="18"/>
                <w:szCs w:val="18"/>
              </w:rPr>
              <w:t>年年度股东会审议通过，公司</w:t>
            </w:r>
            <w:r>
              <w:rPr>
                <w:sz w:val="18"/>
                <w:szCs w:val="18"/>
              </w:rPr>
              <w:t>2024</w:t>
            </w:r>
            <w:r>
              <w:rPr>
                <w:sz w:val="18"/>
                <w:szCs w:val="18"/>
              </w:rPr>
              <w:t>年度不进行利润分配。报告期内，公司未实施权益分派。</w:t>
            </w:r>
          </w:p>
          <w:p w:rsidR="00E20B54" w:rsidRDefault="00733C9E">
            <w:pPr>
              <w:spacing w:line="240" w:lineRule="exact"/>
              <w:rPr>
                <w:sz w:val="18"/>
                <w:szCs w:val="18"/>
              </w:rPr>
            </w:pPr>
            <w:r>
              <w:rPr>
                <w:sz w:val="18"/>
                <w:szCs w:val="18"/>
              </w:rPr>
              <w:t>公司已拟定并披露了《未来三年（</w:t>
            </w:r>
            <w:r>
              <w:rPr>
                <w:sz w:val="18"/>
                <w:szCs w:val="18"/>
              </w:rPr>
              <w:t>2025-2027</w:t>
            </w:r>
            <w:r>
              <w:rPr>
                <w:sz w:val="18"/>
                <w:szCs w:val="18"/>
              </w:rPr>
              <w:t>年）股东分红回报规划》，将结合经营情况，增强投资者回报水平。</w:t>
            </w:r>
          </w:p>
        </w:tc>
      </w:tr>
      <w:tr w:rsidR="00E20B54">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中小股东是否有充分表达意见和诉求的机会，其合法权益是否得到了充分保护：</w:t>
            </w:r>
          </w:p>
        </w:tc>
        <w:tc>
          <w:tcPr>
            <w:tcW w:w="482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有</w:t>
            </w:r>
          </w:p>
        </w:tc>
      </w:tr>
      <w:tr w:rsidR="00E20B54">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现金分红政策进行调整或变更的，条件及程序是否合规、透明：</w:t>
            </w:r>
          </w:p>
        </w:tc>
        <w:tc>
          <w:tcPr>
            <w:tcW w:w="482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不适用。</w:t>
            </w:r>
          </w:p>
        </w:tc>
      </w:tr>
    </w:tbl>
    <w:p w:rsidR="00E20B54" w:rsidRDefault="00733C9E">
      <w:pPr>
        <w:spacing w:before="100" w:after="100" w:line="240" w:lineRule="exact"/>
        <w:rPr>
          <w:sz w:val="18"/>
          <w:szCs w:val="18"/>
        </w:rPr>
      </w:pPr>
      <w:r>
        <w:rPr>
          <w:sz w:val="18"/>
          <w:szCs w:val="18"/>
        </w:rPr>
        <w:t>公司报告期利润分配预案及资本公积金转增股本预案与公司章程和分红管理办法等的相关规定一致</w:t>
      </w:r>
    </w:p>
    <w:p w:rsidR="00E20B54" w:rsidRDefault="00733C9E">
      <w:pPr>
        <w:spacing w:before="100" w:after="100" w:line="240" w:lineRule="exact"/>
        <w:rPr>
          <w:sz w:val="18"/>
          <w:szCs w:val="18"/>
        </w:rPr>
      </w:pPr>
      <w:r>
        <w:rPr>
          <w:sz w:val="18"/>
          <w:szCs w:val="18"/>
        </w:rPr>
        <w:sym w:font="Wingdings 2" w:char="F052"/>
      </w:r>
      <w:r>
        <w:rPr>
          <w:sz w:val="18"/>
          <w:szCs w:val="18"/>
        </w:rPr>
        <w:t>是</w:t>
      </w:r>
      <w:r>
        <w:rPr>
          <w:sz w:val="18"/>
          <w:szCs w:val="18"/>
        </w:rPr>
        <w:t xml:space="preserve"> □</w:t>
      </w:r>
      <w:r>
        <w:rPr>
          <w:sz w:val="18"/>
          <w:szCs w:val="18"/>
        </w:rPr>
        <w:t>否</w:t>
      </w:r>
      <w:r>
        <w:rPr>
          <w:sz w:val="18"/>
          <w:szCs w:val="18"/>
        </w:rPr>
        <w:t xml:space="preserve"> □</w:t>
      </w:r>
      <w:r>
        <w:rPr>
          <w:sz w:val="18"/>
          <w:szCs w:val="18"/>
        </w:rPr>
        <w:t>不适用</w:t>
      </w:r>
    </w:p>
    <w:p w:rsidR="00E20B54" w:rsidRDefault="00733C9E">
      <w:pPr>
        <w:spacing w:before="100" w:after="100" w:line="240" w:lineRule="exact"/>
        <w:rPr>
          <w:sz w:val="18"/>
          <w:szCs w:val="18"/>
        </w:rPr>
      </w:pPr>
      <w:r>
        <w:rPr>
          <w:sz w:val="18"/>
          <w:szCs w:val="18"/>
        </w:rPr>
        <w:t>公司报告期利润分配预案及资本公积金转增股本预案符合公司章程等的相关规定。</w:t>
      </w:r>
    </w:p>
    <w:p w:rsidR="00E20B54" w:rsidRDefault="00733C9E">
      <w:pPr>
        <w:spacing w:line="240" w:lineRule="exact"/>
        <w:rPr>
          <w:sz w:val="18"/>
          <w:szCs w:val="18"/>
        </w:rPr>
      </w:pPr>
      <w:r>
        <w:rPr>
          <w:sz w:val="18"/>
          <w:szCs w:val="18"/>
        </w:rPr>
        <w:t>本年度利润分配及资本公积金转增股本情况</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4820"/>
        <w:gridCol w:w="4819"/>
      </w:tblGrid>
      <w:tr w:rsidR="00E20B54">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每</w:t>
            </w:r>
            <w:r>
              <w:rPr>
                <w:sz w:val="18"/>
                <w:szCs w:val="18"/>
              </w:rPr>
              <w:t>10</w:t>
            </w:r>
            <w:r>
              <w:rPr>
                <w:sz w:val="18"/>
                <w:szCs w:val="18"/>
              </w:rPr>
              <w:t>股送红股数（股）</w:t>
            </w:r>
          </w:p>
        </w:tc>
        <w:tc>
          <w:tcPr>
            <w:tcW w:w="482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w:t>
            </w:r>
          </w:p>
        </w:tc>
      </w:tr>
      <w:tr w:rsidR="00E20B54">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每</w:t>
            </w:r>
            <w:r>
              <w:rPr>
                <w:sz w:val="18"/>
                <w:szCs w:val="18"/>
              </w:rPr>
              <w:t>10</w:t>
            </w:r>
            <w:r>
              <w:rPr>
                <w:sz w:val="18"/>
                <w:szCs w:val="18"/>
              </w:rPr>
              <w:t>股派息数（元）（含税）</w:t>
            </w:r>
          </w:p>
        </w:tc>
        <w:tc>
          <w:tcPr>
            <w:tcW w:w="482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0.5</w:t>
            </w:r>
          </w:p>
        </w:tc>
      </w:tr>
      <w:tr w:rsidR="00E20B54">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每</w:t>
            </w:r>
            <w:r>
              <w:rPr>
                <w:sz w:val="18"/>
                <w:szCs w:val="18"/>
              </w:rPr>
              <w:t>10</w:t>
            </w:r>
            <w:r>
              <w:rPr>
                <w:sz w:val="18"/>
                <w:szCs w:val="18"/>
              </w:rPr>
              <w:t>股转增数（股）</w:t>
            </w:r>
          </w:p>
        </w:tc>
        <w:tc>
          <w:tcPr>
            <w:tcW w:w="482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w:t>
            </w:r>
          </w:p>
        </w:tc>
      </w:tr>
      <w:tr w:rsidR="00E20B54">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分配预案的股本基数（股）</w:t>
            </w:r>
          </w:p>
        </w:tc>
        <w:tc>
          <w:tcPr>
            <w:tcW w:w="482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65,628,660</w:t>
            </w:r>
          </w:p>
        </w:tc>
      </w:tr>
      <w:tr w:rsidR="00E20B54">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现金分红金额（元）（含税）</w:t>
            </w:r>
          </w:p>
        </w:tc>
        <w:tc>
          <w:tcPr>
            <w:tcW w:w="482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3,281,433.00</w:t>
            </w:r>
          </w:p>
        </w:tc>
      </w:tr>
      <w:tr w:rsidR="00E20B54">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以其他方式（如回购股份）现金分红金额（元）</w:t>
            </w:r>
          </w:p>
        </w:tc>
        <w:tc>
          <w:tcPr>
            <w:tcW w:w="482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0.00</w:t>
            </w:r>
          </w:p>
        </w:tc>
      </w:tr>
      <w:tr w:rsidR="00E20B54">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现金分红总额（含其他方式）（元）</w:t>
            </w:r>
          </w:p>
        </w:tc>
        <w:tc>
          <w:tcPr>
            <w:tcW w:w="482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3,281,433.00</w:t>
            </w:r>
          </w:p>
        </w:tc>
      </w:tr>
      <w:tr w:rsidR="00E20B54">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可分配利润（元）</w:t>
            </w:r>
          </w:p>
        </w:tc>
        <w:tc>
          <w:tcPr>
            <w:tcW w:w="482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100,436,470.67</w:t>
            </w:r>
          </w:p>
        </w:tc>
      </w:tr>
      <w:tr w:rsidR="00E20B54">
        <w:trPr>
          <w:trHeight w:val="240"/>
        </w:trPr>
        <w:tc>
          <w:tcPr>
            <w:tcW w:w="9639"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本次现金分红情况</w:t>
            </w:r>
          </w:p>
        </w:tc>
      </w:tr>
      <w:tr w:rsidR="00E20B54">
        <w:trPr>
          <w:trHeight w:val="240"/>
        </w:trPr>
        <w:tc>
          <w:tcPr>
            <w:tcW w:w="9639" w:type="dxa"/>
            <w:gridSpan w:val="2"/>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公司发展阶段属成长期且有重大资金支出安排的，进行利润分配时，现金分红在本次利润分配中所占比例最低应达到</w:t>
            </w:r>
            <w:r>
              <w:rPr>
                <w:sz w:val="18"/>
                <w:szCs w:val="18"/>
              </w:rPr>
              <w:t>20</w:t>
            </w:r>
            <w:r>
              <w:rPr>
                <w:sz w:val="18"/>
                <w:szCs w:val="18"/>
              </w:rPr>
              <w:t>％</w:t>
            </w:r>
          </w:p>
        </w:tc>
      </w:tr>
      <w:tr w:rsidR="00E20B54">
        <w:trPr>
          <w:trHeight w:val="240"/>
        </w:trPr>
        <w:tc>
          <w:tcPr>
            <w:tcW w:w="9639"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利润分配或资本公积金转增预案的详细情况说明</w:t>
            </w:r>
          </w:p>
        </w:tc>
      </w:tr>
      <w:tr w:rsidR="00E20B54">
        <w:trPr>
          <w:trHeight w:val="240"/>
        </w:trPr>
        <w:tc>
          <w:tcPr>
            <w:tcW w:w="9639" w:type="dxa"/>
            <w:gridSpan w:val="2"/>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（一）本次利润分配和资本公积金转增股本方案的基本内容</w:t>
            </w:r>
          </w:p>
          <w:p w:rsidR="00E20B54" w:rsidRDefault="00733C9E">
            <w:pPr>
              <w:spacing w:line="240" w:lineRule="exact"/>
              <w:rPr>
                <w:sz w:val="18"/>
                <w:szCs w:val="18"/>
              </w:rPr>
            </w:pPr>
            <w:r>
              <w:rPr>
                <w:sz w:val="18"/>
                <w:szCs w:val="18"/>
              </w:rPr>
              <w:t>1.</w:t>
            </w:r>
            <w:r>
              <w:rPr>
                <w:sz w:val="18"/>
                <w:szCs w:val="18"/>
              </w:rPr>
              <w:t>本次利润分配预案为</w:t>
            </w:r>
            <w:r>
              <w:rPr>
                <w:sz w:val="18"/>
                <w:szCs w:val="18"/>
              </w:rPr>
              <w:t>2025</w:t>
            </w:r>
            <w:r>
              <w:rPr>
                <w:sz w:val="18"/>
                <w:szCs w:val="18"/>
              </w:rPr>
              <w:t>年度利润分配。</w:t>
            </w:r>
          </w:p>
          <w:p w:rsidR="00E20B54" w:rsidRDefault="00733C9E">
            <w:pPr>
              <w:spacing w:line="240" w:lineRule="exact"/>
              <w:rPr>
                <w:sz w:val="18"/>
                <w:szCs w:val="18"/>
              </w:rPr>
            </w:pPr>
            <w:r>
              <w:rPr>
                <w:sz w:val="18"/>
                <w:szCs w:val="18"/>
              </w:rPr>
              <w:t>2.</w:t>
            </w:r>
            <w:r>
              <w:rPr>
                <w:sz w:val="18"/>
                <w:szCs w:val="18"/>
              </w:rPr>
              <w:t>按照《公司法》和公司章程规定，公司不存在需要弥补亏损、提取法定公积金、提取任意公积金的情况。</w:t>
            </w:r>
          </w:p>
          <w:p w:rsidR="00E20B54" w:rsidRDefault="00733C9E">
            <w:pPr>
              <w:spacing w:line="240" w:lineRule="exact"/>
              <w:rPr>
                <w:sz w:val="18"/>
                <w:szCs w:val="18"/>
              </w:rPr>
            </w:pPr>
            <w:r>
              <w:rPr>
                <w:sz w:val="18"/>
                <w:szCs w:val="18"/>
              </w:rPr>
              <w:t>经中审亚太会计师事务所（特殊普通合伙）审计，天亿马母公司</w:t>
            </w:r>
            <w:r>
              <w:rPr>
                <w:sz w:val="18"/>
                <w:szCs w:val="18"/>
              </w:rPr>
              <w:t>2025</w:t>
            </w:r>
            <w:r>
              <w:rPr>
                <w:sz w:val="18"/>
                <w:szCs w:val="18"/>
              </w:rPr>
              <w:t>年审实现净利润为</w:t>
            </w:r>
            <w:r>
              <w:rPr>
                <w:sz w:val="18"/>
                <w:szCs w:val="18"/>
              </w:rPr>
              <w:t>-1,672,085.66</w:t>
            </w:r>
            <w:r>
              <w:rPr>
                <w:sz w:val="18"/>
                <w:szCs w:val="18"/>
              </w:rPr>
              <w:t>元，加上期初未分配利润</w:t>
            </w:r>
            <w:r>
              <w:rPr>
                <w:sz w:val="18"/>
                <w:szCs w:val="18"/>
              </w:rPr>
              <w:t>102,082,956.33</w:t>
            </w:r>
            <w:r>
              <w:rPr>
                <w:sz w:val="18"/>
                <w:szCs w:val="18"/>
              </w:rPr>
              <w:t>元，报告期末实际可分配利润为</w:t>
            </w:r>
            <w:r>
              <w:rPr>
                <w:sz w:val="18"/>
                <w:szCs w:val="18"/>
              </w:rPr>
              <w:t>100,436,470.67</w:t>
            </w:r>
            <w:r>
              <w:rPr>
                <w:sz w:val="18"/>
                <w:szCs w:val="18"/>
              </w:rPr>
              <w:t>元，资本公积金余额为</w:t>
            </w:r>
            <w:r>
              <w:rPr>
                <w:sz w:val="18"/>
                <w:szCs w:val="18"/>
              </w:rPr>
              <w:t>605,387,759.48</w:t>
            </w:r>
            <w:r>
              <w:rPr>
                <w:sz w:val="18"/>
                <w:szCs w:val="18"/>
              </w:rPr>
              <w:t>元；公司合并报表实际可分配的未分配利润为</w:t>
            </w:r>
            <w:r>
              <w:rPr>
                <w:sz w:val="18"/>
                <w:szCs w:val="18"/>
              </w:rPr>
              <w:t>127,798,551.42</w:t>
            </w:r>
            <w:r>
              <w:rPr>
                <w:sz w:val="18"/>
                <w:szCs w:val="18"/>
              </w:rPr>
              <w:t>元。根据利润分配应以母公司的可供分配利润及合并报表的可供分配利润孰低原则，公司</w:t>
            </w:r>
            <w:r>
              <w:rPr>
                <w:sz w:val="18"/>
                <w:szCs w:val="18"/>
              </w:rPr>
              <w:t>2025</w:t>
            </w:r>
            <w:r>
              <w:rPr>
                <w:sz w:val="18"/>
                <w:szCs w:val="18"/>
              </w:rPr>
              <w:t>年度可供股东分配的利润为</w:t>
            </w:r>
            <w:r>
              <w:rPr>
                <w:sz w:val="18"/>
                <w:szCs w:val="18"/>
              </w:rPr>
              <w:t>100,436,470.67</w:t>
            </w:r>
            <w:r>
              <w:rPr>
                <w:sz w:val="18"/>
                <w:szCs w:val="18"/>
              </w:rPr>
              <w:t>元。</w:t>
            </w:r>
          </w:p>
          <w:p w:rsidR="00E20B54" w:rsidRDefault="00733C9E">
            <w:pPr>
              <w:spacing w:line="240" w:lineRule="exact"/>
              <w:rPr>
                <w:sz w:val="18"/>
                <w:szCs w:val="18"/>
              </w:rPr>
            </w:pPr>
            <w:r>
              <w:rPr>
                <w:sz w:val="18"/>
                <w:szCs w:val="18"/>
              </w:rPr>
              <w:t>3.</w:t>
            </w:r>
            <w:r>
              <w:rPr>
                <w:sz w:val="18"/>
                <w:szCs w:val="18"/>
              </w:rPr>
              <w:t>根据公司实际经营状况，</w:t>
            </w:r>
            <w:r>
              <w:rPr>
                <w:sz w:val="18"/>
                <w:szCs w:val="18"/>
              </w:rPr>
              <w:t>2025</w:t>
            </w:r>
            <w:r>
              <w:rPr>
                <w:sz w:val="18"/>
                <w:szCs w:val="18"/>
              </w:rPr>
              <w:t>年度以</w:t>
            </w:r>
            <w:r>
              <w:rPr>
                <w:sz w:val="18"/>
                <w:szCs w:val="18"/>
              </w:rPr>
              <w:t>2025</w:t>
            </w:r>
            <w:r>
              <w:rPr>
                <w:sz w:val="18"/>
                <w:szCs w:val="18"/>
              </w:rPr>
              <w:t>年</w:t>
            </w:r>
            <w:r>
              <w:rPr>
                <w:sz w:val="18"/>
                <w:szCs w:val="18"/>
              </w:rPr>
              <w:t>12</w:t>
            </w:r>
            <w:r>
              <w:rPr>
                <w:sz w:val="18"/>
                <w:szCs w:val="18"/>
              </w:rPr>
              <w:t>月</w:t>
            </w:r>
            <w:r>
              <w:rPr>
                <w:sz w:val="18"/>
                <w:szCs w:val="18"/>
              </w:rPr>
              <w:t>31</w:t>
            </w:r>
            <w:r>
              <w:rPr>
                <w:sz w:val="18"/>
                <w:szCs w:val="18"/>
              </w:rPr>
              <w:t>日的总股本扣除回购账户所持有股份后的每</w:t>
            </w:r>
            <w:r>
              <w:rPr>
                <w:sz w:val="18"/>
                <w:szCs w:val="18"/>
              </w:rPr>
              <w:t>10</w:t>
            </w:r>
            <w:r>
              <w:rPr>
                <w:sz w:val="18"/>
                <w:szCs w:val="18"/>
              </w:rPr>
              <w:t>股派发现金</w:t>
            </w:r>
            <w:r>
              <w:rPr>
                <w:sz w:val="18"/>
                <w:szCs w:val="18"/>
              </w:rPr>
              <w:t>0.5</w:t>
            </w:r>
            <w:r>
              <w:rPr>
                <w:sz w:val="18"/>
                <w:szCs w:val="18"/>
              </w:rPr>
              <w:t>元，以资本公积金每</w:t>
            </w:r>
            <w:r>
              <w:rPr>
                <w:sz w:val="18"/>
                <w:szCs w:val="18"/>
              </w:rPr>
              <w:t>10</w:t>
            </w:r>
            <w:r>
              <w:rPr>
                <w:sz w:val="18"/>
                <w:szCs w:val="18"/>
              </w:rPr>
              <w:t>股转增</w:t>
            </w:r>
            <w:r>
              <w:rPr>
                <w:sz w:val="18"/>
                <w:szCs w:val="18"/>
              </w:rPr>
              <w:t>4</w:t>
            </w:r>
            <w:r>
              <w:rPr>
                <w:sz w:val="18"/>
                <w:szCs w:val="18"/>
              </w:rPr>
              <w:t>股，不送红股。本次预计现金分红总额</w:t>
            </w:r>
            <w:r>
              <w:rPr>
                <w:sz w:val="18"/>
                <w:szCs w:val="18"/>
              </w:rPr>
              <w:t>3,281,433.00</w:t>
            </w:r>
            <w:r>
              <w:rPr>
                <w:sz w:val="18"/>
                <w:szCs w:val="18"/>
              </w:rPr>
              <w:t>元（含税）。</w:t>
            </w:r>
          </w:p>
          <w:p w:rsidR="00E20B54" w:rsidRDefault="00733C9E">
            <w:pPr>
              <w:spacing w:line="240" w:lineRule="exact"/>
              <w:rPr>
                <w:sz w:val="18"/>
                <w:szCs w:val="18"/>
              </w:rPr>
            </w:pPr>
            <w:r>
              <w:rPr>
                <w:sz w:val="18"/>
                <w:szCs w:val="18"/>
              </w:rPr>
              <w:lastRenderedPageBreak/>
              <w:t>4.2025</w:t>
            </w:r>
            <w:r>
              <w:rPr>
                <w:sz w:val="18"/>
                <w:szCs w:val="18"/>
              </w:rPr>
              <w:t>年度累计分红总额为</w:t>
            </w:r>
            <w:r>
              <w:rPr>
                <w:sz w:val="18"/>
                <w:szCs w:val="18"/>
              </w:rPr>
              <w:t>3,281,433.00</w:t>
            </w:r>
            <w:r>
              <w:rPr>
                <w:sz w:val="18"/>
                <w:szCs w:val="18"/>
              </w:rPr>
              <w:t>元（含税），占本年度母公司净利润的</w:t>
            </w:r>
            <w:r>
              <w:rPr>
                <w:sz w:val="18"/>
                <w:szCs w:val="18"/>
              </w:rPr>
              <w:t>196.25%</w:t>
            </w:r>
            <w:r>
              <w:rPr>
                <w:sz w:val="18"/>
                <w:szCs w:val="18"/>
              </w:rPr>
              <w:t>；以现金为对价，采用集中竞价方式回购股份并注销的回购金额为</w:t>
            </w:r>
            <w:r>
              <w:rPr>
                <w:sz w:val="18"/>
                <w:szCs w:val="18"/>
              </w:rPr>
              <w:t>0</w:t>
            </w:r>
            <w:r>
              <w:rPr>
                <w:sz w:val="18"/>
                <w:szCs w:val="18"/>
              </w:rPr>
              <w:t>元，现金分红和回购并注销金额合计</w:t>
            </w:r>
            <w:r>
              <w:rPr>
                <w:sz w:val="18"/>
                <w:szCs w:val="18"/>
              </w:rPr>
              <w:t>3,281,433.00</w:t>
            </w:r>
            <w:r>
              <w:rPr>
                <w:sz w:val="18"/>
                <w:szCs w:val="18"/>
              </w:rPr>
              <w:t>元（含税），占本年度上市公司股东净利润的</w:t>
            </w:r>
            <w:r>
              <w:rPr>
                <w:sz w:val="18"/>
                <w:szCs w:val="18"/>
              </w:rPr>
              <w:t>44.38%</w:t>
            </w:r>
            <w:r>
              <w:rPr>
                <w:sz w:val="18"/>
                <w:szCs w:val="18"/>
              </w:rPr>
              <w:t>。</w:t>
            </w:r>
          </w:p>
          <w:p w:rsidR="00E20B54" w:rsidRDefault="00733C9E">
            <w:pPr>
              <w:spacing w:line="240" w:lineRule="exact"/>
              <w:rPr>
                <w:sz w:val="18"/>
                <w:szCs w:val="18"/>
              </w:rPr>
            </w:pPr>
            <w:r>
              <w:rPr>
                <w:sz w:val="18"/>
                <w:szCs w:val="18"/>
              </w:rPr>
              <w:t>5.</w:t>
            </w:r>
            <w:r>
              <w:rPr>
                <w:sz w:val="18"/>
                <w:szCs w:val="18"/>
              </w:rPr>
              <w:t>本次利润分配实施后，公司总股本将由</w:t>
            </w:r>
            <w:r>
              <w:rPr>
                <w:sz w:val="18"/>
                <w:szCs w:val="18"/>
              </w:rPr>
              <w:t>66,852,800</w:t>
            </w:r>
            <w:r>
              <w:rPr>
                <w:sz w:val="18"/>
                <w:szCs w:val="18"/>
              </w:rPr>
              <w:t>股增加至</w:t>
            </w:r>
            <w:r>
              <w:rPr>
                <w:sz w:val="18"/>
                <w:szCs w:val="18"/>
              </w:rPr>
              <w:t>93,104,264</w:t>
            </w:r>
            <w:r>
              <w:rPr>
                <w:sz w:val="18"/>
                <w:szCs w:val="18"/>
              </w:rPr>
              <w:t>股。</w:t>
            </w:r>
          </w:p>
          <w:p w:rsidR="00E20B54" w:rsidRDefault="00733C9E">
            <w:pPr>
              <w:spacing w:line="240" w:lineRule="exact"/>
              <w:rPr>
                <w:sz w:val="18"/>
                <w:szCs w:val="18"/>
              </w:rPr>
            </w:pPr>
            <w:r>
              <w:rPr>
                <w:sz w:val="18"/>
                <w:szCs w:val="18"/>
              </w:rPr>
              <w:t>(</w:t>
            </w:r>
            <w:r>
              <w:rPr>
                <w:sz w:val="18"/>
                <w:szCs w:val="18"/>
              </w:rPr>
              <w:t>二）本次利润分配方案调整原则</w:t>
            </w:r>
          </w:p>
          <w:p w:rsidR="00E20B54" w:rsidRDefault="00733C9E">
            <w:pPr>
              <w:spacing w:line="240" w:lineRule="exact"/>
              <w:rPr>
                <w:sz w:val="18"/>
                <w:szCs w:val="18"/>
              </w:rPr>
            </w:pPr>
            <w:r>
              <w:rPr>
                <w:sz w:val="18"/>
                <w:szCs w:val="18"/>
              </w:rPr>
              <w:t>若在利润分配方案公告后至实施前，公司出现股权激励行权、股份回购等股本总额发生变动情形时，将按照</w:t>
            </w:r>
            <w:r>
              <w:rPr>
                <w:sz w:val="18"/>
                <w:szCs w:val="18"/>
              </w:rPr>
              <w:t>“</w:t>
            </w:r>
            <w:r>
              <w:rPr>
                <w:sz w:val="18"/>
                <w:szCs w:val="18"/>
              </w:rPr>
              <w:t>现金分红总额、资本公积金转增股本总额固定不变</w:t>
            </w:r>
            <w:r>
              <w:rPr>
                <w:sz w:val="18"/>
                <w:szCs w:val="18"/>
              </w:rPr>
              <w:t>”</w:t>
            </w:r>
            <w:r>
              <w:rPr>
                <w:sz w:val="18"/>
                <w:szCs w:val="18"/>
              </w:rPr>
              <w:t>的原则对分配比例进行调整。</w:t>
            </w:r>
          </w:p>
          <w:p w:rsidR="00E20B54" w:rsidRDefault="00733C9E">
            <w:pPr>
              <w:spacing w:line="240" w:lineRule="exact"/>
              <w:rPr>
                <w:sz w:val="18"/>
                <w:szCs w:val="18"/>
              </w:rPr>
            </w:pPr>
            <w:r>
              <w:rPr>
                <w:sz w:val="18"/>
                <w:szCs w:val="18"/>
              </w:rPr>
              <w:t>（三）审议程序</w:t>
            </w:r>
          </w:p>
          <w:p w:rsidR="00E20B54" w:rsidRDefault="00733C9E">
            <w:pPr>
              <w:spacing w:line="240" w:lineRule="exact"/>
              <w:rPr>
                <w:sz w:val="18"/>
                <w:szCs w:val="18"/>
              </w:rPr>
            </w:pPr>
            <w:r>
              <w:rPr>
                <w:sz w:val="18"/>
                <w:szCs w:val="18"/>
              </w:rPr>
              <w:t>1.</w:t>
            </w:r>
            <w:r>
              <w:rPr>
                <w:sz w:val="18"/>
                <w:szCs w:val="18"/>
              </w:rPr>
              <w:t>独立董事专门会议审议情况</w:t>
            </w:r>
          </w:p>
          <w:p w:rsidR="00E20B54" w:rsidRDefault="00733C9E">
            <w:pPr>
              <w:spacing w:line="240" w:lineRule="exact"/>
              <w:rPr>
                <w:sz w:val="18"/>
                <w:szCs w:val="18"/>
              </w:rPr>
            </w:pPr>
            <w:r>
              <w:rPr>
                <w:sz w:val="18"/>
                <w:szCs w:val="18"/>
              </w:rPr>
              <w:t>公司董事会于</w:t>
            </w:r>
            <w:r>
              <w:rPr>
                <w:sz w:val="18"/>
                <w:szCs w:val="18"/>
              </w:rPr>
              <w:t>2026</w:t>
            </w:r>
            <w:r>
              <w:rPr>
                <w:sz w:val="18"/>
                <w:szCs w:val="18"/>
              </w:rPr>
              <w:t>年</w:t>
            </w:r>
            <w:r>
              <w:rPr>
                <w:sz w:val="18"/>
                <w:szCs w:val="18"/>
              </w:rPr>
              <w:t>3</w:t>
            </w:r>
            <w:r>
              <w:rPr>
                <w:sz w:val="18"/>
                <w:szCs w:val="18"/>
              </w:rPr>
              <w:t>月</w:t>
            </w:r>
            <w:r>
              <w:rPr>
                <w:sz w:val="18"/>
                <w:szCs w:val="18"/>
              </w:rPr>
              <w:t>29</w:t>
            </w:r>
            <w:r>
              <w:rPr>
                <w:sz w:val="18"/>
                <w:szCs w:val="18"/>
              </w:rPr>
              <w:t>日召开了第四届董事会第二次独立董事专门会议，以</w:t>
            </w:r>
            <w:r>
              <w:rPr>
                <w:sz w:val="18"/>
                <w:szCs w:val="18"/>
              </w:rPr>
              <w:t>3</w:t>
            </w:r>
            <w:r>
              <w:rPr>
                <w:sz w:val="18"/>
                <w:szCs w:val="18"/>
              </w:rPr>
              <w:t>票同意、</w:t>
            </w:r>
            <w:r>
              <w:rPr>
                <w:sz w:val="18"/>
                <w:szCs w:val="18"/>
              </w:rPr>
              <w:t>0</w:t>
            </w:r>
            <w:r>
              <w:rPr>
                <w:sz w:val="18"/>
                <w:szCs w:val="18"/>
              </w:rPr>
              <w:t>票反对、</w:t>
            </w:r>
            <w:r>
              <w:rPr>
                <w:sz w:val="18"/>
                <w:szCs w:val="18"/>
              </w:rPr>
              <w:t>0</w:t>
            </w:r>
            <w:r>
              <w:rPr>
                <w:sz w:val="18"/>
                <w:szCs w:val="18"/>
              </w:rPr>
              <w:t>票弃权审议通过了《关于</w:t>
            </w:r>
            <w:r>
              <w:rPr>
                <w:sz w:val="18"/>
                <w:szCs w:val="18"/>
              </w:rPr>
              <w:t>2025</w:t>
            </w:r>
            <w:r>
              <w:rPr>
                <w:sz w:val="18"/>
                <w:szCs w:val="18"/>
              </w:rPr>
              <w:t>年度利润分配预案的议案》。经核查，独立董事认为：公司</w:t>
            </w:r>
            <w:r>
              <w:rPr>
                <w:sz w:val="18"/>
                <w:szCs w:val="18"/>
              </w:rPr>
              <w:t>2025</w:t>
            </w:r>
            <w:r>
              <w:rPr>
                <w:sz w:val="18"/>
                <w:szCs w:val="18"/>
              </w:rPr>
              <w:t>年度利润分配预案符合法律、法规及《公司章程》等相关规定，符合公司整体发展战略和实际情况，不存在损害公司及全体股东尤其是中小股东的利益。一致同意将该议案提交至董事会审议。</w:t>
            </w:r>
          </w:p>
          <w:p w:rsidR="00E20B54" w:rsidRDefault="00733C9E">
            <w:pPr>
              <w:spacing w:line="240" w:lineRule="exact"/>
              <w:rPr>
                <w:sz w:val="18"/>
                <w:szCs w:val="18"/>
              </w:rPr>
            </w:pPr>
            <w:r>
              <w:rPr>
                <w:sz w:val="18"/>
                <w:szCs w:val="18"/>
              </w:rPr>
              <w:t>2.</w:t>
            </w:r>
            <w:r>
              <w:rPr>
                <w:sz w:val="18"/>
                <w:szCs w:val="18"/>
              </w:rPr>
              <w:t>审计委审议情况</w:t>
            </w:r>
          </w:p>
          <w:p w:rsidR="00E20B54" w:rsidRDefault="00733C9E">
            <w:pPr>
              <w:spacing w:line="240" w:lineRule="exact"/>
              <w:rPr>
                <w:sz w:val="18"/>
                <w:szCs w:val="18"/>
              </w:rPr>
            </w:pPr>
            <w:r>
              <w:rPr>
                <w:sz w:val="18"/>
                <w:szCs w:val="18"/>
              </w:rPr>
              <w:t>公司董事会审计委员会于</w:t>
            </w:r>
            <w:r>
              <w:rPr>
                <w:sz w:val="18"/>
                <w:szCs w:val="18"/>
              </w:rPr>
              <w:t>2026</w:t>
            </w:r>
            <w:r>
              <w:rPr>
                <w:sz w:val="18"/>
                <w:szCs w:val="18"/>
              </w:rPr>
              <w:t>年</w:t>
            </w:r>
            <w:r>
              <w:rPr>
                <w:sz w:val="18"/>
                <w:szCs w:val="18"/>
              </w:rPr>
              <w:t>3</w:t>
            </w:r>
            <w:r>
              <w:rPr>
                <w:sz w:val="18"/>
                <w:szCs w:val="18"/>
              </w:rPr>
              <w:t>月</w:t>
            </w:r>
            <w:r>
              <w:rPr>
                <w:sz w:val="18"/>
                <w:szCs w:val="18"/>
              </w:rPr>
              <w:t>29</w:t>
            </w:r>
            <w:r>
              <w:rPr>
                <w:sz w:val="18"/>
                <w:szCs w:val="18"/>
              </w:rPr>
              <w:t>日召开第四届董事会审计委员会第六次会议，以</w:t>
            </w:r>
            <w:r>
              <w:rPr>
                <w:sz w:val="18"/>
                <w:szCs w:val="18"/>
              </w:rPr>
              <w:t>3</w:t>
            </w:r>
            <w:r>
              <w:rPr>
                <w:sz w:val="18"/>
                <w:szCs w:val="18"/>
              </w:rPr>
              <w:t>票同意、</w:t>
            </w:r>
            <w:r>
              <w:rPr>
                <w:sz w:val="18"/>
                <w:szCs w:val="18"/>
              </w:rPr>
              <w:t>0</w:t>
            </w:r>
            <w:r>
              <w:rPr>
                <w:sz w:val="18"/>
                <w:szCs w:val="18"/>
              </w:rPr>
              <w:t>票反对、</w:t>
            </w:r>
            <w:r>
              <w:rPr>
                <w:sz w:val="18"/>
                <w:szCs w:val="18"/>
              </w:rPr>
              <w:t>0</w:t>
            </w:r>
            <w:r>
              <w:rPr>
                <w:sz w:val="18"/>
                <w:szCs w:val="18"/>
              </w:rPr>
              <w:t>票弃权审议通过了《关于</w:t>
            </w:r>
            <w:r>
              <w:rPr>
                <w:sz w:val="18"/>
                <w:szCs w:val="18"/>
              </w:rPr>
              <w:t>2025</w:t>
            </w:r>
            <w:r>
              <w:rPr>
                <w:sz w:val="18"/>
                <w:szCs w:val="18"/>
              </w:rPr>
              <w:t>年度利润分配预案的议案》，并同意提交至董事会审议。</w:t>
            </w:r>
            <w:r>
              <w:rPr>
                <w:sz w:val="18"/>
                <w:szCs w:val="18"/>
              </w:rPr>
              <w:t> </w:t>
            </w:r>
          </w:p>
          <w:p w:rsidR="00E20B54" w:rsidRDefault="00733C9E">
            <w:pPr>
              <w:spacing w:line="240" w:lineRule="exact"/>
              <w:rPr>
                <w:sz w:val="18"/>
                <w:szCs w:val="18"/>
              </w:rPr>
            </w:pPr>
            <w:r>
              <w:rPr>
                <w:sz w:val="18"/>
                <w:szCs w:val="18"/>
              </w:rPr>
              <w:t>3.</w:t>
            </w:r>
            <w:r>
              <w:rPr>
                <w:sz w:val="18"/>
                <w:szCs w:val="18"/>
              </w:rPr>
              <w:t>董事会审议情况</w:t>
            </w:r>
          </w:p>
          <w:p w:rsidR="00E20B54" w:rsidRDefault="00733C9E">
            <w:pPr>
              <w:spacing w:line="240" w:lineRule="exact"/>
              <w:rPr>
                <w:sz w:val="18"/>
                <w:szCs w:val="18"/>
              </w:rPr>
            </w:pPr>
            <w:r>
              <w:rPr>
                <w:sz w:val="18"/>
                <w:szCs w:val="18"/>
              </w:rPr>
              <w:t>公司于</w:t>
            </w:r>
            <w:r>
              <w:rPr>
                <w:sz w:val="18"/>
                <w:szCs w:val="18"/>
              </w:rPr>
              <w:t>2026</w:t>
            </w:r>
            <w:r>
              <w:rPr>
                <w:sz w:val="18"/>
                <w:szCs w:val="18"/>
              </w:rPr>
              <w:t>年</w:t>
            </w:r>
            <w:r>
              <w:rPr>
                <w:sz w:val="18"/>
                <w:szCs w:val="18"/>
              </w:rPr>
              <w:t>3</w:t>
            </w:r>
            <w:r>
              <w:rPr>
                <w:sz w:val="18"/>
                <w:szCs w:val="18"/>
              </w:rPr>
              <w:t>月</w:t>
            </w:r>
            <w:r>
              <w:rPr>
                <w:sz w:val="18"/>
                <w:szCs w:val="18"/>
              </w:rPr>
              <w:t>30</w:t>
            </w:r>
            <w:r>
              <w:rPr>
                <w:sz w:val="18"/>
                <w:szCs w:val="18"/>
              </w:rPr>
              <w:t>日召开第四届董事会第五次会议，以</w:t>
            </w:r>
            <w:r>
              <w:rPr>
                <w:sz w:val="18"/>
                <w:szCs w:val="18"/>
              </w:rPr>
              <w:t>8</w:t>
            </w:r>
            <w:r>
              <w:rPr>
                <w:sz w:val="18"/>
                <w:szCs w:val="18"/>
              </w:rPr>
              <w:t>票同意、</w:t>
            </w:r>
            <w:r>
              <w:rPr>
                <w:sz w:val="18"/>
                <w:szCs w:val="18"/>
              </w:rPr>
              <w:t>0</w:t>
            </w:r>
            <w:r>
              <w:rPr>
                <w:sz w:val="18"/>
                <w:szCs w:val="18"/>
              </w:rPr>
              <w:t>票反对、</w:t>
            </w:r>
            <w:r>
              <w:rPr>
                <w:sz w:val="18"/>
                <w:szCs w:val="18"/>
              </w:rPr>
              <w:t>0</w:t>
            </w:r>
            <w:r>
              <w:rPr>
                <w:sz w:val="18"/>
                <w:szCs w:val="18"/>
              </w:rPr>
              <w:t>票弃权审议通过了《关于</w:t>
            </w:r>
            <w:r>
              <w:rPr>
                <w:sz w:val="18"/>
                <w:szCs w:val="18"/>
              </w:rPr>
              <w:t>2025</w:t>
            </w:r>
            <w:r>
              <w:rPr>
                <w:sz w:val="18"/>
                <w:szCs w:val="18"/>
              </w:rPr>
              <w:t>年度利润分配预案的议案》。</w:t>
            </w:r>
          </w:p>
          <w:p w:rsidR="00E20B54" w:rsidRDefault="00733C9E">
            <w:pPr>
              <w:spacing w:line="240" w:lineRule="exact"/>
              <w:rPr>
                <w:sz w:val="18"/>
                <w:szCs w:val="18"/>
              </w:rPr>
            </w:pPr>
            <w:r>
              <w:rPr>
                <w:sz w:val="18"/>
                <w:szCs w:val="18"/>
              </w:rPr>
              <w:t>该预案尚需提交公司</w:t>
            </w:r>
            <w:r>
              <w:rPr>
                <w:sz w:val="18"/>
                <w:szCs w:val="18"/>
              </w:rPr>
              <w:t>2025</w:t>
            </w:r>
            <w:r>
              <w:rPr>
                <w:sz w:val="18"/>
                <w:szCs w:val="18"/>
              </w:rPr>
              <w:t>年年度股东会审议通过后方可实施。</w:t>
            </w:r>
          </w:p>
        </w:tc>
      </w:tr>
    </w:tbl>
    <w:p w:rsidR="00E20B54" w:rsidRDefault="00733C9E">
      <w:pPr>
        <w:spacing w:before="100" w:after="100" w:line="240" w:lineRule="exact"/>
        <w:rPr>
          <w:sz w:val="18"/>
          <w:szCs w:val="18"/>
        </w:rPr>
      </w:pPr>
      <w:r>
        <w:rPr>
          <w:sz w:val="18"/>
          <w:szCs w:val="18"/>
        </w:rPr>
        <w:lastRenderedPageBreak/>
        <w:t>公司报告期内盈利且母公司可供股东分配利润为正但未提出现金红利分配预案</w:t>
      </w:r>
    </w:p>
    <w:p w:rsidR="00E20B54" w:rsidRDefault="00733C9E">
      <w:pPr>
        <w:spacing w:before="100" w:after="100" w:line="240" w:lineRule="exact"/>
        <w:rPr>
          <w:sz w:val="18"/>
          <w:szCs w:val="18"/>
        </w:rPr>
      </w:pPr>
      <w:r>
        <w:rPr>
          <w:sz w:val="18"/>
          <w:szCs w:val="18"/>
        </w:rPr>
        <w:t>□</w:t>
      </w:r>
      <w:r>
        <w:rPr>
          <w:sz w:val="18"/>
          <w:szCs w:val="18"/>
        </w:rPr>
        <w:t>适用</w:t>
      </w:r>
      <w:r>
        <w:rPr>
          <w:sz w:val="18"/>
          <w:szCs w:val="18"/>
        </w:rPr>
        <w:t xml:space="preserve"> </w:t>
      </w:r>
      <w:r>
        <w:rPr>
          <w:sz w:val="18"/>
          <w:szCs w:val="18"/>
        </w:rPr>
        <w:sym w:font="Wingdings 2" w:char="F052"/>
      </w:r>
      <w:r>
        <w:rPr>
          <w:sz w:val="18"/>
          <w:szCs w:val="18"/>
        </w:rPr>
        <w:t>不适用</w:t>
      </w:r>
    </w:p>
    <w:p w:rsidR="00E20B54" w:rsidRDefault="00733C9E">
      <w:pPr>
        <w:pStyle w:val="2"/>
        <w:spacing w:before="300" w:after="300" w:line="320" w:lineRule="exact"/>
        <w:rPr>
          <w:b/>
          <w:bCs/>
          <w:sz w:val="24"/>
          <w:szCs w:val="24"/>
        </w:rPr>
      </w:pPr>
      <w:bookmarkStart w:id="73" w:name="_Toc988962"/>
      <w:r>
        <w:rPr>
          <w:b/>
          <w:bCs/>
          <w:sz w:val="24"/>
          <w:szCs w:val="24"/>
        </w:rPr>
        <w:t>十二、公司股权激励计划、员工持股计划或其他员工激励措施的实施情况</w:t>
      </w:r>
      <w:bookmarkEnd w:id="73"/>
    </w:p>
    <w:p w:rsidR="00E20B54" w:rsidRDefault="00733C9E">
      <w:pPr>
        <w:spacing w:before="40" w:after="40" w:line="240" w:lineRule="exact"/>
        <w:rPr>
          <w:sz w:val="18"/>
          <w:szCs w:val="18"/>
        </w:rPr>
      </w:pPr>
      <w:r>
        <w:rPr>
          <w:sz w:val="18"/>
          <w:szCs w:val="18"/>
        </w:rPr>
        <w:sym w:font="Wingdings 2" w:char="F052"/>
      </w:r>
      <w:r>
        <w:rPr>
          <w:sz w:val="18"/>
          <w:szCs w:val="18"/>
        </w:rPr>
        <w:t>适用</w:t>
      </w:r>
      <w:r>
        <w:rPr>
          <w:sz w:val="18"/>
          <w:szCs w:val="18"/>
        </w:rPr>
        <w:t xml:space="preserve"> □</w:t>
      </w:r>
      <w:r>
        <w:rPr>
          <w:sz w:val="18"/>
          <w:szCs w:val="18"/>
        </w:rPr>
        <w:t>不适用</w:t>
      </w:r>
    </w:p>
    <w:p w:rsidR="00E20B54" w:rsidRDefault="00733C9E">
      <w:pPr>
        <w:pStyle w:val="3"/>
        <w:spacing w:line="280" w:lineRule="exact"/>
        <w:jc w:val="left"/>
        <w:rPr>
          <w:b/>
          <w:bCs/>
        </w:rPr>
      </w:pPr>
      <w:bookmarkStart w:id="74" w:name="_Toc988963"/>
      <w:r>
        <w:rPr>
          <w:b/>
          <w:bCs/>
        </w:rPr>
        <w:t>1</w:t>
      </w:r>
      <w:r>
        <w:rPr>
          <w:b/>
          <w:bCs/>
        </w:rPr>
        <w:t>、股权激励</w:t>
      </w:r>
      <w:bookmarkEnd w:id="74"/>
    </w:p>
    <w:p w:rsidR="00E20B54" w:rsidRDefault="00733C9E">
      <w:pPr>
        <w:pStyle w:val="a3"/>
        <w:widowControl/>
        <w:spacing w:beforeAutospacing="0" w:afterAutospacing="0" w:line="240" w:lineRule="atLeast"/>
        <w:ind w:firstLine="420"/>
        <w:jc w:val="both"/>
        <w:rPr>
          <w:sz w:val="21"/>
          <w:szCs w:val="21"/>
        </w:rPr>
      </w:pPr>
      <w:r>
        <w:rPr>
          <w:color w:val="000000"/>
          <w:sz w:val="21"/>
          <w:szCs w:val="21"/>
        </w:rPr>
        <w:t>经</w:t>
      </w:r>
      <w:r>
        <w:rPr>
          <w:color w:val="000000"/>
          <w:sz w:val="21"/>
          <w:szCs w:val="21"/>
        </w:rPr>
        <w:t>2023</w:t>
      </w:r>
      <w:r>
        <w:rPr>
          <w:color w:val="000000"/>
          <w:sz w:val="21"/>
          <w:szCs w:val="21"/>
        </w:rPr>
        <w:t>年</w:t>
      </w:r>
      <w:r>
        <w:rPr>
          <w:color w:val="000000"/>
          <w:sz w:val="21"/>
          <w:szCs w:val="21"/>
        </w:rPr>
        <w:t>8</w:t>
      </w:r>
      <w:r>
        <w:rPr>
          <w:color w:val="000000"/>
          <w:sz w:val="21"/>
          <w:szCs w:val="21"/>
        </w:rPr>
        <w:t>月召开的第三届董事会第十四次会议、第三届董事会第十五次会议审议通过，并经</w:t>
      </w:r>
      <w:r>
        <w:rPr>
          <w:color w:val="000000"/>
          <w:sz w:val="21"/>
          <w:szCs w:val="21"/>
        </w:rPr>
        <w:t>2023</w:t>
      </w:r>
      <w:r>
        <w:rPr>
          <w:color w:val="000000"/>
          <w:sz w:val="21"/>
          <w:szCs w:val="21"/>
        </w:rPr>
        <w:t>年</w:t>
      </w:r>
      <w:r>
        <w:rPr>
          <w:color w:val="000000"/>
          <w:sz w:val="21"/>
          <w:szCs w:val="21"/>
        </w:rPr>
        <w:t>9</w:t>
      </w:r>
      <w:r>
        <w:rPr>
          <w:color w:val="000000"/>
          <w:sz w:val="21"/>
          <w:szCs w:val="21"/>
        </w:rPr>
        <w:t>月召开的</w:t>
      </w:r>
      <w:r>
        <w:rPr>
          <w:color w:val="000000"/>
          <w:sz w:val="21"/>
          <w:szCs w:val="21"/>
        </w:rPr>
        <w:t>2023</w:t>
      </w:r>
      <w:r>
        <w:rPr>
          <w:color w:val="000000"/>
          <w:sz w:val="21"/>
          <w:szCs w:val="21"/>
        </w:rPr>
        <w:t>年第四次临时股东会审议通过，公司实施了</w:t>
      </w:r>
      <w:r>
        <w:rPr>
          <w:color w:val="000000"/>
          <w:sz w:val="21"/>
          <w:szCs w:val="21"/>
        </w:rPr>
        <w:t>2023</w:t>
      </w:r>
      <w:r>
        <w:rPr>
          <w:color w:val="000000"/>
          <w:sz w:val="21"/>
          <w:szCs w:val="21"/>
        </w:rPr>
        <w:t>年限制性股票激励计划，向</w:t>
      </w:r>
      <w:r>
        <w:rPr>
          <w:color w:val="000000"/>
          <w:sz w:val="21"/>
          <w:szCs w:val="21"/>
        </w:rPr>
        <w:t>21</w:t>
      </w:r>
      <w:r>
        <w:rPr>
          <w:color w:val="000000"/>
          <w:sz w:val="21"/>
          <w:szCs w:val="21"/>
        </w:rPr>
        <w:t>名激励对象授予</w:t>
      </w:r>
      <w:r>
        <w:rPr>
          <w:color w:val="000000"/>
          <w:sz w:val="21"/>
          <w:szCs w:val="21"/>
        </w:rPr>
        <w:t>334.12</w:t>
      </w:r>
      <w:r>
        <w:rPr>
          <w:color w:val="000000"/>
          <w:sz w:val="21"/>
          <w:szCs w:val="21"/>
        </w:rPr>
        <w:t>万股限制性股票。其中授予</w:t>
      </w:r>
      <w:r>
        <w:rPr>
          <w:color w:val="000000"/>
          <w:sz w:val="21"/>
          <w:szCs w:val="21"/>
        </w:rPr>
        <w:t>2</w:t>
      </w:r>
      <w:r>
        <w:rPr>
          <w:color w:val="000000"/>
          <w:sz w:val="21"/>
          <w:szCs w:val="21"/>
        </w:rPr>
        <w:t>名激励对象</w:t>
      </w:r>
      <w:r>
        <w:rPr>
          <w:color w:val="000000"/>
          <w:sz w:val="21"/>
          <w:szCs w:val="21"/>
        </w:rPr>
        <w:t xml:space="preserve">128.00 </w:t>
      </w:r>
      <w:r>
        <w:rPr>
          <w:color w:val="000000"/>
          <w:sz w:val="21"/>
          <w:szCs w:val="21"/>
        </w:rPr>
        <w:t>万股第一类限制性股票，授予</w:t>
      </w:r>
      <w:r>
        <w:rPr>
          <w:color w:val="000000"/>
          <w:sz w:val="21"/>
          <w:szCs w:val="21"/>
        </w:rPr>
        <w:t>19</w:t>
      </w:r>
      <w:r>
        <w:rPr>
          <w:color w:val="000000"/>
          <w:sz w:val="21"/>
          <w:szCs w:val="21"/>
        </w:rPr>
        <w:t>名激励对象</w:t>
      </w:r>
      <w:r>
        <w:rPr>
          <w:color w:val="000000"/>
          <w:sz w:val="21"/>
          <w:szCs w:val="21"/>
        </w:rPr>
        <w:t xml:space="preserve">206.12 </w:t>
      </w:r>
      <w:r>
        <w:rPr>
          <w:color w:val="000000"/>
          <w:sz w:val="21"/>
          <w:szCs w:val="21"/>
        </w:rPr>
        <w:t>万股第二类限制性股票，预留第二类限制性股票</w:t>
      </w:r>
      <w:r>
        <w:rPr>
          <w:color w:val="000000"/>
          <w:sz w:val="21"/>
          <w:szCs w:val="21"/>
        </w:rPr>
        <w:t>60</w:t>
      </w:r>
      <w:r>
        <w:rPr>
          <w:color w:val="000000"/>
          <w:sz w:val="21"/>
          <w:szCs w:val="21"/>
        </w:rPr>
        <w:t>万股，授予价格均为</w:t>
      </w:r>
      <w:r>
        <w:rPr>
          <w:color w:val="000000"/>
          <w:sz w:val="21"/>
          <w:szCs w:val="21"/>
        </w:rPr>
        <w:t>15.91</w:t>
      </w:r>
      <w:r>
        <w:rPr>
          <w:color w:val="000000"/>
          <w:sz w:val="21"/>
          <w:szCs w:val="21"/>
        </w:rPr>
        <w:t>元</w:t>
      </w:r>
      <w:r>
        <w:rPr>
          <w:color w:val="000000"/>
          <w:sz w:val="21"/>
          <w:szCs w:val="21"/>
        </w:rPr>
        <w:t>/</w:t>
      </w:r>
      <w:r>
        <w:rPr>
          <w:color w:val="000000"/>
          <w:sz w:val="21"/>
          <w:szCs w:val="21"/>
        </w:rPr>
        <w:t>股。</w:t>
      </w:r>
    </w:p>
    <w:p w:rsidR="00E20B54" w:rsidRDefault="00733C9E">
      <w:pPr>
        <w:pStyle w:val="a3"/>
        <w:widowControl/>
        <w:spacing w:beforeAutospacing="0" w:afterAutospacing="0" w:line="240" w:lineRule="atLeast"/>
        <w:ind w:firstLine="420"/>
        <w:jc w:val="both"/>
        <w:rPr>
          <w:sz w:val="21"/>
          <w:szCs w:val="21"/>
        </w:rPr>
      </w:pPr>
      <w:r>
        <w:rPr>
          <w:color w:val="000000"/>
          <w:sz w:val="21"/>
          <w:szCs w:val="21"/>
        </w:rPr>
        <w:t>公司于</w:t>
      </w:r>
      <w:r>
        <w:rPr>
          <w:color w:val="000000"/>
          <w:sz w:val="21"/>
          <w:szCs w:val="21"/>
        </w:rPr>
        <w:t xml:space="preserve"> 2024</w:t>
      </w:r>
      <w:r>
        <w:rPr>
          <w:color w:val="000000"/>
          <w:sz w:val="21"/>
          <w:szCs w:val="21"/>
        </w:rPr>
        <w:t>年</w:t>
      </w:r>
      <w:r>
        <w:rPr>
          <w:color w:val="000000"/>
          <w:sz w:val="21"/>
          <w:szCs w:val="21"/>
        </w:rPr>
        <w:t>4</w:t>
      </w:r>
      <w:r>
        <w:rPr>
          <w:color w:val="000000"/>
          <w:sz w:val="21"/>
          <w:szCs w:val="21"/>
        </w:rPr>
        <w:t>月</w:t>
      </w:r>
      <w:r>
        <w:rPr>
          <w:color w:val="000000"/>
          <w:sz w:val="21"/>
          <w:szCs w:val="21"/>
        </w:rPr>
        <w:t>27</w:t>
      </w:r>
      <w:r>
        <w:rPr>
          <w:color w:val="000000"/>
          <w:sz w:val="21"/>
          <w:szCs w:val="21"/>
        </w:rPr>
        <w:t>日召开的第三届董事会第二十二次会议，另于</w:t>
      </w:r>
      <w:r>
        <w:rPr>
          <w:color w:val="000000"/>
          <w:sz w:val="21"/>
          <w:szCs w:val="21"/>
        </w:rPr>
        <w:t>2024</w:t>
      </w:r>
      <w:r>
        <w:rPr>
          <w:color w:val="000000"/>
          <w:sz w:val="21"/>
          <w:szCs w:val="21"/>
        </w:rPr>
        <w:t>年</w:t>
      </w:r>
      <w:r>
        <w:rPr>
          <w:color w:val="000000"/>
          <w:sz w:val="21"/>
          <w:szCs w:val="21"/>
        </w:rPr>
        <w:t>5</w:t>
      </w:r>
      <w:r>
        <w:rPr>
          <w:color w:val="000000"/>
          <w:sz w:val="21"/>
          <w:szCs w:val="21"/>
        </w:rPr>
        <w:t>月</w:t>
      </w:r>
      <w:r>
        <w:rPr>
          <w:color w:val="000000"/>
          <w:sz w:val="21"/>
          <w:szCs w:val="21"/>
        </w:rPr>
        <w:t>20</w:t>
      </w:r>
      <w:r>
        <w:rPr>
          <w:color w:val="000000"/>
          <w:sz w:val="21"/>
          <w:szCs w:val="21"/>
        </w:rPr>
        <w:t>日召开</w:t>
      </w:r>
      <w:r>
        <w:rPr>
          <w:color w:val="000000"/>
          <w:sz w:val="21"/>
          <w:szCs w:val="21"/>
        </w:rPr>
        <w:t>2023</w:t>
      </w:r>
      <w:r>
        <w:rPr>
          <w:color w:val="000000"/>
          <w:sz w:val="21"/>
          <w:szCs w:val="21"/>
        </w:rPr>
        <w:t>年年度股东大会，审议通过了《关于回购注销部分已授予但尚未解除限售的限制性股票的议案》《关于作废部分已授予但尚未归属的限制性股票的议案》。因</w:t>
      </w:r>
      <w:r>
        <w:rPr>
          <w:color w:val="000000"/>
          <w:sz w:val="21"/>
          <w:szCs w:val="21"/>
        </w:rPr>
        <w:t>2023</w:t>
      </w:r>
      <w:r>
        <w:rPr>
          <w:color w:val="000000"/>
          <w:sz w:val="21"/>
          <w:szCs w:val="21"/>
        </w:rPr>
        <w:t>年度公司层面业绩考核未达标，由公司回购并注销首次授予</w:t>
      </w:r>
      <w:r>
        <w:rPr>
          <w:color w:val="000000"/>
          <w:sz w:val="21"/>
          <w:szCs w:val="21"/>
        </w:rPr>
        <w:t>2</w:t>
      </w:r>
      <w:r>
        <w:rPr>
          <w:color w:val="000000"/>
          <w:sz w:val="21"/>
          <w:szCs w:val="21"/>
        </w:rPr>
        <w:t>名激励对象已获授但尚未解除限售的第一类限制性股票</w:t>
      </w:r>
      <w:r>
        <w:rPr>
          <w:color w:val="000000"/>
          <w:sz w:val="21"/>
          <w:szCs w:val="21"/>
        </w:rPr>
        <w:t>128,000</w:t>
      </w:r>
      <w:r>
        <w:rPr>
          <w:color w:val="000000"/>
          <w:sz w:val="21"/>
          <w:szCs w:val="21"/>
        </w:rPr>
        <w:t>股，作废激励对象已获授但尚未归属的第二类限制性股票共计</w:t>
      </w:r>
      <w:r>
        <w:rPr>
          <w:color w:val="000000"/>
          <w:sz w:val="21"/>
          <w:szCs w:val="21"/>
        </w:rPr>
        <w:t>20.612</w:t>
      </w:r>
      <w:r>
        <w:rPr>
          <w:color w:val="000000"/>
          <w:sz w:val="21"/>
          <w:szCs w:val="21"/>
        </w:rPr>
        <w:t>万股。公司于</w:t>
      </w:r>
      <w:r>
        <w:rPr>
          <w:color w:val="000000"/>
          <w:sz w:val="21"/>
          <w:szCs w:val="21"/>
        </w:rPr>
        <w:t>2024</w:t>
      </w:r>
      <w:r>
        <w:rPr>
          <w:color w:val="000000"/>
          <w:sz w:val="21"/>
          <w:szCs w:val="21"/>
        </w:rPr>
        <w:t>年</w:t>
      </w:r>
      <w:r>
        <w:rPr>
          <w:color w:val="000000"/>
          <w:sz w:val="21"/>
          <w:szCs w:val="21"/>
        </w:rPr>
        <w:t>8</w:t>
      </w:r>
      <w:r>
        <w:rPr>
          <w:color w:val="000000"/>
          <w:sz w:val="21"/>
          <w:szCs w:val="21"/>
        </w:rPr>
        <w:t>月</w:t>
      </w:r>
      <w:r>
        <w:rPr>
          <w:color w:val="000000"/>
          <w:sz w:val="21"/>
          <w:szCs w:val="21"/>
        </w:rPr>
        <w:t>28</w:t>
      </w:r>
      <w:r>
        <w:rPr>
          <w:color w:val="000000"/>
          <w:sz w:val="21"/>
          <w:szCs w:val="21"/>
        </w:rPr>
        <w:t>日召开第三届董事会第二十四次会议，另于</w:t>
      </w:r>
      <w:r>
        <w:rPr>
          <w:color w:val="000000"/>
          <w:sz w:val="21"/>
          <w:szCs w:val="21"/>
        </w:rPr>
        <w:t xml:space="preserve"> 2024</w:t>
      </w:r>
      <w:r>
        <w:rPr>
          <w:color w:val="000000"/>
          <w:sz w:val="21"/>
          <w:szCs w:val="21"/>
        </w:rPr>
        <w:t>年</w:t>
      </w:r>
      <w:r>
        <w:rPr>
          <w:color w:val="000000"/>
          <w:sz w:val="21"/>
          <w:szCs w:val="21"/>
        </w:rPr>
        <w:t>9</w:t>
      </w:r>
      <w:r>
        <w:rPr>
          <w:color w:val="000000"/>
          <w:sz w:val="21"/>
          <w:szCs w:val="21"/>
        </w:rPr>
        <w:t>月</w:t>
      </w:r>
      <w:r>
        <w:rPr>
          <w:color w:val="000000"/>
          <w:sz w:val="21"/>
          <w:szCs w:val="21"/>
        </w:rPr>
        <w:t>20</w:t>
      </w:r>
      <w:r>
        <w:rPr>
          <w:color w:val="000000"/>
          <w:sz w:val="21"/>
          <w:szCs w:val="21"/>
        </w:rPr>
        <w:t>日召开</w:t>
      </w:r>
      <w:r>
        <w:rPr>
          <w:color w:val="000000"/>
          <w:sz w:val="21"/>
          <w:szCs w:val="21"/>
        </w:rPr>
        <w:t>2024</w:t>
      </w:r>
      <w:r>
        <w:rPr>
          <w:color w:val="000000"/>
          <w:sz w:val="21"/>
          <w:szCs w:val="21"/>
        </w:rPr>
        <w:t>年第三次临时股东会，审议通过了《关于调整</w:t>
      </w:r>
      <w:r>
        <w:rPr>
          <w:color w:val="000000"/>
          <w:sz w:val="21"/>
          <w:szCs w:val="21"/>
        </w:rPr>
        <w:t>2023</w:t>
      </w:r>
      <w:r>
        <w:rPr>
          <w:color w:val="000000"/>
          <w:sz w:val="21"/>
          <w:szCs w:val="21"/>
        </w:rPr>
        <w:t>年限制性股票激励计划第一类限制性股票回购价格、第二类限制性股票授予价格的议案》，因公司实施完成了</w:t>
      </w:r>
      <w:r>
        <w:rPr>
          <w:color w:val="000000"/>
          <w:sz w:val="21"/>
          <w:szCs w:val="21"/>
        </w:rPr>
        <w:t>2023</w:t>
      </w:r>
      <w:r>
        <w:rPr>
          <w:color w:val="000000"/>
          <w:sz w:val="21"/>
          <w:szCs w:val="21"/>
        </w:rPr>
        <w:t>年度权益分派，根据《公司</w:t>
      </w:r>
      <w:r>
        <w:rPr>
          <w:color w:val="000000"/>
          <w:sz w:val="21"/>
          <w:szCs w:val="21"/>
        </w:rPr>
        <w:t>2023</w:t>
      </w:r>
      <w:r>
        <w:rPr>
          <w:color w:val="000000"/>
          <w:sz w:val="21"/>
          <w:szCs w:val="21"/>
        </w:rPr>
        <w:t>年限制性股票激励计划》及其考核管理办法，公司对第一类限制性股票回购价格及第二类限制性股票授予价格予以调整，授予价格由</w:t>
      </w:r>
      <w:r>
        <w:rPr>
          <w:color w:val="000000"/>
          <w:sz w:val="21"/>
          <w:szCs w:val="21"/>
        </w:rPr>
        <w:t>15.91</w:t>
      </w:r>
      <w:r>
        <w:rPr>
          <w:color w:val="000000"/>
          <w:sz w:val="21"/>
          <w:szCs w:val="21"/>
        </w:rPr>
        <w:t>元</w:t>
      </w:r>
      <w:r>
        <w:rPr>
          <w:color w:val="000000"/>
          <w:sz w:val="21"/>
          <w:szCs w:val="21"/>
        </w:rPr>
        <w:t>/</w:t>
      </w:r>
      <w:r>
        <w:rPr>
          <w:color w:val="000000"/>
          <w:sz w:val="21"/>
          <w:szCs w:val="21"/>
        </w:rPr>
        <w:t>股调整至</w:t>
      </w:r>
      <w:r>
        <w:rPr>
          <w:color w:val="000000"/>
          <w:sz w:val="21"/>
          <w:szCs w:val="21"/>
        </w:rPr>
        <w:t>15.8114965</w:t>
      </w:r>
      <w:r>
        <w:rPr>
          <w:color w:val="000000"/>
          <w:sz w:val="21"/>
          <w:szCs w:val="21"/>
        </w:rPr>
        <w:t>元</w:t>
      </w:r>
      <w:r>
        <w:rPr>
          <w:color w:val="000000"/>
          <w:sz w:val="21"/>
          <w:szCs w:val="21"/>
        </w:rPr>
        <w:t>/</w:t>
      </w:r>
      <w:r>
        <w:rPr>
          <w:color w:val="000000"/>
          <w:sz w:val="21"/>
          <w:szCs w:val="21"/>
        </w:rPr>
        <w:t>股。同年</w:t>
      </w:r>
      <w:r>
        <w:rPr>
          <w:color w:val="000000"/>
          <w:sz w:val="21"/>
          <w:szCs w:val="21"/>
        </w:rPr>
        <w:t>9</w:t>
      </w:r>
      <w:r>
        <w:rPr>
          <w:color w:val="000000"/>
          <w:sz w:val="21"/>
          <w:szCs w:val="21"/>
        </w:rPr>
        <w:t>月</w:t>
      </w:r>
      <w:r>
        <w:rPr>
          <w:color w:val="000000"/>
          <w:sz w:val="21"/>
          <w:szCs w:val="21"/>
        </w:rPr>
        <w:t>10</w:t>
      </w:r>
      <w:r>
        <w:rPr>
          <w:color w:val="000000"/>
          <w:sz w:val="21"/>
          <w:szCs w:val="21"/>
        </w:rPr>
        <w:t>日，由于公司未对预留权益进行授予，预留部分的第二类限制性股票过期作废，不再授予确认。</w:t>
      </w:r>
    </w:p>
    <w:p w:rsidR="00E20B54" w:rsidRDefault="00733C9E">
      <w:pPr>
        <w:pStyle w:val="a3"/>
        <w:widowControl/>
        <w:spacing w:beforeAutospacing="0" w:afterAutospacing="0" w:line="240" w:lineRule="atLeast"/>
        <w:ind w:firstLine="420"/>
        <w:jc w:val="both"/>
        <w:rPr>
          <w:sz w:val="21"/>
          <w:szCs w:val="21"/>
        </w:rPr>
      </w:pPr>
      <w:r>
        <w:rPr>
          <w:color w:val="000000"/>
          <w:sz w:val="21"/>
          <w:szCs w:val="21"/>
        </w:rPr>
        <w:t>本报告期内，公司于</w:t>
      </w:r>
      <w:r>
        <w:rPr>
          <w:color w:val="000000"/>
          <w:sz w:val="21"/>
          <w:szCs w:val="21"/>
        </w:rPr>
        <w:t>2025</w:t>
      </w:r>
      <w:r>
        <w:rPr>
          <w:color w:val="000000"/>
          <w:sz w:val="21"/>
          <w:szCs w:val="21"/>
        </w:rPr>
        <w:t>年</w:t>
      </w:r>
      <w:r>
        <w:rPr>
          <w:color w:val="000000"/>
          <w:sz w:val="21"/>
          <w:szCs w:val="21"/>
        </w:rPr>
        <w:t>4</w:t>
      </w:r>
      <w:r>
        <w:rPr>
          <w:color w:val="000000"/>
          <w:sz w:val="21"/>
          <w:szCs w:val="21"/>
        </w:rPr>
        <w:t>月</w:t>
      </w:r>
      <w:r>
        <w:rPr>
          <w:color w:val="000000"/>
          <w:sz w:val="21"/>
          <w:szCs w:val="21"/>
        </w:rPr>
        <w:t>18</w:t>
      </w:r>
      <w:r>
        <w:rPr>
          <w:color w:val="000000"/>
          <w:sz w:val="21"/>
          <w:szCs w:val="21"/>
        </w:rPr>
        <w:t>日召开第三届董事会第三十次会议，另于</w:t>
      </w:r>
      <w:r>
        <w:rPr>
          <w:color w:val="000000"/>
          <w:sz w:val="21"/>
          <w:szCs w:val="21"/>
        </w:rPr>
        <w:t>2025</w:t>
      </w:r>
      <w:r>
        <w:rPr>
          <w:color w:val="000000"/>
          <w:sz w:val="21"/>
          <w:szCs w:val="21"/>
        </w:rPr>
        <w:t>年</w:t>
      </w:r>
      <w:r>
        <w:rPr>
          <w:color w:val="000000"/>
          <w:sz w:val="21"/>
          <w:szCs w:val="21"/>
        </w:rPr>
        <w:t>5</w:t>
      </w:r>
      <w:r>
        <w:rPr>
          <w:color w:val="000000"/>
          <w:sz w:val="21"/>
          <w:szCs w:val="21"/>
        </w:rPr>
        <w:t>月</w:t>
      </w:r>
      <w:r>
        <w:rPr>
          <w:color w:val="000000"/>
          <w:sz w:val="21"/>
          <w:szCs w:val="21"/>
        </w:rPr>
        <w:t>13</w:t>
      </w:r>
      <w:r>
        <w:rPr>
          <w:color w:val="000000"/>
          <w:sz w:val="21"/>
          <w:szCs w:val="21"/>
        </w:rPr>
        <w:t>日召开</w:t>
      </w:r>
      <w:r>
        <w:rPr>
          <w:color w:val="000000"/>
          <w:sz w:val="21"/>
          <w:szCs w:val="21"/>
        </w:rPr>
        <w:t>2024</w:t>
      </w:r>
      <w:r>
        <w:rPr>
          <w:color w:val="000000"/>
          <w:sz w:val="21"/>
          <w:szCs w:val="21"/>
        </w:rPr>
        <w:t>年年度股东会，审议通过了《关于回购注销部分已授予但尚未解除限售的限制性股票的议案》。因</w:t>
      </w:r>
      <w:r>
        <w:rPr>
          <w:color w:val="000000"/>
          <w:sz w:val="21"/>
          <w:szCs w:val="21"/>
        </w:rPr>
        <w:t>2024</w:t>
      </w:r>
      <w:r>
        <w:rPr>
          <w:color w:val="000000"/>
          <w:sz w:val="21"/>
          <w:szCs w:val="21"/>
        </w:rPr>
        <w:t>年度公司层面业绩考核未达标，由公司回购并注销首次授予</w:t>
      </w:r>
      <w:r>
        <w:rPr>
          <w:color w:val="000000"/>
          <w:sz w:val="21"/>
          <w:szCs w:val="21"/>
        </w:rPr>
        <w:t>2</w:t>
      </w:r>
      <w:r>
        <w:rPr>
          <w:color w:val="000000"/>
          <w:sz w:val="21"/>
          <w:szCs w:val="21"/>
        </w:rPr>
        <w:t>名激励对象</w:t>
      </w:r>
      <w:r>
        <w:rPr>
          <w:color w:val="333333"/>
          <w:sz w:val="21"/>
          <w:szCs w:val="21"/>
          <w:shd w:val="clear" w:color="auto" w:fill="FFFFFF"/>
        </w:rPr>
        <w:t>已授予但尚未解除限售的限制性股票</w:t>
      </w:r>
      <w:r>
        <w:rPr>
          <w:color w:val="333333"/>
          <w:sz w:val="21"/>
          <w:szCs w:val="21"/>
          <w:shd w:val="clear" w:color="auto" w:fill="FFFFFF"/>
        </w:rPr>
        <w:t>256,000</w:t>
      </w:r>
      <w:r>
        <w:rPr>
          <w:color w:val="333333"/>
          <w:sz w:val="21"/>
          <w:szCs w:val="21"/>
          <w:shd w:val="clear" w:color="auto" w:fill="FFFFFF"/>
        </w:rPr>
        <w:t>股，另已授予但尚未归属的第二类限制性股票作废</w:t>
      </w:r>
      <w:r>
        <w:rPr>
          <w:color w:val="000000"/>
          <w:sz w:val="21"/>
          <w:szCs w:val="21"/>
        </w:rPr>
        <w:t>。</w:t>
      </w:r>
    </w:p>
    <w:p w:rsidR="00E20B54" w:rsidRDefault="00733C9E">
      <w:pPr>
        <w:spacing w:before="40" w:after="40" w:line="240" w:lineRule="exact"/>
        <w:rPr>
          <w:sz w:val="18"/>
          <w:szCs w:val="18"/>
        </w:rPr>
      </w:pPr>
      <w:r>
        <w:rPr>
          <w:sz w:val="18"/>
          <w:szCs w:val="18"/>
        </w:rPr>
        <w:lastRenderedPageBreak/>
        <w:t>董事、高级管理人员获得的股权激励</w:t>
      </w:r>
    </w:p>
    <w:p w:rsidR="00E20B54" w:rsidRDefault="00733C9E">
      <w:pPr>
        <w:spacing w:before="40" w:after="40" w:line="240" w:lineRule="exact"/>
        <w:rPr>
          <w:sz w:val="18"/>
          <w:szCs w:val="18"/>
        </w:rPr>
      </w:pPr>
      <w:r>
        <w:rPr>
          <w:sz w:val="18"/>
          <w:szCs w:val="18"/>
        </w:rPr>
        <w:sym w:font="Wingdings 2" w:char="F052"/>
      </w:r>
      <w:r>
        <w:rPr>
          <w:sz w:val="18"/>
          <w:szCs w:val="18"/>
        </w:rPr>
        <w:t>适用</w:t>
      </w:r>
      <w:r>
        <w:rPr>
          <w:sz w:val="18"/>
          <w:szCs w:val="18"/>
        </w:rPr>
        <w:t xml:space="preserve"> □</w:t>
      </w:r>
      <w:r>
        <w:rPr>
          <w:sz w:val="18"/>
          <w:szCs w:val="18"/>
        </w:rPr>
        <w:t>不适用</w:t>
      </w:r>
    </w:p>
    <w:p w:rsidR="00E20B54" w:rsidRDefault="00733C9E">
      <w:pPr>
        <w:spacing w:before="120" w:after="120" w:line="240" w:lineRule="exact"/>
        <w:jc w:val="right"/>
        <w:rPr>
          <w:sz w:val="18"/>
          <w:szCs w:val="18"/>
        </w:rPr>
      </w:pPr>
      <w:r>
        <w:rPr>
          <w:sz w:val="18"/>
          <w:szCs w:val="18"/>
        </w:rPr>
        <w:t>单位：股</w:t>
      </w:r>
    </w:p>
    <w:tbl>
      <w:tblPr>
        <w:tblW w:w="9646"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689"/>
        <w:gridCol w:w="689"/>
        <w:gridCol w:w="689"/>
        <w:gridCol w:w="689"/>
        <w:gridCol w:w="689"/>
        <w:gridCol w:w="689"/>
        <w:gridCol w:w="689"/>
        <w:gridCol w:w="689"/>
        <w:gridCol w:w="689"/>
        <w:gridCol w:w="689"/>
        <w:gridCol w:w="689"/>
        <w:gridCol w:w="689"/>
        <w:gridCol w:w="689"/>
        <w:gridCol w:w="689"/>
      </w:tblGrid>
      <w:tr w:rsidR="00E20B54">
        <w:trPr>
          <w:trHeight w:val="240"/>
        </w:trPr>
        <w:tc>
          <w:tcPr>
            <w:tcW w:w="689"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姓名</w:t>
            </w:r>
          </w:p>
        </w:tc>
        <w:tc>
          <w:tcPr>
            <w:tcW w:w="689"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职务</w:t>
            </w:r>
          </w:p>
        </w:tc>
        <w:tc>
          <w:tcPr>
            <w:tcW w:w="689"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年初持有股票期权数量</w:t>
            </w:r>
          </w:p>
        </w:tc>
        <w:tc>
          <w:tcPr>
            <w:tcW w:w="689"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报告期新授予股票期权数量</w:t>
            </w:r>
          </w:p>
        </w:tc>
        <w:tc>
          <w:tcPr>
            <w:tcW w:w="689"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报告期内可行权股数</w:t>
            </w:r>
          </w:p>
        </w:tc>
        <w:tc>
          <w:tcPr>
            <w:tcW w:w="689"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报告期内已行权股数</w:t>
            </w:r>
          </w:p>
        </w:tc>
        <w:tc>
          <w:tcPr>
            <w:tcW w:w="689"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报告期内已行权股数行权价格（元</w:t>
            </w:r>
            <w:r>
              <w:rPr>
                <w:sz w:val="18"/>
                <w:szCs w:val="18"/>
              </w:rPr>
              <w:t>/</w:t>
            </w:r>
            <w:r>
              <w:rPr>
                <w:sz w:val="18"/>
                <w:szCs w:val="18"/>
              </w:rPr>
              <w:t>股）</w:t>
            </w:r>
          </w:p>
        </w:tc>
        <w:tc>
          <w:tcPr>
            <w:tcW w:w="689"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期末持有股票期权数量</w:t>
            </w:r>
          </w:p>
        </w:tc>
        <w:tc>
          <w:tcPr>
            <w:tcW w:w="689"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报告期末市价（元</w:t>
            </w:r>
            <w:r>
              <w:rPr>
                <w:sz w:val="18"/>
                <w:szCs w:val="18"/>
              </w:rPr>
              <w:t>/</w:t>
            </w:r>
            <w:r>
              <w:rPr>
                <w:sz w:val="18"/>
                <w:szCs w:val="18"/>
              </w:rPr>
              <w:t>股）</w:t>
            </w:r>
          </w:p>
        </w:tc>
        <w:tc>
          <w:tcPr>
            <w:tcW w:w="689"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期初持有限制性股票数量</w:t>
            </w:r>
          </w:p>
        </w:tc>
        <w:tc>
          <w:tcPr>
            <w:tcW w:w="689"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本期已解锁股份数量</w:t>
            </w:r>
          </w:p>
        </w:tc>
        <w:tc>
          <w:tcPr>
            <w:tcW w:w="689"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报告期新授予限制性股票数量</w:t>
            </w:r>
          </w:p>
        </w:tc>
        <w:tc>
          <w:tcPr>
            <w:tcW w:w="689"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限制性股票的授予价格（元</w:t>
            </w:r>
            <w:r>
              <w:rPr>
                <w:sz w:val="18"/>
                <w:szCs w:val="18"/>
              </w:rPr>
              <w:t>/</w:t>
            </w:r>
            <w:r>
              <w:rPr>
                <w:sz w:val="18"/>
                <w:szCs w:val="18"/>
              </w:rPr>
              <w:t>股）</w:t>
            </w:r>
          </w:p>
        </w:tc>
        <w:tc>
          <w:tcPr>
            <w:tcW w:w="689"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期末持有限制性股票数量</w:t>
            </w:r>
          </w:p>
        </w:tc>
      </w:tr>
      <w:tr w:rsidR="00E20B54">
        <w:trPr>
          <w:trHeight w:val="240"/>
        </w:trPr>
        <w:tc>
          <w:tcPr>
            <w:tcW w:w="689"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林明玲</w:t>
            </w:r>
          </w:p>
        </w:tc>
        <w:tc>
          <w:tcPr>
            <w:tcW w:w="689"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董事长</w:t>
            </w:r>
          </w:p>
        </w:tc>
        <w:tc>
          <w:tcPr>
            <w:tcW w:w="689"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w:t>
            </w:r>
          </w:p>
        </w:tc>
        <w:tc>
          <w:tcPr>
            <w:tcW w:w="689"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w:t>
            </w:r>
          </w:p>
        </w:tc>
        <w:tc>
          <w:tcPr>
            <w:tcW w:w="689"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w:t>
            </w:r>
          </w:p>
        </w:tc>
        <w:tc>
          <w:tcPr>
            <w:tcW w:w="689"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w:t>
            </w:r>
          </w:p>
        </w:tc>
        <w:tc>
          <w:tcPr>
            <w:tcW w:w="689"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w:t>
            </w:r>
          </w:p>
        </w:tc>
        <w:tc>
          <w:tcPr>
            <w:tcW w:w="689"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w:t>
            </w:r>
          </w:p>
        </w:tc>
        <w:tc>
          <w:tcPr>
            <w:tcW w:w="689"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w:t>
            </w:r>
          </w:p>
        </w:tc>
        <w:tc>
          <w:tcPr>
            <w:tcW w:w="689"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576,000</w:t>
            </w:r>
          </w:p>
        </w:tc>
        <w:tc>
          <w:tcPr>
            <w:tcW w:w="689"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w:t>
            </w:r>
          </w:p>
        </w:tc>
        <w:tc>
          <w:tcPr>
            <w:tcW w:w="689"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w:t>
            </w:r>
          </w:p>
        </w:tc>
        <w:tc>
          <w:tcPr>
            <w:tcW w:w="689"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15.81</w:t>
            </w:r>
          </w:p>
        </w:tc>
        <w:tc>
          <w:tcPr>
            <w:tcW w:w="689"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448,000.00</w:t>
            </w:r>
          </w:p>
        </w:tc>
      </w:tr>
      <w:tr w:rsidR="00E20B54">
        <w:trPr>
          <w:trHeight w:val="240"/>
        </w:trPr>
        <w:tc>
          <w:tcPr>
            <w:tcW w:w="689"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马学沛</w:t>
            </w:r>
          </w:p>
        </w:tc>
        <w:tc>
          <w:tcPr>
            <w:tcW w:w="689"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副董事长、总经理</w:t>
            </w:r>
          </w:p>
        </w:tc>
        <w:tc>
          <w:tcPr>
            <w:tcW w:w="689"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w:t>
            </w:r>
          </w:p>
        </w:tc>
        <w:tc>
          <w:tcPr>
            <w:tcW w:w="689"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w:t>
            </w:r>
          </w:p>
        </w:tc>
        <w:tc>
          <w:tcPr>
            <w:tcW w:w="689"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w:t>
            </w:r>
          </w:p>
        </w:tc>
        <w:tc>
          <w:tcPr>
            <w:tcW w:w="689"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w:t>
            </w:r>
          </w:p>
        </w:tc>
        <w:tc>
          <w:tcPr>
            <w:tcW w:w="689"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w:t>
            </w:r>
          </w:p>
        </w:tc>
        <w:tc>
          <w:tcPr>
            <w:tcW w:w="689"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w:t>
            </w:r>
          </w:p>
        </w:tc>
        <w:tc>
          <w:tcPr>
            <w:tcW w:w="689"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w:t>
            </w:r>
          </w:p>
        </w:tc>
        <w:tc>
          <w:tcPr>
            <w:tcW w:w="689"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576,000</w:t>
            </w:r>
          </w:p>
        </w:tc>
        <w:tc>
          <w:tcPr>
            <w:tcW w:w="689"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w:t>
            </w:r>
          </w:p>
        </w:tc>
        <w:tc>
          <w:tcPr>
            <w:tcW w:w="689"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w:t>
            </w:r>
          </w:p>
        </w:tc>
        <w:tc>
          <w:tcPr>
            <w:tcW w:w="689"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15.81</w:t>
            </w:r>
          </w:p>
        </w:tc>
        <w:tc>
          <w:tcPr>
            <w:tcW w:w="689"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448,000.00</w:t>
            </w:r>
          </w:p>
        </w:tc>
      </w:tr>
      <w:tr w:rsidR="00E20B54">
        <w:trPr>
          <w:trHeight w:val="240"/>
        </w:trPr>
        <w:tc>
          <w:tcPr>
            <w:tcW w:w="689"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高俊斌</w:t>
            </w:r>
          </w:p>
        </w:tc>
        <w:tc>
          <w:tcPr>
            <w:tcW w:w="689"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董事（已离任）</w:t>
            </w:r>
          </w:p>
        </w:tc>
        <w:tc>
          <w:tcPr>
            <w:tcW w:w="689"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w:t>
            </w:r>
          </w:p>
        </w:tc>
        <w:tc>
          <w:tcPr>
            <w:tcW w:w="689"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w:t>
            </w:r>
          </w:p>
        </w:tc>
        <w:tc>
          <w:tcPr>
            <w:tcW w:w="689"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w:t>
            </w:r>
          </w:p>
        </w:tc>
        <w:tc>
          <w:tcPr>
            <w:tcW w:w="689"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w:t>
            </w:r>
          </w:p>
        </w:tc>
        <w:tc>
          <w:tcPr>
            <w:tcW w:w="689"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w:t>
            </w:r>
          </w:p>
        </w:tc>
        <w:tc>
          <w:tcPr>
            <w:tcW w:w="689"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w:t>
            </w:r>
          </w:p>
        </w:tc>
        <w:tc>
          <w:tcPr>
            <w:tcW w:w="689"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w:t>
            </w:r>
          </w:p>
        </w:tc>
        <w:tc>
          <w:tcPr>
            <w:tcW w:w="689"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76,500</w:t>
            </w:r>
          </w:p>
        </w:tc>
        <w:tc>
          <w:tcPr>
            <w:tcW w:w="689"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w:t>
            </w:r>
          </w:p>
        </w:tc>
        <w:tc>
          <w:tcPr>
            <w:tcW w:w="689"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w:t>
            </w:r>
          </w:p>
        </w:tc>
        <w:tc>
          <w:tcPr>
            <w:tcW w:w="689"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15.81</w:t>
            </w:r>
          </w:p>
        </w:tc>
        <w:tc>
          <w:tcPr>
            <w:tcW w:w="689"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38,250.00</w:t>
            </w:r>
          </w:p>
        </w:tc>
      </w:tr>
      <w:tr w:rsidR="00E20B54">
        <w:trPr>
          <w:trHeight w:val="240"/>
        </w:trPr>
        <w:tc>
          <w:tcPr>
            <w:tcW w:w="689"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张毅</w:t>
            </w:r>
          </w:p>
        </w:tc>
        <w:tc>
          <w:tcPr>
            <w:tcW w:w="689"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董事（已离任）</w:t>
            </w:r>
          </w:p>
        </w:tc>
        <w:tc>
          <w:tcPr>
            <w:tcW w:w="689"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w:t>
            </w:r>
          </w:p>
        </w:tc>
        <w:tc>
          <w:tcPr>
            <w:tcW w:w="689"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w:t>
            </w:r>
          </w:p>
        </w:tc>
        <w:tc>
          <w:tcPr>
            <w:tcW w:w="689"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w:t>
            </w:r>
          </w:p>
        </w:tc>
        <w:tc>
          <w:tcPr>
            <w:tcW w:w="689"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w:t>
            </w:r>
          </w:p>
        </w:tc>
        <w:tc>
          <w:tcPr>
            <w:tcW w:w="689"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w:t>
            </w:r>
          </w:p>
        </w:tc>
        <w:tc>
          <w:tcPr>
            <w:tcW w:w="689"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w:t>
            </w:r>
          </w:p>
        </w:tc>
        <w:tc>
          <w:tcPr>
            <w:tcW w:w="689"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w:t>
            </w:r>
          </w:p>
        </w:tc>
        <w:tc>
          <w:tcPr>
            <w:tcW w:w="689"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76,500</w:t>
            </w:r>
          </w:p>
        </w:tc>
        <w:tc>
          <w:tcPr>
            <w:tcW w:w="689"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w:t>
            </w:r>
          </w:p>
        </w:tc>
        <w:tc>
          <w:tcPr>
            <w:tcW w:w="689"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w:t>
            </w:r>
          </w:p>
        </w:tc>
        <w:tc>
          <w:tcPr>
            <w:tcW w:w="689"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15.81</w:t>
            </w:r>
          </w:p>
        </w:tc>
        <w:tc>
          <w:tcPr>
            <w:tcW w:w="689"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38,250.00</w:t>
            </w:r>
          </w:p>
        </w:tc>
      </w:tr>
      <w:tr w:rsidR="00E20B54">
        <w:trPr>
          <w:trHeight w:val="240"/>
        </w:trPr>
        <w:tc>
          <w:tcPr>
            <w:tcW w:w="689"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马淦江</w:t>
            </w:r>
          </w:p>
        </w:tc>
        <w:tc>
          <w:tcPr>
            <w:tcW w:w="689"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董事（已离任）</w:t>
            </w:r>
          </w:p>
        </w:tc>
        <w:tc>
          <w:tcPr>
            <w:tcW w:w="689"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w:t>
            </w:r>
          </w:p>
        </w:tc>
        <w:tc>
          <w:tcPr>
            <w:tcW w:w="689"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w:t>
            </w:r>
          </w:p>
        </w:tc>
        <w:tc>
          <w:tcPr>
            <w:tcW w:w="689"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w:t>
            </w:r>
          </w:p>
        </w:tc>
        <w:tc>
          <w:tcPr>
            <w:tcW w:w="689"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w:t>
            </w:r>
          </w:p>
        </w:tc>
        <w:tc>
          <w:tcPr>
            <w:tcW w:w="689"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w:t>
            </w:r>
          </w:p>
        </w:tc>
        <w:tc>
          <w:tcPr>
            <w:tcW w:w="689"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w:t>
            </w:r>
          </w:p>
        </w:tc>
        <w:tc>
          <w:tcPr>
            <w:tcW w:w="689"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w:t>
            </w:r>
          </w:p>
        </w:tc>
        <w:tc>
          <w:tcPr>
            <w:tcW w:w="689"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72,000</w:t>
            </w:r>
          </w:p>
        </w:tc>
        <w:tc>
          <w:tcPr>
            <w:tcW w:w="689"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w:t>
            </w:r>
          </w:p>
        </w:tc>
        <w:tc>
          <w:tcPr>
            <w:tcW w:w="689"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w:t>
            </w:r>
          </w:p>
        </w:tc>
        <w:tc>
          <w:tcPr>
            <w:tcW w:w="689"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15.81</w:t>
            </w:r>
          </w:p>
        </w:tc>
        <w:tc>
          <w:tcPr>
            <w:tcW w:w="689"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56,000.00</w:t>
            </w:r>
          </w:p>
        </w:tc>
      </w:tr>
      <w:tr w:rsidR="00E20B54">
        <w:trPr>
          <w:trHeight w:val="240"/>
        </w:trPr>
        <w:tc>
          <w:tcPr>
            <w:tcW w:w="689"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林少勇</w:t>
            </w:r>
          </w:p>
        </w:tc>
        <w:tc>
          <w:tcPr>
            <w:tcW w:w="689"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副总经理（已离任）</w:t>
            </w:r>
          </w:p>
        </w:tc>
        <w:tc>
          <w:tcPr>
            <w:tcW w:w="689"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w:t>
            </w:r>
          </w:p>
        </w:tc>
        <w:tc>
          <w:tcPr>
            <w:tcW w:w="689"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w:t>
            </w:r>
          </w:p>
        </w:tc>
        <w:tc>
          <w:tcPr>
            <w:tcW w:w="689"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w:t>
            </w:r>
          </w:p>
        </w:tc>
        <w:tc>
          <w:tcPr>
            <w:tcW w:w="689"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w:t>
            </w:r>
          </w:p>
        </w:tc>
        <w:tc>
          <w:tcPr>
            <w:tcW w:w="689"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w:t>
            </w:r>
          </w:p>
        </w:tc>
        <w:tc>
          <w:tcPr>
            <w:tcW w:w="689"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w:t>
            </w:r>
          </w:p>
        </w:tc>
        <w:tc>
          <w:tcPr>
            <w:tcW w:w="689"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w:t>
            </w:r>
          </w:p>
        </w:tc>
        <w:tc>
          <w:tcPr>
            <w:tcW w:w="689"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124,020</w:t>
            </w:r>
          </w:p>
        </w:tc>
        <w:tc>
          <w:tcPr>
            <w:tcW w:w="689"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w:t>
            </w:r>
          </w:p>
        </w:tc>
        <w:tc>
          <w:tcPr>
            <w:tcW w:w="689"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w:t>
            </w:r>
          </w:p>
        </w:tc>
        <w:tc>
          <w:tcPr>
            <w:tcW w:w="689"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15.81</w:t>
            </w:r>
          </w:p>
        </w:tc>
        <w:tc>
          <w:tcPr>
            <w:tcW w:w="689"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96,460.00</w:t>
            </w:r>
          </w:p>
        </w:tc>
      </w:tr>
      <w:tr w:rsidR="00E20B54">
        <w:trPr>
          <w:trHeight w:val="240"/>
        </w:trPr>
        <w:tc>
          <w:tcPr>
            <w:tcW w:w="689"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李华青</w:t>
            </w:r>
          </w:p>
        </w:tc>
        <w:tc>
          <w:tcPr>
            <w:tcW w:w="689"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副总经理（已离任）</w:t>
            </w:r>
          </w:p>
        </w:tc>
        <w:tc>
          <w:tcPr>
            <w:tcW w:w="689"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w:t>
            </w:r>
          </w:p>
        </w:tc>
        <w:tc>
          <w:tcPr>
            <w:tcW w:w="689"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w:t>
            </w:r>
          </w:p>
        </w:tc>
        <w:tc>
          <w:tcPr>
            <w:tcW w:w="689"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w:t>
            </w:r>
          </w:p>
        </w:tc>
        <w:tc>
          <w:tcPr>
            <w:tcW w:w="689"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w:t>
            </w:r>
          </w:p>
        </w:tc>
        <w:tc>
          <w:tcPr>
            <w:tcW w:w="689"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w:t>
            </w:r>
          </w:p>
        </w:tc>
        <w:tc>
          <w:tcPr>
            <w:tcW w:w="689"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w:t>
            </w:r>
          </w:p>
        </w:tc>
        <w:tc>
          <w:tcPr>
            <w:tcW w:w="689"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w:t>
            </w:r>
          </w:p>
        </w:tc>
        <w:tc>
          <w:tcPr>
            <w:tcW w:w="689"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350,100</w:t>
            </w:r>
          </w:p>
        </w:tc>
        <w:tc>
          <w:tcPr>
            <w:tcW w:w="689"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w:t>
            </w:r>
          </w:p>
        </w:tc>
        <w:tc>
          <w:tcPr>
            <w:tcW w:w="689"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w:t>
            </w:r>
          </w:p>
        </w:tc>
        <w:tc>
          <w:tcPr>
            <w:tcW w:w="689"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15.81</w:t>
            </w:r>
          </w:p>
        </w:tc>
        <w:tc>
          <w:tcPr>
            <w:tcW w:w="689"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175,050.00</w:t>
            </w:r>
          </w:p>
        </w:tc>
      </w:tr>
      <w:tr w:rsidR="00E20B54">
        <w:trPr>
          <w:trHeight w:val="240"/>
        </w:trPr>
        <w:tc>
          <w:tcPr>
            <w:tcW w:w="689"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陈焕盛</w:t>
            </w:r>
          </w:p>
        </w:tc>
        <w:tc>
          <w:tcPr>
            <w:tcW w:w="689"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财务负责人</w:t>
            </w:r>
          </w:p>
        </w:tc>
        <w:tc>
          <w:tcPr>
            <w:tcW w:w="689"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w:t>
            </w:r>
          </w:p>
        </w:tc>
        <w:tc>
          <w:tcPr>
            <w:tcW w:w="689"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w:t>
            </w:r>
          </w:p>
        </w:tc>
        <w:tc>
          <w:tcPr>
            <w:tcW w:w="689"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w:t>
            </w:r>
          </w:p>
        </w:tc>
        <w:tc>
          <w:tcPr>
            <w:tcW w:w="689"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w:t>
            </w:r>
          </w:p>
        </w:tc>
        <w:tc>
          <w:tcPr>
            <w:tcW w:w="689"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w:t>
            </w:r>
          </w:p>
        </w:tc>
        <w:tc>
          <w:tcPr>
            <w:tcW w:w="689"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w:t>
            </w:r>
          </w:p>
        </w:tc>
        <w:tc>
          <w:tcPr>
            <w:tcW w:w="689"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w:t>
            </w:r>
          </w:p>
        </w:tc>
        <w:tc>
          <w:tcPr>
            <w:tcW w:w="689"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50,400</w:t>
            </w:r>
          </w:p>
        </w:tc>
        <w:tc>
          <w:tcPr>
            <w:tcW w:w="689"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w:t>
            </w:r>
          </w:p>
        </w:tc>
        <w:tc>
          <w:tcPr>
            <w:tcW w:w="689"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w:t>
            </w:r>
          </w:p>
        </w:tc>
        <w:tc>
          <w:tcPr>
            <w:tcW w:w="689"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15.81</w:t>
            </w:r>
          </w:p>
        </w:tc>
        <w:tc>
          <w:tcPr>
            <w:tcW w:w="689"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39,200.00</w:t>
            </w:r>
          </w:p>
        </w:tc>
      </w:tr>
      <w:tr w:rsidR="00E20B54">
        <w:trPr>
          <w:trHeight w:val="240"/>
        </w:trPr>
        <w:tc>
          <w:tcPr>
            <w:tcW w:w="689"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合计</w:t>
            </w:r>
          </w:p>
        </w:tc>
        <w:tc>
          <w:tcPr>
            <w:tcW w:w="689"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w:t>
            </w:r>
          </w:p>
        </w:tc>
        <w:tc>
          <w:tcPr>
            <w:tcW w:w="689"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w:t>
            </w:r>
          </w:p>
        </w:tc>
        <w:tc>
          <w:tcPr>
            <w:tcW w:w="689"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w:t>
            </w:r>
          </w:p>
        </w:tc>
        <w:tc>
          <w:tcPr>
            <w:tcW w:w="689"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w:t>
            </w:r>
          </w:p>
        </w:tc>
        <w:tc>
          <w:tcPr>
            <w:tcW w:w="689"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w:t>
            </w:r>
          </w:p>
        </w:tc>
        <w:tc>
          <w:tcPr>
            <w:tcW w:w="689"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w:t>
            </w:r>
          </w:p>
        </w:tc>
        <w:tc>
          <w:tcPr>
            <w:tcW w:w="689"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w:t>
            </w:r>
          </w:p>
        </w:tc>
        <w:tc>
          <w:tcPr>
            <w:tcW w:w="689"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w:t>
            </w:r>
          </w:p>
        </w:tc>
        <w:tc>
          <w:tcPr>
            <w:tcW w:w="689"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1,901,520</w:t>
            </w:r>
          </w:p>
        </w:tc>
        <w:tc>
          <w:tcPr>
            <w:tcW w:w="689"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w:t>
            </w:r>
          </w:p>
        </w:tc>
        <w:tc>
          <w:tcPr>
            <w:tcW w:w="689"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w:t>
            </w:r>
          </w:p>
        </w:tc>
        <w:tc>
          <w:tcPr>
            <w:tcW w:w="689"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w:t>
            </w:r>
          </w:p>
        </w:tc>
        <w:tc>
          <w:tcPr>
            <w:tcW w:w="689"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1,339,210</w:t>
            </w:r>
          </w:p>
        </w:tc>
      </w:tr>
      <w:tr w:rsidR="00E20B54">
        <w:trPr>
          <w:trHeight w:val="240"/>
        </w:trPr>
        <w:tc>
          <w:tcPr>
            <w:tcW w:w="1378"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备注（如有）</w:t>
            </w:r>
          </w:p>
        </w:tc>
        <w:tc>
          <w:tcPr>
            <w:tcW w:w="8268" w:type="dxa"/>
            <w:gridSpan w:val="12"/>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1.</w:t>
            </w:r>
            <w:r>
              <w:rPr>
                <w:sz w:val="18"/>
                <w:szCs w:val="18"/>
              </w:rPr>
              <w:t>因公司层面业绩考核未达标，</w:t>
            </w:r>
            <w:r>
              <w:rPr>
                <w:sz w:val="18"/>
                <w:szCs w:val="18"/>
              </w:rPr>
              <w:t>2023</w:t>
            </w:r>
            <w:r>
              <w:rPr>
                <w:sz w:val="18"/>
                <w:szCs w:val="18"/>
              </w:rPr>
              <w:t>年度限制性股票激励计划已授予的限制性股票第二期解限售</w:t>
            </w:r>
            <w:r>
              <w:rPr>
                <w:sz w:val="18"/>
                <w:szCs w:val="18"/>
              </w:rPr>
              <w:t>/</w:t>
            </w:r>
            <w:r>
              <w:rPr>
                <w:sz w:val="18"/>
                <w:szCs w:val="18"/>
              </w:rPr>
              <w:t>归属条件未成就，公司同意回购并注销已授予但尚未解除限售的限制性股票</w:t>
            </w:r>
            <w:r>
              <w:rPr>
                <w:sz w:val="18"/>
                <w:szCs w:val="18"/>
              </w:rPr>
              <w:t>256,000</w:t>
            </w:r>
            <w:r>
              <w:rPr>
                <w:sz w:val="18"/>
                <w:szCs w:val="18"/>
              </w:rPr>
              <w:t>股，另已授予但尚未归属的第二类限制性股票作废；</w:t>
            </w:r>
          </w:p>
          <w:p w:rsidR="00E20B54" w:rsidRDefault="00733C9E">
            <w:pPr>
              <w:spacing w:line="240" w:lineRule="exact"/>
              <w:rPr>
                <w:sz w:val="18"/>
                <w:szCs w:val="18"/>
              </w:rPr>
            </w:pPr>
            <w:r>
              <w:rPr>
                <w:sz w:val="18"/>
                <w:szCs w:val="18"/>
              </w:rPr>
              <w:t>2.2025</w:t>
            </w:r>
            <w:r>
              <w:rPr>
                <w:sz w:val="18"/>
                <w:szCs w:val="18"/>
              </w:rPr>
              <w:t>年</w:t>
            </w:r>
            <w:r>
              <w:rPr>
                <w:sz w:val="18"/>
                <w:szCs w:val="18"/>
              </w:rPr>
              <w:t>8</w:t>
            </w:r>
            <w:r>
              <w:rPr>
                <w:sz w:val="18"/>
                <w:szCs w:val="18"/>
              </w:rPr>
              <w:t>月，公司第三届董事会任期届满。经公司</w:t>
            </w:r>
            <w:r>
              <w:rPr>
                <w:sz w:val="18"/>
                <w:szCs w:val="18"/>
              </w:rPr>
              <w:t>2025</w:t>
            </w:r>
            <w:r>
              <w:rPr>
                <w:sz w:val="18"/>
                <w:szCs w:val="18"/>
              </w:rPr>
              <w:t>年</w:t>
            </w:r>
            <w:r>
              <w:rPr>
                <w:sz w:val="18"/>
                <w:szCs w:val="18"/>
              </w:rPr>
              <w:t>8</w:t>
            </w:r>
            <w:r>
              <w:rPr>
                <w:sz w:val="18"/>
                <w:szCs w:val="18"/>
              </w:rPr>
              <w:t>月</w:t>
            </w:r>
            <w:r>
              <w:rPr>
                <w:sz w:val="18"/>
                <w:szCs w:val="18"/>
              </w:rPr>
              <w:t>27</w:t>
            </w:r>
            <w:r>
              <w:rPr>
                <w:sz w:val="18"/>
                <w:szCs w:val="18"/>
              </w:rPr>
              <w:t>日召开的第三届董事会第三十三次会议、</w:t>
            </w:r>
            <w:r>
              <w:rPr>
                <w:sz w:val="18"/>
                <w:szCs w:val="18"/>
              </w:rPr>
              <w:t>2025</w:t>
            </w:r>
            <w:r>
              <w:rPr>
                <w:sz w:val="18"/>
                <w:szCs w:val="18"/>
              </w:rPr>
              <w:t>年</w:t>
            </w:r>
            <w:r>
              <w:rPr>
                <w:sz w:val="18"/>
                <w:szCs w:val="18"/>
              </w:rPr>
              <w:t>9</w:t>
            </w:r>
            <w:r>
              <w:rPr>
                <w:sz w:val="18"/>
                <w:szCs w:val="18"/>
              </w:rPr>
              <w:t>月</w:t>
            </w:r>
            <w:r>
              <w:rPr>
                <w:sz w:val="18"/>
                <w:szCs w:val="18"/>
              </w:rPr>
              <w:t>15</w:t>
            </w:r>
            <w:r>
              <w:rPr>
                <w:sz w:val="18"/>
                <w:szCs w:val="18"/>
              </w:rPr>
              <w:t>日召开的</w:t>
            </w:r>
            <w:r>
              <w:rPr>
                <w:sz w:val="18"/>
                <w:szCs w:val="18"/>
              </w:rPr>
              <w:t>2025</w:t>
            </w:r>
            <w:r>
              <w:rPr>
                <w:sz w:val="18"/>
                <w:szCs w:val="18"/>
              </w:rPr>
              <w:t>年第二次临时股东会审议，经选举产生了公司第四届董事会成员；经</w:t>
            </w:r>
            <w:r>
              <w:rPr>
                <w:sz w:val="18"/>
                <w:szCs w:val="18"/>
              </w:rPr>
              <w:t>2025</w:t>
            </w:r>
            <w:r>
              <w:rPr>
                <w:sz w:val="18"/>
                <w:szCs w:val="18"/>
              </w:rPr>
              <w:t>年</w:t>
            </w:r>
            <w:r>
              <w:rPr>
                <w:sz w:val="18"/>
                <w:szCs w:val="18"/>
              </w:rPr>
              <w:t>9</w:t>
            </w:r>
            <w:r>
              <w:rPr>
                <w:sz w:val="18"/>
                <w:szCs w:val="18"/>
              </w:rPr>
              <w:t>月</w:t>
            </w:r>
            <w:r>
              <w:rPr>
                <w:sz w:val="18"/>
                <w:szCs w:val="18"/>
              </w:rPr>
              <w:t>15</w:t>
            </w:r>
            <w:r>
              <w:rPr>
                <w:sz w:val="18"/>
                <w:szCs w:val="18"/>
              </w:rPr>
              <w:t>日召开第四届董事会第一次会议审议通过，董事会聘任高级管理人员。第三届董事会成员高俊斌、张毅、马淦江和高级管理人员林少勇、李华青因届满离任，离任后在公司担任其他职务。</w:t>
            </w:r>
          </w:p>
        </w:tc>
      </w:tr>
    </w:tbl>
    <w:p w:rsidR="00E20B54" w:rsidRDefault="00733C9E">
      <w:pPr>
        <w:spacing w:before="100" w:after="100" w:line="240" w:lineRule="exact"/>
        <w:rPr>
          <w:sz w:val="18"/>
          <w:szCs w:val="18"/>
        </w:rPr>
      </w:pPr>
      <w:r>
        <w:rPr>
          <w:sz w:val="18"/>
          <w:szCs w:val="18"/>
        </w:rPr>
        <w:t>高级管理人员的考评机制及激励情况</w:t>
      </w:r>
    </w:p>
    <w:p w:rsidR="00E20B54" w:rsidRDefault="00733C9E">
      <w:pPr>
        <w:pStyle w:val="a3"/>
        <w:widowControl/>
        <w:spacing w:beforeAutospacing="0" w:afterAutospacing="0"/>
        <w:jc w:val="both"/>
        <w:rPr>
          <w:sz w:val="21"/>
          <w:szCs w:val="21"/>
        </w:rPr>
      </w:pPr>
      <w:r>
        <w:rPr>
          <w:color w:val="000000"/>
          <w:sz w:val="21"/>
          <w:szCs w:val="21"/>
        </w:rPr>
        <w:lastRenderedPageBreak/>
        <w:t>高级管理人员考评机制及激励情况详见本报告第四节、六、董事和高级管理人员薪酬情况。</w:t>
      </w:r>
    </w:p>
    <w:p w:rsidR="00E20B54" w:rsidRDefault="00733C9E">
      <w:pPr>
        <w:pStyle w:val="a3"/>
        <w:widowControl/>
        <w:spacing w:beforeAutospacing="0" w:afterAutospacing="0"/>
        <w:jc w:val="both"/>
        <w:rPr>
          <w:sz w:val="21"/>
          <w:szCs w:val="21"/>
        </w:rPr>
      </w:pPr>
      <w:r>
        <w:rPr>
          <w:sz w:val="21"/>
          <w:szCs w:val="21"/>
        </w:rPr>
        <w:t> </w:t>
      </w:r>
    </w:p>
    <w:p w:rsidR="00E20B54" w:rsidRDefault="00733C9E">
      <w:pPr>
        <w:pStyle w:val="3"/>
        <w:spacing w:line="280" w:lineRule="exact"/>
        <w:jc w:val="left"/>
        <w:rPr>
          <w:b/>
          <w:bCs/>
        </w:rPr>
      </w:pPr>
      <w:bookmarkStart w:id="75" w:name="_Toc988964"/>
      <w:r>
        <w:rPr>
          <w:b/>
          <w:bCs/>
        </w:rPr>
        <w:t>2</w:t>
      </w:r>
      <w:r>
        <w:rPr>
          <w:b/>
          <w:bCs/>
        </w:rPr>
        <w:t>、员工持股计划的实施情况</w:t>
      </w:r>
      <w:bookmarkEnd w:id="75"/>
    </w:p>
    <w:p w:rsidR="00E20B54" w:rsidRDefault="00733C9E">
      <w:pPr>
        <w:spacing w:before="40" w:after="40" w:line="240" w:lineRule="exact"/>
        <w:rPr>
          <w:sz w:val="18"/>
          <w:szCs w:val="18"/>
        </w:rPr>
      </w:pPr>
      <w:r>
        <w:rPr>
          <w:sz w:val="18"/>
          <w:szCs w:val="18"/>
        </w:rPr>
        <w:sym w:font="Wingdings 2" w:char="F052"/>
      </w:r>
      <w:r>
        <w:rPr>
          <w:sz w:val="18"/>
          <w:szCs w:val="18"/>
        </w:rPr>
        <w:t>适用</w:t>
      </w:r>
      <w:r>
        <w:rPr>
          <w:sz w:val="18"/>
          <w:szCs w:val="18"/>
        </w:rPr>
        <w:t xml:space="preserve"> □</w:t>
      </w:r>
      <w:r>
        <w:rPr>
          <w:sz w:val="18"/>
          <w:szCs w:val="18"/>
        </w:rPr>
        <w:t>不适用</w:t>
      </w:r>
    </w:p>
    <w:p w:rsidR="00E20B54" w:rsidRDefault="00733C9E">
      <w:pPr>
        <w:spacing w:before="100" w:after="100" w:line="240" w:lineRule="exact"/>
        <w:rPr>
          <w:sz w:val="18"/>
          <w:szCs w:val="18"/>
        </w:rPr>
      </w:pPr>
      <w:r>
        <w:rPr>
          <w:sz w:val="18"/>
          <w:szCs w:val="18"/>
        </w:rPr>
        <w:t>报告期内全部有效的员工持股计划情况</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606"/>
        <w:gridCol w:w="1606"/>
        <w:gridCol w:w="1606"/>
        <w:gridCol w:w="1607"/>
        <w:gridCol w:w="1607"/>
        <w:gridCol w:w="1607"/>
      </w:tblGrid>
      <w:tr w:rsidR="00E20B54">
        <w:trPr>
          <w:trHeight w:val="240"/>
        </w:trPr>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员工的范围</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员工人数</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持有的股票总数（股）</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变更情况</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占上市公司股本总额的比例</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实施计划的资金来源</w:t>
            </w:r>
          </w:p>
        </w:tc>
      </w:tr>
      <w:tr w:rsidR="00E20B54">
        <w:trPr>
          <w:trHeight w:val="240"/>
        </w:trPr>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公司（含子公司）核心员工</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7</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472,400</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0</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0.71%</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员工合法薪酬、自筹资金和法律、行政法规允许的其他方式</w:t>
            </w:r>
          </w:p>
        </w:tc>
      </w:tr>
    </w:tbl>
    <w:p w:rsidR="00E20B54" w:rsidRDefault="00733C9E">
      <w:pPr>
        <w:spacing w:before="40" w:after="40" w:line="240" w:lineRule="exact"/>
        <w:rPr>
          <w:sz w:val="18"/>
          <w:szCs w:val="18"/>
        </w:rPr>
      </w:pPr>
      <w:r>
        <w:rPr>
          <w:sz w:val="18"/>
          <w:szCs w:val="18"/>
        </w:rPr>
        <w:t>报告期内董事、高级管理人员在员工持股计划中的持股情况</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927"/>
        <w:gridCol w:w="1928"/>
        <w:gridCol w:w="1928"/>
        <w:gridCol w:w="1928"/>
        <w:gridCol w:w="1928"/>
      </w:tblGrid>
      <w:tr w:rsidR="00E20B54">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姓名</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职务</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报告期初持股数（股）</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报告期末持股数（股）</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占上市公司股本总额的比例</w:t>
            </w:r>
          </w:p>
        </w:tc>
      </w:tr>
      <w:tr w:rsidR="00E20B54">
        <w:trPr>
          <w:trHeight w:val="240"/>
        </w:trPr>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无</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不适用</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0.00%</w:t>
            </w:r>
          </w:p>
        </w:tc>
      </w:tr>
    </w:tbl>
    <w:p w:rsidR="00E20B54" w:rsidRDefault="00733C9E">
      <w:pPr>
        <w:spacing w:before="100" w:after="100" w:line="240" w:lineRule="exact"/>
        <w:rPr>
          <w:sz w:val="18"/>
          <w:szCs w:val="18"/>
        </w:rPr>
      </w:pPr>
      <w:r>
        <w:rPr>
          <w:sz w:val="18"/>
          <w:szCs w:val="18"/>
        </w:rPr>
        <w:t>报告期内资产管理机构的变更情况</w:t>
      </w:r>
    </w:p>
    <w:p w:rsidR="00E20B54" w:rsidRDefault="00733C9E">
      <w:pPr>
        <w:spacing w:before="100" w:after="100" w:line="240" w:lineRule="exact"/>
        <w:rPr>
          <w:sz w:val="18"/>
          <w:szCs w:val="18"/>
        </w:rPr>
      </w:pPr>
      <w:r>
        <w:rPr>
          <w:sz w:val="18"/>
          <w:szCs w:val="18"/>
        </w:rPr>
        <w:t>□</w:t>
      </w:r>
      <w:r>
        <w:rPr>
          <w:sz w:val="18"/>
          <w:szCs w:val="18"/>
        </w:rPr>
        <w:t>适用</w:t>
      </w:r>
      <w:r>
        <w:rPr>
          <w:sz w:val="18"/>
          <w:szCs w:val="18"/>
        </w:rPr>
        <w:t xml:space="preserve"> </w:t>
      </w:r>
      <w:r>
        <w:rPr>
          <w:sz w:val="18"/>
          <w:szCs w:val="18"/>
        </w:rPr>
        <w:sym w:font="Wingdings 2" w:char="F052"/>
      </w:r>
      <w:r>
        <w:rPr>
          <w:sz w:val="18"/>
          <w:szCs w:val="18"/>
        </w:rPr>
        <w:t>不适用</w:t>
      </w:r>
    </w:p>
    <w:p w:rsidR="00E20B54" w:rsidRDefault="00733C9E">
      <w:pPr>
        <w:spacing w:before="100" w:after="100" w:line="240" w:lineRule="exact"/>
        <w:rPr>
          <w:sz w:val="18"/>
          <w:szCs w:val="18"/>
        </w:rPr>
      </w:pPr>
      <w:r>
        <w:rPr>
          <w:sz w:val="18"/>
          <w:szCs w:val="18"/>
        </w:rPr>
        <w:t>报告期内因持有人处置份额等引起的权益变动情况</w:t>
      </w:r>
    </w:p>
    <w:p w:rsidR="00E20B54" w:rsidRDefault="00733C9E">
      <w:pPr>
        <w:spacing w:before="100" w:after="100" w:line="240" w:lineRule="exact"/>
        <w:rPr>
          <w:sz w:val="18"/>
          <w:szCs w:val="18"/>
        </w:rPr>
      </w:pPr>
      <w:r>
        <w:rPr>
          <w:sz w:val="18"/>
          <w:szCs w:val="18"/>
        </w:rPr>
        <w:t>□</w:t>
      </w:r>
      <w:r>
        <w:rPr>
          <w:sz w:val="18"/>
          <w:szCs w:val="18"/>
        </w:rPr>
        <w:t>适用</w:t>
      </w:r>
      <w:r>
        <w:rPr>
          <w:sz w:val="18"/>
          <w:szCs w:val="18"/>
        </w:rPr>
        <w:t xml:space="preserve"> </w:t>
      </w:r>
      <w:r>
        <w:rPr>
          <w:sz w:val="18"/>
          <w:szCs w:val="18"/>
        </w:rPr>
        <w:sym w:font="Wingdings 2" w:char="F052"/>
      </w:r>
      <w:r>
        <w:rPr>
          <w:sz w:val="18"/>
          <w:szCs w:val="18"/>
        </w:rPr>
        <w:t>不适用</w:t>
      </w:r>
    </w:p>
    <w:p w:rsidR="00E20B54" w:rsidRDefault="00733C9E">
      <w:pPr>
        <w:spacing w:before="100" w:after="100" w:line="240" w:lineRule="exact"/>
        <w:rPr>
          <w:sz w:val="18"/>
          <w:szCs w:val="18"/>
        </w:rPr>
      </w:pPr>
      <w:r>
        <w:rPr>
          <w:sz w:val="18"/>
          <w:szCs w:val="18"/>
        </w:rPr>
        <w:t>报告期内股东权利行使的情况</w:t>
      </w:r>
    </w:p>
    <w:p w:rsidR="00E20B54" w:rsidRDefault="00733C9E">
      <w:pPr>
        <w:pStyle w:val="a3"/>
        <w:widowControl/>
        <w:spacing w:beforeAutospacing="0" w:afterAutospacing="0"/>
        <w:ind w:firstLine="360"/>
        <w:jc w:val="both"/>
        <w:rPr>
          <w:sz w:val="21"/>
          <w:szCs w:val="21"/>
        </w:rPr>
      </w:pPr>
      <w:r>
        <w:rPr>
          <w:color w:val="000000"/>
          <w:sz w:val="18"/>
          <w:szCs w:val="18"/>
        </w:rPr>
        <w:t>公司于</w:t>
      </w:r>
      <w:r>
        <w:rPr>
          <w:color w:val="000000"/>
          <w:sz w:val="18"/>
          <w:szCs w:val="18"/>
        </w:rPr>
        <w:t>2025</w:t>
      </w:r>
      <w:r>
        <w:rPr>
          <w:color w:val="000000"/>
          <w:sz w:val="18"/>
          <w:szCs w:val="18"/>
        </w:rPr>
        <w:t>年</w:t>
      </w:r>
      <w:r>
        <w:rPr>
          <w:color w:val="000000"/>
          <w:sz w:val="18"/>
          <w:szCs w:val="18"/>
        </w:rPr>
        <w:t>12</w:t>
      </w:r>
      <w:r>
        <w:rPr>
          <w:color w:val="000000"/>
          <w:sz w:val="18"/>
          <w:szCs w:val="18"/>
        </w:rPr>
        <w:t>月</w:t>
      </w:r>
      <w:r>
        <w:rPr>
          <w:color w:val="000000"/>
          <w:sz w:val="18"/>
          <w:szCs w:val="18"/>
        </w:rPr>
        <w:t>4</w:t>
      </w:r>
      <w:r>
        <w:rPr>
          <w:color w:val="000000"/>
          <w:sz w:val="18"/>
          <w:szCs w:val="18"/>
        </w:rPr>
        <w:t>日召开</w:t>
      </w:r>
      <w:r>
        <w:rPr>
          <w:color w:val="000000"/>
          <w:sz w:val="18"/>
          <w:szCs w:val="18"/>
        </w:rPr>
        <w:t>2025</w:t>
      </w:r>
      <w:r>
        <w:rPr>
          <w:color w:val="000000"/>
          <w:sz w:val="18"/>
          <w:szCs w:val="18"/>
        </w:rPr>
        <w:t>年第三次临时股东会，审议《关于公司符合发行股份及支付现金购买资产并募集配套资金暨关联交易相关法律法规规定条件的议案》</w:t>
      </w:r>
      <w:r>
        <w:rPr>
          <w:color w:val="000000"/>
          <w:sz w:val="18"/>
          <w:szCs w:val="18"/>
        </w:rPr>
        <w:t xml:space="preserve"> </w:t>
      </w:r>
      <w:r>
        <w:rPr>
          <w:color w:val="000000"/>
          <w:sz w:val="18"/>
          <w:szCs w:val="18"/>
        </w:rPr>
        <w:t>等议案。广东天亿马信息产业股份有限公司－</w:t>
      </w:r>
      <w:r>
        <w:rPr>
          <w:color w:val="000000"/>
          <w:sz w:val="18"/>
          <w:szCs w:val="18"/>
        </w:rPr>
        <w:t>2023</w:t>
      </w:r>
      <w:r>
        <w:rPr>
          <w:color w:val="000000"/>
          <w:sz w:val="18"/>
          <w:szCs w:val="18"/>
        </w:rPr>
        <w:t>年员工持股计划作为股东对相关议案行使了表决权。</w:t>
      </w:r>
    </w:p>
    <w:p w:rsidR="00E20B54" w:rsidRDefault="00733C9E">
      <w:pPr>
        <w:spacing w:before="100" w:after="100" w:line="240" w:lineRule="exact"/>
        <w:rPr>
          <w:sz w:val="18"/>
          <w:szCs w:val="18"/>
        </w:rPr>
      </w:pPr>
      <w:r>
        <w:rPr>
          <w:sz w:val="18"/>
          <w:szCs w:val="18"/>
        </w:rPr>
        <w:t>报告期内员工持股计划的其他相关情形及说明</w:t>
      </w:r>
    </w:p>
    <w:p w:rsidR="00E20B54" w:rsidRDefault="00733C9E">
      <w:pPr>
        <w:spacing w:before="100" w:after="100" w:line="240" w:lineRule="exact"/>
        <w:rPr>
          <w:sz w:val="18"/>
          <w:szCs w:val="18"/>
        </w:rPr>
      </w:pPr>
      <w:r>
        <w:rPr>
          <w:sz w:val="18"/>
          <w:szCs w:val="18"/>
        </w:rPr>
        <w:t>□</w:t>
      </w:r>
      <w:r>
        <w:rPr>
          <w:sz w:val="18"/>
          <w:szCs w:val="18"/>
        </w:rPr>
        <w:t>适用</w:t>
      </w:r>
      <w:r>
        <w:rPr>
          <w:sz w:val="18"/>
          <w:szCs w:val="18"/>
        </w:rPr>
        <w:t xml:space="preserve"> </w:t>
      </w:r>
      <w:r>
        <w:rPr>
          <w:sz w:val="18"/>
          <w:szCs w:val="18"/>
        </w:rPr>
        <w:sym w:font="Wingdings 2" w:char="F052"/>
      </w:r>
      <w:r>
        <w:rPr>
          <w:sz w:val="18"/>
          <w:szCs w:val="18"/>
        </w:rPr>
        <w:t>不适用</w:t>
      </w:r>
    </w:p>
    <w:p w:rsidR="00E20B54" w:rsidRDefault="00733C9E">
      <w:pPr>
        <w:spacing w:before="100" w:after="100" w:line="240" w:lineRule="exact"/>
        <w:rPr>
          <w:sz w:val="18"/>
          <w:szCs w:val="18"/>
        </w:rPr>
      </w:pPr>
      <w:r>
        <w:rPr>
          <w:sz w:val="18"/>
          <w:szCs w:val="18"/>
        </w:rPr>
        <w:t>员工持股计划管理委员会成员发生变化</w:t>
      </w:r>
    </w:p>
    <w:p w:rsidR="00E20B54" w:rsidRDefault="00733C9E">
      <w:pPr>
        <w:spacing w:before="100" w:after="100" w:line="240" w:lineRule="exact"/>
        <w:rPr>
          <w:sz w:val="18"/>
          <w:szCs w:val="18"/>
        </w:rPr>
      </w:pPr>
      <w:r>
        <w:rPr>
          <w:sz w:val="18"/>
          <w:szCs w:val="18"/>
        </w:rPr>
        <w:t>□</w:t>
      </w:r>
      <w:r>
        <w:rPr>
          <w:sz w:val="18"/>
          <w:szCs w:val="18"/>
        </w:rPr>
        <w:t>适用</w:t>
      </w:r>
      <w:r>
        <w:rPr>
          <w:sz w:val="18"/>
          <w:szCs w:val="18"/>
        </w:rPr>
        <w:t xml:space="preserve"> </w:t>
      </w:r>
      <w:r>
        <w:rPr>
          <w:sz w:val="18"/>
          <w:szCs w:val="18"/>
        </w:rPr>
        <w:sym w:font="Wingdings 2" w:char="F052"/>
      </w:r>
      <w:r>
        <w:rPr>
          <w:sz w:val="18"/>
          <w:szCs w:val="18"/>
        </w:rPr>
        <w:t>不适用</w:t>
      </w:r>
    </w:p>
    <w:p w:rsidR="00E20B54" w:rsidRDefault="00733C9E">
      <w:pPr>
        <w:spacing w:before="100" w:after="100" w:line="240" w:lineRule="exact"/>
        <w:rPr>
          <w:sz w:val="18"/>
          <w:szCs w:val="18"/>
        </w:rPr>
      </w:pPr>
      <w:r>
        <w:rPr>
          <w:sz w:val="18"/>
          <w:szCs w:val="18"/>
        </w:rPr>
        <w:t>员工持股计划对报告期上市公司的财务影响及相关会计处理</w:t>
      </w:r>
    </w:p>
    <w:p w:rsidR="00E20B54" w:rsidRDefault="00733C9E">
      <w:pPr>
        <w:spacing w:before="100" w:after="100" w:line="240" w:lineRule="exact"/>
        <w:rPr>
          <w:sz w:val="18"/>
          <w:szCs w:val="18"/>
        </w:rPr>
      </w:pPr>
      <w:r>
        <w:rPr>
          <w:sz w:val="18"/>
          <w:szCs w:val="18"/>
        </w:rPr>
        <w:sym w:font="Wingdings 2" w:char="F052"/>
      </w:r>
      <w:r>
        <w:rPr>
          <w:sz w:val="18"/>
          <w:szCs w:val="18"/>
        </w:rPr>
        <w:t>适用</w:t>
      </w:r>
      <w:r>
        <w:rPr>
          <w:sz w:val="18"/>
          <w:szCs w:val="18"/>
        </w:rPr>
        <w:t xml:space="preserve"> □</w:t>
      </w:r>
      <w:r>
        <w:rPr>
          <w:sz w:val="18"/>
          <w:szCs w:val="18"/>
        </w:rPr>
        <w:t>不适用</w:t>
      </w:r>
    </w:p>
    <w:p w:rsidR="00E20B54" w:rsidRDefault="00733C9E">
      <w:pPr>
        <w:pStyle w:val="a3"/>
        <w:widowControl/>
        <w:spacing w:before="120" w:beforeAutospacing="0" w:after="120" w:afterAutospacing="0"/>
        <w:ind w:firstLine="420"/>
        <w:jc w:val="both"/>
        <w:rPr>
          <w:szCs w:val="24"/>
        </w:rPr>
      </w:pPr>
      <w:r>
        <w:rPr>
          <w:sz w:val="21"/>
          <w:szCs w:val="21"/>
        </w:rPr>
        <w:t>根据《管理办法》的相关规定，本持股计划第二个锁定期于</w:t>
      </w:r>
      <w:r>
        <w:rPr>
          <w:sz w:val="21"/>
          <w:szCs w:val="21"/>
        </w:rPr>
        <w:t>2025</w:t>
      </w:r>
      <w:r>
        <w:rPr>
          <w:sz w:val="21"/>
          <w:szCs w:val="21"/>
        </w:rPr>
        <w:t>年</w:t>
      </w:r>
      <w:r>
        <w:rPr>
          <w:sz w:val="21"/>
          <w:szCs w:val="21"/>
        </w:rPr>
        <w:t>12</w:t>
      </w:r>
      <w:r>
        <w:rPr>
          <w:sz w:val="21"/>
          <w:szCs w:val="21"/>
        </w:rPr>
        <w:t>月</w:t>
      </w:r>
      <w:r>
        <w:rPr>
          <w:sz w:val="21"/>
          <w:szCs w:val="21"/>
        </w:rPr>
        <w:t>28</w:t>
      </w:r>
      <w:r>
        <w:rPr>
          <w:sz w:val="21"/>
          <w:szCs w:val="21"/>
        </w:rPr>
        <w:t>日届满。</w:t>
      </w:r>
      <w:r>
        <w:rPr>
          <w:sz w:val="21"/>
          <w:szCs w:val="21"/>
        </w:rPr>
        <w:t>2024</w:t>
      </w:r>
      <w:r>
        <w:rPr>
          <w:sz w:val="21"/>
          <w:szCs w:val="21"/>
        </w:rPr>
        <w:t>年度公司层面业绩考核未达标，根据《管理办法》，第二个锁定期对应的标的股票权益不得解锁，由管理委员会收回，择机出售后以出资金额与售出收益孰低值返还持有人，剩余资金（如有）归属于公司。截至本报告期末，该部分股票尚未处置。</w:t>
      </w:r>
    </w:p>
    <w:p w:rsidR="00E20B54" w:rsidRDefault="00733C9E">
      <w:pPr>
        <w:spacing w:before="100" w:after="100" w:line="240" w:lineRule="exact"/>
        <w:rPr>
          <w:sz w:val="18"/>
          <w:szCs w:val="18"/>
        </w:rPr>
      </w:pPr>
      <w:r>
        <w:rPr>
          <w:sz w:val="18"/>
          <w:szCs w:val="18"/>
        </w:rPr>
        <w:t>报告期内员工持股计划终止的情况</w:t>
      </w:r>
    </w:p>
    <w:p w:rsidR="00E20B54" w:rsidRDefault="00733C9E">
      <w:pPr>
        <w:spacing w:before="100" w:after="100" w:line="240" w:lineRule="exact"/>
        <w:rPr>
          <w:sz w:val="18"/>
          <w:szCs w:val="18"/>
        </w:rPr>
      </w:pPr>
      <w:r>
        <w:rPr>
          <w:sz w:val="18"/>
          <w:szCs w:val="18"/>
        </w:rPr>
        <w:t>□</w:t>
      </w:r>
      <w:r>
        <w:rPr>
          <w:sz w:val="18"/>
          <w:szCs w:val="18"/>
        </w:rPr>
        <w:t>适用</w:t>
      </w:r>
      <w:r>
        <w:rPr>
          <w:sz w:val="18"/>
          <w:szCs w:val="18"/>
        </w:rPr>
        <w:t xml:space="preserve"> </w:t>
      </w:r>
      <w:r>
        <w:rPr>
          <w:sz w:val="18"/>
          <w:szCs w:val="18"/>
        </w:rPr>
        <w:sym w:font="Wingdings 2" w:char="F052"/>
      </w:r>
      <w:r>
        <w:rPr>
          <w:sz w:val="18"/>
          <w:szCs w:val="18"/>
        </w:rPr>
        <w:t>不适用</w:t>
      </w:r>
    </w:p>
    <w:p w:rsidR="00E20B54" w:rsidRDefault="00733C9E">
      <w:pPr>
        <w:spacing w:before="100" w:after="100" w:line="240" w:lineRule="exact"/>
      </w:pPr>
      <w:r>
        <w:rPr>
          <w:sz w:val="18"/>
          <w:szCs w:val="18"/>
        </w:rPr>
        <w:t>其他说明：无。</w:t>
      </w:r>
    </w:p>
    <w:p w:rsidR="00E20B54" w:rsidRDefault="00733C9E">
      <w:pPr>
        <w:pStyle w:val="3"/>
        <w:spacing w:line="280" w:lineRule="exact"/>
        <w:jc w:val="left"/>
        <w:rPr>
          <w:b/>
          <w:bCs/>
        </w:rPr>
      </w:pPr>
      <w:bookmarkStart w:id="76" w:name="_Toc988965"/>
      <w:r>
        <w:rPr>
          <w:b/>
          <w:bCs/>
        </w:rPr>
        <w:t>3</w:t>
      </w:r>
      <w:r>
        <w:rPr>
          <w:b/>
          <w:bCs/>
        </w:rPr>
        <w:t>、其他员工激励措施</w:t>
      </w:r>
      <w:bookmarkEnd w:id="76"/>
    </w:p>
    <w:p w:rsidR="00E20B54" w:rsidRDefault="00733C9E">
      <w:pPr>
        <w:spacing w:before="100" w:after="100" w:line="240" w:lineRule="exact"/>
        <w:rPr>
          <w:sz w:val="18"/>
          <w:szCs w:val="18"/>
        </w:rPr>
      </w:pPr>
      <w:r>
        <w:rPr>
          <w:sz w:val="18"/>
          <w:szCs w:val="18"/>
        </w:rPr>
        <w:t>□</w:t>
      </w:r>
      <w:r>
        <w:rPr>
          <w:sz w:val="18"/>
          <w:szCs w:val="18"/>
        </w:rPr>
        <w:t>适用</w:t>
      </w:r>
      <w:r>
        <w:rPr>
          <w:sz w:val="18"/>
          <w:szCs w:val="18"/>
        </w:rPr>
        <w:t xml:space="preserve"> </w:t>
      </w:r>
      <w:r>
        <w:rPr>
          <w:sz w:val="18"/>
          <w:szCs w:val="18"/>
        </w:rPr>
        <w:sym w:font="Wingdings 2" w:char="F052"/>
      </w:r>
      <w:r>
        <w:rPr>
          <w:sz w:val="18"/>
          <w:szCs w:val="18"/>
        </w:rPr>
        <w:t>不适用</w:t>
      </w:r>
    </w:p>
    <w:p w:rsidR="00E20B54" w:rsidRDefault="00733C9E">
      <w:pPr>
        <w:spacing w:before="100" w:after="100" w:line="240" w:lineRule="exact"/>
        <w:rPr>
          <w:sz w:val="18"/>
          <w:szCs w:val="18"/>
        </w:rPr>
      </w:pPr>
      <w:r>
        <w:rPr>
          <w:sz w:val="18"/>
          <w:szCs w:val="18"/>
        </w:rPr>
        <w:t>公司需遵守《深圳证券交易所上市公司自律监管指引第</w:t>
      </w:r>
      <w:r>
        <w:rPr>
          <w:sz w:val="18"/>
          <w:szCs w:val="18"/>
        </w:rPr>
        <w:t>3</w:t>
      </w:r>
      <w:r>
        <w:rPr>
          <w:sz w:val="18"/>
          <w:szCs w:val="18"/>
        </w:rPr>
        <w:t>号</w:t>
      </w:r>
      <w:r>
        <w:rPr>
          <w:sz w:val="18"/>
          <w:szCs w:val="18"/>
        </w:rPr>
        <w:t>——</w:t>
      </w:r>
      <w:r>
        <w:rPr>
          <w:sz w:val="18"/>
          <w:szCs w:val="18"/>
        </w:rPr>
        <w:t>行业信息披露》中的</w:t>
      </w:r>
      <w:r>
        <w:rPr>
          <w:sz w:val="18"/>
          <w:szCs w:val="18"/>
        </w:rPr>
        <w:t>“</w:t>
      </w:r>
      <w:r>
        <w:rPr>
          <w:sz w:val="18"/>
          <w:szCs w:val="18"/>
        </w:rPr>
        <w:t>软件与信息技术服务业</w:t>
      </w:r>
      <w:r>
        <w:rPr>
          <w:sz w:val="18"/>
          <w:szCs w:val="18"/>
        </w:rPr>
        <w:t>”</w:t>
      </w:r>
      <w:r>
        <w:rPr>
          <w:sz w:val="18"/>
          <w:szCs w:val="18"/>
        </w:rPr>
        <w:t>的披露要求</w:t>
      </w:r>
    </w:p>
    <w:p w:rsidR="00E20B54" w:rsidRDefault="00733C9E">
      <w:pPr>
        <w:pStyle w:val="2"/>
        <w:spacing w:before="300" w:after="300" w:line="320" w:lineRule="exact"/>
        <w:rPr>
          <w:b/>
          <w:bCs/>
          <w:sz w:val="24"/>
          <w:szCs w:val="24"/>
        </w:rPr>
      </w:pPr>
      <w:bookmarkStart w:id="77" w:name="_Toc988966"/>
      <w:r>
        <w:rPr>
          <w:b/>
          <w:bCs/>
          <w:sz w:val="24"/>
          <w:szCs w:val="24"/>
        </w:rPr>
        <w:lastRenderedPageBreak/>
        <w:t>十三、报告期内的内部控制制度建设及实施情况</w:t>
      </w:r>
      <w:bookmarkEnd w:id="77"/>
    </w:p>
    <w:p w:rsidR="00E20B54" w:rsidRDefault="00733C9E">
      <w:pPr>
        <w:pStyle w:val="3"/>
        <w:spacing w:line="280" w:lineRule="exact"/>
        <w:jc w:val="left"/>
        <w:rPr>
          <w:b/>
          <w:bCs/>
        </w:rPr>
      </w:pPr>
      <w:bookmarkStart w:id="78" w:name="_Toc988967"/>
      <w:r>
        <w:rPr>
          <w:b/>
          <w:bCs/>
        </w:rPr>
        <w:t>1</w:t>
      </w:r>
      <w:r>
        <w:rPr>
          <w:b/>
          <w:bCs/>
        </w:rPr>
        <w:t>、内部控制建设及实施情况</w:t>
      </w:r>
      <w:bookmarkEnd w:id="78"/>
    </w:p>
    <w:p w:rsidR="00E20B54" w:rsidRDefault="00733C9E">
      <w:pPr>
        <w:pStyle w:val="a3"/>
        <w:widowControl/>
        <w:spacing w:beforeAutospacing="0" w:afterAutospacing="0" w:line="288" w:lineRule="auto"/>
        <w:ind w:firstLine="363"/>
        <w:jc w:val="both"/>
        <w:rPr>
          <w:sz w:val="21"/>
          <w:szCs w:val="21"/>
        </w:rPr>
      </w:pPr>
      <w:r>
        <w:rPr>
          <w:color w:val="000000"/>
          <w:sz w:val="21"/>
          <w:szCs w:val="21"/>
        </w:rPr>
        <w:t>根据《企业内部控制基本规范》及其配套指引的规定和其他内部控制监管要求，结合行业特点和实际运营情况，公司已建立了较为完整、合理的内部控制制度，所建立的内部控制制度贯穿于公司经营活动的各个层面和各环节，形成了一套比较完整且运行有效的管理体系，合理控制了各种风险，能够预防和及时发现、纠正公司运营过程中可能出现的重要错误和舞弊，保护公司资产的安全和完整，保证了会计记录和会计信息的真实性、准确性和及时性，保证了公司经营的正常有效运行，促进了公司各项经营目标的实现。</w:t>
      </w:r>
    </w:p>
    <w:p w:rsidR="00E20B54" w:rsidRDefault="00733C9E">
      <w:pPr>
        <w:pStyle w:val="a3"/>
        <w:widowControl/>
        <w:spacing w:beforeAutospacing="0" w:afterAutospacing="0" w:line="288" w:lineRule="auto"/>
        <w:ind w:firstLine="363"/>
        <w:jc w:val="both"/>
        <w:rPr>
          <w:sz w:val="21"/>
          <w:szCs w:val="21"/>
        </w:rPr>
      </w:pPr>
      <w:r>
        <w:rPr>
          <w:color w:val="000000"/>
          <w:sz w:val="21"/>
          <w:szCs w:val="21"/>
        </w:rPr>
        <w:t>根据公司财务报告内部控制重大缺陷的认定情况，于内部控制评价报告基准日，不存在财务报告内部控制重大缺陷，董事会认为，公司已按照企业内部控制规范体系和相关规定的要求在所有重大方面保持了有效的财务报告内部控制。</w:t>
      </w:r>
    </w:p>
    <w:p w:rsidR="00E20B54" w:rsidRDefault="00733C9E">
      <w:pPr>
        <w:pStyle w:val="a3"/>
        <w:widowControl/>
        <w:spacing w:beforeAutospacing="0" w:afterAutospacing="0" w:line="288" w:lineRule="auto"/>
        <w:ind w:firstLine="363"/>
        <w:jc w:val="both"/>
        <w:rPr>
          <w:sz w:val="21"/>
          <w:szCs w:val="21"/>
        </w:rPr>
      </w:pPr>
      <w:r>
        <w:rPr>
          <w:color w:val="000000"/>
          <w:sz w:val="21"/>
          <w:szCs w:val="21"/>
        </w:rPr>
        <w:t>根据公司非财务报告内部控制重大缺陷认定情况，于内部控制评价报告基准日，公司未发现非财务报告内部控制重大缺陷。</w:t>
      </w:r>
    </w:p>
    <w:p w:rsidR="00E20B54" w:rsidRDefault="00733C9E">
      <w:pPr>
        <w:pStyle w:val="a3"/>
        <w:widowControl/>
        <w:spacing w:beforeAutospacing="0" w:afterAutospacing="0" w:line="288" w:lineRule="auto"/>
        <w:ind w:firstLine="363"/>
        <w:jc w:val="both"/>
        <w:rPr>
          <w:sz w:val="21"/>
          <w:szCs w:val="21"/>
        </w:rPr>
      </w:pPr>
      <w:r>
        <w:rPr>
          <w:color w:val="000000"/>
          <w:sz w:val="21"/>
          <w:szCs w:val="21"/>
        </w:rPr>
        <w:t>自内部控制评价报告基准日至内部控制评价报告发出日之间未发生影响内部控制有效性评价结论的因素。</w:t>
      </w:r>
    </w:p>
    <w:p w:rsidR="00E20B54" w:rsidRDefault="00733C9E">
      <w:pPr>
        <w:pStyle w:val="3"/>
        <w:spacing w:line="280" w:lineRule="exact"/>
        <w:jc w:val="left"/>
        <w:rPr>
          <w:b/>
          <w:bCs/>
        </w:rPr>
      </w:pPr>
      <w:bookmarkStart w:id="79" w:name="_Toc988968"/>
      <w:r>
        <w:rPr>
          <w:b/>
          <w:bCs/>
        </w:rPr>
        <w:t>2</w:t>
      </w:r>
      <w:r>
        <w:rPr>
          <w:b/>
          <w:bCs/>
        </w:rPr>
        <w:t>、报告期内发现的内部控制重大缺陷的具体情况</w:t>
      </w:r>
      <w:bookmarkEnd w:id="79"/>
    </w:p>
    <w:p w:rsidR="00E20B54" w:rsidRDefault="00733C9E">
      <w:pPr>
        <w:spacing w:before="100" w:after="100" w:line="240" w:lineRule="exact"/>
        <w:rPr>
          <w:sz w:val="18"/>
          <w:szCs w:val="18"/>
        </w:rPr>
      </w:pPr>
      <w:r>
        <w:rPr>
          <w:sz w:val="18"/>
          <w:szCs w:val="18"/>
        </w:rPr>
        <w:t>□</w:t>
      </w:r>
      <w:r>
        <w:rPr>
          <w:sz w:val="18"/>
          <w:szCs w:val="18"/>
        </w:rPr>
        <w:t>是</w:t>
      </w:r>
      <w:r>
        <w:rPr>
          <w:sz w:val="18"/>
          <w:szCs w:val="18"/>
        </w:rPr>
        <w:t xml:space="preserve"> </w:t>
      </w:r>
      <w:r>
        <w:rPr>
          <w:sz w:val="18"/>
          <w:szCs w:val="18"/>
        </w:rPr>
        <w:sym w:font="Wingdings 2" w:char="F052"/>
      </w:r>
      <w:r>
        <w:rPr>
          <w:sz w:val="18"/>
          <w:szCs w:val="18"/>
        </w:rPr>
        <w:t>否</w:t>
      </w:r>
    </w:p>
    <w:p w:rsidR="00E20B54" w:rsidRDefault="00733C9E">
      <w:pPr>
        <w:pStyle w:val="2"/>
        <w:spacing w:before="300" w:after="300" w:line="320" w:lineRule="exact"/>
        <w:rPr>
          <w:b/>
          <w:bCs/>
          <w:sz w:val="24"/>
          <w:szCs w:val="24"/>
        </w:rPr>
      </w:pPr>
      <w:bookmarkStart w:id="80" w:name="_Toc988969"/>
      <w:r>
        <w:rPr>
          <w:b/>
          <w:bCs/>
          <w:sz w:val="24"/>
          <w:szCs w:val="24"/>
        </w:rPr>
        <w:t>十四、公司报告期内对子公司的管理控制情况</w:t>
      </w:r>
      <w:bookmarkEnd w:id="80"/>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377"/>
        <w:gridCol w:w="1377"/>
        <w:gridCol w:w="1377"/>
        <w:gridCol w:w="1377"/>
        <w:gridCol w:w="1377"/>
        <w:gridCol w:w="1377"/>
        <w:gridCol w:w="1377"/>
      </w:tblGrid>
      <w:tr w:rsidR="00E20B54">
        <w:trPr>
          <w:trHeight w:val="240"/>
        </w:trPr>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公司名称</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整合计划</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整合进展</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整合中遇到的问题</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已采取的解决措施</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解决进展</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后续解决计划</w:t>
            </w:r>
          </w:p>
        </w:tc>
      </w:tr>
      <w:tr w:rsidR="00E20B54">
        <w:trPr>
          <w:trHeight w:val="240"/>
        </w:trPr>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无</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不适用</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不适用</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不适用</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不适用</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不适用</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不适用</w:t>
            </w:r>
          </w:p>
        </w:tc>
      </w:tr>
    </w:tbl>
    <w:p w:rsidR="00E20B54" w:rsidRDefault="00733C9E">
      <w:pPr>
        <w:spacing w:before="100" w:after="100" w:line="240" w:lineRule="exact"/>
        <w:rPr>
          <w:sz w:val="18"/>
          <w:szCs w:val="18"/>
        </w:rPr>
      </w:pPr>
      <w:r>
        <w:rPr>
          <w:sz w:val="18"/>
          <w:szCs w:val="18"/>
        </w:rPr>
        <w:t>对子公司的管理控制存在异常</w:t>
      </w:r>
    </w:p>
    <w:p w:rsidR="00E20B54" w:rsidRDefault="00733C9E">
      <w:pPr>
        <w:spacing w:before="100" w:after="100" w:line="240" w:lineRule="exact"/>
        <w:rPr>
          <w:sz w:val="18"/>
          <w:szCs w:val="18"/>
        </w:rPr>
      </w:pPr>
      <w:r>
        <w:rPr>
          <w:sz w:val="18"/>
          <w:szCs w:val="18"/>
        </w:rPr>
        <w:t>□</w:t>
      </w:r>
      <w:r>
        <w:rPr>
          <w:sz w:val="18"/>
          <w:szCs w:val="18"/>
        </w:rPr>
        <w:t>是</w:t>
      </w:r>
      <w:r>
        <w:rPr>
          <w:sz w:val="18"/>
          <w:szCs w:val="18"/>
        </w:rPr>
        <w:t xml:space="preserve"> </w:t>
      </w:r>
      <w:r>
        <w:rPr>
          <w:sz w:val="18"/>
          <w:szCs w:val="18"/>
        </w:rPr>
        <w:sym w:font="Wingdings 2" w:char="F052"/>
      </w:r>
      <w:r>
        <w:rPr>
          <w:sz w:val="18"/>
          <w:szCs w:val="18"/>
        </w:rPr>
        <w:t>否</w:t>
      </w:r>
    </w:p>
    <w:p w:rsidR="00E20B54" w:rsidRDefault="00733C9E">
      <w:pPr>
        <w:pStyle w:val="2"/>
        <w:spacing w:before="300" w:after="300" w:line="320" w:lineRule="exact"/>
        <w:rPr>
          <w:b/>
          <w:bCs/>
          <w:sz w:val="24"/>
          <w:szCs w:val="24"/>
        </w:rPr>
      </w:pPr>
      <w:bookmarkStart w:id="81" w:name="_Toc988970"/>
      <w:r>
        <w:rPr>
          <w:b/>
          <w:bCs/>
          <w:sz w:val="24"/>
          <w:szCs w:val="24"/>
        </w:rPr>
        <w:t>十五、内部控制评价报告及内部控制审计报告</w:t>
      </w:r>
      <w:bookmarkEnd w:id="81"/>
    </w:p>
    <w:p w:rsidR="00E20B54" w:rsidRDefault="00733C9E">
      <w:pPr>
        <w:pStyle w:val="3"/>
        <w:spacing w:line="280" w:lineRule="exact"/>
        <w:jc w:val="left"/>
        <w:rPr>
          <w:b/>
          <w:bCs/>
        </w:rPr>
      </w:pPr>
      <w:bookmarkStart w:id="82" w:name="_Toc988971"/>
      <w:r>
        <w:rPr>
          <w:b/>
          <w:bCs/>
        </w:rPr>
        <w:t>1</w:t>
      </w:r>
      <w:r>
        <w:rPr>
          <w:b/>
          <w:bCs/>
        </w:rPr>
        <w:t>、内控评价报告</w:t>
      </w:r>
      <w:bookmarkEnd w:id="82"/>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内部控制评价报告全文披露日期</w:t>
            </w:r>
          </w:p>
        </w:tc>
        <w:tc>
          <w:tcPr>
            <w:tcW w:w="6426" w:type="dxa"/>
            <w:gridSpan w:val="2"/>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2026</w:t>
            </w:r>
            <w:r>
              <w:rPr>
                <w:sz w:val="18"/>
                <w:szCs w:val="18"/>
              </w:rPr>
              <w:t>年</w:t>
            </w:r>
            <w:r>
              <w:rPr>
                <w:sz w:val="18"/>
                <w:szCs w:val="18"/>
              </w:rPr>
              <w:t>03</w:t>
            </w:r>
            <w:r>
              <w:rPr>
                <w:sz w:val="18"/>
                <w:szCs w:val="18"/>
              </w:rPr>
              <w:t>月</w:t>
            </w:r>
            <w:r>
              <w:rPr>
                <w:sz w:val="18"/>
                <w:szCs w:val="18"/>
              </w:rPr>
              <w:t>31</w:t>
            </w:r>
            <w:r>
              <w:rPr>
                <w:sz w:val="18"/>
                <w:szCs w:val="18"/>
              </w:rPr>
              <w:t>日</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内部控制评价报告全文披露索引</w:t>
            </w:r>
          </w:p>
        </w:tc>
        <w:tc>
          <w:tcPr>
            <w:tcW w:w="6426" w:type="dxa"/>
            <w:gridSpan w:val="2"/>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报告详见公司同日披露于巨潮资讯网等法定披露媒体的《广东天亿马信息产业股份有限公司内部控制自我评价报告》</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纳入评价范围单位资产总额占公司合并财务报表资产总额的比例</w:t>
            </w:r>
          </w:p>
        </w:tc>
        <w:tc>
          <w:tcPr>
            <w:tcW w:w="6426" w:type="dxa"/>
            <w:gridSpan w:val="2"/>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100.00%</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纳入评价范围单位营业收入占公司合并财务报表营业收入的比例</w:t>
            </w:r>
          </w:p>
        </w:tc>
        <w:tc>
          <w:tcPr>
            <w:tcW w:w="6426" w:type="dxa"/>
            <w:gridSpan w:val="2"/>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100.00%</w:t>
            </w:r>
          </w:p>
        </w:tc>
      </w:tr>
      <w:tr w:rsidR="00E20B54">
        <w:trPr>
          <w:trHeight w:val="240"/>
        </w:trPr>
        <w:tc>
          <w:tcPr>
            <w:tcW w:w="9639" w:type="dxa"/>
            <w:gridSpan w:val="3"/>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缺陷认定标准</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类别</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财务报告</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非财务报告</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lastRenderedPageBreak/>
              <w:t>定性标准</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1.</w:t>
            </w:r>
            <w:r>
              <w:rPr>
                <w:sz w:val="18"/>
                <w:szCs w:val="18"/>
              </w:rPr>
              <w:t>财务报告重大缺陷的迹象包括：董事、监事和高级管理人员的舞弊行为；当期财务报告存在重大错报，而内部控制在运行过程中未能发现该错报；审计委员会和内部审计部门对财务报告内部控制监督无效；</w:t>
            </w:r>
            <w:r>
              <w:rPr>
                <w:sz w:val="18"/>
                <w:szCs w:val="18"/>
              </w:rPr>
              <w:t>2.</w:t>
            </w:r>
            <w:r>
              <w:rPr>
                <w:sz w:val="18"/>
                <w:szCs w:val="18"/>
              </w:rPr>
              <w:t>财务报告重要缺陷迹象包括：未依照公认会计准则选择和应用会计政策；未建立反舞弊程序和控制措施；对于非常规或特殊交易的账务处理没有建立相应的控制机制或没有实施且没有相应的补偿性控制；</w:t>
            </w:r>
            <w:r>
              <w:rPr>
                <w:sz w:val="18"/>
                <w:szCs w:val="18"/>
              </w:rPr>
              <w:t>3.</w:t>
            </w:r>
            <w:r>
              <w:rPr>
                <w:sz w:val="18"/>
                <w:szCs w:val="18"/>
              </w:rPr>
              <w:t>一般缺陷是指除上述重大缺陷、重要缺陷之外的其他控制缺陷。</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出现以下情形的，可认定为重大缺陷，其他情形按影响程度分别确定为重要缺陷或一般缺陷：</w:t>
            </w:r>
            <w:r>
              <w:rPr>
                <w:sz w:val="18"/>
                <w:szCs w:val="18"/>
              </w:rPr>
              <w:t>①</w:t>
            </w:r>
            <w:r>
              <w:rPr>
                <w:sz w:val="18"/>
                <w:szCs w:val="18"/>
              </w:rPr>
              <w:t>违反国家现行法律、法规，如出现重大安全生产或环境污染事故；</w:t>
            </w:r>
            <w:r>
              <w:rPr>
                <w:sz w:val="18"/>
                <w:szCs w:val="18"/>
              </w:rPr>
              <w:t>②</w:t>
            </w:r>
            <w:r>
              <w:rPr>
                <w:sz w:val="18"/>
                <w:szCs w:val="18"/>
              </w:rPr>
              <w:t>公司决策程序不科学，造成决策失误等；</w:t>
            </w:r>
            <w:r>
              <w:rPr>
                <w:sz w:val="18"/>
                <w:szCs w:val="18"/>
              </w:rPr>
              <w:t>③</w:t>
            </w:r>
            <w:r>
              <w:rPr>
                <w:sz w:val="18"/>
                <w:szCs w:val="18"/>
              </w:rPr>
              <w:t>主要管理人员或关键岗位技术人员大量离职；</w:t>
            </w:r>
            <w:r>
              <w:rPr>
                <w:sz w:val="18"/>
                <w:szCs w:val="18"/>
              </w:rPr>
              <w:t>④</w:t>
            </w:r>
            <w:r>
              <w:rPr>
                <w:sz w:val="18"/>
                <w:szCs w:val="18"/>
              </w:rPr>
              <w:t>内部控制评价结论中涉及的重大或重要缺陷未得到整改；</w:t>
            </w:r>
            <w:r>
              <w:rPr>
                <w:sz w:val="18"/>
                <w:szCs w:val="18"/>
              </w:rPr>
              <w:t>⑤</w:t>
            </w:r>
            <w:r>
              <w:rPr>
                <w:sz w:val="18"/>
                <w:szCs w:val="18"/>
              </w:rPr>
              <w:t>重要业务缺乏制度控制或制度失效；</w:t>
            </w:r>
            <w:r>
              <w:rPr>
                <w:sz w:val="18"/>
                <w:szCs w:val="18"/>
              </w:rPr>
              <w:t>⑥</w:t>
            </w:r>
            <w:r>
              <w:rPr>
                <w:sz w:val="18"/>
                <w:szCs w:val="18"/>
              </w:rPr>
              <w:t>媒体负面新闻频频曝光</w:t>
            </w:r>
            <w:r>
              <w:rPr>
                <w:sz w:val="18"/>
                <w:szCs w:val="18"/>
              </w:rPr>
              <w:t>,</w:t>
            </w:r>
            <w:r>
              <w:rPr>
                <w:sz w:val="18"/>
                <w:szCs w:val="18"/>
              </w:rPr>
              <w:t>对公司声誉造成重大损害。</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定量标准</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1.</w:t>
            </w:r>
            <w:r>
              <w:rPr>
                <w:sz w:val="18"/>
                <w:szCs w:val="18"/>
              </w:rPr>
              <w:t>涉及经营成果潜在错报重大缺陷：错报</w:t>
            </w:r>
            <w:r>
              <w:rPr>
                <w:sz w:val="18"/>
                <w:szCs w:val="18"/>
              </w:rPr>
              <w:t>≥</w:t>
            </w:r>
            <w:r>
              <w:rPr>
                <w:sz w:val="18"/>
                <w:szCs w:val="18"/>
              </w:rPr>
              <w:t>营业收入的</w:t>
            </w:r>
            <w:r>
              <w:rPr>
                <w:sz w:val="18"/>
                <w:szCs w:val="18"/>
              </w:rPr>
              <w:t>10%</w:t>
            </w:r>
            <w:r>
              <w:rPr>
                <w:sz w:val="18"/>
                <w:szCs w:val="18"/>
              </w:rPr>
              <w:t>；重要缺陷：营业收入的</w:t>
            </w:r>
            <w:r>
              <w:rPr>
                <w:sz w:val="18"/>
                <w:szCs w:val="18"/>
              </w:rPr>
              <w:t>5%≤</w:t>
            </w:r>
            <w:r>
              <w:rPr>
                <w:sz w:val="18"/>
                <w:szCs w:val="18"/>
              </w:rPr>
              <w:t>错报＜营业收入的</w:t>
            </w:r>
            <w:r>
              <w:rPr>
                <w:sz w:val="18"/>
                <w:szCs w:val="18"/>
              </w:rPr>
              <w:t>10%</w:t>
            </w:r>
            <w:r>
              <w:rPr>
                <w:sz w:val="18"/>
                <w:szCs w:val="18"/>
              </w:rPr>
              <w:t>；一般缺陷：错报＜营业收入的</w:t>
            </w:r>
            <w:r>
              <w:rPr>
                <w:sz w:val="18"/>
                <w:szCs w:val="18"/>
              </w:rPr>
              <w:t>5%</w:t>
            </w:r>
            <w:r>
              <w:rPr>
                <w:sz w:val="18"/>
                <w:szCs w:val="18"/>
              </w:rPr>
              <w:t>。</w:t>
            </w:r>
          </w:p>
          <w:p w:rsidR="00E20B54" w:rsidRDefault="00733C9E">
            <w:pPr>
              <w:spacing w:line="240" w:lineRule="exact"/>
              <w:rPr>
                <w:sz w:val="18"/>
                <w:szCs w:val="18"/>
              </w:rPr>
            </w:pPr>
            <w:r>
              <w:rPr>
                <w:sz w:val="18"/>
                <w:szCs w:val="18"/>
              </w:rPr>
              <w:t>2.</w:t>
            </w:r>
            <w:r>
              <w:rPr>
                <w:sz w:val="18"/>
                <w:szCs w:val="18"/>
              </w:rPr>
              <w:t>涉及财务状况潜在错报重大缺陷：错报</w:t>
            </w:r>
            <w:r>
              <w:rPr>
                <w:sz w:val="18"/>
                <w:szCs w:val="18"/>
              </w:rPr>
              <w:t>≥</w:t>
            </w:r>
            <w:r>
              <w:rPr>
                <w:sz w:val="18"/>
                <w:szCs w:val="18"/>
              </w:rPr>
              <w:t>资产总额</w:t>
            </w:r>
            <w:r>
              <w:rPr>
                <w:sz w:val="18"/>
                <w:szCs w:val="18"/>
              </w:rPr>
              <w:t>10%</w:t>
            </w:r>
            <w:r>
              <w:rPr>
                <w:sz w:val="18"/>
                <w:szCs w:val="18"/>
              </w:rPr>
              <w:t>；重要缺陷：资产总额的</w:t>
            </w:r>
            <w:r>
              <w:rPr>
                <w:sz w:val="18"/>
                <w:szCs w:val="18"/>
              </w:rPr>
              <w:t>5%≤</w:t>
            </w:r>
            <w:r>
              <w:rPr>
                <w:sz w:val="18"/>
                <w:szCs w:val="18"/>
              </w:rPr>
              <w:t>错报＜资产总额的</w:t>
            </w:r>
            <w:r>
              <w:rPr>
                <w:sz w:val="18"/>
                <w:szCs w:val="18"/>
              </w:rPr>
              <w:t>10%</w:t>
            </w:r>
            <w:r>
              <w:rPr>
                <w:sz w:val="18"/>
                <w:szCs w:val="18"/>
              </w:rPr>
              <w:t>；一般缺陷：错报＜资产总额的</w:t>
            </w:r>
            <w:r>
              <w:rPr>
                <w:sz w:val="18"/>
                <w:szCs w:val="18"/>
              </w:rPr>
              <w:t>5%</w:t>
            </w:r>
            <w:r>
              <w:rPr>
                <w:sz w:val="18"/>
                <w:szCs w:val="18"/>
              </w:rPr>
              <w:t>。</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无</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财务报告重大缺陷数量（个）</w:t>
            </w:r>
          </w:p>
        </w:tc>
        <w:tc>
          <w:tcPr>
            <w:tcW w:w="6426" w:type="dxa"/>
            <w:gridSpan w:val="2"/>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非财务报告重大缺陷数量（个）</w:t>
            </w:r>
          </w:p>
        </w:tc>
        <w:tc>
          <w:tcPr>
            <w:tcW w:w="6426" w:type="dxa"/>
            <w:gridSpan w:val="2"/>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财务报告重要缺陷数量（个）</w:t>
            </w:r>
          </w:p>
        </w:tc>
        <w:tc>
          <w:tcPr>
            <w:tcW w:w="6426" w:type="dxa"/>
            <w:gridSpan w:val="2"/>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非财务报告重要缺陷数量（个）</w:t>
            </w:r>
          </w:p>
        </w:tc>
        <w:tc>
          <w:tcPr>
            <w:tcW w:w="6426" w:type="dxa"/>
            <w:gridSpan w:val="2"/>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w:t>
            </w:r>
          </w:p>
        </w:tc>
      </w:tr>
    </w:tbl>
    <w:p w:rsidR="00E20B54" w:rsidRDefault="00733C9E">
      <w:pPr>
        <w:pStyle w:val="3"/>
        <w:spacing w:line="280" w:lineRule="exact"/>
        <w:jc w:val="left"/>
        <w:rPr>
          <w:b/>
          <w:bCs/>
        </w:rPr>
      </w:pPr>
      <w:bookmarkStart w:id="83" w:name="_Toc988972"/>
      <w:r>
        <w:rPr>
          <w:b/>
          <w:bCs/>
        </w:rPr>
        <w:t>2</w:t>
      </w:r>
      <w:r>
        <w:rPr>
          <w:b/>
          <w:bCs/>
        </w:rPr>
        <w:t>、内部控制审计报告</w:t>
      </w:r>
      <w:bookmarkEnd w:id="83"/>
    </w:p>
    <w:p w:rsidR="00E20B54" w:rsidRDefault="00733C9E">
      <w:pPr>
        <w:spacing w:before="100" w:after="100" w:line="240" w:lineRule="exact"/>
        <w:rPr>
          <w:sz w:val="18"/>
          <w:szCs w:val="18"/>
        </w:rPr>
      </w:pPr>
      <w:r>
        <w:rPr>
          <w:sz w:val="18"/>
          <w:szCs w:val="18"/>
        </w:rPr>
        <w:sym w:font="Wingdings 2" w:char="F052"/>
      </w:r>
      <w:r>
        <w:rPr>
          <w:sz w:val="18"/>
          <w:szCs w:val="18"/>
        </w:rPr>
        <w:t>适用</w:t>
      </w:r>
      <w:r>
        <w:rPr>
          <w:sz w:val="18"/>
          <w:szCs w:val="18"/>
        </w:rPr>
        <w:t xml:space="preserve"> □</w:t>
      </w:r>
      <w:r>
        <w:rPr>
          <w:sz w:val="18"/>
          <w:szCs w:val="18"/>
        </w:rPr>
        <w:t>不适用</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4820"/>
        <w:gridCol w:w="4819"/>
      </w:tblGrid>
      <w:tr w:rsidR="00E20B54">
        <w:trPr>
          <w:trHeight w:val="240"/>
        </w:trPr>
        <w:tc>
          <w:tcPr>
            <w:tcW w:w="9639"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内部控制审计报告中的审议意见段</w:t>
            </w:r>
          </w:p>
        </w:tc>
      </w:tr>
      <w:tr w:rsidR="00E20B54">
        <w:trPr>
          <w:trHeight w:val="240"/>
        </w:trPr>
        <w:tc>
          <w:tcPr>
            <w:tcW w:w="9639" w:type="dxa"/>
            <w:gridSpan w:val="2"/>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我们认为，天亿马公司于</w:t>
            </w:r>
            <w:r>
              <w:rPr>
                <w:sz w:val="18"/>
                <w:szCs w:val="18"/>
              </w:rPr>
              <w:t>2025</w:t>
            </w:r>
            <w:r>
              <w:rPr>
                <w:sz w:val="18"/>
                <w:szCs w:val="18"/>
              </w:rPr>
              <w:t>年</w:t>
            </w:r>
            <w:r>
              <w:rPr>
                <w:sz w:val="18"/>
                <w:szCs w:val="18"/>
              </w:rPr>
              <w:t>12</w:t>
            </w:r>
            <w:r>
              <w:rPr>
                <w:sz w:val="18"/>
                <w:szCs w:val="18"/>
              </w:rPr>
              <w:t>月</w:t>
            </w:r>
            <w:r>
              <w:rPr>
                <w:sz w:val="18"/>
                <w:szCs w:val="18"/>
              </w:rPr>
              <w:t>31</w:t>
            </w:r>
            <w:r>
              <w:rPr>
                <w:sz w:val="18"/>
                <w:szCs w:val="18"/>
              </w:rPr>
              <w:t>日按照《企业内部控制基本规范》和相关规定在所有重大方面保持了有效的财务报告内部控制。</w:t>
            </w:r>
          </w:p>
        </w:tc>
      </w:tr>
      <w:tr w:rsidR="00E20B54">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内控审计报告披露情况</w:t>
            </w:r>
          </w:p>
        </w:tc>
        <w:tc>
          <w:tcPr>
            <w:tcW w:w="482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披露</w:t>
            </w:r>
          </w:p>
        </w:tc>
      </w:tr>
      <w:tr w:rsidR="00E20B54">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内部控制审计报告全文披露日期</w:t>
            </w:r>
          </w:p>
        </w:tc>
        <w:tc>
          <w:tcPr>
            <w:tcW w:w="482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2026</w:t>
            </w:r>
            <w:r>
              <w:rPr>
                <w:sz w:val="18"/>
                <w:szCs w:val="18"/>
              </w:rPr>
              <w:t>年</w:t>
            </w:r>
            <w:r>
              <w:rPr>
                <w:sz w:val="18"/>
                <w:szCs w:val="18"/>
              </w:rPr>
              <w:t>03</w:t>
            </w:r>
            <w:r>
              <w:rPr>
                <w:sz w:val="18"/>
                <w:szCs w:val="18"/>
              </w:rPr>
              <w:t>月</w:t>
            </w:r>
            <w:r>
              <w:rPr>
                <w:sz w:val="18"/>
                <w:szCs w:val="18"/>
              </w:rPr>
              <w:t>31</w:t>
            </w:r>
            <w:r>
              <w:rPr>
                <w:sz w:val="18"/>
                <w:szCs w:val="18"/>
              </w:rPr>
              <w:t>日</w:t>
            </w:r>
          </w:p>
        </w:tc>
      </w:tr>
      <w:tr w:rsidR="00E20B54">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内部控制审计报告全文披露索引</w:t>
            </w:r>
          </w:p>
        </w:tc>
        <w:tc>
          <w:tcPr>
            <w:tcW w:w="482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报告详见公司同日披露于巨潮资讯网等法定披露媒体的《中审亚太会计师事务所（特殊普通合伙）关于广东天亿马信息产业股份有限公司内部控制审计报告》（中审亚太审字【</w:t>
            </w:r>
            <w:r>
              <w:rPr>
                <w:sz w:val="18"/>
                <w:szCs w:val="18"/>
              </w:rPr>
              <w:t>2026</w:t>
            </w:r>
            <w:r>
              <w:rPr>
                <w:sz w:val="18"/>
                <w:szCs w:val="18"/>
              </w:rPr>
              <w:t>】</w:t>
            </w:r>
            <w:r>
              <w:rPr>
                <w:sz w:val="18"/>
                <w:szCs w:val="18"/>
              </w:rPr>
              <w:t>002985</w:t>
            </w:r>
            <w:r>
              <w:rPr>
                <w:sz w:val="18"/>
                <w:szCs w:val="18"/>
              </w:rPr>
              <w:t>号</w:t>
            </w:r>
            <w:r>
              <w:rPr>
                <w:sz w:val="18"/>
                <w:szCs w:val="18"/>
              </w:rPr>
              <w:t>)</w:t>
            </w:r>
            <w:r>
              <w:rPr>
                <w:sz w:val="18"/>
                <w:szCs w:val="18"/>
              </w:rPr>
              <w:t>。</w:t>
            </w:r>
          </w:p>
        </w:tc>
      </w:tr>
      <w:tr w:rsidR="00E20B54">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内控审计报告意见类型</w:t>
            </w:r>
          </w:p>
        </w:tc>
        <w:tc>
          <w:tcPr>
            <w:tcW w:w="482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标准无保留意见</w:t>
            </w:r>
          </w:p>
        </w:tc>
      </w:tr>
      <w:tr w:rsidR="00E20B54">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非财务报告是否存在重大缺陷</w:t>
            </w:r>
          </w:p>
        </w:tc>
        <w:tc>
          <w:tcPr>
            <w:tcW w:w="482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否</w:t>
            </w:r>
          </w:p>
        </w:tc>
      </w:tr>
    </w:tbl>
    <w:p w:rsidR="00E20B54" w:rsidRDefault="00733C9E">
      <w:pPr>
        <w:spacing w:before="100" w:after="100" w:line="240" w:lineRule="exact"/>
        <w:rPr>
          <w:sz w:val="18"/>
          <w:szCs w:val="18"/>
        </w:rPr>
      </w:pPr>
      <w:r>
        <w:rPr>
          <w:sz w:val="18"/>
          <w:szCs w:val="18"/>
        </w:rPr>
        <w:t>会计师事务所是否出具非标准意见的内部控制审计报告</w:t>
      </w:r>
    </w:p>
    <w:p w:rsidR="00E20B54" w:rsidRDefault="00733C9E">
      <w:pPr>
        <w:spacing w:before="100" w:after="100" w:line="240" w:lineRule="exact"/>
        <w:rPr>
          <w:sz w:val="18"/>
          <w:szCs w:val="18"/>
        </w:rPr>
      </w:pPr>
      <w:r>
        <w:rPr>
          <w:sz w:val="18"/>
          <w:szCs w:val="18"/>
        </w:rPr>
        <w:t>□</w:t>
      </w:r>
      <w:r>
        <w:rPr>
          <w:sz w:val="18"/>
          <w:szCs w:val="18"/>
        </w:rPr>
        <w:t>是</w:t>
      </w:r>
      <w:r>
        <w:rPr>
          <w:sz w:val="18"/>
          <w:szCs w:val="18"/>
        </w:rPr>
        <w:t xml:space="preserve"> </w:t>
      </w:r>
      <w:r>
        <w:rPr>
          <w:sz w:val="18"/>
          <w:szCs w:val="18"/>
        </w:rPr>
        <w:sym w:font="Wingdings 2" w:char="F052"/>
      </w:r>
      <w:r>
        <w:rPr>
          <w:sz w:val="18"/>
          <w:szCs w:val="18"/>
        </w:rPr>
        <w:t>否</w:t>
      </w:r>
    </w:p>
    <w:p w:rsidR="00E20B54" w:rsidRDefault="00733C9E">
      <w:pPr>
        <w:spacing w:before="100" w:after="100" w:line="240" w:lineRule="exact"/>
        <w:rPr>
          <w:sz w:val="18"/>
          <w:szCs w:val="18"/>
        </w:rPr>
      </w:pPr>
      <w:r>
        <w:rPr>
          <w:sz w:val="18"/>
          <w:szCs w:val="18"/>
        </w:rPr>
        <w:t>会计师事务所出具的内部控制审计报告与董事会的自我评价报告意见是否一致</w:t>
      </w:r>
    </w:p>
    <w:p w:rsidR="00E20B54" w:rsidRDefault="00733C9E">
      <w:pPr>
        <w:spacing w:before="100" w:after="100" w:line="240" w:lineRule="exact"/>
        <w:rPr>
          <w:sz w:val="18"/>
          <w:szCs w:val="18"/>
        </w:rPr>
      </w:pPr>
      <w:r>
        <w:rPr>
          <w:sz w:val="18"/>
          <w:szCs w:val="18"/>
        </w:rPr>
        <w:sym w:font="Wingdings 2" w:char="F052"/>
      </w:r>
      <w:r>
        <w:rPr>
          <w:sz w:val="18"/>
          <w:szCs w:val="18"/>
        </w:rPr>
        <w:t>是</w:t>
      </w:r>
      <w:r>
        <w:rPr>
          <w:sz w:val="18"/>
          <w:szCs w:val="18"/>
        </w:rPr>
        <w:t xml:space="preserve"> □</w:t>
      </w:r>
      <w:r>
        <w:rPr>
          <w:sz w:val="18"/>
          <w:szCs w:val="18"/>
        </w:rPr>
        <w:t>否</w:t>
      </w:r>
    </w:p>
    <w:p w:rsidR="00E20B54" w:rsidRDefault="00733C9E">
      <w:pPr>
        <w:spacing w:before="100" w:after="100" w:line="240" w:lineRule="exact"/>
        <w:rPr>
          <w:sz w:val="18"/>
          <w:szCs w:val="18"/>
        </w:rPr>
      </w:pPr>
      <w:r>
        <w:rPr>
          <w:sz w:val="18"/>
          <w:szCs w:val="18"/>
        </w:rPr>
        <w:t>报告期或上年度是否被出具内部控制非标准审计意见</w:t>
      </w:r>
    </w:p>
    <w:p w:rsidR="00E20B54" w:rsidRDefault="00733C9E">
      <w:pPr>
        <w:spacing w:before="40" w:after="40" w:line="240" w:lineRule="exact"/>
        <w:rPr>
          <w:sz w:val="18"/>
          <w:szCs w:val="18"/>
        </w:rPr>
      </w:pPr>
      <w:r>
        <w:rPr>
          <w:sz w:val="18"/>
          <w:szCs w:val="18"/>
        </w:rPr>
        <w:t>□</w:t>
      </w:r>
      <w:r>
        <w:rPr>
          <w:sz w:val="18"/>
          <w:szCs w:val="18"/>
        </w:rPr>
        <w:t>是</w:t>
      </w:r>
      <w:r>
        <w:rPr>
          <w:sz w:val="18"/>
          <w:szCs w:val="18"/>
        </w:rPr>
        <w:t xml:space="preserve"> </w:t>
      </w:r>
      <w:r>
        <w:rPr>
          <w:sz w:val="18"/>
          <w:szCs w:val="18"/>
        </w:rPr>
        <w:sym w:font="Wingdings 2" w:char="F052"/>
      </w:r>
      <w:r>
        <w:rPr>
          <w:sz w:val="18"/>
          <w:szCs w:val="18"/>
        </w:rPr>
        <w:t>否</w:t>
      </w:r>
    </w:p>
    <w:p w:rsidR="00E20B54" w:rsidRDefault="00733C9E">
      <w:pPr>
        <w:pStyle w:val="2"/>
        <w:spacing w:before="300" w:after="300" w:line="320" w:lineRule="exact"/>
        <w:rPr>
          <w:b/>
          <w:bCs/>
          <w:sz w:val="24"/>
          <w:szCs w:val="24"/>
        </w:rPr>
      </w:pPr>
      <w:bookmarkStart w:id="84" w:name="_Toc988973"/>
      <w:r>
        <w:rPr>
          <w:b/>
          <w:bCs/>
          <w:sz w:val="24"/>
          <w:szCs w:val="24"/>
        </w:rPr>
        <w:lastRenderedPageBreak/>
        <w:t>十六、上市公司治理专项行动自查问题整改情况</w:t>
      </w:r>
      <w:bookmarkEnd w:id="84"/>
    </w:p>
    <w:p w:rsidR="00E20B54" w:rsidRDefault="00733C9E">
      <w:pPr>
        <w:pStyle w:val="a3"/>
        <w:widowControl/>
        <w:spacing w:beforeAutospacing="0" w:afterAutospacing="0"/>
        <w:jc w:val="both"/>
        <w:rPr>
          <w:szCs w:val="24"/>
        </w:rPr>
      </w:pPr>
      <w:r>
        <w:rPr>
          <w:sz w:val="21"/>
          <w:szCs w:val="21"/>
        </w:rPr>
        <w:t>不适用。</w:t>
      </w:r>
    </w:p>
    <w:p w:rsidR="00E20B54" w:rsidRDefault="00733C9E">
      <w:pPr>
        <w:pStyle w:val="2"/>
        <w:spacing w:before="300" w:after="300" w:line="320" w:lineRule="exact"/>
        <w:rPr>
          <w:b/>
          <w:bCs/>
          <w:sz w:val="24"/>
          <w:szCs w:val="24"/>
        </w:rPr>
      </w:pPr>
      <w:bookmarkStart w:id="85" w:name="_Toc988974"/>
      <w:r>
        <w:rPr>
          <w:b/>
          <w:bCs/>
          <w:sz w:val="24"/>
          <w:szCs w:val="24"/>
        </w:rPr>
        <w:t>十七、环境信息披露情况</w:t>
      </w:r>
      <w:bookmarkEnd w:id="85"/>
    </w:p>
    <w:p w:rsidR="00E20B54" w:rsidRDefault="00733C9E">
      <w:pPr>
        <w:spacing w:before="100" w:after="100" w:line="240" w:lineRule="exact"/>
        <w:rPr>
          <w:sz w:val="18"/>
          <w:szCs w:val="18"/>
        </w:rPr>
      </w:pPr>
      <w:r>
        <w:rPr>
          <w:sz w:val="18"/>
          <w:szCs w:val="18"/>
        </w:rPr>
        <w:t>上市公司及其主要子公司是否纳入环境信息依法披露企业名单</w:t>
      </w:r>
    </w:p>
    <w:p w:rsidR="00E20B54" w:rsidRDefault="00733C9E">
      <w:pPr>
        <w:spacing w:before="40" w:after="40" w:line="240" w:lineRule="exact"/>
        <w:rPr>
          <w:sz w:val="18"/>
          <w:szCs w:val="18"/>
        </w:rPr>
      </w:pPr>
      <w:r>
        <w:rPr>
          <w:sz w:val="18"/>
          <w:szCs w:val="18"/>
        </w:rPr>
        <w:t>□</w:t>
      </w:r>
      <w:r>
        <w:rPr>
          <w:sz w:val="18"/>
          <w:szCs w:val="18"/>
        </w:rPr>
        <w:t>是</w:t>
      </w:r>
      <w:r>
        <w:rPr>
          <w:sz w:val="18"/>
          <w:szCs w:val="18"/>
        </w:rPr>
        <w:t xml:space="preserve"> </w:t>
      </w:r>
      <w:r>
        <w:rPr>
          <w:sz w:val="18"/>
          <w:szCs w:val="18"/>
        </w:rPr>
        <w:sym w:font="Wingdings 2" w:char="F052"/>
      </w:r>
      <w:r>
        <w:rPr>
          <w:sz w:val="18"/>
          <w:szCs w:val="18"/>
        </w:rPr>
        <w:t>否</w:t>
      </w:r>
    </w:p>
    <w:p w:rsidR="00E20B54" w:rsidRDefault="00733C9E">
      <w:pPr>
        <w:pStyle w:val="2"/>
        <w:spacing w:before="300" w:after="300" w:line="320" w:lineRule="exact"/>
        <w:rPr>
          <w:b/>
          <w:bCs/>
          <w:sz w:val="24"/>
          <w:szCs w:val="24"/>
        </w:rPr>
      </w:pPr>
      <w:bookmarkStart w:id="86" w:name="_Toc988975"/>
      <w:r>
        <w:rPr>
          <w:b/>
          <w:bCs/>
          <w:sz w:val="24"/>
          <w:szCs w:val="24"/>
        </w:rPr>
        <w:t>十八、社会责任情况</w:t>
      </w:r>
      <w:bookmarkEnd w:id="86"/>
    </w:p>
    <w:p w:rsidR="00E20B54" w:rsidRDefault="00733C9E">
      <w:pPr>
        <w:pStyle w:val="a3"/>
        <w:widowControl/>
        <w:spacing w:before="156" w:beforeAutospacing="0" w:after="156" w:afterAutospacing="0"/>
        <w:ind w:firstLine="420"/>
        <w:jc w:val="both"/>
        <w:rPr>
          <w:szCs w:val="24"/>
        </w:rPr>
      </w:pPr>
      <w:r>
        <w:rPr>
          <w:color w:val="000000"/>
          <w:sz w:val="21"/>
          <w:szCs w:val="21"/>
        </w:rPr>
        <w:t>报告期内，公司认真遵守国家有关法律、法规及相关政策的要求，秉</w:t>
      </w:r>
      <w:r>
        <w:rPr>
          <w:rFonts w:ascii="宋体" w:hAnsi="宋体" w:cs="宋体" w:hint="eastAsia"/>
          <w:color w:val="000000"/>
          <w:sz w:val="21"/>
          <w:szCs w:val="21"/>
        </w:rPr>
        <w:t>承“技术缔造价值，服务成就未来”的经营理念，专注智慧城市领域的业务发展，诚信经营，依法纳税，为</w:t>
      </w:r>
      <w:r>
        <w:rPr>
          <w:color w:val="000000"/>
          <w:sz w:val="21"/>
          <w:szCs w:val="21"/>
        </w:rPr>
        <w:t>股东创造价值，对员工、客户与供应商、社会等利益相关者承担责任。</w:t>
      </w:r>
    </w:p>
    <w:p w:rsidR="00E20B54" w:rsidRDefault="00733C9E">
      <w:pPr>
        <w:pStyle w:val="a3"/>
        <w:widowControl/>
        <w:spacing w:before="156" w:beforeAutospacing="0" w:after="156" w:afterAutospacing="0"/>
        <w:ind w:firstLine="420"/>
        <w:jc w:val="both"/>
        <w:rPr>
          <w:szCs w:val="24"/>
        </w:rPr>
      </w:pPr>
      <w:r>
        <w:rPr>
          <w:color w:val="000000"/>
          <w:sz w:val="21"/>
          <w:szCs w:val="21"/>
        </w:rPr>
        <w:t>（一）股东权益保护</w:t>
      </w:r>
    </w:p>
    <w:p w:rsidR="00E20B54" w:rsidRDefault="00733C9E">
      <w:pPr>
        <w:pStyle w:val="a3"/>
        <w:widowControl/>
        <w:spacing w:before="156" w:beforeAutospacing="0" w:after="156" w:afterAutospacing="0"/>
        <w:ind w:firstLine="420"/>
        <w:jc w:val="both"/>
        <w:rPr>
          <w:szCs w:val="24"/>
        </w:rPr>
      </w:pPr>
      <w:r>
        <w:rPr>
          <w:color w:val="000000"/>
          <w:sz w:val="21"/>
          <w:szCs w:val="21"/>
        </w:rPr>
        <w:t>公司遵照《公司法》《证券法》等法律法规、部门规章、规范性文件和《公司章程》的规定，依法召开股东大会，确保股东对公司重大事项的知情权、参与权和表决权，真实、准确、完整、及时、公平地向所有</w:t>
      </w:r>
      <w:r>
        <w:rPr>
          <w:color w:val="000000"/>
          <w:sz w:val="21"/>
          <w:szCs w:val="21"/>
        </w:rPr>
        <w:t xml:space="preserve"> </w:t>
      </w:r>
      <w:r>
        <w:rPr>
          <w:color w:val="000000"/>
          <w:sz w:val="21"/>
          <w:szCs w:val="21"/>
        </w:rPr>
        <w:t>股东披露信息，在经营决策中积极构建与股东的良好关系。</w:t>
      </w:r>
    </w:p>
    <w:p w:rsidR="00E20B54" w:rsidRDefault="00733C9E">
      <w:pPr>
        <w:pStyle w:val="a3"/>
        <w:widowControl/>
        <w:spacing w:before="156" w:beforeAutospacing="0" w:after="156" w:afterAutospacing="0"/>
        <w:ind w:firstLine="420"/>
        <w:jc w:val="both"/>
        <w:rPr>
          <w:szCs w:val="24"/>
        </w:rPr>
      </w:pPr>
      <w:r>
        <w:rPr>
          <w:color w:val="000000"/>
          <w:sz w:val="21"/>
          <w:szCs w:val="21"/>
        </w:rPr>
        <w:t>（二）职工权益保护</w:t>
      </w:r>
    </w:p>
    <w:p w:rsidR="00E20B54" w:rsidRDefault="00733C9E">
      <w:pPr>
        <w:pStyle w:val="a3"/>
        <w:widowControl/>
        <w:spacing w:before="156" w:beforeAutospacing="0" w:after="156" w:afterAutospacing="0"/>
        <w:ind w:firstLine="420"/>
        <w:jc w:val="both"/>
        <w:rPr>
          <w:szCs w:val="24"/>
        </w:rPr>
      </w:pPr>
      <w:r>
        <w:rPr>
          <w:color w:val="000000"/>
          <w:sz w:val="21"/>
          <w:szCs w:val="21"/>
        </w:rPr>
        <w:t>公司遵照《劳动法》《劳动合同法》等法律法规的要求，建立了完善的人力资源管理制度。在劳动安全、卫生制度、社会保障等方面严格执行国家规定和标准，保障职工合法权益，为职工提供健康、安全的工作环境和全面的福利待遇，包括不限于基本养老保险、基本医疗保险、工伤保险、生育保险、失业保险和住房公积金，法定公休假、婚假、产假、丧假等带薪假期。公司按照有关规定建立工会组织，支持工会依法开展工作，保障员工依法行使民主管理的权利。</w:t>
      </w:r>
      <w:r>
        <w:rPr>
          <w:color w:val="000000"/>
          <w:sz w:val="21"/>
          <w:szCs w:val="21"/>
        </w:rPr>
        <w:t xml:space="preserve"> </w:t>
      </w:r>
      <w:r>
        <w:rPr>
          <w:color w:val="000000"/>
          <w:sz w:val="21"/>
          <w:szCs w:val="21"/>
        </w:rPr>
        <w:t>公司重视人才培养，为员工提供行业知识、岗位能力、办公技能等丰富的课程和培训计划，为员工发展才能、提升自我提供条件，实现与公司共同成长。</w:t>
      </w:r>
    </w:p>
    <w:p w:rsidR="00E20B54" w:rsidRDefault="00733C9E">
      <w:pPr>
        <w:pStyle w:val="a3"/>
        <w:widowControl/>
        <w:spacing w:before="156" w:beforeAutospacing="0" w:after="156" w:afterAutospacing="0"/>
        <w:ind w:firstLine="420"/>
        <w:jc w:val="both"/>
        <w:rPr>
          <w:szCs w:val="24"/>
        </w:rPr>
      </w:pPr>
      <w:r>
        <w:rPr>
          <w:color w:val="000000"/>
          <w:sz w:val="21"/>
          <w:szCs w:val="21"/>
        </w:rPr>
        <w:t>（三）客户权益保护</w:t>
      </w:r>
    </w:p>
    <w:p w:rsidR="00E20B54" w:rsidRDefault="00733C9E">
      <w:pPr>
        <w:pStyle w:val="a3"/>
        <w:widowControl/>
        <w:spacing w:before="156" w:beforeAutospacing="0" w:after="156" w:afterAutospacing="0"/>
        <w:ind w:firstLine="420"/>
        <w:jc w:val="both"/>
        <w:rPr>
          <w:szCs w:val="24"/>
        </w:rPr>
      </w:pPr>
      <w:r>
        <w:rPr>
          <w:color w:val="000000"/>
          <w:sz w:val="21"/>
          <w:szCs w:val="21"/>
        </w:rPr>
        <w:t>公司坚持</w:t>
      </w:r>
      <w:r>
        <w:rPr>
          <w:color w:val="000000"/>
          <w:sz w:val="21"/>
          <w:szCs w:val="21"/>
        </w:rPr>
        <w:t>“</w:t>
      </w:r>
      <w:r>
        <w:rPr>
          <w:color w:val="000000"/>
          <w:sz w:val="21"/>
          <w:szCs w:val="21"/>
        </w:rPr>
        <w:t>技术</w:t>
      </w:r>
      <w:r>
        <w:rPr>
          <w:color w:val="000000"/>
          <w:sz w:val="21"/>
          <w:szCs w:val="21"/>
        </w:rPr>
        <w:t>+</w:t>
      </w:r>
      <w:r>
        <w:rPr>
          <w:color w:val="000000"/>
          <w:sz w:val="21"/>
          <w:szCs w:val="21"/>
        </w:rPr>
        <w:t>服务</w:t>
      </w:r>
      <w:r>
        <w:rPr>
          <w:color w:val="000000"/>
          <w:sz w:val="21"/>
          <w:szCs w:val="21"/>
        </w:rPr>
        <w:t>”</w:t>
      </w:r>
      <w:r>
        <w:rPr>
          <w:color w:val="000000"/>
          <w:sz w:val="21"/>
          <w:szCs w:val="21"/>
        </w:rPr>
        <w:t>的经营理念，致力于为客户提供专业、全面、高效的服务。通过建立专业化的</w:t>
      </w:r>
      <w:r>
        <w:rPr>
          <w:color w:val="000000"/>
          <w:sz w:val="21"/>
          <w:szCs w:val="21"/>
        </w:rPr>
        <w:t xml:space="preserve"> </w:t>
      </w:r>
      <w:r>
        <w:rPr>
          <w:color w:val="000000"/>
          <w:sz w:val="21"/>
          <w:szCs w:val="21"/>
        </w:rPr>
        <w:t>项目实施和技术服务团队，打造全面的服务能力，建立标准化的服务体系，实现持续完善服务质量，提升客</w:t>
      </w:r>
      <w:r>
        <w:rPr>
          <w:color w:val="000000"/>
          <w:sz w:val="21"/>
          <w:szCs w:val="21"/>
        </w:rPr>
        <w:t xml:space="preserve"> </w:t>
      </w:r>
      <w:r>
        <w:rPr>
          <w:color w:val="000000"/>
          <w:sz w:val="21"/>
          <w:szCs w:val="21"/>
        </w:rPr>
        <w:t>户满意度，从而与客户建立长期、稳定的合作关系。</w:t>
      </w:r>
    </w:p>
    <w:p w:rsidR="00E20B54" w:rsidRDefault="00733C9E">
      <w:pPr>
        <w:pStyle w:val="a3"/>
        <w:widowControl/>
        <w:spacing w:before="156" w:beforeAutospacing="0" w:after="156" w:afterAutospacing="0"/>
        <w:ind w:firstLine="420"/>
        <w:jc w:val="both"/>
        <w:rPr>
          <w:szCs w:val="24"/>
        </w:rPr>
      </w:pPr>
      <w:r>
        <w:rPr>
          <w:color w:val="000000"/>
          <w:sz w:val="21"/>
          <w:szCs w:val="21"/>
        </w:rPr>
        <w:t>（四）供应商权益保护</w:t>
      </w:r>
    </w:p>
    <w:p w:rsidR="00E20B54" w:rsidRDefault="00733C9E">
      <w:pPr>
        <w:pStyle w:val="a3"/>
        <w:widowControl/>
        <w:spacing w:before="156" w:beforeAutospacing="0" w:after="156" w:afterAutospacing="0"/>
        <w:ind w:firstLine="420"/>
        <w:jc w:val="both"/>
        <w:rPr>
          <w:szCs w:val="24"/>
        </w:rPr>
      </w:pPr>
      <w:r>
        <w:rPr>
          <w:color w:val="000000"/>
          <w:sz w:val="21"/>
          <w:szCs w:val="21"/>
        </w:rPr>
        <w:t>公司先后制定了《采购管理制度》《供应商管理流程》《合同评审管理制度》《工程项目采购管理制度》</w:t>
      </w:r>
      <w:r>
        <w:rPr>
          <w:color w:val="000000"/>
          <w:sz w:val="21"/>
          <w:szCs w:val="21"/>
        </w:rPr>
        <w:t xml:space="preserve"> </w:t>
      </w:r>
      <w:r>
        <w:rPr>
          <w:color w:val="000000"/>
          <w:sz w:val="21"/>
          <w:szCs w:val="21"/>
        </w:rPr>
        <w:t>等若干制度文件，依据市场化的定价原则和询价程序，采购相关劳务、服务的同时保证采购的公平性、公允性。</w:t>
      </w:r>
    </w:p>
    <w:p w:rsidR="00E20B54" w:rsidRDefault="00733C9E">
      <w:pPr>
        <w:pStyle w:val="a3"/>
        <w:widowControl/>
        <w:spacing w:before="156" w:beforeAutospacing="0" w:after="156" w:afterAutospacing="0"/>
        <w:ind w:firstLine="420"/>
        <w:jc w:val="both"/>
        <w:rPr>
          <w:szCs w:val="24"/>
        </w:rPr>
      </w:pPr>
      <w:r>
        <w:rPr>
          <w:color w:val="000000"/>
          <w:sz w:val="21"/>
          <w:szCs w:val="21"/>
        </w:rPr>
        <w:t>（五）社会公益</w:t>
      </w:r>
    </w:p>
    <w:p w:rsidR="00E20B54" w:rsidRDefault="00733C9E">
      <w:pPr>
        <w:pStyle w:val="a3"/>
        <w:widowControl/>
        <w:spacing w:before="156" w:beforeAutospacing="0" w:after="156" w:afterAutospacing="0"/>
        <w:ind w:firstLine="420"/>
        <w:jc w:val="both"/>
        <w:rPr>
          <w:szCs w:val="24"/>
        </w:rPr>
      </w:pPr>
      <w:r>
        <w:rPr>
          <w:color w:val="000000"/>
          <w:sz w:val="21"/>
          <w:szCs w:val="21"/>
        </w:rPr>
        <w:t>公司积极承担社会责任，参与社会公益事业。报告期内，公司通过汕头市慈善总会、汕头市潮阳区和平宋大峰福利会捐赠</w:t>
      </w:r>
      <w:r>
        <w:rPr>
          <w:color w:val="000000"/>
          <w:sz w:val="21"/>
          <w:szCs w:val="21"/>
        </w:rPr>
        <w:t>92.9</w:t>
      </w:r>
      <w:r>
        <w:rPr>
          <w:color w:val="000000"/>
          <w:sz w:val="21"/>
          <w:szCs w:val="21"/>
        </w:rPr>
        <w:t>万元。</w:t>
      </w:r>
    </w:p>
    <w:p w:rsidR="00E20B54" w:rsidRDefault="00733C9E">
      <w:pPr>
        <w:pStyle w:val="2"/>
        <w:spacing w:before="300" w:after="300" w:line="320" w:lineRule="exact"/>
        <w:rPr>
          <w:b/>
          <w:bCs/>
          <w:sz w:val="24"/>
          <w:szCs w:val="24"/>
        </w:rPr>
      </w:pPr>
      <w:bookmarkStart w:id="87" w:name="_Toc988976"/>
      <w:r>
        <w:rPr>
          <w:b/>
          <w:bCs/>
          <w:sz w:val="24"/>
          <w:szCs w:val="24"/>
        </w:rPr>
        <w:lastRenderedPageBreak/>
        <w:t>十九、巩固拓展脱贫攻坚成果、乡村振兴的情况</w:t>
      </w:r>
      <w:bookmarkEnd w:id="87"/>
    </w:p>
    <w:p w:rsidR="00E20B54" w:rsidRDefault="00733C9E">
      <w:pPr>
        <w:pStyle w:val="a3"/>
        <w:widowControl/>
        <w:spacing w:beforeAutospacing="0" w:afterAutospacing="0" w:line="240" w:lineRule="atLeast"/>
        <w:ind w:firstLine="360"/>
        <w:rPr>
          <w:szCs w:val="24"/>
        </w:rPr>
      </w:pPr>
      <w:r>
        <w:rPr>
          <w:color w:val="000000"/>
          <w:sz w:val="21"/>
          <w:szCs w:val="21"/>
        </w:rPr>
        <w:t>报告期内，公司未开展巩固拓展脱贫攻坚成果、乡村振兴相关工作。</w:t>
      </w:r>
    </w:p>
    <w:p w:rsidR="00E20B54" w:rsidRDefault="00733C9E">
      <w:r>
        <w:br w:type="page"/>
      </w:r>
    </w:p>
    <w:p w:rsidR="00E20B54" w:rsidRDefault="00733C9E">
      <w:pPr>
        <w:pStyle w:val="headingh1"/>
        <w:spacing w:before="340" w:after="330" w:line="773" w:lineRule="exact"/>
        <w:jc w:val="center"/>
        <w:rPr>
          <w:b/>
          <w:bCs/>
          <w:sz w:val="32"/>
          <w:szCs w:val="32"/>
        </w:rPr>
      </w:pPr>
      <w:bookmarkStart w:id="88" w:name="_Toc988977"/>
      <w:r>
        <w:rPr>
          <w:b/>
          <w:bCs/>
          <w:sz w:val="32"/>
          <w:szCs w:val="32"/>
        </w:rPr>
        <w:lastRenderedPageBreak/>
        <w:t>第五节</w:t>
      </w:r>
      <w:r>
        <w:rPr>
          <w:b/>
          <w:bCs/>
          <w:sz w:val="32"/>
          <w:szCs w:val="32"/>
        </w:rPr>
        <w:t xml:space="preserve"> </w:t>
      </w:r>
      <w:r>
        <w:rPr>
          <w:b/>
          <w:bCs/>
          <w:sz w:val="32"/>
          <w:szCs w:val="32"/>
        </w:rPr>
        <w:t>重要事项</w:t>
      </w:r>
      <w:bookmarkEnd w:id="88"/>
    </w:p>
    <w:p w:rsidR="00E20B54" w:rsidRDefault="00733C9E">
      <w:pPr>
        <w:pStyle w:val="2"/>
        <w:spacing w:before="300" w:after="300" w:line="320" w:lineRule="exact"/>
        <w:rPr>
          <w:b/>
          <w:bCs/>
          <w:sz w:val="24"/>
          <w:szCs w:val="24"/>
        </w:rPr>
      </w:pPr>
      <w:bookmarkStart w:id="89" w:name="_Toc988978"/>
      <w:r>
        <w:rPr>
          <w:b/>
          <w:bCs/>
          <w:sz w:val="24"/>
          <w:szCs w:val="24"/>
        </w:rPr>
        <w:t>一、承诺事项履行情况</w:t>
      </w:r>
      <w:bookmarkEnd w:id="89"/>
    </w:p>
    <w:p w:rsidR="00E20B54" w:rsidRDefault="00733C9E">
      <w:pPr>
        <w:pStyle w:val="3"/>
        <w:spacing w:line="280" w:lineRule="exact"/>
        <w:jc w:val="left"/>
        <w:rPr>
          <w:b/>
          <w:bCs/>
        </w:rPr>
      </w:pPr>
      <w:bookmarkStart w:id="90" w:name="_Toc988979"/>
      <w:r>
        <w:rPr>
          <w:b/>
          <w:bCs/>
        </w:rPr>
        <w:t>1</w:t>
      </w:r>
      <w:r>
        <w:rPr>
          <w:b/>
          <w:bCs/>
        </w:rPr>
        <w:t>、公司实际控制人、股东、关联方、收购人以及公司等承诺相关方在报告期内履行完毕及截至报告期末尚未履行完毕的承诺事项</w:t>
      </w:r>
      <w:bookmarkEnd w:id="90"/>
    </w:p>
    <w:p w:rsidR="00E20B54" w:rsidRDefault="00733C9E">
      <w:pPr>
        <w:spacing w:before="100" w:after="100" w:line="240" w:lineRule="exact"/>
        <w:rPr>
          <w:sz w:val="18"/>
          <w:szCs w:val="18"/>
        </w:rPr>
      </w:pPr>
      <w:r>
        <w:rPr>
          <w:sz w:val="18"/>
          <w:szCs w:val="18"/>
        </w:rPr>
        <w:sym w:font="Wingdings 2" w:char="F052"/>
      </w:r>
      <w:r>
        <w:rPr>
          <w:sz w:val="18"/>
          <w:szCs w:val="18"/>
        </w:rPr>
        <w:t>适用</w:t>
      </w:r>
      <w:r>
        <w:rPr>
          <w:sz w:val="18"/>
          <w:szCs w:val="18"/>
        </w:rPr>
        <w:t xml:space="preserve"> □</w:t>
      </w:r>
      <w:r>
        <w:rPr>
          <w:sz w:val="18"/>
          <w:szCs w:val="18"/>
        </w:rPr>
        <w:t>不适用</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377"/>
        <w:gridCol w:w="836"/>
        <w:gridCol w:w="845"/>
        <w:gridCol w:w="4350"/>
        <w:gridCol w:w="859"/>
        <w:gridCol w:w="641"/>
        <w:gridCol w:w="731"/>
      </w:tblGrid>
      <w:tr w:rsidR="00E20B54">
        <w:trPr>
          <w:trHeight w:val="240"/>
          <w:tblHeader/>
        </w:trPr>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承诺事由</w:t>
            </w:r>
          </w:p>
        </w:tc>
        <w:tc>
          <w:tcPr>
            <w:tcW w:w="83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承诺方</w:t>
            </w:r>
          </w:p>
        </w:tc>
        <w:tc>
          <w:tcPr>
            <w:tcW w:w="845"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承诺类型</w:t>
            </w:r>
          </w:p>
        </w:tc>
        <w:tc>
          <w:tcPr>
            <w:tcW w:w="435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承诺内容</w:t>
            </w:r>
          </w:p>
        </w:tc>
        <w:tc>
          <w:tcPr>
            <w:tcW w:w="859"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承诺时间</w:t>
            </w:r>
          </w:p>
        </w:tc>
        <w:tc>
          <w:tcPr>
            <w:tcW w:w="641"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承诺期限</w:t>
            </w:r>
          </w:p>
        </w:tc>
        <w:tc>
          <w:tcPr>
            <w:tcW w:w="731"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履行情况</w:t>
            </w:r>
          </w:p>
        </w:tc>
      </w:tr>
      <w:tr w:rsidR="00E20B54">
        <w:trPr>
          <w:trHeight w:val="240"/>
        </w:trPr>
        <w:tc>
          <w:tcPr>
            <w:tcW w:w="1377"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首次公开发行或再融资时所作承诺</w:t>
            </w:r>
          </w:p>
        </w:tc>
        <w:tc>
          <w:tcPr>
            <w:tcW w:w="83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林明玲</w:t>
            </w:r>
            <w:r>
              <w:rPr>
                <w:sz w:val="18"/>
                <w:szCs w:val="18"/>
              </w:rPr>
              <w:t>;</w:t>
            </w:r>
            <w:r>
              <w:rPr>
                <w:sz w:val="18"/>
                <w:szCs w:val="18"/>
              </w:rPr>
              <w:t>马学沛</w:t>
            </w:r>
          </w:p>
        </w:tc>
        <w:tc>
          <w:tcPr>
            <w:tcW w:w="845"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股份限售承诺</w:t>
            </w:r>
          </w:p>
        </w:tc>
        <w:tc>
          <w:tcPr>
            <w:tcW w:w="435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1</w:t>
            </w:r>
            <w:r>
              <w:rPr>
                <w:sz w:val="18"/>
                <w:szCs w:val="18"/>
              </w:rPr>
              <w:t>、自发行人的股票在证券交易所上市之日起</w:t>
            </w:r>
            <w:r>
              <w:rPr>
                <w:sz w:val="18"/>
                <w:szCs w:val="18"/>
              </w:rPr>
              <w:t>36</w:t>
            </w:r>
            <w:r>
              <w:rPr>
                <w:sz w:val="18"/>
                <w:szCs w:val="18"/>
              </w:rPr>
              <w:t>个月内（</w:t>
            </w:r>
            <w:r>
              <w:rPr>
                <w:sz w:val="18"/>
                <w:szCs w:val="18"/>
              </w:rPr>
              <w:t>“</w:t>
            </w:r>
            <w:r>
              <w:rPr>
                <w:sz w:val="18"/>
                <w:szCs w:val="18"/>
              </w:rPr>
              <w:t>锁定期</w:t>
            </w:r>
            <w:r>
              <w:rPr>
                <w:sz w:val="18"/>
                <w:szCs w:val="18"/>
              </w:rPr>
              <w:t>”</w:t>
            </w:r>
            <w:r>
              <w:rPr>
                <w:sz w:val="18"/>
                <w:szCs w:val="18"/>
              </w:rPr>
              <w:t>），不转让或者委托他人管理本人直接或间接持有的发行人公开发行股票前已发行的股份，也不由发行人回购本人直接或间接持有的发行人公开发行股票前已发行的股份。</w:t>
            </w:r>
          </w:p>
          <w:p w:rsidR="00E20B54" w:rsidRDefault="00733C9E">
            <w:pPr>
              <w:spacing w:line="240" w:lineRule="exact"/>
              <w:rPr>
                <w:sz w:val="18"/>
                <w:szCs w:val="18"/>
              </w:rPr>
            </w:pPr>
            <w:r>
              <w:rPr>
                <w:sz w:val="18"/>
                <w:szCs w:val="18"/>
              </w:rPr>
              <w:t>2</w:t>
            </w:r>
            <w:r>
              <w:rPr>
                <w:sz w:val="18"/>
                <w:szCs w:val="18"/>
              </w:rPr>
              <w:t>、上述锁定期满后，本人在担任发行人董事、监事或者高级管理人员期间每年转让的发行人股份不超过本人所持有发行人股份总数的</w:t>
            </w:r>
            <w:r>
              <w:rPr>
                <w:sz w:val="18"/>
                <w:szCs w:val="18"/>
              </w:rPr>
              <w:t>25%</w:t>
            </w:r>
            <w:r>
              <w:rPr>
                <w:sz w:val="18"/>
                <w:szCs w:val="18"/>
              </w:rPr>
              <w:t>，且在本人离职后半年内不转让持有的发行人股份。本人在任期届满前离职的，在本人就任时确定的任期内和任期届满后</w:t>
            </w:r>
            <w:r>
              <w:rPr>
                <w:sz w:val="18"/>
                <w:szCs w:val="18"/>
              </w:rPr>
              <w:t>6</w:t>
            </w:r>
            <w:r>
              <w:rPr>
                <w:sz w:val="18"/>
                <w:szCs w:val="18"/>
              </w:rPr>
              <w:t>个月内，仍应遵守前述规定。</w:t>
            </w:r>
          </w:p>
          <w:p w:rsidR="00E20B54" w:rsidRDefault="00733C9E">
            <w:pPr>
              <w:spacing w:line="240" w:lineRule="exact"/>
              <w:rPr>
                <w:sz w:val="18"/>
                <w:szCs w:val="18"/>
              </w:rPr>
            </w:pPr>
            <w:r>
              <w:rPr>
                <w:sz w:val="18"/>
                <w:szCs w:val="18"/>
              </w:rPr>
              <w:t>3</w:t>
            </w:r>
            <w:r>
              <w:rPr>
                <w:sz w:val="18"/>
                <w:szCs w:val="18"/>
              </w:rPr>
              <w:t>、公司上市后</w:t>
            </w:r>
            <w:r>
              <w:rPr>
                <w:sz w:val="18"/>
                <w:szCs w:val="18"/>
              </w:rPr>
              <w:t>6</w:t>
            </w:r>
            <w:r>
              <w:rPr>
                <w:sz w:val="18"/>
                <w:szCs w:val="18"/>
              </w:rPr>
              <w:t>个月内如公司股票连续</w:t>
            </w:r>
            <w:r>
              <w:rPr>
                <w:sz w:val="18"/>
                <w:szCs w:val="18"/>
              </w:rPr>
              <w:t>20</w:t>
            </w:r>
            <w:r>
              <w:rPr>
                <w:sz w:val="18"/>
                <w:szCs w:val="18"/>
              </w:rPr>
              <w:t>个交易日的收盘价均低于发行价，或者上市后</w:t>
            </w:r>
            <w:r>
              <w:rPr>
                <w:sz w:val="18"/>
                <w:szCs w:val="18"/>
              </w:rPr>
              <w:t>6</w:t>
            </w:r>
            <w:r>
              <w:rPr>
                <w:sz w:val="18"/>
                <w:szCs w:val="18"/>
              </w:rPr>
              <w:t>个月期末收盘价低于发行价，本人持有公司股票的锁定期限自动延长</w:t>
            </w:r>
            <w:r>
              <w:rPr>
                <w:sz w:val="18"/>
                <w:szCs w:val="18"/>
              </w:rPr>
              <w:t>6</w:t>
            </w:r>
            <w:r>
              <w:rPr>
                <w:sz w:val="18"/>
                <w:szCs w:val="18"/>
              </w:rPr>
              <w:t>个月。若公司股票在期间发生派息、送股、资本公积金转增股本等除权除息事项的，发行价将进行相应除权除息调整。</w:t>
            </w:r>
          </w:p>
          <w:p w:rsidR="00E20B54" w:rsidRDefault="00733C9E">
            <w:pPr>
              <w:spacing w:line="240" w:lineRule="exact"/>
              <w:rPr>
                <w:sz w:val="18"/>
                <w:szCs w:val="18"/>
              </w:rPr>
            </w:pPr>
            <w:r>
              <w:rPr>
                <w:sz w:val="18"/>
                <w:szCs w:val="18"/>
              </w:rPr>
              <w:t>4</w:t>
            </w:r>
            <w:r>
              <w:rPr>
                <w:sz w:val="18"/>
                <w:szCs w:val="18"/>
              </w:rPr>
              <w:t>、若本人违反股份锁定承诺而获得股份转让收益的，转让收益无偿划归发行人所有；在转让收益全部缴付发行人前，如发行人进行现金分红的，可直接从本人应得现金分红中扣除尚未缴付的收益金额；转让收益全部缴付发行人前，不得转让直接或间接持有的发行人股份。</w:t>
            </w:r>
          </w:p>
          <w:p w:rsidR="00E20B54" w:rsidRDefault="00733C9E">
            <w:pPr>
              <w:spacing w:line="240" w:lineRule="exact"/>
              <w:rPr>
                <w:sz w:val="18"/>
                <w:szCs w:val="18"/>
              </w:rPr>
            </w:pPr>
            <w:r>
              <w:rPr>
                <w:sz w:val="18"/>
                <w:szCs w:val="18"/>
              </w:rPr>
              <w:t>5</w:t>
            </w:r>
            <w:r>
              <w:rPr>
                <w:sz w:val="18"/>
                <w:szCs w:val="18"/>
              </w:rPr>
              <w:t>、</w:t>
            </w:r>
            <w:r>
              <w:rPr>
                <w:sz w:val="18"/>
                <w:szCs w:val="18"/>
              </w:rPr>
              <w:t xml:space="preserve"> </w:t>
            </w:r>
            <w:r>
              <w:rPr>
                <w:sz w:val="18"/>
                <w:szCs w:val="18"/>
              </w:rPr>
              <w:t>上述承诺一经作出即对本人具有法律拘束力；本人不因在公司职务变更、离职等原因，而放弃履行承诺。</w:t>
            </w:r>
          </w:p>
        </w:tc>
        <w:tc>
          <w:tcPr>
            <w:tcW w:w="859"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2021</w:t>
            </w:r>
            <w:r>
              <w:rPr>
                <w:sz w:val="18"/>
                <w:szCs w:val="18"/>
              </w:rPr>
              <w:t>年</w:t>
            </w:r>
            <w:r>
              <w:rPr>
                <w:sz w:val="18"/>
                <w:szCs w:val="18"/>
              </w:rPr>
              <w:t>11</w:t>
            </w:r>
            <w:r>
              <w:rPr>
                <w:sz w:val="18"/>
                <w:szCs w:val="18"/>
              </w:rPr>
              <w:t>月</w:t>
            </w:r>
            <w:r>
              <w:rPr>
                <w:sz w:val="18"/>
                <w:szCs w:val="18"/>
              </w:rPr>
              <w:t>11</w:t>
            </w:r>
            <w:r>
              <w:rPr>
                <w:sz w:val="18"/>
                <w:szCs w:val="18"/>
              </w:rPr>
              <w:t>日</w:t>
            </w:r>
          </w:p>
        </w:tc>
        <w:tc>
          <w:tcPr>
            <w:tcW w:w="641"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2025</w:t>
            </w:r>
            <w:r>
              <w:rPr>
                <w:sz w:val="18"/>
                <w:szCs w:val="18"/>
              </w:rPr>
              <w:t>年</w:t>
            </w:r>
            <w:r>
              <w:rPr>
                <w:sz w:val="18"/>
                <w:szCs w:val="18"/>
              </w:rPr>
              <w:t>05</w:t>
            </w:r>
            <w:r>
              <w:rPr>
                <w:sz w:val="18"/>
                <w:szCs w:val="18"/>
              </w:rPr>
              <w:t>月</w:t>
            </w:r>
            <w:r>
              <w:rPr>
                <w:sz w:val="18"/>
                <w:szCs w:val="18"/>
              </w:rPr>
              <w:t>11</w:t>
            </w:r>
            <w:r>
              <w:rPr>
                <w:sz w:val="18"/>
                <w:szCs w:val="18"/>
              </w:rPr>
              <w:t>日</w:t>
            </w:r>
          </w:p>
        </w:tc>
        <w:tc>
          <w:tcPr>
            <w:tcW w:w="731"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履行完毕。</w:t>
            </w:r>
          </w:p>
        </w:tc>
      </w:tr>
      <w:tr w:rsidR="00E20B54">
        <w:trPr>
          <w:trHeight w:val="240"/>
        </w:trPr>
        <w:tc>
          <w:tcPr>
            <w:tcW w:w="1377"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首次公开发行或再融资时所作承诺</w:t>
            </w:r>
          </w:p>
        </w:tc>
        <w:tc>
          <w:tcPr>
            <w:tcW w:w="83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本公司</w:t>
            </w:r>
          </w:p>
        </w:tc>
        <w:tc>
          <w:tcPr>
            <w:tcW w:w="845"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分红承诺</w:t>
            </w:r>
          </w:p>
        </w:tc>
        <w:tc>
          <w:tcPr>
            <w:tcW w:w="435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关于利润分配政策的承诺函</w:t>
            </w:r>
          </w:p>
          <w:p w:rsidR="00E20B54" w:rsidRDefault="00733C9E">
            <w:pPr>
              <w:spacing w:line="240" w:lineRule="exact"/>
              <w:rPr>
                <w:sz w:val="18"/>
                <w:szCs w:val="18"/>
              </w:rPr>
            </w:pPr>
            <w:r>
              <w:rPr>
                <w:sz w:val="18"/>
                <w:szCs w:val="18"/>
              </w:rPr>
              <w:t>广东天亿马信息产业股份有限公司司（以下简称</w:t>
            </w:r>
            <w:r>
              <w:rPr>
                <w:sz w:val="18"/>
                <w:szCs w:val="18"/>
              </w:rPr>
              <w:t>“</w:t>
            </w:r>
            <w:r>
              <w:rPr>
                <w:sz w:val="18"/>
                <w:szCs w:val="18"/>
              </w:rPr>
              <w:t>本公司</w:t>
            </w:r>
            <w:r>
              <w:rPr>
                <w:sz w:val="18"/>
                <w:szCs w:val="18"/>
              </w:rPr>
              <w:t>”</w:t>
            </w:r>
            <w:r>
              <w:rPr>
                <w:sz w:val="18"/>
                <w:szCs w:val="18"/>
              </w:rPr>
              <w:t>）拟申请首次公开发行股票并上市，现承诺如下：</w:t>
            </w:r>
          </w:p>
          <w:p w:rsidR="00E20B54" w:rsidRDefault="00733C9E">
            <w:pPr>
              <w:spacing w:line="240" w:lineRule="exact"/>
              <w:rPr>
                <w:sz w:val="18"/>
                <w:szCs w:val="18"/>
              </w:rPr>
            </w:pPr>
            <w:r>
              <w:rPr>
                <w:sz w:val="18"/>
                <w:szCs w:val="18"/>
              </w:rPr>
              <w:t>1</w:t>
            </w:r>
            <w:r>
              <w:rPr>
                <w:sz w:val="18"/>
                <w:szCs w:val="18"/>
              </w:rPr>
              <w:t>、在符合现金分红的条件且本公司未来十二个月内无重大投资计划或重大资金支出发生的情况下，本公司及合并报表范围内的子公司每年累计分红比例将不低于本公司合并报表当年实现的归属于母公司可分配净利润的</w:t>
            </w:r>
            <w:r>
              <w:rPr>
                <w:sz w:val="18"/>
                <w:szCs w:val="18"/>
              </w:rPr>
              <w:t>10%</w:t>
            </w:r>
            <w:r>
              <w:rPr>
                <w:sz w:val="18"/>
                <w:szCs w:val="18"/>
              </w:rPr>
              <w:t>。本公司每年将根据公司财务状况统筹制定分红方案，从而确保本公司分红政策切实实施。</w:t>
            </w:r>
          </w:p>
          <w:p w:rsidR="00E20B54" w:rsidRDefault="00733C9E">
            <w:pPr>
              <w:spacing w:line="240" w:lineRule="exact"/>
              <w:rPr>
                <w:sz w:val="18"/>
                <w:szCs w:val="18"/>
              </w:rPr>
            </w:pPr>
            <w:r>
              <w:rPr>
                <w:sz w:val="18"/>
                <w:szCs w:val="18"/>
              </w:rPr>
              <w:t>2</w:t>
            </w:r>
            <w:r>
              <w:rPr>
                <w:sz w:val="18"/>
                <w:szCs w:val="18"/>
              </w:rPr>
              <w:t>、本公司将积极履行利润分配政策，若违反前述承诺，将及时公告违反的事实及理由，除因不可抗力或其他非归属于本公司的原因外，将向本公司股东和社会公众投资者道歉，同时向投资者提出补充承诺或替代承诺，以尽可能保护投资者的利益，并在本公司股东大会审议通过后实施补充承诺或替代承</w:t>
            </w:r>
            <w:r>
              <w:rPr>
                <w:sz w:val="18"/>
                <w:szCs w:val="18"/>
              </w:rPr>
              <w:lastRenderedPageBreak/>
              <w:t>诺。</w:t>
            </w:r>
          </w:p>
        </w:tc>
        <w:tc>
          <w:tcPr>
            <w:tcW w:w="859"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lastRenderedPageBreak/>
              <w:t>2021</w:t>
            </w:r>
            <w:r>
              <w:rPr>
                <w:sz w:val="18"/>
                <w:szCs w:val="18"/>
              </w:rPr>
              <w:t>年</w:t>
            </w:r>
            <w:r>
              <w:rPr>
                <w:sz w:val="18"/>
                <w:szCs w:val="18"/>
              </w:rPr>
              <w:t>11</w:t>
            </w:r>
            <w:r>
              <w:rPr>
                <w:sz w:val="18"/>
                <w:szCs w:val="18"/>
              </w:rPr>
              <w:t>月</w:t>
            </w:r>
            <w:r>
              <w:rPr>
                <w:sz w:val="18"/>
                <w:szCs w:val="18"/>
              </w:rPr>
              <w:t>11</w:t>
            </w:r>
            <w:r>
              <w:rPr>
                <w:sz w:val="18"/>
                <w:szCs w:val="18"/>
              </w:rPr>
              <w:t>日</w:t>
            </w:r>
          </w:p>
        </w:tc>
        <w:tc>
          <w:tcPr>
            <w:tcW w:w="641"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长期有效</w:t>
            </w:r>
          </w:p>
        </w:tc>
        <w:tc>
          <w:tcPr>
            <w:tcW w:w="731"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正常履行</w:t>
            </w:r>
          </w:p>
        </w:tc>
      </w:tr>
      <w:tr w:rsidR="00E20B54">
        <w:trPr>
          <w:trHeight w:val="240"/>
        </w:trPr>
        <w:tc>
          <w:tcPr>
            <w:tcW w:w="1377"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lastRenderedPageBreak/>
              <w:t>首次公开发行或再融资时所作承诺</w:t>
            </w:r>
          </w:p>
        </w:tc>
        <w:tc>
          <w:tcPr>
            <w:tcW w:w="83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林明玲、马学沛</w:t>
            </w:r>
          </w:p>
        </w:tc>
        <w:tc>
          <w:tcPr>
            <w:tcW w:w="845"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关于同业竞争、关联交易、资金占用方面的承诺</w:t>
            </w:r>
          </w:p>
        </w:tc>
        <w:tc>
          <w:tcPr>
            <w:tcW w:w="435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《广东天亿马信息产业股份有限公司控股股东、实际控制人关于规范和减少关联交易的确认与承诺》</w:t>
            </w:r>
          </w:p>
          <w:p w:rsidR="00E20B54" w:rsidRDefault="00733C9E">
            <w:pPr>
              <w:spacing w:line="240" w:lineRule="exact"/>
              <w:rPr>
                <w:sz w:val="18"/>
                <w:szCs w:val="18"/>
              </w:rPr>
            </w:pPr>
            <w:r>
              <w:rPr>
                <w:sz w:val="18"/>
                <w:szCs w:val="18"/>
              </w:rPr>
              <w:t>作为广东天亿马信息产业股份有限公司（以下简称</w:t>
            </w:r>
            <w:r>
              <w:rPr>
                <w:sz w:val="18"/>
                <w:szCs w:val="18"/>
              </w:rPr>
              <w:t>“</w:t>
            </w:r>
            <w:r>
              <w:rPr>
                <w:sz w:val="18"/>
                <w:szCs w:val="18"/>
              </w:rPr>
              <w:t>公司</w:t>
            </w:r>
            <w:r>
              <w:rPr>
                <w:sz w:val="18"/>
                <w:szCs w:val="18"/>
              </w:rPr>
              <w:t>”</w:t>
            </w:r>
            <w:r>
              <w:rPr>
                <w:sz w:val="18"/>
                <w:szCs w:val="18"/>
              </w:rPr>
              <w:t>）的控股股东、实际控制人，现就规范和减少关联交易事项向公司作出如下确认与承诺：</w:t>
            </w:r>
          </w:p>
          <w:p w:rsidR="00E20B54" w:rsidRDefault="00733C9E">
            <w:pPr>
              <w:spacing w:line="240" w:lineRule="exact"/>
              <w:rPr>
                <w:sz w:val="18"/>
                <w:szCs w:val="18"/>
              </w:rPr>
            </w:pPr>
            <w:r>
              <w:rPr>
                <w:sz w:val="18"/>
                <w:szCs w:val="18"/>
              </w:rPr>
              <w:t>1</w:t>
            </w:r>
            <w:r>
              <w:rPr>
                <w:sz w:val="18"/>
                <w:szCs w:val="18"/>
              </w:rPr>
              <w:t>、本人将严格遵守相关法律法规及内部规章制度，不以任何方式占用或使用公司的资产和资源，不以任何方式从事损害或可能损害公司及其他股东利益的行为。如出现违反上述承诺与保证，而导致公司或其股东的权益受到损害，将依法承担相应的赔偿责任。</w:t>
            </w:r>
          </w:p>
          <w:p w:rsidR="00E20B54" w:rsidRDefault="00733C9E">
            <w:pPr>
              <w:spacing w:line="240" w:lineRule="exact"/>
              <w:rPr>
                <w:sz w:val="18"/>
                <w:szCs w:val="18"/>
              </w:rPr>
            </w:pPr>
            <w:r>
              <w:rPr>
                <w:sz w:val="18"/>
                <w:szCs w:val="18"/>
              </w:rPr>
              <w:t>2</w:t>
            </w:r>
            <w:r>
              <w:rPr>
                <w:sz w:val="18"/>
                <w:szCs w:val="18"/>
              </w:rPr>
              <w:t>、在作为控股股东、实际控制人期间，本人将尽量避免与公司发生关联交易；如与公司发生不可避免的关联交易，本人将严格按照有关法律、法规、规范性文件及公司章程的规定规范关联交易行为，遵循等价、有偿、公平交易的原则，并按有关规定履行信息披露义务和办理有关报批程序，保证关联交易的公允性，保证不通过关联交易损害公司及其股东的合法权益。</w:t>
            </w:r>
          </w:p>
          <w:p w:rsidR="00E20B54" w:rsidRDefault="00733C9E">
            <w:pPr>
              <w:spacing w:line="240" w:lineRule="exact"/>
              <w:rPr>
                <w:sz w:val="18"/>
                <w:szCs w:val="18"/>
              </w:rPr>
            </w:pPr>
            <w:r>
              <w:rPr>
                <w:sz w:val="18"/>
                <w:szCs w:val="18"/>
              </w:rPr>
              <w:t>3</w:t>
            </w:r>
            <w:r>
              <w:rPr>
                <w:sz w:val="18"/>
                <w:szCs w:val="18"/>
              </w:rPr>
              <w:t>、本人有关关联交易的承诺将同样适用于本人控制的其他企业，本人将在合法权限内促成控制的企业履行上述有关关联交易承诺。</w:t>
            </w:r>
          </w:p>
          <w:p w:rsidR="00E20B54" w:rsidRDefault="00733C9E">
            <w:pPr>
              <w:spacing w:line="240" w:lineRule="exact"/>
              <w:rPr>
                <w:sz w:val="18"/>
                <w:szCs w:val="18"/>
              </w:rPr>
            </w:pPr>
            <w:r>
              <w:rPr>
                <w:sz w:val="18"/>
                <w:szCs w:val="18"/>
              </w:rPr>
              <w:t>如本人违反上述承诺，在采取措施规范或减少关联交易前，公司进行现金分红的，有权暂扣归属于本人的现金分红，直至本人履行承诺并实施完毕；在履行相应承诺、采取补救措施并实施完毕之前，不得转让本人直接或间接持有的公司股份。</w:t>
            </w:r>
          </w:p>
        </w:tc>
        <w:tc>
          <w:tcPr>
            <w:tcW w:w="859"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2021</w:t>
            </w:r>
            <w:r>
              <w:rPr>
                <w:sz w:val="18"/>
                <w:szCs w:val="18"/>
              </w:rPr>
              <w:t>年</w:t>
            </w:r>
            <w:r>
              <w:rPr>
                <w:sz w:val="18"/>
                <w:szCs w:val="18"/>
              </w:rPr>
              <w:t>11</w:t>
            </w:r>
            <w:r>
              <w:rPr>
                <w:sz w:val="18"/>
                <w:szCs w:val="18"/>
              </w:rPr>
              <w:t>月</w:t>
            </w:r>
            <w:r>
              <w:rPr>
                <w:sz w:val="18"/>
                <w:szCs w:val="18"/>
              </w:rPr>
              <w:t>11</w:t>
            </w:r>
            <w:r>
              <w:rPr>
                <w:sz w:val="18"/>
                <w:szCs w:val="18"/>
              </w:rPr>
              <w:t>日</w:t>
            </w:r>
          </w:p>
        </w:tc>
        <w:tc>
          <w:tcPr>
            <w:tcW w:w="641"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长期有效</w:t>
            </w:r>
          </w:p>
        </w:tc>
        <w:tc>
          <w:tcPr>
            <w:tcW w:w="731"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正常履行中。</w:t>
            </w:r>
          </w:p>
        </w:tc>
      </w:tr>
      <w:tr w:rsidR="00E20B54">
        <w:trPr>
          <w:trHeight w:val="240"/>
        </w:trPr>
        <w:tc>
          <w:tcPr>
            <w:tcW w:w="1377"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首次公开发行或再融资时所作承诺</w:t>
            </w:r>
          </w:p>
        </w:tc>
        <w:tc>
          <w:tcPr>
            <w:tcW w:w="83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本公司</w:t>
            </w:r>
          </w:p>
        </w:tc>
        <w:tc>
          <w:tcPr>
            <w:tcW w:w="845"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其他承诺</w:t>
            </w:r>
          </w:p>
        </w:tc>
        <w:tc>
          <w:tcPr>
            <w:tcW w:w="435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《关于填补被摊薄即期回报的承诺》</w:t>
            </w:r>
          </w:p>
          <w:p w:rsidR="00E20B54" w:rsidRDefault="00733C9E">
            <w:pPr>
              <w:spacing w:line="240" w:lineRule="exact"/>
              <w:rPr>
                <w:sz w:val="18"/>
                <w:szCs w:val="18"/>
              </w:rPr>
            </w:pPr>
            <w:r>
              <w:rPr>
                <w:rFonts w:hint="eastAsia"/>
                <w:sz w:val="18"/>
                <w:szCs w:val="18"/>
              </w:rPr>
              <w:t>公司</w:t>
            </w:r>
            <w:r>
              <w:rPr>
                <w:sz w:val="18"/>
                <w:szCs w:val="18"/>
              </w:rPr>
              <w:t>完成首次公开发行股票后，随着募集资金的到位，股本及净资产规模将有较大幅度增加。虽然公司的募集资金项目将用于主营业务发展并进行严格论证，但鉴于募集资金投资项目建设及产生效益需要一定周期，在公司股本和净资产均增加的情况下，在短期内，公司的每股收益和加权平均净资产收益率等指标将出现一定幅度的下降。</w:t>
            </w:r>
          </w:p>
          <w:p w:rsidR="00E20B54" w:rsidRDefault="00733C9E">
            <w:pPr>
              <w:spacing w:line="240" w:lineRule="exact"/>
              <w:rPr>
                <w:sz w:val="18"/>
                <w:szCs w:val="18"/>
              </w:rPr>
            </w:pPr>
            <w:r>
              <w:rPr>
                <w:sz w:val="18"/>
                <w:szCs w:val="18"/>
              </w:rPr>
              <w:t>针对上述情况，公司拟采取的填补被摊薄即期回报的若干措施及承诺如下：</w:t>
            </w:r>
          </w:p>
          <w:p w:rsidR="00E20B54" w:rsidRDefault="00733C9E">
            <w:pPr>
              <w:spacing w:line="240" w:lineRule="exact"/>
              <w:rPr>
                <w:sz w:val="18"/>
                <w:szCs w:val="18"/>
              </w:rPr>
            </w:pPr>
            <w:r>
              <w:rPr>
                <w:sz w:val="18"/>
                <w:szCs w:val="18"/>
              </w:rPr>
              <w:t>1</w:t>
            </w:r>
            <w:r>
              <w:rPr>
                <w:sz w:val="18"/>
                <w:szCs w:val="18"/>
              </w:rPr>
              <w:t>、加强募集资金监管，保证募集资金合法合理使用</w:t>
            </w:r>
          </w:p>
          <w:p w:rsidR="00E20B54" w:rsidRDefault="00733C9E">
            <w:pPr>
              <w:spacing w:line="240" w:lineRule="exact"/>
              <w:rPr>
                <w:sz w:val="18"/>
                <w:szCs w:val="18"/>
              </w:rPr>
            </w:pPr>
            <w:r>
              <w:rPr>
                <w:sz w:val="18"/>
                <w:szCs w:val="18"/>
              </w:rPr>
              <w:t>为规范募集资金的管理和使用，确保本次发行募集资金专项用于募投项目，公司已根据《公司法》《证券法》等法律法规的规定要求，结合公司实际情况，制定了《募集资金使用管理办法》，明确规定公司对募集资金采取专项存储制度，以便于募集资金的管理和使用以及对其使用权进行监管，保证专款专用。本次发行募集资金到位后，公司将加强募集资金安全管理，对募集资金进行专项存储，积极配合监管银行和保荐机构对募集资金使用的检查和监管，以保证募集资金合理、规范、有效地使用，防范募集资金使用风险。</w:t>
            </w:r>
          </w:p>
          <w:p w:rsidR="00E20B54" w:rsidRDefault="00733C9E">
            <w:pPr>
              <w:spacing w:line="240" w:lineRule="exact"/>
              <w:rPr>
                <w:sz w:val="18"/>
                <w:szCs w:val="18"/>
              </w:rPr>
            </w:pPr>
            <w:r>
              <w:rPr>
                <w:sz w:val="18"/>
                <w:szCs w:val="18"/>
              </w:rPr>
              <w:t>2</w:t>
            </w:r>
            <w:r>
              <w:rPr>
                <w:sz w:val="18"/>
                <w:szCs w:val="18"/>
              </w:rPr>
              <w:t>、加快募投项目实施进度，早日实现项目预期效益</w:t>
            </w:r>
          </w:p>
          <w:p w:rsidR="00E20B54" w:rsidRDefault="00733C9E">
            <w:pPr>
              <w:spacing w:line="240" w:lineRule="exact"/>
              <w:rPr>
                <w:sz w:val="18"/>
                <w:szCs w:val="18"/>
              </w:rPr>
            </w:pPr>
            <w:r>
              <w:rPr>
                <w:sz w:val="18"/>
                <w:szCs w:val="18"/>
              </w:rPr>
              <w:t>本次募集资金项目围绕公司主营业务开展，主要用于智慧城市综合解决方案升级项目、大数据应用技术中心建设项目、营销服务体系升级建设项目及补充流动资金，有利于扩大公司经营规模、产品优化</w:t>
            </w:r>
            <w:r>
              <w:rPr>
                <w:sz w:val="18"/>
                <w:szCs w:val="18"/>
              </w:rPr>
              <w:lastRenderedPageBreak/>
              <w:t>升级，进一步提升研发能力与产品设计开发能力，增强整体盈利能力。公司将根据自身情况，合理加快募集资金投资项目的投资和建设进度，争取尽早实现项目的预期效益，提升公司的盈利能力。</w:t>
            </w:r>
          </w:p>
          <w:p w:rsidR="00E20B54" w:rsidRDefault="00733C9E">
            <w:pPr>
              <w:spacing w:line="240" w:lineRule="exact"/>
              <w:rPr>
                <w:sz w:val="18"/>
                <w:szCs w:val="18"/>
              </w:rPr>
            </w:pPr>
            <w:r>
              <w:rPr>
                <w:sz w:val="18"/>
                <w:szCs w:val="18"/>
              </w:rPr>
              <w:t>3</w:t>
            </w:r>
            <w:r>
              <w:rPr>
                <w:sz w:val="18"/>
                <w:szCs w:val="18"/>
              </w:rPr>
              <w:t>、加强技术创新，增强公司可持续盈利能力</w:t>
            </w:r>
          </w:p>
          <w:p w:rsidR="00E20B54" w:rsidRDefault="00733C9E">
            <w:pPr>
              <w:spacing w:line="240" w:lineRule="exact"/>
              <w:rPr>
                <w:sz w:val="18"/>
                <w:szCs w:val="18"/>
              </w:rPr>
            </w:pPr>
            <w:r>
              <w:rPr>
                <w:sz w:val="18"/>
                <w:szCs w:val="18"/>
              </w:rPr>
              <w:t>公司将通过实施智慧城市综合解决方案升级项目、大数据应用技术中心建设项目、营销服务体系升级建设项目及补充流动资金，加强技术创新，引进优秀人才和先进的软硬件设备，进一步提升研发能力与产品设计开发能力，为实现产品的结构调整和技术升级提供有力保障，增强公司持续盈利能力，确保公司能够持续产生良好效益并实现股东回报。</w:t>
            </w:r>
          </w:p>
          <w:p w:rsidR="00E20B54" w:rsidRDefault="00733C9E">
            <w:pPr>
              <w:spacing w:line="240" w:lineRule="exact"/>
              <w:rPr>
                <w:sz w:val="18"/>
                <w:szCs w:val="18"/>
              </w:rPr>
            </w:pPr>
            <w:r>
              <w:rPr>
                <w:sz w:val="18"/>
                <w:szCs w:val="18"/>
              </w:rPr>
              <w:t>4</w:t>
            </w:r>
            <w:r>
              <w:rPr>
                <w:sz w:val="18"/>
                <w:szCs w:val="18"/>
              </w:rPr>
              <w:t>、控制成本费用支出，提升盈利能力</w:t>
            </w:r>
          </w:p>
          <w:p w:rsidR="00E20B54" w:rsidRDefault="00733C9E">
            <w:pPr>
              <w:spacing w:line="240" w:lineRule="exact"/>
              <w:rPr>
                <w:sz w:val="18"/>
                <w:szCs w:val="18"/>
              </w:rPr>
            </w:pPr>
            <w:r>
              <w:rPr>
                <w:sz w:val="18"/>
                <w:szCs w:val="18"/>
              </w:rPr>
              <w:t>公司积极加强成本管理，严控成本费用，提升公司利润率水平。根据公司整体经营目标，按各部门分担成本优化任务，明确成本管理的地位和作用，加大成本控制力度，提升公司盈利水平。</w:t>
            </w:r>
          </w:p>
          <w:p w:rsidR="00E20B54" w:rsidRDefault="00733C9E">
            <w:pPr>
              <w:spacing w:line="240" w:lineRule="exact"/>
              <w:rPr>
                <w:sz w:val="18"/>
                <w:szCs w:val="18"/>
              </w:rPr>
            </w:pPr>
            <w:r>
              <w:rPr>
                <w:sz w:val="18"/>
                <w:szCs w:val="18"/>
              </w:rPr>
              <w:t>5</w:t>
            </w:r>
            <w:r>
              <w:rPr>
                <w:sz w:val="18"/>
                <w:szCs w:val="18"/>
              </w:rPr>
              <w:t>、优化投资回报机制</w:t>
            </w:r>
          </w:p>
          <w:p w:rsidR="00E20B54" w:rsidRDefault="00733C9E">
            <w:pPr>
              <w:spacing w:line="240" w:lineRule="exact"/>
              <w:rPr>
                <w:sz w:val="18"/>
                <w:szCs w:val="18"/>
              </w:rPr>
            </w:pPr>
            <w:r>
              <w:rPr>
                <w:sz w:val="18"/>
                <w:szCs w:val="18"/>
              </w:rPr>
              <w:t>公司已根据中国证监会有关上市公司分红的规定要求，在充分考虑公司经营发展实际情况及股东回报等各个因素基础上，为明确对公司股东权益分红的回报，进一步细化《公司章程》中关于股利分配原则的条款，增加股利分配决策透明度和可操作性，并制定了《首次公开发行人民币普通股（</w:t>
            </w:r>
            <w:r>
              <w:rPr>
                <w:sz w:val="18"/>
                <w:szCs w:val="18"/>
              </w:rPr>
              <w:t>A</w:t>
            </w:r>
            <w:r>
              <w:rPr>
                <w:sz w:val="18"/>
                <w:szCs w:val="18"/>
              </w:rPr>
              <w:t>股）并上市后三年股东分红回报规划》。未来，公司将严格执行利润分配政策，在符合分配条件的情况下，积极实施对股东的利润分配，优化投资回报机制。</w:t>
            </w:r>
          </w:p>
          <w:p w:rsidR="00E20B54" w:rsidRDefault="00733C9E">
            <w:pPr>
              <w:spacing w:line="240" w:lineRule="exact"/>
              <w:rPr>
                <w:sz w:val="18"/>
                <w:szCs w:val="18"/>
              </w:rPr>
            </w:pPr>
            <w:r>
              <w:rPr>
                <w:sz w:val="18"/>
                <w:szCs w:val="18"/>
              </w:rPr>
              <w:t>6</w:t>
            </w:r>
            <w:r>
              <w:rPr>
                <w:sz w:val="18"/>
                <w:szCs w:val="18"/>
              </w:rPr>
              <w:t>、公司董事会或薪酬委员会制定的薪酬制度与公司填补回报措施的执行情况相挂钩。</w:t>
            </w:r>
          </w:p>
          <w:p w:rsidR="00E20B54" w:rsidRDefault="00733C9E">
            <w:pPr>
              <w:spacing w:line="240" w:lineRule="exact"/>
              <w:rPr>
                <w:sz w:val="18"/>
                <w:szCs w:val="18"/>
              </w:rPr>
            </w:pPr>
            <w:r>
              <w:rPr>
                <w:sz w:val="18"/>
                <w:szCs w:val="18"/>
              </w:rPr>
              <w:t>7</w:t>
            </w:r>
            <w:r>
              <w:rPr>
                <w:sz w:val="18"/>
                <w:szCs w:val="18"/>
              </w:rPr>
              <w:t>、若公司进行股权激励，则拟公布的公司股权激励的行权条件与公司填补回报措施的执行情况相挂钩。</w:t>
            </w:r>
          </w:p>
          <w:p w:rsidR="00E20B54" w:rsidRDefault="00733C9E">
            <w:pPr>
              <w:spacing w:line="240" w:lineRule="exact"/>
              <w:rPr>
                <w:sz w:val="18"/>
                <w:szCs w:val="18"/>
              </w:rPr>
            </w:pPr>
            <w:r>
              <w:rPr>
                <w:sz w:val="18"/>
                <w:szCs w:val="18"/>
              </w:rPr>
              <w:t>若本公司违反或未履行上述承诺，本公司将在股东大会及中国证监会指定报刊公开作出解释并道歉；无条件接受中国证监会、证券交易所、中国上市公司协会等证券监管机构按照其制定或发布的有关规定、规则，对本公司作出的处罚或采取的相关监管措施；若给股东造成损失的，公司依法承担补偿责任。</w:t>
            </w:r>
          </w:p>
        </w:tc>
        <w:tc>
          <w:tcPr>
            <w:tcW w:w="859"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lastRenderedPageBreak/>
              <w:t>2021</w:t>
            </w:r>
            <w:r>
              <w:rPr>
                <w:sz w:val="18"/>
                <w:szCs w:val="18"/>
              </w:rPr>
              <w:t>年</w:t>
            </w:r>
            <w:r>
              <w:rPr>
                <w:sz w:val="18"/>
                <w:szCs w:val="18"/>
              </w:rPr>
              <w:t>11</w:t>
            </w:r>
            <w:r>
              <w:rPr>
                <w:sz w:val="18"/>
                <w:szCs w:val="18"/>
              </w:rPr>
              <w:t>月</w:t>
            </w:r>
            <w:r>
              <w:rPr>
                <w:sz w:val="18"/>
                <w:szCs w:val="18"/>
              </w:rPr>
              <w:t>11</w:t>
            </w:r>
            <w:r>
              <w:rPr>
                <w:sz w:val="18"/>
                <w:szCs w:val="18"/>
              </w:rPr>
              <w:t>日</w:t>
            </w:r>
          </w:p>
        </w:tc>
        <w:tc>
          <w:tcPr>
            <w:tcW w:w="641"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长期有效</w:t>
            </w:r>
          </w:p>
        </w:tc>
        <w:tc>
          <w:tcPr>
            <w:tcW w:w="731"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正常履行中</w:t>
            </w:r>
          </w:p>
        </w:tc>
      </w:tr>
      <w:tr w:rsidR="00E20B54">
        <w:trPr>
          <w:trHeight w:val="240"/>
        </w:trPr>
        <w:tc>
          <w:tcPr>
            <w:tcW w:w="1377"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lastRenderedPageBreak/>
              <w:t>首次公开发行或再融资时所作承诺</w:t>
            </w:r>
          </w:p>
        </w:tc>
        <w:tc>
          <w:tcPr>
            <w:tcW w:w="83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林明玲、马学沛</w:t>
            </w:r>
          </w:p>
        </w:tc>
        <w:tc>
          <w:tcPr>
            <w:tcW w:w="845"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其他承诺</w:t>
            </w:r>
          </w:p>
        </w:tc>
        <w:tc>
          <w:tcPr>
            <w:tcW w:w="435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《广东天亿马信息产业股份有限公司控股股东及实际控制人关于填补被摊薄即期回报的承诺》</w:t>
            </w:r>
          </w:p>
          <w:p w:rsidR="00E20B54" w:rsidRDefault="00733C9E">
            <w:pPr>
              <w:spacing w:line="240" w:lineRule="exact"/>
              <w:rPr>
                <w:sz w:val="18"/>
                <w:szCs w:val="18"/>
              </w:rPr>
            </w:pPr>
            <w:r>
              <w:rPr>
                <w:sz w:val="18"/>
                <w:szCs w:val="18"/>
              </w:rPr>
              <w:t>本人作为广东天亿马信息产业股份有限公司（以下简称</w:t>
            </w:r>
            <w:r>
              <w:rPr>
                <w:sz w:val="18"/>
                <w:szCs w:val="18"/>
              </w:rPr>
              <w:t>“</w:t>
            </w:r>
            <w:r>
              <w:rPr>
                <w:sz w:val="18"/>
                <w:szCs w:val="18"/>
              </w:rPr>
              <w:t>公司</w:t>
            </w:r>
            <w:r>
              <w:rPr>
                <w:sz w:val="18"/>
                <w:szCs w:val="18"/>
              </w:rPr>
              <w:t>”</w:t>
            </w:r>
            <w:r>
              <w:rPr>
                <w:sz w:val="18"/>
                <w:szCs w:val="18"/>
              </w:rPr>
              <w:t>）的控股股东及实际控制人，为确保公司的填补被摊薄即期回报措施得到切实履行，特承诺如下：</w:t>
            </w:r>
          </w:p>
          <w:p w:rsidR="00E20B54" w:rsidRDefault="00733C9E">
            <w:pPr>
              <w:spacing w:line="240" w:lineRule="exact"/>
              <w:rPr>
                <w:sz w:val="18"/>
                <w:szCs w:val="18"/>
              </w:rPr>
            </w:pPr>
            <w:r>
              <w:rPr>
                <w:sz w:val="18"/>
                <w:szCs w:val="18"/>
              </w:rPr>
              <w:t>1</w:t>
            </w:r>
            <w:r>
              <w:rPr>
                <w:sz w:val="18"/>
                <w:szCs w:val="18"/>
              </w:rPr>
              <w:t>、忠实、勤勉地履行职责，维护公司和全体股东的合法权益。</w:t>
            </w:r>
          </w:p>
          <w:p w:rsidR="00E20B54" w:rsidRDefault="00733C9E">
            <w:pPr>
              <w:spacing w:line="240" w:lineRule="exact"/>
              <w:rPr>
                <w:sz w:val="18"/>
                <w:szCs w:val="18"/>
              </w:rPr>
            </w:pPr>
            <w:r>
              <w:rPr>
                <w:sz w:val="18"/>
                <w:szCs w:val="18"/>
              </w:rPr>
              <w:t>2</w:t>
            </w:r>
            <w:r>
              <w:rPr>
                <w:sz w:val="18"/>
                <w:szCs w:val="18"/>
              </w:rPr>
              <w:t>、不越权干预公司经营管理活动，不侵占公司利益。</w:t>
            </w:r>
          </w:p>
          <w:p w:rsidR="00E20B54" w:rsidRDefault="00733C9E">
            <w:pPr>
              <w:spacing w:line="240" w:lineRule="exact"/>
              <w:rPr>
                <w:sz w:val="18"/>
                <w:szCs w:val="18"/>
              </w:rPr>
            </w:pPr>
            <w:r>
              <w:rPr>
                <w:sz w:val="18"/>
                <w:szCs w:val="18"/>
              </w:rPr>
              <w:t>本人如违反以上承诺或拒不履行以上承诺，本人将在股东大会及中国证监会指定报刊公开作出解释并道歉；如违反承诺给公司或者股东造成损失的，依法承担补偿责任。</w:t>
            </w:r>
          </w:p>
        </w:tc>
        <w:tc>
          <w:tcPr>
            <w:tcW w:w="859"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2021</w:t>
            </w:r>
            <w:r>
              <w:rPr>
                <w:sz w:val="18"/>
                <w:szCs w:val="18"/>
              </w:rPr>
              <w:t>年</w:t>
            </w:r>
            <w:r>
              <w:rPr>
                <w:sz w:val="18"/>
                <w:szCs w:val="18"/>
              </w:rPr>
              <w:t>11</w:t>
            </w:r>
            <w:r>
              <w:rPr>
                <w:sz w:val="18"/>
                <w:szCs w:val="18"/>
              </w:rPr>
              <w:t>月</w:t>
            </w:r>
            <w:r>
              <w:rPr>
                <w:sz w:val="18"/>
                <w:szCs w:val="18"/>
              </w:rPr>
              <w:t>11</w:t>
            </w:r>
            <w:r>
              <w:rPr>
                <w:sz w:val="18"/>
                <w:szCs w:val="18"/>
              </w:rPr>
              <w:t>日</w:t>
            </w:r>
          </w:p>
        </w:tc>
        <w:tc>
          <w:tcPr>
            <w:tcW w:w="641"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长期有效</w:t>
            </w:r>
          </w:p>
        </w:tc>
        <w:tc>
          <w:tcPr>
            <w:tcW w:w="731"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正常履行中。</w:t>
            </w:r>
          </w:p>
        </w:tc>
      </w:tr>
      <w:tr w:rsidR="00E20B54">
        <w:trPr>
          <w:trHeight w:val="240"/>
        </w:trPr>
        <w:tc>
          <w:tcPr>
            <w:tcW w:w="1377"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首次公开发行或再融资时所作承诺</w:t>
            </w:r>
          </w:p>
        </w:tc>
        <w:tc>
          <w:tcPr>
            <w:tcW w:w="83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林明玲、马</w:t>
            </w:r>
            <w:r>
              <w:rPr>
                <w:sz w:val="18"/>
                <w:szCs w:val="18"/>
              </w:rPr>
              <w:lastRenderedPageBreak/>
              <w:t>学沛</w:t>
            </w:r>
          </w:p>
        </w:tc>
        <w:tc>
          <w:tcPr>
            <w:tcW w:w="845"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lastRenderedPageBreak/>
              <w:t>其他承诺</w:t>
            </w:r>
          </w:p>
        </w:tc>
        <w:tc>
          <w:tcPr>
            <w:tcW w:w="435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《持股意向及减持意向的承诺》</w:t>
            </w:r>
          </w:p>
          <w:p w:rsidR="00E20B54" w:rsidRDefault="00733C9E">
            <w:pPr>
              <w:spacing w:line="240" w:lineRule="exact"/>
              <w:rPr>
                <w:sz w:val="18"/>
                <w:szCs w:val="18"/>
              </w:rPr>
            </w:pPr>
            <w:r>
              <w:rPr>
                <w:sz w:val="18"/>
                <w:szCs w:val="18"/>
              </w:rPr>
              <w:t>本人作为广东天亿马信息产业股份有限公司（以下</w:t>
            </w:r>
            <w:r>
              <w:rPr>
                <w:sz w:val="18"/>
                <w:szCs w:val="18"/>
              </w:rPr>
              <w:lastRenderedPageBreak/>
              <w:t>简称</w:t>
            </w:r>
            <w:r>
              <w:rPr>
                <w:sz w:val="18"/>
                <w:szCs w:val="18"/>
              </w:rPr>
              <w:t>“</w:t>
            </w:r>
            <w:r>
              <w:rPr>
                <w:sz w:val="18"/>
                <w:szCs w:val="18"/>
              </w:rPr>
              <w:t>发行人</w:t>
            </w:r>
            <w:r>
              <w:rPr>
                <w:sz w:val="18"/>
                <w:szCs w:val="18"/>
              </w:rPr>
              <w:t>”</w:t>
            </w:r>
            <w:r>
              <w:rPr>
                <w:sz w:val="18"/>
                <w:szCs w:val="18"/>
              </w:rPr>
              <w:t>或</w:t>
            </w:r>
            <w:r>
              <w:rPr>
                <w:sz w:val="18"/>
                <w:szCs w:val="18"/>
              </w:rPr>
              <w:t>“</w:t>
            </w:r>
            <w:r>
              <w:rPr>
                <w:sz w:val="18"/>
                <w:szCs w:val="18"/>
              </w:rPr>
              <w:t>公司</w:t>
            </w:r>
            <w:r>
              <w:rPr>
                <w:sz w:val="18"/>
                <w:szCs w:val="18"/>
              </w:rPr>
              <w:t>”</w:t>
            </w:r>
            <w:r>
              <w:rPr>
                <w:sz w:val="18"/>
                <w:szCs w:val="18"/>
              </w:rPr>
              <w:t>）的实际控制人，担任发行人副董事长兼总经理，现就公司首次公开发行股票并上市后本人所持公司持股意向及减持意向事宜，作如下承诺：</w:t>
            </w:r>
          </w:p>
          <w:p w:rsidR="00E20B54" w:rsidRDefault="00733C9E">
            <w:pPr>
              <w:spacing w:line="240" w:lineRule="exact"/>
              <w:rPr>
                <w:sz w:val="18"/>
                <w:szCs w:val="18"/>
              </w:rPr>
            </w:pPr>
            <w:r>
              <w:rPr>
                <w:sz w:val="18"/>
                <w:szCs w:val="18"/>
              </w:rPr>
              <w:t>1</w:t>
            </w:r>
            <w:r>
              <w:rPr>
                <w:sz w:val="18"/>
                <w:szCs w:val="18"/>
              </w:rPr>
              <w:t>、本人严格按照公司首次公开发行股票招股说明书及本人出具的承诺载明的各项锁定期限要求，并严格遵守相关法律、法规、规范性文件规定及监管要求，在锁定期内不减持持有的公司的股份。</w:t>
            </w:r>
          </w:p>
          <w:p w:rsidR="00E20B54" w:rsidRDefault="00733C9E">
            <w:pPr>
              <w:spacing w:line="240" w:lineRule="exact"/>
              <w:rPr>
                <w:sz w:val="18"/>
                <w:szCs w:val="18"/>
              </w:rPr>
            </w:pPr>
            <w:r>
              <w:rPr>
                <w:sz w:val="18"/>
                <w:szCs w:val="18"/>
              </w:rPr>
              <w:t>2</w:t>
            </w:r>
            <w:r>
              <w:rPr>
                <w:sz w:val="18"/>
                <w:szCs w:val="18"/>
              </w:rPr>
              <w:t>、本人所持公司股票在锁定期满后两年内减持的，减持价格不低于发行价；公司上市后</w:t>
            </w:r>
            <w:r>
              <w:rPr>
                <w:sz w:val="18"/>
                <w:szCs w:val="18"/>
              </w:rPr>
              <w:t>6</w:t>
            </w:r>
            <w:r>
              <w:rPr>
                <w:sz w:val="18"/>
                <w:szCs w:val="18"/>
              </w:rPr>
              <w:t>个月内如公司股票连续</w:t>
            </w:r>
            <w:r>
              <w:rPr>
                <w:sz w:val="18"/>
                <w:szCs w:val="18"/>
              </w:rPr>
              <w:t>20</w:t>
            </w:r>
            <w:r>
              <w:rPr>
                <w:sz w:val="18"/>
                <w:szCs w:val="18"/>
              </w:rPr>
              <w:t>个交易日的收盘价均低于发行价，或者上市后</w:t>
            </w:r>
            <w:r>
              <w:rPr>
                <w:sz w:val="18"/>
                <w:szCs w:val="18"/>
              </w:rPr>
              <w:t>6</w:t>
            </w:r>
            <w:r>
              <w:rPr>
                <w:sz w:val="18"/>
                <w:szCs w:val="18"/>
              </w:rPr>
              <w:t>个月期末收盘价低于发行价，本人持有公司股票的锁定期限自动延长</w:t>
            </w:r>
            <w:r>
              <w:rPr>
                <w:sz w:val="18"/>
                <w:szCs w:val="18"/>
              </w:rPr>
              <w:t>6</w:t>
            </w:r>
            <w:r>
              <w:rPr>
                <w:sz w:val="18"/>
                <w:szCs w:val="18"/>
              </w:rPr>
              <w:t>个月。若公司股票在期间发生派息、送股、资本公积金转增股本等除权除息事项的，发行价将进行相应除权除息调整。</w:t>
            </w:r>
          </w:p>
          <w:p w:rsidR="00E20B54" w:rsidRDefault="00733C9E">
            <w:pPr>
              <w:spacing w:line="240" w:lineRule="exact"/>
              <w:rPr>
                <w:sz w:val="18"/>
                <w:szCs w:val="18"/>
              </w:rPr>
            </w:pPr>
            <w:r>
              <w:rPr>
                <w:sz w:val="18"/>
                <w:szCs w:val="18"/>
              </w:rPr>
              <w:t>3</w:t>
            </w:r>
            <w:r>
              <w:rPr>
                <w:sz w:val="18"/>
                <w:szCs w:val="18"/>
              </w:rPr>
              <w:t>、在锁定期限（包括延长的锁定期）届满后，本人将通过合法方式减持公司股份；并通过公司在减持前</w:t>
            </w:r>
            <w:r>
              <w:rPr>
                <w:sz w:val="18"/>
                <w:szCs w:val="18"/>
              </w:rPr>
              <w:t>3</w:t>
            </w:r>
            <w:r>
              <w:rPr>
                <w:sz w:val="18"/>
                <w:szCs w:val="18"/>
              </w:rPr>
              <w:t>个交易日予以公告。</w:t>
            </w:r>
          </w:p>
          <w:p w:rsidR="00E20B54" w:rsidRDefault="00733C9E">
            <w:pPr>
              <w:spacing w:line="240" w:lineRule="exact"/>
              <w:rPr>
                <w:sz w:val="18"/>
                <w:szCs w:val="18"/>
              </w:rPr>
            </w:pPr>
            <w:r>
              <w:rPr>
                <w:sz w:val="18"/>
                <w:szCs w:val="18"/>
              </w:rPr>
              <w:t>4</w:t>
            </w:r>
            <w:r>
              <w:rPr>
                <w:sz w:val="18"/>
                <w:szCs w:val="18"/>
              </w:rPr>
              <w:t>、如本人违反承诺进行股份减持的，减持所得收益将无偿划归公司所有；在减持收益全部缴付公司前，如公司进行现金分红的，可直接从本人应得现金分红中扣除尚未缴付的收益金额；减持收益全部缴付公司前，不得转让直接或间接持有的公司股份。</w:t>
            </w:r>
          </w:p>
          <w:p w:rsidR="00E20B54" w:rsidRDefault="00733C9E">
            <w:pPr>
              <w:spacing w:line="240" w:lineRule="exact"/>
              <w:rPr>
                <w:sz w:val="18"/>
                <w:szCs w:val="18"/>
              </w:rPr>
            </w:pPr>
            <w:r>
              <w:rPr>
                <w:sz w:val="18"/>
                <w:szCs w:val="18"/>
              </w:rPr>
              <w:t>5</w:t>
            </w:r>
            <w:r>
              <w:rPr>
                <w:sz w:val="18"/>
                <w:szCs w:val="18"/>
              </w:rPr>
              <w:t>、上述承诺一经作出即对本人具有法律拘束力；本人不因在公司职务变更、离职等原因，而放弃履行承诺。</w:t>
            </w:r>
          </w:p>
        </w:tc>
        <w:tc>
          <w:tcPr>
            <w:tcW w:w="859"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lastRenderedPageBreak/>
              <w:t>2021</w:t>
            </w:r>
            <w:r>
              <w:rPr>
                <w:sz w:val="18"/>
                <w:szCs w:val="18"/>
              </w:rPr>
              <w:t>年</w:t>
            </w:r>
            <w:r>
              <w:rPr>
                <w:sz w:val="18"/>
                <w:szCs w:val="18"/>
              </w:rPr>
              <w:t>11</w:t>
            </w:r>
            <w:r>
              <w:rPr>
                <w:sz w:val="18"/>
                <w:szCs w:val="18"/>
              </w:rPr>
              <w:t>月</w:t>
            </w:r>
            <w:r>
              <w:rPr>
                <w:sz w:val="18"/>
                <w:szCs w:val="18"/>
              </w:rPr>
              <w:t>11</w:t>
            </w:r>
            <w:r>
              <w:rPr>
                <w:sz w:val="18"/>
                <w:szCs w:val="18"/>
              </w:rPr>
              <w:lastRenderedPageBreak/>
              <w:t>日</w:t>
            </w:r>
          </w:p>
        </w:tc>
        <w:tc>
          <w:tcPr>
            <w:tcW w:w="641"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lastRenderedPageBreak/>
              <w:t>长期有效</w:t>
            </w:r>
          </w:p>
        </w:tc>
        <w:tc>
          <w:tcPr>
            <w:tcW w:w="731"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正常履行</w:t>
            </w:r>
            <w:r>
              <w:rPr>
                <w:sz w:val="18"/>
                <w:szCs w:val="18"/>
              </w:rPr>
              <w:lastRenderedPageBreak/>
              <w:t>中</w:t>
            </w:r>
          </w:p>
        </w:tc>
      </w:tr>
      <w:tr w:rsidR="00E20B54">
        <w:trPr>
          <w:trHeight w:val="240"/>
        </w:trPr>
        <w:tc>
          <w:tcPr>
            <w:tcW w:w="1377"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lastRenderedPageBreak/>
              <w:t>首次公开发行或再融资时所作承诺</w:t>
            </w:r>
          </w:p>
        </w:tc>
        <w:tc>
          <w:tcPr>
            <w:tcW w:w="83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南京优志投资管理合伙企业（有限合伙）</w:t>
            </w:r>
          </w:p>
        </w:tc>
        <w:tc>
          <w:tcPr>
            <w:tcW w:w="845"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其他承诺</w:t>
            </w:r>
          </w:p>
        </w:tc>
        <w:tc>
          <w:tcPr>
            <w:tcW w:w="435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《持股意向及减持意向的承诺》</w:t>
            </w:r>
          </w:p>
          <w:p w:rsidR="00E20B54" w:rsidRDefault="00733C9E">
            <w:pPr>
              <w:spacing w:line="240" w:lineRule="exact"/>
              <w:rPr>
                <w:sz w:val="18"/>
                <w:szCs w:val="18"/>
              </w:rPr>
            </w:pPr>
            <w:r>
              <w:rPr>
                <w:sz w:val="18"/>
                <w:szCs w:val="18"/>
              </w:rPr>
              <w:t>本单位作为广东天亿马信息产业股份有限公司（以下简称</w:t>
            </w:r>
            <w:r>
              <w:rPr>
                <w:sz w:val="18"/>
                <w:szCs w:val="18"/>
              </w:rPr>
              <w:t>“</w:t>
            </w:r>
            <w:r>
              <w:rPr>
                <w:sz w:val="18"/>
                <w:szCs w:val="18"/>
              </w:rPr>
              <w:t>发行人</w:t>
            </w:r>
            <w:r>
              <w:rPr>
                <w:sz w:val="18"/>
                <w:szCs w:val="18"/>
              </w:rPr>
              <w:t>”</w:t>
            </w:r>
            <w:r>
              <w:rPr>
                <w:sz w:val="18"/>
                <w:szCs w:val="18"/>
              </w:rPr>
              <w:t>或</w:t>
            </w:r>
            <w:r>
              <w:rPr>
                <w:sz w:val="18"/>
                <w:szCs w:val="18"/>
              </w:rPr>
              <w:t>“</w:t>
            </w:r>
            <w:r>
              <w:rPr>
                <w:sz w:val="18"/>
                <w:szCs w:val="18"/>
              </w:rPr>
              <w:t>公司</w:t>
            </w:r>
            <w:r>
              <w:rPr>
                <w:sz w:val="18"/>
                <w:szCs w:val="18"/>
              </w:rPr>
              <w:t>”</w:t>
            </w:r>
            <w:r>
              <w:rPr>
                <w:sz w:val="18"/>
                <w:szCs w:val="18"/>
              </w:rPr>
              <w:t>）持股</w:t>
            </w:r>
            <w:r>
              <w:rPr>
                <w:sz w:val="18"/>
                <w:szCs w:val="18"/>
              </w:rPr>
              <w:t>5%</w:t>
            </w:r>
            <w:r>
              <w:rPr>
                <w:sz w:val="18"/>
                <w:szCs w:val="18"/>
              </w:rPr>
              <w:t>以上的股东，现就公司首次公开发行股票并上市后本单位所持公司持股意向及减持意向事宜，作如下承诺：</w:t>
            </w:r>
          </w:p>
          <w:p w:rsidR="00E20B54" w:rsidRDefault="00733C9E">
            <w:pPr>
              <w:spacing w:line="240" w:lineRule="exact"/>
              <w:rPr>
                <w:sz w:val="18"/>
                <w:szCs w:val="18"/>
              </w:rPr>
            </w:pPr>
            <w:r>
              <w:rPr>
                <w:sz w:val="18"/>
                <w:szCs w:val="18"/>
              </w:rPr>
              <w:t>1</w:t>
            </w:r>
            <w:r>
              <w:rPr>
                <w:sz w:val="18"/>
                <w:szCs w:val="18"/>
              </w:rPr>
              <w:t>、本单位严格按照公司首次公开发行股票招股说明书及本单位出具的承诺载明的各项锁定期限要求，并严格遵守相关法律、法规、规范性文件规定及监管要求，在锁定期内不减持持有的公司的股份。</w:t>
            </w:r>
          </w:p>
          <w:p w:rsidR="00E20B54" w:rsidRDefault="00733C9E">
            <w:pPr>
              <w:spacing w:line="240" w:lineRule="exact"/>
              <w:rPr>
                <w:sz w:val="18"/>
                <w:szCs w:val="18"/>
              </w:rPr>
            </w:pPr>
            <w:r>
              <w:rPr>
                <w:sz w:val="18"/>
                <w:szCs w:val="18"/>
              </w:rPr>
              <w:t>2</w:t>
            </w:r>
            <w:r>
              <w:rPr>
                <w:sz w:val="18"/>
                <w:szCs w:val="18"/>
              </w:rPr>
              <w:t>、在锁定期限届满后，本单位将通过合法方式减持公司股份；并通过公司在减持前</w:t>
            </w:r>
            <w:r>
              <w:rPr>
                <w:sz w:val="18"/>
                <w:szCs w:val="18"/>
              </w:rPr>
              <w:t>3</w:t>
            </w:r>
            <w:r>
              <w:rPr>
                <w:sz w:val="18"/>
                <w:szCs w:val="18"/>
              </w:rPr>
              <w:t>个交易日予以公告。</w:t>
            </w:r>
          </w:p>
          <w:p w:rsidR="00E20B54" w:rsidRDefault="00733C9E">
            <w:pPr>
              <w:spacing w:line="240" w:lineRule="exact"/>
              <w:rPr>
                <w:sz w:val="18"/>
                <w:szCs w:val="18"/>
              </w:rPr>
            </w:pPr>
            <w:r>
              <w:rPr>
                <w:sz w:val="18"/>
                <w:szCs w:val="18"/>
              </w:rPr>
              <w:t>3</w:t>
            </w:r>
            <w:r>
              <w:rPr>
                <w:sz w:val="18"/>
                <w:szCs w:val="18"/>
              </w:rPr>
              <w:t>、如本单位违反承诺进行股份减持的，减持所得收益将无偿划归公司所有；在减持收益全部缴付公司前，如公司进行现金分红的，可直接从本单位应得现金分红中扣除尚未缴付的收益金额；减持收益全部缴付公司前，不得转让直接或间接持有的公司股份。</w:t>
            </w:r>
          </w:p>
          <w:p w:rsidR="00E20B54" w:rsidRDefault="00733C9E">
            <w:pPr>
              <w:spacing w:line="240" w:lineRule="exact"/>
              <w:rPr>
                <w:sz w:val="18"/>
                <w:szCs w:val="18"/>
              </w:rPr>
            </w:pPr>
            <w:r>
              <w:rPr>
                <w:sz w:val="18"/>
                <w:szCs w:val="18"/>
              </w:rPr>
              <w:t>4</w:t>
            </w:r>
            <w:r>
              <w:rPr>
                <w:sz w:val="18"/>
                <w:szCs w:val="18"/>
              </w:rPr>
              <w:t>、上述承诺一经作出即对本单位具有法律拘束力。</w:t>
            </w:r>
          </w:p>
        </w:tc>
        <w:tc>
          <w:tcPr>
            <w:tcW w:w="859"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2021</w:t>
            </w:r>
            <w:r>
              <w:rPr>
                <w:sz w:val="18"/>
                <w:szCs w:val="18"/>
              </w:rPr>
              <w:t>年</w:t>
            </w:r>
            <w:r>
              <w:rPr>
                <w:sz w:val="18"/>
                <w:szCs w:val="18"/>
              </w:rPr>
              <w:t>11</w:t>
            </w:r>
            <w:r>
              <w:rPr>
                <w:sz w:val="18"/>
                <w:szCs w:val="18"/>
              </w:rPr>
              <w:t>月</w:t>
            </w:r>
            <w:r>
              <w:rPr>
                <w:sz w:val="18"/>
                <w:szCs w:val="18"/>
              </w:rPr>
              <w:t>11</w:t>
            </w:r>
            <w:r>
              <w:rPr>
                <w:sz w:val="18"/>
                <w:szCs w:val="18"/>
              </w:rPr>
              <w:t>日</w:t>
            </w:r>
          </w:p>
        </w:tc>
        <w:tc>
          <w:tcPr>
            <w:tcW w:w="641"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长期有效</w:t>
            </w:r>
          </w:p>
        </w:tc>
        <w:tc>
          <w:tcPr>
            <w:tcW w:w="731"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正常履行中</w:t>
            </w:r>
          </w:p>
        </w:tc>
      </w:tr>
      <w:tr w:rsidR="00E20B54">
        <w:trPr>
          <w:trHeight w:val="240"/>
        </w:trPr>
        <w:tc>
          <w:tcPr>
            <w:tcW w:w="1377"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首次公开发行或再融资时所作承诺</w:t>
            </w:r>
          </w:p>
        </w:tc>
        <w:tc>
          <w:tcPr>
            <w:tcW w:w="83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共青城东兴博元投资中心（有限合伙）、南京乐遂信息</w:t>
            </w:r>
            <w:r>
              <w:rPr>
                <w:sz w:val="18"/>
                <w:szCs w:val="18"/>
              </w:rPr>
              <w:lastRenderedPageBreak/>
              <w:t>咨询管理合伙企业（有限合伙）</w:t>
            </w:r>
          </w:p>
        </w:tc>
        <w:tc>
          <w:tcPr>
            <w:tcW w:w="845"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lastRenderedPageBreak/>
              <w:t>其他承诺</w:t>
            </w:r>
          </w:p>
        </w:tc>
        <w:tc>
          <w:tcPr>
            <w:tcW w:w="435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《持股意向及减持意向的承诺》</w:t>
            </w:r>
          </w:p>
          <w:p w:rsidR="00E20B54" w:rsidRDefault="00733C9E">
            <w:pPr>
              <w:spacing w:line="240" w:lineRule="exact"/>
              <w:rPr>
                <w:sz w:val="18"/>
                <w:szCs w:val="18"/>
              </w:rPr>
            </w:pPr>
            <w:r>
              <w:rPr>
                <w:sz w:val="18"/>
                <w:szCs w:val="18"/>
              </w:rPr>
              <w:t>本单位作为广东天亿马信息产业股份有限公司（以下简称</w:t>
            </w:r>
            <w:r>
              <w:rPr>
                <w:sz w:val="18"/>
                <w:szCs w:val="18"/>
              </w:rPr>
              <w:t>“</w:t>
            </w:r>
            <w:r>
              <w:rPr>
                <w:sz w:val="18"/>
                <w:szCs w:val="18"/>
              </w:rPr>
              <w:t>发行人</w:t>
            </w:r>
            <w:r>
              <w:rPr>
                <w:sz w:val="18"/>
                <w:szCs w:val="18"/>
              </w:rPr>
              <w:t>”</w:t>
            </w:r>
            <w:r>
              <w:rPr>
                <w:sz w:val="18"/>
                <w:szCs w:val="18"/>
              </w:rPr>
              <w:t>或</w:t>
            </w:r>
            <w:r>
              <w:rPr>
                <w:sz w:val="18"/>
                <w:szCs w:val="18"/>
              </w:rPr>
              <w:t>“</w:t>
            </w:r>
            <w:r>
              <w:rPr>
                <w:sz w:val="18"/>
                <w:szCs w:val="18"/>
              </w:rPr>
              <w:t>公司</w:t>
            </w:r>
            <w:r>
              <w:rPr>
                <w:sz w:val="18"/>
                <w:szCs w:val="18"/>
              </w:rPr>
              <w:t>”</w:t>
            </w:r>
            <w:r>
              <w:rPr>
                <w:sz w:val="18"/>
                <w:szCs w:val="18"/>
              </w:rPr>
              <w:t>）持股</w:t>
            </w:r>
            <w:r>
              <w:rPr>
                <w:sz w:val="18"/>
                <w:szCs w:val="18"/>
              </w:rPr>
              <w:t>5%</w:t>
            </w:r>
            <w:r>
              <w:rPr>
                <w:sz w:val="18"/>
                <w:szCs w:val="18"/>
              </w:rPr>
              <w:t>以上的股东，现就公司首次公开发行股票并上市后本单位所持公司持股意向及减持意向事宜，作如下承诺：</w:t>
            </w:r>
          </w:p>
          <w:p w:rsidR="00E20B54" w:rsidRDefault="00733C9E">
            <w:pPr>
              <w:spacing w:line="240" w:lineRule="exact"/>
              <w:rPr>
                <w:sz w:val="18"/>
                <w:szCs w:val="18"/>
              </w:rPr>
            </w:pPr>
            <w:r>
              <w:rPr>
                <w:sz w:val="18"/>
                <w:szCs w:val="18"/>
              </w:rPr>
              <w:t>1</w:t>
            </w:r>
            <w:r>
              <w:rPr>
                <w:sz w:val="18"/>
                <w:szCs w:val="18"/>
              </w:rPr>
              <w:t>、本单位严格按照公司首次公开发行股票招股说明书及本单位出具的承诺载明的各项锁定期限要求，并严格遵守相关法律、法规、规范性文件规定及监管要求，在锁定期内不减持持有的公司的股份。</w:t>
            </w:r>
          </w:p>
          <w:p w:rsidR="00E20B54" w:rsidRDefault="00733C9E">
            <w:pPr>
              <w:spacing w:line="240" w:lineRule="exact"/>
              <w:rPr>
                <w:sz w:val="18"/>
                <w:szCs w:val="18"/>
              </w:rPr>
            </w:pPr>
            <w:r>
              <w:rPr>
                <w:sz w:val="18"/>
                <w:szCs w:val="18"/>
              </w:rPr>
              <w:lastRenderedPageBreak/>
              <w:t>2</w:t>
            </w:r>
            <w:r>
              <w:rPr>
                <w:sz w:val="18"/>
                <w:szCs w:val="18"/>
              </w:rPr>
              <w:t>、在锁定期限届满后，本单位将通过合法方式减持公司股份；并通过公司在减持前</w:t>
            </w:r>
            <w:r>
              <w:rPr>
                <w:sz w:val="18"/>
                <w:szCs w:val="18"/>
              </w:rPr>
              <w:t>3</w:t>
            </w:r>
            <w:r>
              <w:rPr>
                <w:sz w:val="18"/>
                <w:szCs w:val="18"/>
              </w:rPr>
              <w:t>个交易日予以公告。</w:t>
            </w:r>
          </w:p>
          <w:p w:rsidR="00E20B54" w:rsidRDefault="00733C9E">
            <w:pPr>
              <w:spacing w:line="240" w:lineRule="exact"/>
              <w:rPr>
                <w:sz w:val="18"/>
                <w:szCs w:val="18"/>
              </w:rPr>
            </w:pPr>
            <w:r>
              <w:rPr>
                <w:sz w:val="18"/>
                <w:szCs w:val="18"/>
              </w:rPr>
              <w:t>3</w:t>
            </w:r>
            <w:r>
              <w:rPr>
                <w:sz w:val="18"/>
                <w:szCs w:val="18"/>
              </w:rPr>
              <w:t>、如本单位违反承诺进行股份减持的，减持所得收益将无偿划归公司所有；在减持收益全部缴付公司前，如公司进行现金分红的，可直接从本单位应得现金分红中扣除尚未缴付的收益金额；减持收益全部缴付公司前，不得转让直接或间接持有的公司股份。</w:t>
            </w:r>
          </w:p>
          <w:p w:rsidR="00E20B54" w:rsidRDefault="00733C9E">
            <w:pPr>
              <w:spacing w:line="240" w:lineRule="exact"/>
              <w:rPr>
                <w:sz w:val="18"/>
                <w:szCs w:val="18"/>
              </w:rPr>
            </w:pPr>
            <w:r>
              <w:rPr>
                <w:sz w:val="18"/>
                <w:szCs w:val="18"/>
              </w:rPr>
              <w:t>4</w:t>
            </w:r>
            <w:r>
              <w:rPr>
                <w:sz w:val="18"/>
                <w:szCs w:val="18"/>
              </w:rPr>
              <w:t>、上述承诺一经作出即对本单位具有法律拘束力。</w:t>
            </w:r>
          </w:p>
        </w:tc>
        <w:tc>
          <w:tcPr>
            <w:tcW w:w="859"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lastRenderedPageBreak/>
              <w:t>2021</w:t>
            </w:r>
            <w:r>
              <w:rPr>
                <w:sz w:val="18"/>
                <w:szCs w:val="18"/>
              </w:rPr>
              <w:t>年</w:t>
            </w:r>
            <w:r>
              <w:rPr>
                <w:sz w:val="18"/>
                <w:szCs w:val="18"/>
              </w:rPr>
              <w:t>11</w:t>
            </w:r>
            <w:r>
              <w:rPr>
                <w:sz w:val="18"/>
                <w:szCs w:val="18"/>
              </w:rPr>
              <w:t>月</w:t>
            </w:r>
            <w:r>
              <w:rPr>
                <w:sz w:val="18"/>
                <w:szCs w:val="18"/>
              </w:rPr>
              <w:t>11</w:t>
            </w:r>
            <w:r>
              <w:rPr>
                <w:sz w:val="18"/>
                <w:szCs w:val="18"/>
              </w:rPr>
              <w:t>日</w:t>
            </w:r>
          </w:p>
        </w:tc>
        <w:tc>
          <w:tcPr>
            <w:tcW w:w="641"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rPr>
                <w:sz w:val="18"/>
                <w:szCs w:val="18"/>
              </w:rPr>
            </w:pPr>
          </w:p>
        </w:tc>
        <w:tc>
          <w:tcPr>
            <w:tcW w:w="731"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履行完毕</w:t>
            </w:r>
          </w:p>
        </w:tc>
      </w:tr>
      <w:tr w:rsidR="00E20B54">
        <w:trPr>
          <w:trHeight w:val="240"/>
        </w:trPr>
        <w:tc>
          <w:tcPr>
            <w:tcW w:w="1377"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lastRenderedPageBreak/>
              <w:t>首次公开发行或再融资时所作承诺</w:t>
            </w:r>
          </w:p>
        </w:tc>
        <w:tc>
          <w:tcPr>
            <w:tcW w:w="83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林明玲、马学沛</w:t>
            </w:r>
          </w:p>
        </w:tc>
        <w:tc>
          <w:tcPr>
            <w:tcW w:w="845"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其他承诺</w:t>
            </w:r>
          </w:p>
        </w:tc>
        <w:tc>
          <w:tcPr>
            <w:tcW w:w="435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《控股股东及实际控制人关于消除或避免同业竞争的承诺函》</w:t>
            </w:r>
          </w:p>
          <w:p w:rsidR="00E20B54" w:rsidRDefault="00733C9E">
            <w:pPr>
              <w:spacing w:line="240" w:lineRule="exact"/>
              <w:rPr>
                <w:sz w:val="18"/>
                <w:szCs w:val="18"/>
              </w:rPr>
            </w:pPr>
            <w:r>
              <w:rPr>
                <w:sz w:val="18"/>
                <w:szCs w:val="18"/>
              </w:rPr>
              <w:t>作为广东天亿马信息产业股份有限公司（下称</w:t>
            </w:r>
            <w:r>
              <w:rPr>
                <w:sz w:val="18"/>
                <w:szCs w:val="18"/>
              </w:rPr>
              <w:t>“</w:t>
            </w:r>
            <w:r>
              <w:rPr>
                <w:sz w:val="18"/>
                <w:szCs w:val="18"/>
              </w:rPr>
              <w:t>发行人</w:t>
            </w:r>
            <w:r>
              <w:rPr>
                <w:sz w:val="18"/>
                <w:szCs w:val="18"/>
              </w:rPr>
              <w:t>”</w:t>
            </w:r>
            <w:r>
              <w:rPr>
                <w:sz w:val="18"/>
                <w:szCs w:val="18"/>
              </w:rPr>
              <w:t>）的控股股东及实际控制人，为消除或避免与发行人同业竞争之目的，本人郑重承诺如下：</w:t>
            </w:r>
          </w:p>
          <w:p w:rsidR="00E20B54" w:rsidRDefault="00733C9E">
            <w:pPr>
              <w:spacing w:line="240" w:lineRule="exact"/>
              <w:rPr>
                <w:sz w:val="18"/>
                <w:szCs w:val="18"/>
              </w:rPr>
            </w:pPr>
            <w:r>
              <w:rPr>
                <w:sz w:val="18"/>
                <w:szCs w:val="18"/>
              </w:rPr>
              <w:t>1</w:t>
            </w:r>
            <w:r>
              <w:rPr>
                <w:sz w:val="18"/>
                <w:szCs w:val="18"/>
              </w:rPr>
              <w:t>、截至本承诺函出具之日，本人及与本人关系密切的家庭成员（包括配偶、年满</w:t>
            </w:r>
            <w:r>
              <w:rPr>
                <w:sz w:val="18"/>
                <w:szCs w:val="18"/>
              </w:rPr>
              <w:t xml:space="preserve"> 18</w:t>
            </w:r>
            <w:r>
              <w:rPr>
                <w:sz w:val="18"/>
                <w:szCs w:val="18"/>
              </w:rPr>
              <w:t>周岁的子女及其配偶、父母及配偶的父母、兄弟姐妹及其配偶、配偶的兄弟姐妹、子女配偶的父母）未投资与发行人产品相同或相类似的企业，亦未直接或间接从事、参与或进行与发行人生产、经营相竞争的任何经营活动；</w:t>
            </w:r>
          </w:p>
          <w:p w:rsidR="00E20B54" w:rsidRDefault="00733C9E">
            <w:pPr>
              <w:spacing w:line="240" w:lineRule="exact"/>
              <w:rPr>
                <w:sz w:val="18"/>
                <w:szCs w:val="18"/>
              </w:rPr>
            </w:pPr>
            <w:r>
              <w:rPr>
                <w:sz w:val="18"/>
                <w:szCs w:val="18"/>
              </w:rPr>
              <w:t>2</w:t>
            </w:r>
            <w:r>
              <w:rPr>
                <w:sz w:val="18"/>
                <w:szCs w:val="18"/>
              </w:rPr>
              <w:t>、本承诺函出具后，本人将不投资与发行人产品相同或相类似的企业，亦不直接或间接从事、参与或进行与发行人的生产、经营相竞争的任何经营活动，以避免与发行人的生产经营构成直接或间接的竞争；</w:t>
            </w:r>
          </w:p>
          <w:p w:rsidR="00E20B54" w:rsidRDefault="00733C9E">
            <w:pPr>
              <w:spacing w:line="240" w:lineRule="exact"/>
              <w:rPr>
                <w:sz w:val="18"/>
                <w:szCs w:val="18"/>
              </w:rPr>
            </w:pPr>
            <w:r>
              <w:rPr>
                <w:sz w:val="18"/>
                <w:szCs w:val="18"/>
              </w:rPr>
              <w:t>3</w:t>
            </w:r>
            <w:r>
              <w:rPr>
                <w:sz w:val="18"/>
                <w:szCs w:val="18"/>
              </w:rPr>
              <w:t>、本承诺函出具后，本人保证将努力促使与本人关系密切的家庭成员不投资与发行人产品相同或相类似的企业，亦不直接或间接从事、参与或进行与发行人的生产、经营相竞争的任何经营活动；</w:t>
            </w:r>
          </w:p>
          <w:p w:rsidR="00E20B54" w:rsidRDefault="00733C9E">
            <w:pPr>
              <w:spacing w:line="240" w:lineRule="exact"/>
              <w:rPr>
                <w:sz w:val="18"/>
                <w:szCs w:val="18"/>
              </w:rPr>
            </w:pPr>
            <w:r>
              <w:rPr>
                <w:sz w:val="18"/>
                <w:szCs w:val="18"/>
              </w:rPr>
              <w:t>4</w:t>
            </w:r>
            <w:r>
              <w:rPr>
                <w:sz w:val="18"/>
                <w:szCs w:val="18"/>
              </w:rPr>
              <w:t>、本人将不利用对发行人的实际控制关系进行损害发行人及发行人其他股东利益的经营活动；</w:t>
            </w:r>
          </w:p>
          <w:p w:rsidR="00E20B54" w:rsidRDefault="00733C9E">
            <w:pPr>
              <w:spacing w:line="240" w:lineRule="exact"/>
              <w:rPr>
                <w:sz w:val="18"/>
                <w:szCs w:val="18"/>
              </w:rPr>
            </w:pPr>
            <w:r>
              <w:rPr>
                <w:sz w:val="18"/>
                <w:szCs w:val="18"/>
              </w:rPr>
              <w:t>5</w:t>
            </w:r>
            <w:r>
              <w:rPr>
                <w:sz w:val="18"/>
                <w:szCs w:val="18"/>
              </w:rPr>
              <w:t>、本人承诺赔偿发行人因本人违反关于同业竞争的承诺而遭受或产生的任何损失或开支。</w:t>
            </w:r>
          </w:p>
          <w:p w:rsidR="00E20B54" w:rsidRDefault="00733C9E">
            <w:pPr>
              <w:spacing w:line="240" w:lineRule="exact"/>
              <w:rPr>
                <w:sz w:val="18"/>
                <w:szCs w:val="18"/>
              </w:rPr>
            </w:pPr>
            <w:r>
              <w:rPr>
                <w:sz w:val="18"/>
                <w:szCs w:val="18"/>
              </w:rPr>
              <w:t>本人作为发行人控股股东及实际控制人期间，上述承诺持续有效且不可变更或撤销。本人如违反上述承诺，在采取措施消除同业竞争情形前，发行人进行现金分红的，有权暂扣归属于本人的现金分红，直至本人履行承诺并实施完毕；在履行相应承诺、采取补救措施并实施完毕之前，不得转让本人直接或间接持有的发行人股份。</w:t>
            </w:r>
          </w:p>
        </w:tc>
        <w:tc>
          <w:tcPr>
            <w:tcW w:w="859"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2021</w:t>
            </w:r>
            <w:r>
              <w:rPr>
                <w:sz w:val="18"/>
                <w:szCs w:val="18"/>
              </w:rPr>
              <w:t>年</w:t>
            </w:r>
            <w:r>
              <w:rPr>
                <w:sz w:val="18"/>
                <w:szCs w:val="18"/>
              </w:rPr>
              <w:t>11</w:t>
            </w:r>
            <w:r>
              <w:rPr>
                <w:sz w:val="18"/>
                <w:szCs w:val="18"/>
              </w:rPr>
              <w:t>月</w:t>
            </w:r>
            <w:r>
              <w:rPr>
                <w:sz w:val="18"/>
                <w:szCs w:val="18"/>
              </w:rPr>
              <w:t>11</w:t>
            </w:r>
            <w:r>
              <w:rPr>
                <w:sz w:val="18"/>
                <w:szCs w:val="18"/>
              </w:rPr>
              <w:t>日</w:t>
            </w:r>
          </w:p>
        </w:tc>
        <w:tc>
          <w:tcPr>
            <w:tcW w:w="641"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长期有效</w:t>
            </w:r>
          </w:p>
        </w:tc>
        <w:tc>
          <w:tcPr>
            <w:tcW w:w="731"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正常履行</w:t>
            </w:r>
          </w:p>
        </w:tc>
      </w:tr>
      <w:tr w:rsidR="00E20B54">
        <w:trPr>
          <w:trHeight w:val="240"/>
        </w:trPr>
        <w:tc>
          <w:tcPr>
            <w:tcW w:w="1377"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首次公开发行或再融资时所作承诺</w:t>
            </w:r>
          </w:p>
        </w:tc>
        <w:tc>
          <w:tcPr>
            <w:tcW w:w="83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林明玲、马学沛</w:t>
            </w:r>
          </w:p>
        </w:tc>
        <w:tc>
          <w:tcPr>
            <w:tcW w:w="845"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其他承诺</w:t>
            </w:r>
          </w:p>
        </w:tc>
        <w:tc>
          <w:tcPr>
            <w:tcW w:w="435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《关于社会保险与住房公积金相关事宜的承诺函》</w:t>
            </w:r>
          </w:p>
          <w:p w:rsidR="00E20B54" w:rsidRDefault="00733C9E">
            <w:pPr>
              <w:spacing w:line="240" w:lineRule="exact"/>
              <w:rPr>
                <w:sz w:val="18"/>
                <w:szCs w:val="18"/>
              </w:rPr>
            </w:pPr>
            <w:r>
              <w:rPr>
                <w:sz w:val="18"/>
                <w:szCs w:val="18"/>
              </w:rPr>
              <w:t>本人作为广东天亿马信息产业股份有限公司（下称</w:t>
            </w:r>
            <w:r>
              <w:rPr>
                <w:sz w:val="18"/>
                <w:szCs w:val="18"/>
              </w:rPr>
              <w:t>“</w:t>
            </w:r>
            <w:r>
              <w:rPr>
                <w:sz w:val="18"/>
                <w:szCs w:val="18"/>
              </w:rPr>
              <w:t>公司</w:t>
            </w:r>
            <w:r>
              <w:rPr>
                <w:sz w:val="18"/>
                <w:szCs w:val="18"/>
              </w:rPr>
              <w:t>”</w:t>
            </w:r>
            <w:r>
              <w:rPr>
                <w:sz w:val="18"/>
                <w:szCs w:val="18"/>
              </w:rPr>
              <w:t>）的控股股东、实际控制人，就公司社会保险与住房公积金相关事宜，郑重承诺如下：</w:t>
            </w:r>
          </w:p>
          <w:p w:rsidR="00E20B54" w:rsidRDefault="00733C9E">
            <w:pPr>
              <w:spacing w:line="240" w:lineRule="exact"/>
              <w:rPr>
                <w:sz w:val="18"/>
                <w:szCs w:val="18"/>
              </w:rPr>
            </w:pPr>
            <w:r>
              <w:rPr>
                <w:sz w:val="18"/>
                <w:szCs w:val="18"/>
              </w:rPr>
              <w:t>如公司因未按期足额缴纳社会保险（包括养老保险、失业保险、医疗保险、工伤保险、生育保险）和住房公积金而经有关政府部门或司法机关认定需进行补缴，或因社会保险费和住房公积金事宜受到处罚，或被任何相关方以任何合法方式提出有关社会保险费和住房公积金的合法权利要求，本人将无条件全额承担经有关政府部门或司法机关认定的需由公司补缴或缴纳的全部社会保险费和住房公积金、罚款或赔偿款项，全额承担被任何相关方以任</w:t>
            </w:r>
            <w:r>
              <w:rPr>
                <w:sz w:val="18"/>
                <w:szCs w:val="18"/>
              </w:rPr>
              <w:lastRenderedPageBreak/>
              <w:t>何合法方式要求的合理社会保险费和住房公积金或赔偿款项，以及因上述事项而产生的由公司支付的或应由公司支付的所有相关费用。</w:t>
            </w:r>
          </w:p>
          <w:p w:rsidR="00E20B54" w:rsidRDefault="00733C9E">
            <w:pPr>
              <w:spacing w:line="240" w:lineRule="exact"/>
              <w:rPr>
                <w:sz w:val="18"/>
                <w:szCs w:val="18"/>
              </w:rPr>
            </w:pPr>
            <w:r>
              <w:rPr>
                <w:sz w:val="18"/>
                <w:szCs w:val="18"/>
              </w:rPr>
              <w:t>如本人未履行上述承诺，公司进行现金分红的，有权从归属于本人的现金分红扣除本人履行承诺的应付金额，并代为支付；在履行相应承诺并实施完毕之前，不得转让本人直接或间接持有的公司股份。</w:t>
            </w:r>
          </w:p>
        </w:tc>
        <w:tc>
          <w:tcPr>
            <w:tcW w:w="859"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lastRenderedPageBreak/>
              <w:t>2021</w:t>
            </w:r>
            <w:r>
              <w:rPr>
                <w:sz w:val="18"/>
                <w:szCs w:val="18"/>
              </w:rPr>
              <w:t>年</w:t>
            </w:r>
            <w:r>
              <w:rPr>
                <w:sz w:val="18"/>
                <w:szCs w:val="18"/>
              </w:rPr>
              <w:t>11</w:t>
            </w:r>
            <w:r>
              <w:rPr>
                <w:sz w:val="18"/>
                <w:szCs w:val="18"/>
              </w:rPr>
              <w:t>月</w:t>
            </w:r>
            <w:r>
              <w:rPr>
                <w:sz w:val="18"/>
                <w:szCs w:val="18"/>
              </w:rPr>
              <w:t>11</w:t>
            </w:r>
            <w:r>
              <w:rPr>
                <w:sz w:val="18"/>
                <w:szCs w:val="18"/>
              </w:rPr>
              <w:t>日</w:t>
            </w:r>
          </w:p>
        </w:tc>
        <w:tc>
          <w:tcPr>
            <w:tcW w:w="641"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长期有效</w:t>
            </w:r>
          </w:p>
        </w:tc>
        <w:tc>
          <w:tcPr>
            <w:tcW w:w="731"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正常履行</w:t>
            </w:r>
          </w:p>
        </w:tc>
      </w:tr>
      <w:tr w:rsidR="00E20B54">
        <w:trPr>
          <w:trHeight w:val="240"/>
        </w:trPr>
        <w:tc>
          <w:tcPr>
            <w:tcW w:w="1377"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lastRenderedPageBreak/>
              <w:t>首次公开发行或再融资时所作承诺</w:t>
            </w:r>
          </w:p>
        </w:tc>
        <w:tc>
          <w:tcPr>
            <w:tcW w:w="83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本公司</w:t>
            </w:r>
          </w:p>
        </w:tc>
        <w:tc>
          <w:tcPr>
            <w:tcW w:w="845"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其他承诺</w:t>
            </w:r>
          </w:p>
        </w:tc>
        <w:tc>
          <w:tcPr>
            <w:tcW w:w="435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《关于欺诈发行上市的股份购回承诺函》</w:t>
            </w:r>
          </w:p>
          <w:p w:rsidR="00E20B54" w:rsidRDefault="00733C9E">
            <w:pPr>
              <w:spacing w:line="240" w:lineRule="exact"/>
              <w:rPr>
                <w:sz w:val="18"/>
                <w:szCs w:val="18"/>
              </w:rPr>
            </w:pPr>
            <w:r>
              <w:rPr>
                <w:sz w:val="18"/>
                <w:szCs w:val="18"/>
              </w:rPr>
              <w:t>广东天亿马信息产业股份有限公司拟申请首次公开发行股票并在创业板上市，现承诺如下：</w:t>
            </w:r>
          </w:p>
          <w:p w:rsidR="00E20B54" w:rsidRDefault="00733C9E">
            <w:pPr>
              <w:spacing w:line="240" w:lineRule="exact"/>
              <w:rPr>
                <w:sz w:val="18"/>
                <w:szCs w:val="18"/>
              </w:rPr>
            </w:pPr>
            <w:r>
              <w:rPr>
                <w:sz w:val="18"/>
                <w:szCs w:val="18"/>
              </w:rPr>
              <w:t>1</w:t>
            </w:r>
            <w:r>
              <w:rPr>
                <w:sz w:val="18"/>
                <w:szCs w:val="18"/>
              </w:rPr>
              <w:t>、本公司本次公开发行股票并在深圳证券交易所创业板上市，不存在任何欺诈发行的情形。</w:t>
            </w:r>
          </w:p>
          <w:p w:rsidR="00E20B54" w:rsidRDefault="00733C9E">
            <w:pPr>
              <w:spacing w:line="240" w:lineRule="exact"/>
              <w:rPr>
                <w:sz w:val="18"/>
                <w:szCs w:val="18"/>
              </w:rPr>
            </w:pPr>
            <w:r>
              <w:rPr>
                <w:sz w:val="18"/>
                <w:szCs w:val="18"/>
              </w:rPr>
              <w:t>2</w:t>
            </w:r>
            <w:r>
              <w:rPr>
                <w:sz w:val="18"/>
                <w:szCs w:val="18"/>
              </w:rPr>
              <w:t>、如本公司不符合发行上市条件，以欺骗手段骗取发行注册并已经发行上市的，本公司将在中国证监会等有权部门确认后</w:t>
            </w:r>
            <w:r>
              <w:rPr>
                <w:sz w:val="18"/>
                <w:szCs w:val="18"/>
              </w:rPr>
              <w:t>5</w:t>
            </w:r>
            <w:r>
              <w:rPr>
                <w:sz w:val="18"/>
                <w:szCs w:val="18"/>
              </w:rPr>
              <w:t>个工作日内依法启动回购首次公开发行的全部新股。</w:t>
            </w:r>
          </w:p>
          <w:p w:rsidR="00E20B54" w:rsidRDefault="00733C9E">
            <w:pPr>
              <w:spacing w:line="240" w:lineRule="exact"/>
              <w:rPr>
                <w:sz w:val="18"/>
                <w:szCs w:val="18"/>
              </w:rPr>
            </w:pPr>
            <w:r>
              <w:rPr>
                <w:sz w:val="18"/>
                <w:szCs w:val="18"/>
              </w:rPr>
              <w:t>3</w:t>
            </w:r>
            <w:r>
              <w:rPr>
                <w:sz w:val="18"/>
                <w:szCs w:val="18"/>
              </w:rPr>
              <w:t>、如本公司自中国证监会等有权部门确认后</w:t>
            </w:r>
            <w:r>
              <w:rPr>
                <w:sz w:val="18"/>
                <w:szCs w:val="18"/>
              </w:rPr>
              <w:t>5</w:t>
            </w:r>
            <w:r>
              <w:rPr>
                <w:sz w:val="18"/>
                <w:szCs w:val="18"/>
              </w:rPr>
              <w:t>个工作日内仍未开始履行上述承诺，则本公司有权人士应在前述期限届满之日起</w:t>
            </w:r>
            <w:r>
              <w:rPr>
                <w:sz w:val="18"/>
                <w:szCs w:val="18"/>
              </w:rPr>
              <w:t>10</w:t>
            </w:r>
            <w:r>
              <w:rPr>
                <w:sz w:val="18"/>
                <w:szCs w:val="18"/>
              </w:rPr>
              <w:t>个交易日内召集董事会并通过决议：利用本公司现金并用该等现金回购公司首次公开发行的全部新股，现金不足部分可通过处置公司资产等方式补足。如有权人士未能召集董事会或董事会未能通过相关决议或董事会在决议通过后</w:t>
            </w:r>
            <w:r>
              <w:rPr>
                <w:sz w:val="18"/>
                <w:szCs w:val="18"/>
              </w:rPr>
              <w:t>3</w:t>
            </w:r>
            <w:r>
              <w:rPr>
                <w:sz w:val="18"/>
                <w:szCs w:val="18"/>
              </w:rPr>
              <w:t>个交易日内未能提请股东大会审议，投资者可依法起诉要求其履行职责，或根据公司章程规定要求监事会提请罢免相关董事，直至公司董事会通过相关决议并提请股东大会审议相关决议。公司将于股东大会通过相关决议后</w:t>
            </w:r>
            <w:r>
              <w:rPr>
                <w:sz w:val="18"/>
                <w:szCs w:val="18"/>
              </w:rPr>
              <w:t>60</w:t>
            </w:r>
            <w:r>
              <w:rPr>
                <w:sz w:val="18"/>
                <w:szCs w:val="18"/>
              </w:rPr>
              <w:t>日内履行回购义务。</w:t>
            </w:r>
          </w:p>
          <w:p w:rsidR="00E20B54" w:rsidRDefault="00733C9E">
            <w:pPr>
              <w:spacing w:line="240" w:lineRule="exact"/>
              <w:rPr>
                <w:sz w:val="18"/>
                <w:szCs w:val="18"/>
              </w:rPr>
            </w:pPr>
            <w:r>
              <w:rPr>
                <w:sz w:val="18"/>
                <w:szCs w:val="18"/>
              </w:rPr>
              <w:t>若本公司违反上述承诺，及时就未能履行承诺事项的原因、具体情况和约束措施予以公告；暂停发放本公司董事、监事和高级管理人员的薪酬、津贴，直至本公司履行相关承诺；立即停止制定或实施重大资产购买与出售、增发股份、发行公司债券等资本运作事项，直至本公司履行相关承诺。</w:t>
            </w:r>
          </w:p>
        </w:tc>
        <w:tc>
          <w:tcPr>
            <w:tcW w:w="859"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2021</w:t>
            </w:r>
            <w:r>
              <w:rPr>
                <w:sz w:val="18"/>
                <w:szCs w:val="18"/>
              </w:rPr>
              <w:t>年</w:t>
            </w:r>
            <w:r>
              <w:rPr>
                <w:sz w:val="18"/>
                <w:szCs w:val="18"/>
              </w:rPr>
              <w:t>11</w:t>
            </w:r>
            <w:r>
              <w:rPr>
                <w:sz w:val="18"/>
                <w:szCs w:val="18"/>
              </w:rPr>
              <w:t>月</w:t>
            </w:r>
            <w:r>
              <w:rPr>
                <w:sz w:val="18"/>
                <w:szCs w:val="18"/>
              </w:rPr>
              <w:t>11</w:t>
            </w:r>
            <w:r>
              <w:rPr>
                <w:sz w:val="18"/>
                <w:szCs w:val="18"/>
              </w:rPr>
              <w:t>日</w:t>
            </w:r>
          </w:p>
        </w:tc>
        <w:tc>
          <w:tcPr>
            <w:tcW w:w="641"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长期有效</w:t>
            </w:r>
          </w:p>
        </w:tc>
        <w:tc>
          <w:tcPr>
            <w:tcW w:w="731"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正常履行</w:t>
            </w:r>
          </w:p>
        </w:tc>
      </w:tr>
      <w:tr w:rsidR="00E20B54">
        <w:trPr>
          <w:trHeight w:val="240"/>
        </w:trPr>
        <w:tc>
          <w:tcPr>
            <w:tcW w:w="1377"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首次公开发行或再融资时所作承诺</w:t>
            </w:r>
          </w:p>
        </w:tc>
        <w:tc>
          <w:tcPr>
            <w:tcW w:w="83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本公司</w:t>
            </w:r>
          </w:p>
        </w:tc>
        <w:tc>
          <w:tcPr>
            <w:tcW w:w="845"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其他承诺</w:t>
            </w:r>
          </w:p>
        </w:tc>
        <w:tc>
          <w:tcPr>
            <w:tcW w:w="435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《关于股份回购的承诺函》</w:t>
            </w:r>
          </w:p>
          <w:p w:rsidR="00E20B54" w:rsidRDefault="00733C9E">
            <w:pPr>
              <w:spacing w:line="240" w:lineRule="exact"/>
              <w:rPr>
                <w:sz w:val="18"/>
                <w:szCs w:val="18"/>
              </w:rPr>
            </w:pPr>
            <w:r>
              <w:rPr>
                <w:sz w:val="18"/>
                <w:szCs w:val="18"/>
              </w:rPr>
              <w:t>本公司就首次公开发行编制并披露了《广东天亿马信息产业股份有限公司首次公开发行股票并在创业板上市招股说明书》。为维护公众投资者的利益，本公司现承诺如下：</w:t>
            </w:r>
          </w:p>
          <w:p w:rsidR="00E20B54" w:rsidRDefault="00733C9E">
            <w:pPr>
              <w:spacing w:line="240" w:lineRule="exact"/>
              <w:rPr>
                <w:sz w:val="18"/>
                <w:szCs w:val="18"/>
              </w:rPr>
            </w:pPr>
            <w:r>
              <w:rPr>
                <w:sz w:val="18"/>
                <w:szCs w:val="18"/>
              </w:rPr>
              <w:t>1</w:t>
            </w:r>
            <w:r>
              <w:rPr>
                <w:sz w:val="18"/>
                <w:szCs w:val="18"/>
              </w:rPr>
              <w:t>、本公司首次公开发行《招股说明书》及其他申请或者信息披露文件不存在虚假记载、误导性陈述或者重大遗漏。</w:t>
            </w:r>
          </w:p>
          <w:p w:rsidR="00E20B54" w:rsidRDefault="00733C9E">
            <w:pPr>
              <w:spacing w:line="240" w:lineRule="exact"/>
              <w:rPr>
                <w:sz w:val="18"/>
                <w:szCs w:val="18"/>
              </w:rPr>
            </w:pPr>
            <w:r>
              <w:rPr>
                <w:sz w:val="18"/>
                <w:szCs w:val="18"/>
              </w:rPr>
              <w:t>2</w:t>
            </w:r>
            <w:r>
              <w:rPr>
                <w:sz w:val="18"/>
                <w:szCs w:val="18"/>
              </w:rPr>
              <w:t>、若《招股说明书》及其他申请或信息披露文件中存在虚假记载、误导性陈述或者重大遗漏，并对判断本公司是否符合法律、法规、规范性文件规定的首次公开发行股票并在创业板上市的发行条件构成重大、实质影响的，本公司将依法回购首次公开发行的全部新股。具体措施为：在中国证监会作出行政处罚决定或者人民法院作出生效判决认定本公司存在上述违法行为后，本公司将依法启动回购股份的程序，回购价格按本公司首次公开发行的发行价格并加算银行同期存款利息确定，回购股份数按本公司首次公开发行的全部新股数量确定，并按法律、法规、规范性文件的相关规定办理手续。</w:t>
            </w:r>
          </w:p>
          <w:p w:rsidR="00E20B54" w:rsidRDefault="00733C9E">
            <w:pPr>
              <w:spacing w:line="240" w:lineRule="exact"/>
              <w:rPr>
                <w:sz w:val="18"/>
                <w:szCs w:val="18"/>
              </w:rPr>
            </w:pPr>
            <w:r>
              <w:rPr>
                <w:sz w:val="18"/>
                <w:szCs w:val="18"/>
              </w:rPr>
              <w:t>3</w:t>
            </w:r>
            <w:r>
              <w:rPr>
                <w:sz w:val="18"/>
                <w:szCs w:val="18"/>
              </w:rPr>
              <w:t>、如本公司招股说明书经中国证监会认定存在虚假</w:t>
            </w:r>
            <w:r>
              <w:rPr>
                <w:sz w:val="18"/>
                <w:szCs w:val="18"/>
              </w:rPr>
              <w:lastRenderedPageBreak/>
              <w:t>记载、误导性陈述或者重大遗漏，而本公司自中国证监会作出认定之日起</w:t>
            </w:r>
            <w:r>
              <w:rPr>
                <w:sz w:val="18"/>
                <w:szCs w:val="18"/>
              </w:rPr>
              <w:t>30</w:t>
            </w:r>
            <w:r>
              <w:rPr>
                <w:sz w:val="18"/>
                <w:szCs w:val="18"/>
              </w:rPr>
              <w:t>个交易日内仍未开始履行上述承诺，则本公司有权人士应在前述期限届满之日起</w:t>
            </w:r>
            <w:r>
              <w:rPr>
                <w:sz w:val="18"/>
                <w:szCs w:val="18"/>
              </w:rPr>
              <w:t>20</w:t>
            </w:r>
            <w:r>
              <w:rPr>
                <w:sz w:val="18"/>
                <w:szCs w:val="18"/>
              </w:rPr>
              <w:t>个交易日内召集董事会并通过决议：利用本公司现金并用该等现金回购公司首次公开发行的全部新股，现金不足部分可通过处置公司资产等方式补足。如有权人士未能召集董事会或董事会未能通过相关决议或董事会在决议通过后</w:t>
            </w:r>
            <w:r>
              <w:rPr>
                <w:sz w:val="18"/>
                <w:szCs w:val="18"/>
              </w:rPr>
              <w:t>3</w:t>
            </w:r>
            <w:r>
              <w:rPr>
                <w:sz w:val="18"/>
                <w:szCs w:val="18"/>
              </w:rPr>
              <w:t>个交易日内未能提请股东大会审议，投资者可依法起诉要求其履行职责，或根据公司章程规定要求监事会提请罢免相关董事，直至公司董事会通过相关决议并提请股东大会审议相关决议。公司将于股东大会通过相关决议后</w:t>
            </w:r>
            <w:r>
              <w:rPr>
                <w:sz w:val="18"/>
                <w:szCs w:val="18"/>
              </w:rPr>
              <w:t>60</w:t>
            </w:r>
            <w:r>
              <w:rPr>
                <w:sz w:val="18"/>
                <w:szCs w:val="18"/>
              </w:rPr>
              <w:t>日内履行回购义务。</w:t>
            </w:r>
          </w:p>
          <w:p w:rsidR="00E20B54" w:rsidRDefault="00733C9E">
            <w:pPr>
              <w:spacing w:line="240" w:lineRule="exact"/>
              <w:rPr>
                <w:sz w:val="18"/>
                <w:szCs w:val="18"/>
              </w:rPr>
            </w:pPr>
            <w:r>
              <w:rPr>
                <w:sz w:val="18"/>
                <w:szCs w:val="18"/>
              </w:rPr>
              <w:t>若本公司违反上述承诺，及时就未能履行承诺事项的原因、具体情况和约束措施予以公告；暂停发放本公司董事、监事和高级管理人员的薪酬、津贴，直至本公司履行相关承诺；立即停止制定或实施重大资产购买与出售、增发股份、发行公司债券等资本运作事项，直至本公司履行相关承诺。</w:t>
            </w:r>
          </w:p>
        </w:tc>
        <w:tc>
          <w:tcPr>
            <w:tcW w:w="859"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lastRenderedPageBreak/>
              <w:t>2021</w:t>
            </w:r>
            <w:r>
              <w:rPr>
                <w:sz w:val="18"/>
                <w:szCs w:val="18"/>
              </w:rPr>
              <w:t>年</w:t>
            </w:r>
            <w:r>
              <w:rPr>
                <w:sz w:val="18"/>
                <w:szCs w:val="18"/>
              </w:rPr>
              <w:t>11</w:t>
            </w:r>
            <w:r>
              <w:rPr>
                <w:sz w:val="18"/>
                <w:szCs w:val="18"/>
              </w:rPr>
              <w:t>月</w:t>
            </w:r>
            <w:r>
              <w:rPr>
                <w:sz w:val="18"/>
                <w:szCs w:val="18"/>
              </w:rPr>
              <w:t>11</w:t>
            </w:r>
            <w:r>
              <w:rPr>
                <w:sz w:val="18"/>
                <w:szCs w:val="18"/>
              </w:rPr>
              <w:t>日</w:t>
            </w:r>
          </w:p>
        </w:tc>
        <w:tc>
          <w:tcPr>
            <w:tcW w:w="641"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长期有效</w:t>
            </w:r>
          </w:p>
        </w:tc>
        <w:tc>
          <w:tcPr>
            <w:tcW w:w="731"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正常履行</w:t>
            </w:r>
          </w:p>
        </w:tc>
      </w:tr>
      <w:tr w:rsidR="00E20B54">
        <w:trPr>
          <w:trHeight w:val="240"/>
        </w:trPr>
        <w:tc>
          <w:tcPr>
            <w:tcW w:w="1377"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lastRenderedPageBreak/>
              <w:t>首次公开发行或再融资时所作承诺</w:t>
            </w:r>
          </w:p>
        </w:tc>
        <w:tc>
          <w:tcPr>
            <w:tcW w:w="83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林明玲、马学沛</w:t>
            </w:r>
          </w:p>
        </w:tc>
        <w:tc>
          <w:tcPr>
            <w:tcW w:w="845"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其他承诺</w:t>
            </w:r>
          </w:p>
        </w:tc>
        <w:tc>
          <w:tcPr>
            <w:tcW w:w="435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《关于欺诈发行上市的股份购回承诺函》</w:t>
            </w:r>
          </w:p>
          <w:p w:rsidR="00E20B54" w:rsidRDefault="00733C9E">
            <w:pPr>
              <w:spacing w:line="240" w:lineRule="exact"/>
              <w:rPr>
                <w:sz w:val="18"/>
                <w:szCs w:val="18"/>
              </w:rPr>
            </w:pPr>
            <w:r>
              <w:rPr>
                <w:sz w:val="18"/>
                <w:szCs w:val="18"/>
              </w:rPr>
              <w:t>广东天亿马信息产业股份有限公司（以下简称</w:t>
            </w:r>
            <w:r>
              <w:rPr>
                <w:sz w:val="18"/>
                <w:szCs w:val="18"/>
              </w:rPr>
              <w:t>“</w:t>
            </w:r>
            <w:r>
              <w:rPr>
                <w:sz w:val="18"/>
                <w:szCs w:val="18"/>
              </w:rPr>
              <w:t>公司</w:t>
            </w:r>
            <w:r>
              <w:rPr>
                <w:sz w:val="18"/>
                <w:szCs w:val="18"/>
              </w:rPr>
              <w:t>”</w:t>
            </w:r>
            <w:r>
              <w:rPr>
                <w:sz w:val="18"/>
                <w:szCs w:val="18"/>
              </w:rPr>
              <w:t>）拟申请首次公开发行股票并在创业板上市，本人作为公司实际控制人，现承诺如下：</w:t>
            </w:r>
          </w:p>
          <w:p w:rsidR="00E20B54" w:rsidRDefault="00733C9E">
            <w:pPr>
              <w:spacing w:line="240" w:lineRule="exact"/>
              <w:rPr>
                <w:sz w:val="18"/>
                <w:szCs w:val="18"/>
              </w:rPr>
            </w:pPr>
            <w:r>
              <w:rPr>
                <w:sz w:val="18"/>
                <w:szCs w:val="18"/>
              </w:rPr>
              <w:t>1</w:t>
            </w:r>
            <w:r>
              <w:rPr>
                <w:sz w:val="18"/>
                <w:szCs w:val="18"/>
              </w:rPr>
              <w:t>、公司本次公开发行股票并在深圳证券交易所创业板上市，不存在任何欺诈发行的情形。</w:t>
            </w:r>
          </w:p>
          <w:p w:rsidR="00E20B54" w:rsidRDefault="00733C9E">
            <w:pPr>
              <w:spacing w:line="240" w:lineRule="exact"/>
              <w:rPr>
                <w:sz w:val="18"/>
                <w:szCs w:val="18"/>
              </w:rPr>
            </w:pPr>
            <w:r>
              <w:rPr>
                <w:sz w:val="18"/>
                <w:szCs w:val="18"/>
              </w:rPr>
              <w:t>2</w:t>
            </w:r>
            <w:r>
              <w:rPr>
                <w:sz w:val="18"/>
                <w:szCs w:val="18"/>
              </w:rPr>
              <w:t>、如公司不符合发行上市条件，以欺骗手段骗取发行注册并已经发行上市的，本人将督促公司在中国证监会等有权部门确认后</w:t>
            </w:r>
            <w:r>
              <w:rPr>
                <w:sz w:val="18"/>
                <w:szCs w:val="18"/>
              </w:rPr>
              <w:t>5</w:t>
            </w:r>
            <w:r>
              <w:rPr>
                <w:sz w:val="18"/>
                <w:szCs w:val="18"/>
              </w:rPr>
              <w:t>个工作日内依法启动回购首次公开发行的全部新股，且本人将购回已转让的原限售股份。</w:t>
            </w:r>
          </w:p>
          <w:p w:rsidR="00E20B54" w:rsidRDefault="00733C9E">
            <w:pPr>
              <w:spacing w:line="240" w:lineRule="exact"/>
              <w:rPr>
                <w:sz w:val="18"/>
                <w:szCs w:val="18"/>
              </w:rPr>
            </w:pPr>
            <w:r>
              <w:rPr>
                <w:sz w:val="18"/>
                <w:szCs w:val="18"/>
              </w:rPr>
              <w:t>3</w:t>
            </w:r>
            <w:r>
              <w:rPr>
                <w:sz w:val="18"/>
                <w:szCs w:val="18"/>
              </w:rPr>
              <w:t>、本人在履行上述承诺实施完毕之前，发行人进行现金分红的，可直接从本人应得现金分红中扣除股份回购的应付金额，并代为向投资者支付股份回购款；且不得转让直接或间接持有的发行人股份。</w:t>
            </w:r>
          </w:p>
        </w:tc>
        <w:tc>
          <w:tcPr>
            <w:tcW w:w="859"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2021</w:t>
            </w:r>
            <w:r>
              <w:rPr>
                <w:sz w:val="18"/>
                <w:szCs w:val="18"/>
              </w:rPr>
              <w:t>年</w:t>
            </w:r>
            <w:r>
              <w:rPr>
                <w:sz w:val="18"/>
                <w:szCs w:val="18"/>
              </w:rPr>
              <w:t>11</w:t>
            </w:r>
            <w:r>
              <w:rPr>
                <w:sz w:val="18"/>
                <w:szCs w:val="18"/>
              </w:rPr>
              <w:t>月</w:t>
            </w:r>
            <w:r>
              <w:rPr>
                <w:sz w:val="18"/>
                <w:szCs w:val="18"/>
              </w:rPr>
              <w:t>11</w:t>
            </w:r>
            <w:r>
              <w:rPr>
                <w:sz w:val="18"/>
                <w:szCs w:val="18"/>
              </w:rPr>
              <w:t>日</w:t>
            </w:r>
          </w:p>
        </w:tc>
        <w:tc>
          <w:tcPr>
            <w:tcW w:w="641"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长期有效</w:t>
            </w:r>
          </w:p>
        </w:tc>
        <w:tc>
          <w:tcPr>
            <w:tcW w:w="731"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正常履行</w:t>
            </w:r>
          </w:p>
        </w:tc>
      </w:tr>
      <w:tr w:rsidR="00E20B54">
        <w:trPr>
          <w:trHeight w:val="240"/>
        </w:trPr>
        <w:tc>
          <w:tcPr>
            <w:tcW w:w="1377"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首次公开发行或再融资时所作承诺</w:t>
            </w:r>
          </w:p>
        </w:tc>
        <w:tc>
          <w:tcPr>
            <w:tcW w:w="83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林明玲、马学沛</w:t>
            </w:r>
          </w:p>
        </w:tc>
        <w:tc>
          <w:tcPr>
            <w:tcW w:w="845"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其他承诺</w:t>
            </w:r>
          </w:p>
        </w:tc>
        <w:tc>
          <w:tcPr>
            <w:tcW w:w="435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《关于依法承担赔偿或赔偿责任的承诺函》</w:t>
            </w:r>
          </w:p>
          <w:p w:rsidR="00E20B54" w:rsidRDefault="00733C9E">
            <w:pPr>
              <w:spacing w:line="240" w:lineRule="exact"/>
              <w:rPr>
                <w:sz w:val="18"/>
                <w:szCs w:val="18"/>
              </w:rPr>
            </w:pPr>
            <w:r>
              <w:rPr>
                <w:sz w:val="18"/>
                <w:szCs w:val="18"/>
              </w:rPr>
              <w:t>广东天亿马信息产业股份有限公司（以下简称</w:t>
            </w:r>
            <w:r>
              <w:rPr>
                <w:sz w:val="18"/>
                <w:szCs w:val="18"/>
              </w:rPr>
              <w:t>“</w:t>
            </w:r>
            <w:r>
              <w:rPr>
                <w:sz w:val="18"/>
                <w:szCs w:val="18"/>
              </w:rPr>
              <w:t>公司</w:t>
            </w:r>
            <w:r>
              <w:rPr>
                <w:sz w:val="18"/>
                <w:szCs w:val="18"/>
              </w:rPr>
              <w:t>”</w:t>
            </w:r>
            <w:r>
              <w:rPr>
                <w:sz w:val="18"/>
                <w:szCs w:val="18"/>
              </w:rPr>
              <w:t>）拟申请首次公开发行股票并上市，本人作为公司实际控制人，郑重承诺如下：</w:t>
            </w:r>
          </w:p>
          <w:p w:rsidR="00E20B54" w:rsidRDefault="00733C9E">
            <w:pPr>
              <w:spacing w:line="240" w:lineRule="exact"/>
              <w:rPr>
                <w:sz w:val="18"/>
                <w:szCs w:val="18"/>
              </w:rPr>
            </w:pPr>
            <w:r>
              <w:rPr>
                <w:sz w:val="18"/>
                <w:szCs w:val="18"/>
              </w:rPr>
              <w:t>1</w:t>
            </w:r>
            <w:r>
              <w:rPr>
                <w:sz w:val="18"/>
                <w:szCs w:val="18"/>
              </w:rPr>
              <w:t>、公司首次公开发行股票招股说明书及其他信息披露材料不存在虚假记载、误导性陈述或者重大遗漏，本人对其真实性、准确性、完整性、及时性承担个别和连带的法律责任。</w:t>
            </w:r>
          </w:p>
          <w:p w:rsidR="00E20B54" w:rsidRDefault="00733C9E">
            <w:pPr>
              <w:spacing w:line="240" w:lineRule="exact"/>
              <w:rPr>
                <w:sz w:val="18"/>
                <w:szCs w:val="18"/>
              </w:rPr>
            </w:pPr>
            <w:r>
              <w:rPr>
                <w:sz w:val="18"/>
                <w:szCs w:val="18"/>
              </w:rPr>
              <w:t>2</w:t>
            </w:r>
            <w:r>
              <w:rPr>
                <w:sz w:val="18"/>
                <w:szCs w:val="18"/>
              </w:rPr>
              <w:t>、若因公司本次公开发行股票的招股说明书及其他信息披露材料有虚假记载、误导性陈述或者重大遗漏，致使投资者在证券发行和交易中遭受损失的，本人将依法赔偿投资者损失，但本人能够证明自己没有过错的除外。</w:t>
            </w:r>
          </w:p>
          <w:p w:rsidR="00E20B54" w:rsidRDefault="00733C9E">
            <w:pPr>
              <w:spacing w:line="240" w:lineRule="exact"/>
              <w:rPr>
                <w:sz w:val="18"/>
                <w:szCs w:val="18"/>
              </w:rPr>
            </w:pPr>
            <w:r>
              <w:rPr>
                <w:sz w:val="18"/>
                <w:szCs w:val="18"/>
              </w:rPr>
              <w:t>在该等违法事实被中国证监会、证券交易所或司法机关认定后，本人将本着主动沟通、尽快赔偿、切实保障投资者特别是中小投资者利益的原则，按照投资者在证券交易中直接遭受的可测算的经济损失选择与投资者沟通赔偿。该等损失的赔偿金额以投资者能举证证实的因此而实际发生的直接损失为限，不包括间接损失。具体的赔偿标准、赔偿主体范围、赔偿金额等细节内容待上述情形实际发生</w:t>
            </w:r>
            <w:r>
              <w:rPr>
                <w:sz w:val="18"/>
                <w:szCs w:val="18"/>
              </w:rPr>
              <w:lastRenderedPageBreak/>
              <w:t>时，依据最终确定的赔偿方案为准。</w:t>
            </w:r>
          </w:p>
          <w:p w:rsidR="00E20B54" w:rsidRDefault="00733C9E">
            <w:pPr>
              <w:spacing w:line="240" w:lineRule="exact"/>
              <w:rPr>
                <w:sz w:val="18"/>
                <w:szCs w:val="18"/>
              </w:rPr>
            </w:pPr>
            <w:r>
              <w:rPr>
                <w:sz w:val="18"/>
                <w:szCs w:val="18"/>
              </w:rPr>
              <w:t>3</w:t>
            </w:r>
            <w:r>
              <w:rPr>
                <w:sz w:val="18"/>
                <w:szCs w:val="18"/>
              </w:rPr>
              <w:t>、本人在履行上述承诺实施完毕之前，发行人进行现金分红的，可直接从本人应得现金分红中扣除赔偿投资者损失的应付金额，并代为向投资者支付赔偿金；且不得转让直接或间接持有的发行人股份。</w:t>
            </w:r>
          </w:p>
        </w:tc>
        <w:tc>
          <w:tcPr>
            <w:tcW w:w="859"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lastRenderedPageBreak/>
              <w:t>2021</w:t>
            </w:r>
            <w:r>
              <w:rPr>
                <w:sz w:val="18"/>
                <w:szCs w:val="18"/>
              </w:rPr>
              <w:t>年</w:t>
            </w:r>
            <w:r>
              <w:rPr>
                <w:sz w:val="18"/>
                <w:szCs w:val="18"/>
              </w:rPr>
              <w:t>11</w:t>
            </w:r>
            <w:r>
              <w:rPr>
                <w:sz w:val="18"/>
                <w:szCs w:val="18"/>
              </w:rPr>
              <w:t>月</w:t>
            </w:r>
            <w:r>
              <w:rPr>
                <w:sz w:val="18"/>
                <w:szCs w:val="18"/>
              </w:rPr>
              <w:t>11</w:t>
            </w:r>
            <w:r>
              <w:rPr>
                <w:sz w:val="18"/>
                <w:szCs w:val="18"/>
              </w:rPr>
              <w:t>日</w:t>
            </w:r>
          </w:p>
        </w:tc>
        <w:tc>
          <w:tcPr>
            <w:tcW w:w="641"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长期有效</w:t>
            </w:r>
          </w:p>
        </w:tc>
        <w:tc>
          <w:tcPr>
            <w:tcW w:w="731"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正常履行中</w:t>
            </w:r>
          </w:p>
        </w:tc>
      </w:tr>
      <w:tr w:rsidR="00E20B54">
        <w:trPr>
          <w:trHeight w:val="240"/>
        </w:trPr>
        <w:tc>
          <w:tcPr>
            <w:tcW w:w="1377"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lastRenderedPageBreak/>
              <w:t>首次公开发行或再融资时所作承诺</w:t>
            </w:r>
          </w:p>
        </w:tc>
        <w:tc>
          <w:tcPr>
            <w:tcW w:w="83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本公司、实际控制人、时任董监高人员</w:t>
            </w:r>
          </w:p>
        </w:tc>
        <w:tc>
          <w:tcPr>
            <w:tcW w:w="845"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其他承诺</w:t>
            </w:r>
          </w:p>
        </w:tc>
        <w:tc>
          <w:tcPr>
            <w:tcW w:w="435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《关于依法承担赔偿或赔偿责任的承诺函》</w:t>
            </w:r>
          </w:p>
          <w:p w:rsidR="00E20B54" w:rsidRDefault="00733C9E">
            <w:pPr>
              <w:spacing w:line="240" w:lineRule="exact"/>
              <w:rPr>
                <w:sz w:val="18"/>
                <w:szCs w:val="18"/>
              </w:rPr>
            </w:pPr>
            <w:r>
              <w:rPr>
                <w:sz w:val="18"/>
                <w:szCs w:val="18"/>
              </w:rPr>
              <w:t>广东天亿马信息产业股份有限公司就申请首次公开发行股票并上市，郑重承诺如下：</w:t>
            </w:r>
          </w:p>
          <w:p w:rsidR="00E20B54" w:rsidRDefault="00733C9E">
            <w:pPr>
              <w:spacing w:line="240" w:lineRule="exact"/>
              <w:rPr>
                <w:sz w:val="18"/>
                <w:szCs w:val="18"/>
              </w:rPr>
            </w:pPr>
            <w:r>
              <w:rPr>
                <w:sz w:val="18"/>
                <w:szCs w:val="18"/>
              </w:rPr>
              <w:t>1</w:t>
            </w:r>
            <w:r>
              <w:rPr>
                <w:sz w:val="18"/>
                <w:szCs w:val="18"/>
              </w:rPr>
              <w:t>、本公司首次公开发行股票招股说明书及其他信息披露材料不存在虚假记载、误导性陈述或者重大遗漏，并对其真实性、准确性、完整性、及时性承担个别和连带的法律责任。</w:t>
            </w:r>
          </w:p>
          <w:p w:rsidR="00E20B54" w:rsidRDefault="00733C9E">
            <w:pPr>
              <w:spacing w:line="240" w:lineRule="exact"/>
              <w:rPr>
                <w:sz w:val="18"/>
                <w:szCs w:val="18"/>
              </w:rPr>
            </w:pPr>
            <w:r>
              <w:rPr>
                <w:sz w:val="18"/>
                <w:szCs w:val="18"/>
              </w:rPr>
              <w:t>2</w:t>
            </w:r>
            <w:r>
              <w:rPr>
                <w:sz w:val="18"/>
                <w:szCs w:val="18"/>
              </w:rPr>
              <w:t>、若因本公司本次公开发行股票的招股说明书及其他信息披露材料有虚假记载、误导性陈述或者重大遗漏，致使投资者在证券发行和交易中遭受损失的，本公司将依法赔偿投资者损失。</w:t>
            </w:r>
          </w:p>
          <w:p w:rsidR="00E20B54" w:rsidRDefault="00733C9E">
            <w:pPr>
              <w:spacing w:line="240" w:lineRule="exact"/>
              <w:rPr>
                <w:sz w:val="18"/>
                <w:szCs w:val="18"/>
              </w:rPr>
            </w:pPr>
            <w:r>
              <w:rPr>
                <w:sz w:val="18"/>
                <w:szCs w:val="18"/>
              </w:rPr>
              <w:t>在该等违法事实被中国证监会、证券交易所或司法机关认定后，本公司将本着主动沟通、尽快赔偿、切实保障投资者特别是中小投资者利益的原则，按照投资者在证券交易中直接遭受的可测算的经济损失选择与投资者沟通赔偿。该等损失的赔偿金额以投资者能举证证实的因此而实际发生的直接损失为限，不包括间接损失。具体的赔偿标准、赔偿主体范围、赔偿金额等细节内容待上述情形实际发生时，依据最终确定的赔偿方案为准。</w:t>
            </w:r>
          </w:p>
          <w:p w:rsidR="00E20B54" w:rsidRDefault="00733C9E">
            <w:pPr>
              <w:spacing w:line="240" w:lineRule="exact"/>
              <w:rPr>
                <w:sz w:val="18"/>
                <w:szCs w:val="18"/>
              </w:rPr>
            </w:pPr>
            <w:r>
              <w:rPr>
                <w:sz w:val="18"/>
                <w:szCs w:val="18"/>
              </w:rPr>
              <w:t>3</w:t>
            </w:r>
            <w:r>
              <w:rPr>
                <w:sz w:val="18"/>
                <w:szCs w:val="18"/>
              </w:rPr>
              <w:t>、如本公司招股说明书经中国证监会认定存在虚假记载、误导性陈述或者重大遗漏，而本公司自中国证监会作出认定之日起</w:t>
            </w:r>
            <w:r>
              <w:rPr>
                <w:sz w:val="18"/>
                <w:szCs w:val="18"/>
              </w:rPr>
              <w:t>30</w:t>
            </w:r>
            <w:r>
              <w:rPr>
                <w:sz w:val="18"/>
                <w:szCs w:val="18"/>
              </w:rPr>
              <w:t>个交易日内仍未开始履行上述承诺，则本公司有权人士应在前述期限届满之日起</w:t>
            </w:r>
            <w:r>
              <w:rPr>
                <w:sz w:val="18"/>
                <w:szCs w:val="18"/>
              </w:rPr>
              <w:t>20</w:t>
            </w:r>
            <w:r>
              <w:rPr>
                <w:sz w:val="18"/>
                <w:szCs w:val="18"/>
              </w:rPr>
              <w:t>个交易日内召集董事会并通过决议：利用本公司现金并用该等现金赔偿投资者，现金不足部分可通过处置公司资产等方式补足。如有权人士未能召集董事会或董事会未能通过相关决议或董事会在决议通过后</w:t>
            </w:r>
            <w:r>
              <w:rPr>
                <w:sz w:val="18"/>
                <w:szCs w:val="18"/>
              </w:rPr>
              <w:t>3</w:t>
            </w:r>
            <w:r>
              <w:rPr>
                <w:sz w:val="18"/>
                <w:szCs w:val="18"/>
              </w:rPr>
              <w:t>个交易日内未能提请股东大会审议，投资者可依法起诉要求其履行职责，或根据公司章程规定要求监事会提请罢免相关董事，直至公司董事会通过相关决议并提请股东大会审议相关决议。公司将于股东大会通过相关决议后</w:t>
            </w:r>
            <w:r>
              <w:rPr>
                <w:sz w:val="18"/>
                <w:szCs w:val="18"/>
              </w:rPr>
              <w:t>60</w:t>
            </w:r>
            <w:r>
              <w:rPr>
                <w:sz w:val="18"/>
                <w:szCs w:val="18"/>
              </w:rPr>
              <w:t>日内履行赔偿义务。</w:t>
            </w:r>
          </w:p>
          <w:p w:rsidR="00E20B54" w:rsidRDefault="00733C9E">
            <w:pPr>
              <w:spacing w:line="240" w:lineRule="exact"/>
              <w:rPr>
                <w:sz w:val="18"/>
                <w:szCs w:val="18"/>
              </w:rPr>
            </w:pPr>
            <w:r>
              <w:rPr>
                <w:sz w:val="18"/>
                <w:szCs w:val="18"/>
              </w:rPr>
              <w:t>若本公司违反上述承诺，及时就未能履行承诺事项的原因、具体情况和约束措施予以公告；暂停发放本公司董事、监事和高级管理人员的薪酬、津贴，直至本公司履行相关承诺；立即停止制定或实施重大资产购买与出售、增发股份、发行公司债券等资本运作事项，直至本公司履行相关承诺。</w:t>
            </w:r>
          </w:p>
        </w:tc>
        <w:tc>
          <w:tcPr>
            <w:tcW w:w="859"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2021</w:t>
            </w:r>
            <w:r>
              <w:rPr>
                <w:sz w:val="18"/>
                <w:szCs w:val="18"/>
              </w:rPr>
              <w:t>年</w:t>
            </w:r>
            <w:r>
              <w:rPr>
                <w:sz w:val="18"/>
                <w:szCs w:val="18"/>
              </w:rPr>
              <w:t>11</w:t>
            </w:r>
            <w:r>
              <w:rPr>
                <w:sz w:val="18"/>
                <w:szCs w:val="18"/>
              </w:rPr>
              <w:t>月</w:t>
            </w:r>
            <w:r>
              <w:rPr>
                <w:sz w:val="18"/>
                <w:szCs w:val="18"/>
              </w:rPr>
              <w:t>11</w:t>
            </w:r>
            <w:r>
              <w:rPr>
                <w:sz w:val="18"/>
                <w:szCs w:val="18"/>
              </w:rPr>
              <w:t>日</w:t>
            </w:r>
          </w:p>
        </w:tc>
        <w:tc>
          <w:tcPr>
            <w:tcW w:w="641"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长期有效</w:t>
            </w:r>
          </w:p>
        </w:tc>
        <w:tc>
          <w:tcPr>
            <w:tcW w:w="731"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正常履行</w:t>
            </w:r>
          </w:p>
        </w:tc>
      </w:tr>
      <w:tr w:rsidR="00E20B54">
        <w:trPr>
          <w:trHeight w:val="240"/>
        </w:trPr>
        <w:tc>
          <w:tcPr>
            <w:tcW w:w="1377"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首次公开发行或再融资时所作承诺</w:t>
            </w:r>
          </w:p>
        </w:tc>
        <w:tc>
          <w:tcPr>
            <w:tcW w:w="83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本公司</w:t>
            </w:r>
          </w:p>
        </w:tc>
        <w:tc>
          <w:tcPr>
            <w:tcW w:w="845"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其他承诺</w:t>
            </w:r>
          </w:p>
        </w:tc>
        <w:tc>
          <w:tcPr>
            <w:tcW w:w="435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《关于明确未能履行承诺时的约束措施的承诺》</w:t>
            </w:r>
          </w:p>
          <w:p w:rsidR="00E20B54" w:rsidRDefault="00E20B54">
            <w:pPr>
              <w:spacing w:line="240" w:lineRule="exact"/>
              <w:rPr>
                <w:sz w:val="18"/>
                <w:szCs w:val="18"/>
              </w:rPr>
            </w:pPr>
          </w:p>
          <w:p w:rsidR="00E20B54" w:rsidRDefault="00733C9E">
            <w:pPr>
              <w:spacing w:line="240" w:lineRule="exact"/>
              <w:rPr>
                <w:sz w:val="18"/>
                <w:szCs w:val="18"/>
              </w:rPr>
            </w:pPr>
            <w:r>
              <w:rPr>
                <w:sz w:val="18"/>
                <w:szCs w:val="18"/>
              </w:rPr>
              <w:t>根据《中国证监会关于进一步推进新股发行体制改革的意见》等规定，广东天亿马信息产业股份有限公司（以下简称</w:t>
            </w:r>
            <w:r>
              <w:rPr>
                <w:sz w:val="18"/>
                <w:szCs w:val="18"/>
              </w:rPr>
              <w:t>“</w:t>
            </w:r>
            <w:r>
              <w:rPr>
                <w:sz w:val="18"/>
                <w:szCs w:val="18"/>
              </w:rPr>
              <w:t>发行人</w:t>
            </w:r>
            <w:r>
              <w:rPr>
                <w:sz w:val="18"/>
                <w:szCs w:val="18"/>
              </w:rPr>
              <w:t>”</w:t>
            </w:r>
            <w:r>
              <w:rPr>
                <w:sz w:val="18"/>
                <w:szCs w:val="18"/>
              </w:rPr>
              <w:t>）为首次公开发行股票并在证券交易所上市之目的，已于本承诺作出当日及以前作出了《广东天亿马信息产业股份有限公司关于公司上市后三年内稳定公司股价的承诺函》《广东天亿马信息产业股份有限公司关于信息披露责任的承诺函》《广东天亿马信息产业股份有限公司关于</w:t>
            </w:r>
            <w:r>
              <w:rPr>
                <w:sz w:val="18"/>
                <w:szCs w:val="18"/>
              </w:rPr>
              <w:lastRenderedPageBreak/>
              <w:t>填补被摊薄即期回报的承诺》等公开承诺，为明确发行上市后未能履行承诺时的约束措施，本公司特此作出如下承诺：</w:t>
            </w:r>
          </w:p>
          <w:p w:rsidR="00E20B54" w:rsidRDefault="00733C9E">
            <w:pPr>
              <w:spacing w:line="240" w:lineRule="exact"/>
              <w:rPr>
                <w:sz w:val="18"/>
                <w:szCs w:val="18"/>
              </w:rPr>
            </w:pPr>
            <w:r>
              <w:rPr>
                <w:sz w:val="18"/>
                <w:szCs w:val="18"/>
              </w:rPr>
              <w:t>1</w:t>
            </w:r>
            <w:r>
              <w:rPr>
                <w:sz w:val="18"/>
                <w:szCs w:val="18"/>
              </w:rPr>
              <w:t>、及时就未能履行承诺事项的原因、具体情况和约束措施予以公告，并在股东大会及中国证监会指定报刊向投资者公开作出解释并道歉；</w:t>
            </w:r>
          </w:p>
          <w:p w:rsidR="00E20B54" w:rsidRDefault="00733C9E">
            <w:pPr>
              <w:spacing w:line="240" w:lineRule="exact"/>
              <w:rPr>
                <w:sz w:val="18"/>
                <w:szCs w:val="18"/>
              </w:rPr>
            </w:pPr>
            <w:r>
              <w:rPr>
                <w:sz w:val="18"/>
                <w:szCs w:val="18"/>
              </w:rPr>
              <w:t>2</w:t>
            </w:r>
            <w:r>
              <w:rPr>
                <w:sz w:val="18"/>
                <w:szCs w:val="18"/>
              </w:rPr>
              <w:t>、暂停发放发行人董事、监事和高级管理人员的薪酬、津贴，直至发行人履行相关承诺；</w:t>
            </w:r>
          </w:p>
          <w:p w:rsidR="00E20B54" w:rsidRDefault="00733C9E">
            <w:pPr>
              <w:spacing w:line="240" w:lineRule="exact"/>
              <w:rPr>
                <w:sz w:val="18"/>
                <w:szCs w:val="18"/>
              </w:rPr>
            </w:pPr>
            <w:r>
              <w:rPr>
                <w:sz w:val="18"/>
                <w:szCs w:val="18"/>
              </w:rPr>
              <w:t>3</w:t>
            </w:r>
            <w:r>
              <w:rPr>
                <w:sz w:val="18"/>
                <w:szCs w:val="18"/>
              </w:rPr>
              <w:t>、立即停止制定或实施重大资产购买与出售、增发股份、发行公司债券等资本运作事项，直至发行人履行相关承诺。</w:t>
            </w:r>
          </w:p>
          <w:p w:rsidR="00E20B54" w:rsidRDefault="00733C9E">
            <w:pPr>
              <w:spacing w:line="240" w:lineRule="exact"/>
              <w:rPr>
                <w:sz w:val="18"/>
                <w:szCs w:val="18"/>
              </w:rPr>
            </w:pPr>
            <w:r>
              <w:rPr>
                <w:sz w:val="18"/>
                <w:szCs w:val="18"/>
              </w:rPr>
              <w:t>4</w:t>
            </w:r>
            <w:r>
              <w:rPr>
                <w:sz w:val="18"/>
                <w:szCs w:val="18"/>
              </w:rPr>
              <w:t>、无条件接受中国证监会、深圳证券交易所、中国上市公司协会等证券监管机构按照其制定或发布的有关规定、规则，对发行人作出的处罚或采取的相关监管措施；</w:t>
            </w:r>
          </w:p>
          <w:p w:rsidR="00E20B54" w:rsidRDefault="00733C9E">
            <w:pPr>
              <w:spacing w:line="240" w:lineRule="exact"/>
              <w:rPr>
                <w:sz w:val="18"/>
                <w:szCs w:val="18"/>
              </w:rPr>
            </w:pPr>
            <w:r>
              <w:rPr>
                <w:sz w:val="18"/>
                <w:szCs w:val="18"/>
              </w:rPr>
              <w:t>5</w:t>
            </w:r>
            <w:r>
              <w:rPr>
                <w:sz w:val="18"/>
                <w:szCs w:val="18"/>
              </w:rPr>
              <w:t>、若给股东造成损失的，发行人依法承担补偿责任。</w:t>
            </w:r>
          </w:p>
        </w:tc>
        <w:tc>
          <w:tcPr>
            <w:tcW w:w="859"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lastRenderedPageBreak/>
              <w:t>2021</w:t>
            </w:r>
            <w:r>
              <w:rPr>
                <w:sz w:val="18"/>
                <w:szCs w:val="18"/>
              </w:rPr>
              <w:t>年</w:t>
            </w:r>
            <w:r>
              <w:rPr>
                <w:sz w:val="18"/>
                <w:szCs w:val="18"/>
              </w:rPr>
              <w:t>11</w:t>
            </w:r>
            <w:r>
              <w:rPr>
                <w:sz w:val="18"/>
                <w:szCs w:val="18"/>
              </w:rPr>
              <w:t>月</w:t>
            </w:r>
            <w:r>
              <w:rPr>
                <w:sz w:val="18"/>
                <w:szCs w:val="18"/>
              </w:rPr>
              <w:t>11</w:t>
            </w:r>
            <w:r>
              <w:rPr>
                <w:sz w:val="18"/>
                <w:szCs w:val="18"/>
              </w:rPr>
              <w:t>日</w:t>
            </w:r>
          </w:p>
        </w:tc>
        <w:tc>
          <w:tcPr>
            <w:tcW w:w="641"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长期有效</w:t>
            </w:r>
          </w:p>
        </w:tc>
        <w:tc>
          <w:tcPr>
            <w:tcW w:w="731"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正常履行</w:t>
            </w:r>
          </w:p>
        </w:tc>
      </w:tr>
      <w:tr w:rsidR="00E20B54">
        <w:trPr>
          <w:trHeight w:val="240"/>
        </w:trPr>
        <w:tc>
          <w:tcPr>
            <w:tcW w:w="1377"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lastRenderedPageBreak/>
              <w:t>首次公开发行或再融资时所作承诺</w:t>
            </w:r>
          </w:p>
        </w:tc>
        <w:tc>
          <w:tcPr>
            <w:tcW w:w="83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林明玲、马学沛</w:t>
            </w:r>
          </w:p>
        </w:tc>
        <w:tc>
          <w:tcPr>
            <w:tcW w:w="845"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其他承诺</w:t>
            </w:r>
          </w:p>
        </w:tc>
        <w:tc>
          <w:tcPr>
            <w:tcW w:w="435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《关于明确未能履行承诺时的约束措施的承诺》</w:t>
            </w:r>
          </w:p>
          <w:p w:rsidR="00E20B54" w:rsidRDefault="00733C9E">
            <w:pPr>
              <w:spacing w:line="240" w:lineRule="exact"/>
              <w:rPr>
                <w:sz w:val="18"/>
                <w:szCs w:val="18"/>
              </w:rPr>
            </w:pPr>
            <w:r>
              <w:rPr>
                <w:sz w:val="18"/>
                <w:szCs w:val="18"/>
              </w:rPr>
              <w:t>根据《中国证监会关于进一步推进新股发行体制改革的意见》等规定，本人作为广东天亿马信息产业股份有限公司的控股股东、实际控制人，为发行人首次公开发行股票并在证券交易所上市之目的，已于本承诺作出当日及以前作出了《关于所持广东天亿马信息产业股份有限公司股份锁定的承诺》《持股意向及减持意向的承诺》《广东天亿马信息产业股份有限公司关于公司上市后三年内稳定公司股价的承诺函》《广东天亿马信息产业股份有限公司控股股东、实际控制人关于信息披露责任的承诺函》《广东天亿马信息产业股份有限公司控股股东及实际控制人关于填补被摊薄即期回报的承诺》《广东天亿马信息产业股份有限公司控股股东、实际控制人关于规范和减少关联交易的确认与承诺》《广东天亿马信息产业股份有限公司控股股东、实际控制人关于社会保险与住房公积金相关事宜的承诺函》《广东天亿马信息产业股份有限公司控股股东及实际控制人关于消除与避免同业竞争的承诺函》等公开承诺。为明确发行人上市后未能履行承诺时的约束措施，本人特此作出如下承诺：</w:t>
            </w:r>
          </w:p>
          <w:p w:rsidR="00E20B54" w:rsidRDefault="00733C9E">
            <w:pPr>
              <w:spacing w:line="240" w:lineRule="exact"/>
              <w:rPr>
                <w:sz w:val="18"/>
                <w:szCs w:val="18"/>
              </w:rPr>
            </w:pPr>
            <w:r>
              <w:rPr>
                <w:sz w:val="18"/>
                <w:szCs w:val="18"/>
              </w:rPr>
              <w:t>1</w:t>
            </w:r>
            <w:r>
              <w:rPr>
                <w:sz w:val="18"/>
                <w:szCs w:val="18"/>
              </w:rPr>
              <w:t>、及时通过发行人公告未能履行承诺的原因并在股东大会及中国证监会指定报刊向投资者公开作出解释并道歉；</w:t>
            </w:r>
          </w:p>
          <w:p w:rsidR="00E20B54" w:rsidRDefault="00733C9E">
            <w:pPr>
              <w:spacing w:line="240" w:lineRule="exact"/>
              <w:rPr>
                <w:sz w:val="18"/>
                <w:szCs w:val="18"/>
              </w:rPr>
            </w:pPr>
            <w:r>
              <w:rPr>
                <w:sz w:val="18"/>
                <w:szCs w:val="18"/>
              </w:rPr>
              <w:t>2</w:t>
            </w:r>
            <w:r>
              <w:rPr>
                <w:sz w:val="18"/>
                <w:szCs w:val="18"/>
              </w:rPr>
              <w:t>、若本人违反承诺而获得相关收益的，相关收益无偿划归发行人所有；在相关收益全部缴付发行人前，如发行人进行现金分红的，可直接从本人应得现金分红中扣除尚未缴付的收益金额；相关收益全部缴付发行人前，不得转让直接或间接持有的发行人股份；</w:t>
            </w:r>
          </w:p>
          <w:p w:rsidR="00E20B54" w:rsidRDefault="00733C9E">
            <w:pPr>
              <w:spacing w:line="240" w:lineRule="exact"/>
              <w:rPr>
                <w:sz w:val="18"/>
                <w:szCs w:val="18"/>
              </w:rPr>
            </w:pPr>
            <w:r>
              <w:rPr>
                <w:sz w:val="18"/>
                <w:szCs w:val="18"/>
              </w:rPr>
              <w:t>3</w:t>
            </w:r>
            <w:r>
              <w:rPr>
                <w:sz w:val="18"/>
                <w:szCs w:val="18"/>
              </w:rPr>
              <w:t>、发行人停止发放现金分红，在履行相应承诺、采取补救措施并实施完毕之前，发行人进行现金分红的，有权暂扣归属于本人的现金分红，直至本人履行承诺并实施完毕，或扣除本人履行承诺的应付金额，并代为支付；</w:t>
            </w:r>
          </w:p>
          <w:p w:rsidR="00E20B54" w:rsidRDefault="00733C9E">
            <w:pPr>
              <w:spacing w:line="240" w:lineRule="exact"/>
              <w:rPr>
                <w:sz w:val="18"/>
                <w:szCs w:val="18"/>
              </w:rPr>
            </w:pPr>
            <w:r>
              <w:rPr>
                <w:sz w:val="18"/>
                <w:szCs w:val="18"/>
              </w:rPr>
              <w:t>4</w:t>
            </w:r>
            <w:r>
              <w:rPr>
                <w:sz w:val="18"/>
                <w:szCs w:val="18"/>
              </w:rPr>
              <w:t>、在履行相应承诺、采取补救措施并实施完毕之前，不得转让直接或间接持有的发行人股份；</w:t>
            </w:r>
          </w:p>
          <w:p w:rsidR="00E20B54" w:rsidRDefault="00733C9E">
            <w:pPr>
              <w:spacing w:line="240" w:lineRule="exact"/>
              <w:rPr>
                <w:sz w:val="18"/>
                <w:szCs w:val="18"/>
              </w:rPr>
            </w:pPr>
            <w:r>
              <w:rPr>
                <w:sz w:val="18"/>
                <w:szCs w:val="18"/>
              </w:rPr>
              <w:t>5</w:t>
            </w:r>
            <w:r>
              <w:rPr>
                <w:sz w:val="18"/>
                <w:szCs w:val="18"/>
              </w:rPr>
              <w:t>、给公司或者股东造成损失的，依法承担补偿责</w:t>
            </w:r>
            <w:r>
              <w:rPr>
                <w:sz w:val="18"/>
                <w:szCs w:val="18"/>
              </w:rPr>
              <w:lastRenderedPageBreak/>
              <w:t>任，本人在履行承诺实施完毕之前，发行人进行现金分红的，可直接从本人应得现金分红中扣除赔偿投资者损失的应付金额，并代为向投资者支付赔偿金。</w:t>
            </w:r>
          </w:p>
        </w:tc>
        <w:tc>
          <w:tcPr>
            <w:tcW w:w="859"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lastRenderedPageBreak/>
              <w:t>2025</w:t>
            </w:r>
            <w:r>
              <w:rPr>
                <w:sz w:val="18"/>
                <w:szCs w:val="18"/>
              </w:rPr>
              <w:t>年</w:t>
            </w:r>
            <w:r>
              <w:rPr>
                <w:sz w:val="18"/>
                <w:szCs w:val="18"/>
              </w:rPr>
              <w:t>11</w:t>
            </w:r>
            <w:r>
              <w:rPr>
                <w:sz w:val="18"/>
                <w:szCs w:val="18"/>
              </w:rPr>
              <w:t>月</w:t>
            </w:r>
            <w:r>
              <w:rPr>
                <w:sz w:val="18"/>
                <w:szCs w:val="18"/>
              </w:rPr>
              <w:t>11</w:t>
            </w:r>
            <w:r>
              <w:rPr>
                <w:sz w:val="18"/>
                <w:szCs w:val="18"/>
              </w:rPr>
              <w:t>日</w:t>
            </w:r>
          </w:p>
        </w:tc>
        <w:tc>
          <w:tcPr>
            <w:tcW w:w="641"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长期有效</w:t>
            </w:r>
          </w:p>
        </w:tc>
        <w:tc>
          <w:tcPr>
            <w:tcW w:w="731"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正常履行</w:t>
            </w:r>
          </w:p>
        </w:tc>
      </w:tr>
      <w:tr w:rsidR="00E20B54">
        <w:trPr>
          <w:trHeight w:val="240"/>
        </w:trPr>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lastRenderedPageBreak/>
              <w:t>其他承诺</w:t>
            </w:r>
          </w:p>
        </w:tc>
        <w:tc>
          <w:tcPr>
            <w:tcW w:w="83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林明玲、马学沛</w:t>
            </w:r>
          </w:p>
        </w:tc>
        <w:tc>
          <w:tcPr>
            <w:tcW w:w="845"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其他承诺</w:t>
            </w:r>
          </w:p>
        </w:tc>
        <w:tc>
          <w:tcPr>
            <w:tcW w:w="435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为保证子公司在申请资质有效期内，实际控制人始终为中方，且外国投资者、香港特别行政区、澳门特别行政区、台湾地区投资者以及定居在国外的中国公民投资者及其一致行动人等股东最终合计出资比例不超过公司总股本的</w:t>
            </w:r>
            <w:r>
              <w:rPr>
                <w:sz w:val="18"/>
                <w:szCs w:val="18"/>
              </w:rPr>
              <w:t>20%</w:t>
            </w:r>
            <w:r>
              <w:rPr>
                <w:sz w:val="18"/>
                <w:szCs w:val="18"/>
              </w:rPr>
              <w:t>，公司实际控制人林明玲、马学沛承诺如下：</w:t>
            </w:r>
          </w:p>
          <w:p w:rsidR="00E20B54" w:rsidRDefault="00733C9E">
            <w:pPr>
              <w:spacing w:line="240" w:lineRule="exact"/>
              <w:rPr>
                <w:sz w:val="18"/>
                <w:szCs w:val="18"/>
              </w:rPr>
            </w:pPr>
            <w:r>
              <w:rPr>
                <w:sz w:val="18"/>
                <w:szCs w:val="18"/>
              </w:rPr>
              <w:t>在子公司申请资质期间以及取得资质的有效期内：</w:t>
            </w:r>
          </w:p>
          <w:p w:rsidR="00E20B54" w:rsidRDefault="00733C9E">
            <w:pPr>
              <w:spacing w:line="240" w:lineRule="exact"/>
              <w:rPr>
                <w:sz w:val="18"/>
                <w:szCs w:val="18"/>
              </w:rPr>
            </w:pPr>
            <w:r>
              <w:rPr>
                <w:sz w:val="18"/>
                <w:szCs w:val="18"/>
              </w:rPr>
              <w:t xml:space="preserve">1. </w:t>
            </w:r>
            <w:r>
              <w:rPr>
                <w:sz w:val="18"/>
                <w:szCs w:val="18"/>
              </w:rPr>
              <w:t>在满足法律法规可转让的条件下，不得向影响保密条款的自然人、机构转让或赠予所持上市公司股份；</w:t>
            </w:r>
          </w:p>
          <w:p w:rsidR="00E20B54" w:rsidRDefault="00733C9E">
            <w:pPr>
              <w:spacing w:line="240" w:lineRule="exact"/>
              <w:rPr>
                <w:sz w:val="18"/>
                <w:szCs w:val="18"/>
              </w:rPr>
            </w:pPr>
            <w:r>
              <w:rPr>
                <w:sz w:val="18"/>
                <w:szCs w:val="18"/>
              </w:rPr>
              <w:t xml:space="preserve">2. </w:t>
            </w:r>
            <w:r>
              <w:rPr>
                <w:sz w:val="18"/>
                <w:szCs w:val="18"/>
              </w:rPr>
              <w:t>保持中国公民身份，且不申请香港特别行政区、澳门特别行政区、台湾地区等地区或其他国家</w:t>
            </w:r>
            <w:r>
              <w:rPr>
                <w:sz w:val="18"/>
                <w:szCs w:val="18"/>
              </w:rPr>
              <w:t>/</w:t>
            </w:r>
            <w:r>
              <w:rPr>
                <w:sz w:val="18"/>
                <w:szCs w:val="18"/>
              </w:rPr>
              <w:t>地区的永久居留权、长期居留许可。</w:t>
            </w:r>
          </w:p>
        </w:tc>
        <w:tc>
          <w:tcPr>
            <w:tcW w:w="859"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2022</w:t>
            </w:r>
            <w:r>
              <w:rPr>
                <w:sz w:val="18"/>
                <w:szCs w:val="18"/>
              </w:rPr>
              <w:t>年</w:t>
            </w:r>
            <w:r>
              <w:rPr>
                <w:sz w:val="18"/>
                <w:szCs w:val="18"/>
              </w:rPr>
              <w:t>04</w:t>
            </w:r>
            <w:r>
              <w:rPr>
                <w:sz w:val="18"/>
                <w:szCs w:val="18"/>
              </w:rPr>
              <w:t>月</w:t>
            </w:r>
            <w:r>
              <w:rPr>
                <w:sz w:val="18"/>
                <w:szCs w:val="18"/>
              </w:rPr>
              <w:t>07</w:t>
            </w:r>
            <w:r>
              <w:rPr>
                <w:sz w:val="18"/>
                <w:szCs w:val="18"/>
              </w:rPr>
              <w:t>日</w:t>
            </w:r>
          </w:p>
        </w:tc>
        <w:tc>
          <w:tcPr>
            <w:tcW w:w="641"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长期有效</w:t>
            </w:r>
          </w:p>
        </w:tc>
        <w:tc>
          <w:tcPr>
            <w:tcW w:w="731"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正常履行</w:t>
            </w:r>
          </w:p>
        </w:tc>
      </w:tr>
      <w:tr w:rsidR="00E20B54">
        <w:trPr>
          <w:trHeight w:val="240"/>
        </w:trPr>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承诺是否按时履行</w:t>
            </w:r>
          </w:p>
        </w:tc>
        <w:tc>
          <w:tcPr>
            <w:tcW w:w="8262" w:type="dxa"/>
            <w:gridSpan w:val="6"/>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是</w:t>
            </w:r>
          </w:p>
        </w:tc>
      </w:tr>
      <w:tr w:rsidR="00E20B54">
        <w:trPr>
          <w:trHeight w:val="240"/>
        </w:trPr>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如承诺超期未履行完毕的，应当详细说明未完成履行的具体原因及下一步的工作计划</w:t>
            </w:r>
          </w:p>
        </w:tc>
        <w:tc>
          <w:tcPr>
            <w:tcW w:w="8262" w:type="dxa"/>
            <w:gridSpan w:val="6"/>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报告期末，公司、实际控制人及其他承诺主体不存在承诺超期未履行完毕的情形。</w:t>
            </w:r>
          </w:p>
        </w:tc>
      </w:tr>
    </w:tbl>
    <w:p w:rsidR="00E20B54" w:rsidRDefault="00733C9E">
      <w:pPr>
        <w:pStyle w:val="3"/>
        <w:spacing w:line="280" w:lineRule="exact"/>
        <w:jc w:val="left"/>
        <w:rPr>
          <w:b/>
          <w:bCs/>
        </w:rPr>
      </w:pPr>
      <w:bookmarkStart w:id="91" w:name="_Toc988980"/>
      <w:r>
        <w:rPr>
          <w:b/>
          <w:bCs/>
        </w:rPr>
        <w:t>2</w:t>
      </w:r>
      <w:r>
        <w:rPr>
          <w:b/>
          <w:bCs/>
        </w:rPr>
        <w:t>、公司资产或项目存在盈利预测，且报告期仍处在盈利预测期间，公司就资产或项目达到原盈利预测及其原因做出说明</w:t>
      </w:r>
      <w:bookmarkEnd w:id="91"/>
    </w:p>
    <w:p w:rsidR="00E20B54" w:rsidRDefault="00733C9E">
      <w:pPr>
        <w:spacing w:before="100" w:after="100" w:line="240" w:lineRule="exact"/>
        <w:rPr>
          <w:sz w:val="18"/>
          <w:szCs w:val="18"/>
        </w:rPr>
      </w:pPr>
      <w:r>
        <w:rPr>
          <w:sz w:val="18"/>
          <w:szCs w:val="18"/>
        </w:rPr>
        <w:t>□</w:t>
      </w:r>
      <w:r>
        <w:rPr>
          <w:sz w:val="18"/>
          <w:szCs w:val="18"/>
        </w:rPr>
        <w:t>适用</w:t>
      </w:r>
      <w:r>
        <w:rPr>
          <w:sz w:val="18"/>
          <w:szCs w:val="18"/>
        </w:rPr>
        <w:t xml:space="preserve"> </w:t>
      </w:r>
      <w:r>
        <w:rPr>
          <w:sz w:val="18"/>
          <w:szCs w:val="18"/>
        </w:rPr>
        <w:sym w:font="Wingdings 2" w:char="F052"/>
      </w:r>
      <w:r>
        <w:rPr>
          <w:sz w:val="18"/>
          <w:szCs w:val="18"/>
        </w:rPr>
        <w:t>不适用</w:t>
      </w:r>
    </w:p>
    <w:p w:rsidR="00E20B54" w:rsidRDefault="00733C9E">
      <w:pPr>
        <w:pStyle w:val="3"/>
        <w:spacing w:line="280" w:lineRule="exact"/>
        <w:jc w:val="left"/>
        <w:rPr>
          <w:b/>
          <w:bCs/>
        </w:rPr>
      </w:pPr>
      <w:bookmarkStart w:id="92" w:name="_Toc988981"/>
      <w:r>
        <w:rPr>
          <w:b/>
          <w:bCs/>
        </w:rPr>
        <w:t>3</w:t>
      </w:r>
      <w:r>
        <w:rPr>
          <w:b/>
          <w:bCs/>
        </w:rPr>
        <w:t>、公司涉及业绩承诺</w:t>
      </w:r>
      <w:bookmarkEnd w:id="92"/>
    </w:p>
    <w:p w:rsidR="00E20B54" w:rsidRDefault="00733C9E">
      <w:pPr>
        <w:spacing w:before="100" w:after="100" w:line="240" w:lineRule="exact"/>
        <w:rPr>
          <w:sz w:val="18"/>
          <w:szCs w:val="18"/>
        </w:rPr>
      </w:pPr>
      <w:r>
        <w:rPr>
          <w:sz w:val="18"/>
          <w:szCs w:val="18"/>
        </w:rPr>
        <w:t>□</w:t>
      </w:r>
      <w:r>
        <w:rPr>
          <w:sz w:val="18"/>
          <w:szCs w:val="18"/>
        </w:rPr>
        <w:t>适用</w:t>
      </w:r>
      <w:r>
        <w:rPr>
          <w:sz w:val="18"/>
          <w:szCs w:val="18"/>
        </w:rPr>
        <w:t xml:space="preserve"> </w:t>
      </w:r>
      <w:r>
        <w:rPr>
          <w:sz w:val="18"/>
          <w:szCs w:val="18"/>
        </w:rPr>
        <w:sym w:font="Wingdings 2" w:char="F052"/>
      </w:r>
      <w:r>
        <w:rPr>
          <w:sz w:val="18"/>
          <w:szCs w:val="18"/>
        </w:rPr>
        <w:t>不适用</w:t>
      </w:r>
    </w:p>
    <w:p w:rsidR="00E20B54" w:rsidRDefault="00733C9E">
      <w:pPr>
        <w:pStyle w:val="2"/>
        <w:spacing w:before="300" w:after="300" w:line="320" w:lineRule="exact"/>
        <w:rPr>
          <w:b/>
          <w:bCs/>
          <w:sz w:val="24"/>
          <w:szCs w:val="24"/>
        </w:rPr>
      </w:pPr>
      <w:bookmarkStart w:id="93" w:name="_Toc988982"/>
      <w:r>
        <w:rPr>
          <w:b/>
          <w:bCs/>
          <w:sz w:val="24"/>
          <w:szCs w:val="24"/>
        </w:rPr>
        <w:t>二、控股股东及其他关联方对上市公司的非经营性占用资金情况</w:t>
      </w:r>
      <w:bookmarkEnd w:id="93"/>
    </w:p>
    <w:p w:rsidR="00E20B54" w:rsidRDefault="00733C9E">
      <w:pPr>
        <w:spacing w:before="100" w:after="100" w:line="240" w:lineRule="exact"/>
        <w:rPr>
          <w:sz w:val="18"/>
          <w:szCs w:val="18"/>
        </w:rPr>
      </w:pPr>
      <w:r>
        <w:rPr>
          <w:sz w:val="18"/>
          <w:szCs w:val="18"/>
        </w:rPr>
        <w:t>□</w:t>
      </w:r>
      <w:r>
        <w:rPr>
          <w:sz w:val="18"/>
          <w:szCs w:val="18"/>
        </w:rPr>
        <w:t>适用</w:t>
      </w:r>
      <w:r>
        <w:rPr>
          <w:sz w:val="18"/>
          <w:szCs w:val="18"/>
        </w:rPr>
        <w:t xml:space="preserve"> </w:t>
      </w:r>
      <w:r>
        <w:rPr>
          <w:sz w:val="18"/>
          <w:szCs w:val="18"/>
        </w:rPr>
        <w:sym w:font="Wingdings 2" w:char="F052"/>
      </w:r>
      <w:r>
        <w:rPr>
          <w:sz w:val="18"/>
          <w:szCs w:val="18"/>
        </w:rPr>
        <w:t>不适用</w:t>
      </w:r>
    </w:p>
    <w:p w:rsidR="00E20B54" w:rsidRDefault="00733C9E">
      <w:pPr>
        <w:spacing w:before="40" w:after="40" w:line="240" w:lineRule="exact"/>
        <w:rPr>
          <w:sz w:val="18"/>
          <w:szCs w:val="18"/>
        </w:rPr>
      </w:pPr>
      <w:r>
        <w:rPr>
          <w:sz w:val="18"/>
          <w:szCs w:val="18"/>
        </w:rPr>
        <w:t>公司报告期不存在控股股东及其他关联方对上市公司的非经营性占用资金。</w:t>
      </w:r>
    </w:p>
    <w:p w:rsidR="00E20B54" w:rsidRDefault="00733C9E">
      <w:pPr>
        <w:pStyle w:val="2"/>
        <w:spacing w:before="300" w:after="300" w:line="320" w:lineRule="exact"/>
        <w:rPr>
          <w:b/>
          <w:bCs/>
          <w:sz w:val="24"/>
          <w:szCs w:val="24"/>
        </w:rPr>
      </w:pPr>
      <w:bookmarkStart w:id="94" w:name="_Toc988983"/>
      <w:r>
        <w:rPr>
          <w:b/>
          <w:bCs/>
          <w:sz w:val="24"/>
          <w:szCs w:val="24"/>
        </w:rPr>
        <w:t>三、违规对外担保情况</w:t>
      </w:r>
      <w:bookmarkEnd w:id="94"/>
    </w:p>
    <w:p w:rsidR="00E20B54" w:rsidRDefault="00733C9E">
      <w:pPr>
        <w:spacing w:before="40" w:after="40" w:line="240" w:lineRule="exact"/>
        <w:rPr>
          <w:sz w:val="18"/>
          <w:szCs w:val="18"/>
        </w:rPr>
      </w:pPr>
      <w:r>
        <w:rPr>
          <w:sz w:val="18"/>
          <w:szCs w:val="18"/>
        </w:rPr>
        <w:t>□</w:t>
      </w:r>
      <w:r>
        <w:rPr>
          <w:sz w:val="18"/>
          <w:szCs w:val="18"/>
        </w:rPr>
        <w:t>适用</w:t>
      </w:r>
      <w:r>
        <w:rPr>
          <w:sz w:val="18"/>
          <w:szCs w:val="18"/>
        </w:rPr>
        <w:t xml:space="preserve"> </w:t>
      </w:r>
      <w:r>
        <w:rPr>
          <w:sz w:val="18"/>
          <w:szCs w:val="18"/>
        </w:rPr>
        <w:sym w:font="Wingdings 2" w:char="F052"/>
      </w:r>
      <w:r>
        <w:rPr>
          <w:sz w:val="18"/>
          <w:szCs w:val="18"/>
        </w:rPr>
        <w:t>不适用</w:t>
      </w:r>
    </w:p>
    <w:p w:rsidR="00E20B54" w:rsidRDefault="00733C9E">
      <w:pPr>
        <w:spacing w:before="100" w:after="100" w:line="240" w:lineRule="exact"/>
        <w:rPr>
          <w:sz w:val="18"/>
          <w:szCs w:val="18"/>
        </w:rPr>
      </w:pPr>
      <w:r>
        <w:rPr>
          <w:sz w:val="18"/>
          <w:szCs w:val="18"/>
        </w:rPr>
        <w:t>公司报告期无违规对外担保情况。</w:t>
      </w:r>
    </w:p>
    <w:p w:rsidR="00E20B54" w:rsidRDefault="00733C9E">
      <w:pPr>
        <w:pStyle w:val="2"/>
        <w:spacing w:before="300" w:after="300" w:line="320" w:lineRule="exact"/>
        <w:rPr>
          <w:b/>
          <w:bCs/>
          <w:sz w:val="24"/>
          <w:szCs w:val="24"/>
        </w:rPr>
      </w:pPr>
      <w:bookmarkStart w:id="95" w:name="_Toc988984"/>
      <w:r>
        <w:rPr>
          <w:b/>
          <w:bCs/>
          <w:sz w:val="24"/>
          <w:szCs w:val="24"/>
        </w:rPr>
        <w:t>四、董事会对最近一期</w:t>
      </w:r>
      <w:r>
        <w:rPr>
          <w:b/>
          <w:bCs/>
          <w:sz w:val="24"/>
          <w:szCs w:val="24"/>
        </w:rPr>
        <w:t>“</w:t>
      </w:r>
      <w:r>
        <w:rPr>
          <w:b/>
          <w:bCs/>
          <w:sz w:val="24"/>
          <w:szCs w:val="24"/>
        </w:rPr>
        <w:t>非标准审计报告</w:t>
      </w:r>
      <w:r>
        <w:rPr>
          <w:b/>
          <w:bCs/>
          <w:sz w:val="24"/>
          <w:szCs w:val="24"/>
        </w:rPr>
        <w:t>”</w:t>
      </w:r>
      <w:r>
        <w:rPr>
          <w:b/>
          <w:bCs/>
          <w:sz w:val="24"/>
          <w:szCs w:val="24"/>
        </w:rPr>
        <w:t>相关情况的说明</w:t>
      </w:r>
      <w:bookmarkEnd w:id="95"/>
    </w:p>
    <w:p w:rsidR="00E20B54" w:rsidRDefault="00733C9E">
      <w:pPr>
        <w:spacing w:before="100" w:after="100" w:line="240" w:lineRule="exact"/>
        <w:rPr>
          <w:sz w:val="18"/>
          <w:szCs w:val="18"/>
        </w:rPr>
      </w:pPr>
      <w:r>
        <w:rPr>
          <w:sz w:val="18"/>
          <w:szCs w:val="18"/>
        </w:rPr>
        <w:t>□</w:t>
      </w:r>
      <w:r>
        <w:rPr>
          <w:sz w:val="18"/>
          <w:szCs w:val="18"/>
        </w:rPr>
        <w:t>适用</w:t>
      </w:r>
      <w:r>
        <w:rPr>
          <w:sz w:val="18"/>
          <w:szCs w:val="18"/>
        </w:rPr>
        <w:t xml:space="preserve"> </w:t>
      </w:r>
      <w:r>
        <w:rPr>
          <w:sz w:val="18"/>
          <w:szCs w:val="18"/>
        </w:rPr>
        <w:sym w:font="Wingdings 2" w:char="F052"/>
      </w:r>
      <w:r>
        <w:rPr>
          <w:sz w:val="18"/>
          <w:szCs w:val="18"/>
        </w:rPr>
        <w:t>不适用</w:t>
      </w:r>
    </w:p>
    <w:p w:rsidR="00E20B54" w:rsidRDefault="00733C9E">
      <w:pPr>
        <w:pStyle w:val="2"/>
        <w:spacing w:before="300" w:after="300" w:line="320" w:lineRule="exact"/>
        <w:rPr>
          <w:b/>
          <w:bCs/>
          <w:sz w:val="24"/>
          <w:szCs w:val="24"/>
        </w:rPr>
      </w:pPr>
      <w:bookmarkStart w:id="96" w:name="_Toc988985"/>
      <w:r>
        <w:rPr>
          <w:b/>
          <w:bCs/>
          <w:sz w:val="24"/>
          <w:szCs w:val="24"/>
        </w:rPr>
        <w:lastRenderedPageBreak/>
        <w:t>五、董事会、审计委员会、独立董事（如有）对会计师事务所本报告期</w:t>
      </w:r>
      <w:r>
        <w:rPr>
          <w:b/>
          <w:bCs/>
          <w:sz w:val="24"/>
          <w:szCs w:val="24"/>
        </w:rPr>
        <w:t>“</w:t>
      </w:r>
      <w:r>
        <w:rPr>
          <w:b/>
          <w:bCs/>
          <w:sz w:val="24"/>
          <w:szCs w:val="24"/>
        </w:rPr>
        <w:t>非标准审计报告</w:t>
      </w:r>
      <w:r>
        <w:rPr>
          <w:b/>
          <w:bCs/>
          <w:sz w:val="24"/>
          <w:szCs w:val="24"/>
        </w:rPr>
        <w:t>”</w:t>
      </w:r>
      <w:r>
        <w:rPr>
          <w:b/>
          <w:bCs/>
          <w:sz w:val="24"/>
          <w:szCs w:val="24"/>
        </w:rPr>
        <w:t>的说明</w:t>
      </w:r>
      <w:bookmarkEnd w:id="96"/>
    </w:p>
    <w:p w:rsidR="00E20B54" w:rsidRDefault="00733C9E">
      <w:pPr>
        <w:spacing w:before="100" w:after="100" w:line="240" w:lineRule="exact"/>
        <w:rPr>
          <w:sz w:val="18"/>
          <w:szCs w:val="18"/>
        </w:rPr>
      </w:pPr>
      <w:r>
        <w:rPr>
          <w:sz w:val="18"/>
          <w:szCs w:val="18"/>
        </w:rPr>
        <w:t>□</w:t>
      </w:r>
      <w:r>
        <w:rPr>
          <w:sz w:val="18"/>
          <w:szCs w:val="18"/>
        </w:rPr>
        <w:t>适用</w:t>
      </w:r>
      <w:r>
        <w:rPr>
          <w:sz w:val="18"/>
          <w:szCs w:val="18"/>
        </w:rPr>
        <w:t xml:space="preserve"> </w:t>
      </w:r>
      <w:r>
        <w:rPr>
          <w:sz w:val="18"/>
          <w:szCs w:val="18"/>
        </w:rPr>
        <w:sym w:font="Wingdings 2" w:char="F052"/>
      </w:r>
      <w:r>
        <w:rPr>
          <w:sz w:val="18"/>
          <w:szCs w:val="18"/>
        </w:rPr>
        <w:t>不适用</w:t>
      </w:r>
    </w:p>
    <w:p w:rsidR="00E20B54" w:rsidRDefault="00733C9E">
      <w:pPr>
        <w:pStyle w:val="2"/>
        <w:spacing w:before="300" w:after="300" w:line="320" w:lineRule="exact"/>
        <w:rPr>
          <w:b/>
          <w:bCs/>
          <w:sz w:val="24"/>
          <w:szCs w:val="24"/>
        </w:rPr>
      </w:pPr>
      <w:bookmarkStart w:id="97" w:name="_Toc988986"/>
      <w:r>
        <w:rPr>
          <w:b/>
          <w:bCs/>
          <w:sz w:val="24"/>
          <w:szCs w:val="24"/>
        </w:rPr>
        <w:t>六、董事会关于报告期会计政策、会计估计变更或重大会计差错更正的说明</w:t>
      </w:r>
      <w:bookmarkEnd w:id="97"/>
    </w:p>
    <w:p w:rsidR="00E20B54" w:rsidRDefault="00733C9E">
      <w:pPr>
        <w:spacing w:before="100" w:after="100" w:line="240" w:lineRule="exact"/>
        <w:rPr>
          <w:sz w:val="18"/>
          <w:szCs w:val="18"/>
        </w:rPr>
      </w:pPr>
      <w:r>
        <w:rPr>
          <w:sz w:val="18"/>
          <w:szCs w:val="18"/>
        </w:rPr>
        <w:t>□</w:t>
      </w:r>
      <w:r>
        <w:rPr>
          <w:sz w:val="18"/>
          <w:szCs w:val="18"/>
        </w:rPr>
        <w:t>适用</w:t>
      </w:r>
      <w:r>
        <w:rPr>
          <w:sz w:val="18"/>
          <w:szCs w:val="18"/>
        </w:rPr>
        <w:t xml:space="preserve"> </w:t>
      </w:r>
      <w:r>
        <w:rPr>
          <w:sz w:val="18"/>
          <w:szCs w:val="18"/>
        </w:rPr>
        <w:sym w:font="Wingdings 2" w:char="F052"/>
      </w:r>
      <w:r>
        <w:rPr>
          <w:sz w:val="18"/>
          <w:szCs w:val="18"/>
        </w:rPr>
        <w:t>不适用</w:t>
      </w:r>
    </w:p>
    <w:p w:rsidR="00E20B54" w:rsidRDefault="00733C9E">
      <w:pPr>
        <w:pStyle w:val="2"/>
        <w:spacing w:before="300" w:after="300" w:line="320" w:lineRule="exact"/>
        <w:rPr>
          <w:b/>
          <w:bCs/>
          <w:sz w:val="24"/>
          <w:szCs w:val="24"/>
        </w:rPr>
      </w:pPr>
      <w:bookmarkStart w:id="98" w:name="_Toc988987"/>
      <w:r>
        <w:rPr>
          <w:b/>
          <w:bCs/>
          <w:sz w:val="24"/>
          <w:szCs w:val="24"/>
        </w:rPr>
        <w:t>七、与上年度财务报告相比，合并报表范围发生变化的情况说明</w:t>
      </w:r>
      <w:bookmarkEnd w:id="98"/>
    </w:p>
    <w:p w:rsidR="00E20B54" w:rsidRDefault="00733C9E">
      <w:pPr>
        <w:spacing w:before="100" w:after="100" w:line="240" w:lineRule="exact"/>
        <w:rPr>
          <w:sz w:val="18"/>
          <w:szCs w:val="18"/>
        </w:rPr>
      </w:pPr>
      <w:r>
        <w:rPr>
          <w:sz w:val="18"/>
          <w:szCs w:val="18"/>
        </w:rPr>
        <w:sym w:font="Wingdings 2" w:char="F052"/>
      </w:r>
      <w:r>
        <w:rPr>
          <w:sz w:val="18"/>
          <w:szCs w:val="18"/>
        </w:rPr>
        <w:t>适用</w:t>
      </w:r>
      <w:r>
        <w:rPr>
          <w:sz w:val="18"/>
          <w:szCs w:val="18"/>
        </w:rPr>
        <w:t xml:space="preserve"> □</w:t>
      </w:r>
      <w:r>
        <w:rPr>
          <w:sz w:val="18"/>
          <w:szCs w:val="18"/>
        </w:rPr>
        <w:t>不适用</w:t>
      </w:r>
    </w:p>
    <w:p w:rsidR="00E20B54" w:rsidRDefault="00733C9E">
      <w:pPr>
        <w:pStyle w:val="a3"/>
        <w:widowControl/>
        <w:spacing w:beforeAutospacing="0" w:afterAutospacing="0"/>
        <w:ind w:firstLine="360"/>
        <w:jc w:val="both"/>
        <w:rPr>
          <w:sz w:val="21"/>
          <w:szCs w:val="21"/>
        </w:rPr>
      </w:pPr>
      <w:r>
        <w:rPr>
          <w:color w:val="000000"/>
          <w:sz w:val="21"/>
          <w:szCs w:val="21"/>
        </w:rPr>
        <w:t>报告期内，基于经营调整，公司注销了惠州市天亿马信息技术有限公司和控股子公司重庆天亿马信息技术有限公司，转让了子公司靖州亿道电力有限公司（曾用名：湖南亿道电力有限公司）</w:t>
      </w:r>
      <w:r>
        <w:rPr>
          <w:color w:val="000000"/>
          <w:sz w:val="21"/>
          <w:szCs w:val="21"/>
        </w:rPr>
        <w:t>65%</w:t>
      </w:r>
      <w:r>
        <w:rPr>
          <w:color w:val="000000"/>
          <w:sz w:val="21"/>
          <w:szCs w:val="21"/>
        </w:rPr>
        <w:t>股权。此外合并范围没有发生变化。</w:t>
      </w:r>
    </w:p>
    <w:p w:rsidR="00E20B54" w:rsidRDefault="00733C9E">
      <w:pPr>
        <w:pStyle w:val="2"/>
        <w:spacing w:before="300" w:after="300" w:line="320" w:lineRule="exact"/>
        <w:rPr>
          <w:b/>
          <w:bCs/>
          <w:sz w:val="24"/>
          <w:szCs w:val="24"/>
        </w:rPr>
      </w:pPr>
      <w:bookmarkStart w:id="99" w:name="_Toc988988"/>
      <w:r>
        <w:rPr>
          <w:b/>
          <w:bCs/>
          <w:sz w:val="24"/>
          <w:szCs w:val="24"/>
        </w:rPr>
        <w:t>八、聘任、解聘会计师事务所情况</w:t>
      </w:r>
      <w:bookmarkEnd w:id="99"/>
    </w:p>
    <w:p w:rsidR="00E20B54" w:rsidRDefault="00733C9E">
      <w:pPr>
        <w:spacing w:before="40" w:after="40" w:line="240" w:lineRule="exact"/>
        <w:rPr>
          <w:sz w:val="18"/>
          <w:szCs w:val="18"/>
        </w:rPr>
      </w:pPr>
      <w:r>
        <w:rPr>
          <w:sz w:val="18"/>
          <w:szCs w:val="18"/>
        </w:rPr>
        <w:t>现聘任的会计师事务所</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4820"/>
        <w:gridCol w:w="4819"/>
      </w:tblGrid>
      <w:tr w:rsidR="00E20B54">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境内会计师事务所名称</w:t>
            </w:r>
          </w:p>
        </w:tc>
        <w:tc>
          <w:tcPr>
            <w:tcW w:w="482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中审亚太会计师事务所（特殊普通合伙）</w:t>
            </w:r>
          </w:p>
        </w:tc>
      </w:tr>
      <w:tr w:rsidR="00E20B54">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境内会计师事务所报酬（万元）</w:t>
            </w:r>
          </w:p>
        </w:tc>
        <w:tc>
          <w:tcPr>
            <w:tcW w:w="482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62</w:t>
            </w:r>
          </w:p>
        </w:tc>
      </w:tr>
      <w:tr w:rsidR="00E20B54">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境内会计师事务所审计服务的连续年限</w:t>
            </w:r>
          </w:p>
        </w:tc>
        <w:tc>
          <w:tcPr>
            <w:tcW w:w="482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3</w:t>
            </w:r>
          </w:p>
        </w:tc>
      </w:tr>
      <w:tr w:rsidR="00E20B54">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境内会计师事务所注册会计师姓名</w:t>
            </w:r>
          </w:p>
        </w:tc>
        <w:tc>
          <w:tcPr>
            <w:tcW w:w="482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肖建鑫、王骏</w:t>
            </w:r>
          </w:p>
        </w:tc>
      </w:tr>
      <w:tr w:rsidR="00E20B54">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境内会计师事务所注册会计师审计服务的连续年限</w:t>
            </w:r>
          </w:p>
        </w:tc>
        <w:tc>
          <w:tcPr>
            <w:tcW w:w="482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3</w:t>
            </w:r>
          </w:p>
        </w:tc>
      </w:tr>
      <w:tr w:rsidR="00E20B54">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境外会计师事务所名称（如有）</w:t>
            </w:r>
          </w:p>
        </w:tc>
        <w:tc>
          <w:tcPr>
            <w:tcW w:w="482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无</w:t>
            </w:r>
          </w:p>
        </w:tc>
      </w:tr>
      <w:tr w:rsidR="00E20B54">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境外会计师事务所报酬（万元）（如有）</w:t>
            </w:r>
          </w:p>
        </w:tc>
        <w:tc>
          <w:tcPr>
            <w:tcW w:w="482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w:t>
            </w:r>
          </w:p>
        </w:tc>
      </w:tr>
      <w:tr w:rsidR="00E20B54">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境外会计师事务所审计服务的连续年限（如有）</w:t>
            </w:r>
          </w:p>
        </w:tc>
        <w:tc>
          <w:tcPr>
            <w:tcW w:w="482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0</w:t>
            </w:r>
          </w:p>
        </w:tc>
      </w:tr>
      <w:tr w:rsidR="00E20B54">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境外会计师事务所注册会计师姓名（如有）</w:t>
            </w:r>
          </w:p>
        </w:tc>
        <w:tc>
          <w:tcPr>
            <w:tcW w:w="482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不适用</w:t>
            </w:r>
          </w:p>
        </w:tc>
      </w:tr>
      <w:tr w:rsidR="00E20B54">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境外会计师事务所注册会计师审计服务的连续年限（如有）</w:t>
            </w:r>
          </w:p>
        </w:tc>
        <w:tc>
          <w:tcPr>
            <w:tcW w:w="482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不适用</w:t>
            </w:r>
          </w:p>
        </w:tc>
      </w:tr>
    </w:tbl>
    <w:p w:rsidR="00E20B54" w:rsidRDefault="00733C9E">
      <w:pPr>
        <w:spacing w:before="100" w:after="100" w:line="240" w:lineRule="exact"/>
        <w:rPr>
          <w:sz w:val="18"/>
          <w:szCs w:val="18"/>
        </w:rPr>
      </w:pPr>
      <w:r>
        <w:rPr>
          <w:sz w:val="18"/>
          <w:szCs w:val="18"/>
        </w:rPr>
        <w:t>是否改聘会计师事务所</w:t>
      </w:r>
    </w:p>
    <w:p w:rsidR="00E20B54" w:rsidRDefault="00733C9E">
      <w:pPr>
        <w:spacing w:before="100" w:after="100" w:line="240" w:lineRule="exact"/>
        <w:rPr>
          <w:sz w:val="18"/>
          <w:szCs w:val="18"/>
        </w:rPr>
      </w:pPr>
      <w:r>
        <w:rPr>
          <w:sz w:val="18"/>
          <w:szCs w:val="18"/>
        </w:rPr>
        <w:t>□</w:t>
      </w:r>
      <w:r>
        <w:rPr>
          <w:sz w:val="18"/>
          <w:szCs w:val="18"/>
        </w:rPr>
        <w:t>是</w:t>
      </w:r>
      <w:r>
        <w:rPr>
          <w:sz w:val="18"/>
          <w:szCs w:val="18"/>
        </w:rPr>
        <w:t xml:space="preserve"> </w:t>
      </w:r>
      <w:r>
        <w:rPr>
          <w:sz w:val="18"/>
          <w:szCs w:val="18"/>
        </w:rPr>
        <w:sym w:font="Wingdings 2" w:char="F052"/>
      </w:r>
      <w:r>
        <w:rPr>
          <w:sz w:val="18"/>
          <w:szCs w:val="18"/>
        </w:rPr>
        <w:t>否</w:t>
      </w:r>
    </w:p>
    <w:p w:rsidR="00E20B54" w:rsidRDefault="00733C9E">
      <w:pPr>
        <w:spacing w:before="100" w:after="100" w:line="240" w:lineRule="exact"/>
        <w:rPr>
          <w:sz w:val="18"/>
          <w:szCs w:val="18"/>
        </w:rPr>
      </w:pPr>
      <w:r>
        <w:rPr>
          <w:sz w:val="18"/>
          <w:szCs w:val="18"/>
        </w:rPr>
        <w:t>聘请内部控制审计会计师事务所、财务顾问或保荐人情况</w:t>
      </w:r>
    </w:p>
    <w:p w:rsidR="00E20B54" w:rsidRDefault="00733C9E">
      <w:pPr>
        <w:spacing w:before="100" w:after="100" w:line="240" w:lineRule="exact"/>
        <w:rPr>
          <w:sz w:val="18"/>
          <w:szCs w:val="18"/>
        </w:rPr>
      </w:pPr>
      <w:r>
        <w:rPr>
          <w:sz w:val="18"/>
          <w:szCs w:val="18"/>
        </w:rPr>
        <w:sym w:font="Wingdings 2" w:char="F052"/>
      </w:r>
      <w:r>
        <w:rPr>
          <w:sz w:val="18"/>
          <w:szCs w:val="18"/>
        </w:rPr>
        <w:t>适用</w:t>
      </w:r>
      <w:r>
        <w:rPr>
          <w:sz w:val="18"/>
          <w:szCs w:val="18"/>
        </w:rPr>
        <w:t xml:space="preserve"> □</w:t>
      </w:r>
      <w:r>
        <w:rPr>
          <w:sz w:val="18"/>
          <w:szCs w:val="18"/>
        </w:rPr>
        <w:t>不适用</w:t>
      </w:r>
    </w:p>
    <w:p w:rsidR="00E20B54" w:rsidRDefault="00733C9E">
      <w:pPr>
        <w:pStyle w:val="a3"/>
        <w:widowControl/>
        <w:spacing w:before="156" w:beforeAutospacing="0" w:after="156" w:afterAutospacing="0"/>
        <w:ind w:firstLine="420"/>
        <w:jc w:val="both"/>
        <w:rPr>
          <w:szCs w:val="24"/>
        </w:rPr>
      </w:pPr>
      <w:r>
        <w:rPr>
          <w:sz w:val="21"/>
          <w:szCs w:val="21"/>
        </w:rPr>
        <w:t>经公司第四届董事会第三次会议、</w:t>
      </w:r>
      <w:r>
        <w:rPr>
          <w:sz w:val="21"/>
          <w:szCs w:val="21"/>
        </w:rPr>
        <w:t>2025</w:t>
      </w:r>
      <w:r>
        <w:rPr>
          <w:sz w:val="21"/>
          <w:szCs w:val="21"/>
        </w:rPr>
        <w:t>年第三次临时股东会审议通过，同意续聘中审亚太会计师事务所（特殊普通合伙）为公司</w:t>
      </w:r>
      <w:r>
        <w:rPr>
          <w:sz w:val="21"/>
          <w:szCs w:val="21"/>
        </w:rPr>
        <w:t>2025</w:t>
      </w:r>
      <w:r>
        <w:rPr>
          <w:sz w:val="21"/>
          <w:szCs w:val="21"/>
        </w:rPr>
        <w:t>年度审计机构，为公司年度财务报告、内部控制情况进行审计并出具审计意见。</w:t>
      </w:r>
    </w:p>
    <w:p w:rsidR="00E20B54" w:rsidRDefault="00733C9E">
      <w:pPr>
        <w:pStyle w:val="2"/>
        <w:spacing w:before="300" w:after="300" w:line="320" w:lineRule="exact"/>
        <w:rPr>
          <w:b/>
          <w:bCs/>
          <w:sz w:val="24"/>
          <w:szCs w:val="24"/>
        </w:rPr>
      </w:pPr>
      <w:bookmarkStart w:id="100" w:name="_Toc988989"/>
      <w:r>
        <w:rPr>
          <w:b/>
          <w:bCs/>
          <w:sz w:val="24"/>
          <w:szCs w:val="24"/>
        </w:rPr>
        <w:t>九、年度报告披露后面临退市情况</w:t>
      </w:r>
      <w:bookmarkEnd w:id="100"/>
    </w:p>
    <w:p w:rsidR="00E20B54" w:rsidRDefault="00733C9E">
      <w:pPr>
        <w:spacing w:before="100" w:after="100" w:line="240" w:lineRule="exact"/>
        <w:rPr>
          <w:sz w:val="18"/>
          <w:szCs w:val="18"/>
        </w:rPr>
      </w:pPr>
      <w:r>
        <w:rPr>
          <w:sz w:val="18"/>
          <w:szCs w:val="18"/>
        </w:rPr>
        <w:t>□</w:t>
      </w:r>
      <w:r>
        <w:rPr>
          <w:sz w:val="18"/>
          <w:szCs w:val="18"/>
        </w:rPr>
        <w:t>适用</w:t>
      </w:r>
      <w:r>
        <w:rPr>
          <w:sz w:val="18"/>
          <w:szCs w:val="18"/>
        </w:rPr>
        <w:t xml:space="preserve"> </w:t>
      </w:r>
      <w:r>
        <w:rPr>
          <w:sz w:val="18"/>
          <w:szCs w:val="18"/>
        </w:rPr>
        <w:sym w:font="Wingdings 2" w:char="F052"/>
      </w:r>
      <w:r>
        <w:rPr>
          <w:sz w:val="18"/>
          <w:szCs w:val="18"/>
        </w:rPr>
        <w:t>不适用</w:t>
      </w:r>
    </w:p>
    <w:p w:rsidR="00E20B54" w:rsidRDefault="00733C9E">
      <w:pPr>
        <w:pStyle w:val="2"/>
        <w:spacing w:before="300" w:after="300" w:line="320" w:lineRule="exact"/>
        <w:rPr>
          <w:b/>
          <w:bCs/>
          <w:sz w:val="24"/>
          <w:szCs w:val="24"/>
        </w:rPr>
      </w:pPr>
      <w:bookmarkStart w:id="101" w:name="_Toc988990"/>
      <w:r>
        <w:rPr>
          <w:b/>
          <w:bCs/>
          <w:sz w:val="24"/>
          <w:szCs w:val="24"/>
        </w:rPr>
        <w:lastRenderedPageBreak/>
        <w:t>十、破产重整相关事项</w:t>
      </w:r>
      <w:bookmarkEnd w:id="101"/>
    </w:p>
    <w:p w:rsidR="00E20B54" w:rsidRDefault="00733C9E">
      <w:pPr>
        <w:spacing w:before="100" w:after="100" w:line="240" w:lineRule="exact"/>
        <w:rPr>
          <w:sz w:val="18"/>
          <w:szCs w:val="18"/>
        </w:rPr>
      </w:pPr>
      <w:r>
        <w:rPr>
          <w:sz w:val="18"/>
          <w:szCs w:val="18"/>
        </w:rPr>
        <w:t>□</w:t>
      </w:r>
      <w:r>
        <w:rPr>
          <w:sz w:val="18"/>
          <w:szCs w:val="18"/>
        </w:rPr>
        <w:t>适用</w:t>
      </w:r>
      <w:r>
        <w:rPr>
          <w:sz w:val="18"/>
          <w:szCs w:val="18"/>
        </w:rPr>
        <w:t xml:space="preserve"> </w:t>
      </w:r>
      <w:r>
        <w:rPr>
          <w:sz w:val="18"/>
          <w:szCs w:val="18"/>
        </w:rPr>
        <w:sym w:font="Wingdings 2" w:char="F052"/>
      </w:r>
      <w:r>
        <w:rPr>
          <w:sz w:val="18"/>
          <w:szCs w:val="18"/>
        </w:rPr>
        <w:t>不适用</w:t>
      </w:r>
    </w:p>
    <w:p w:rsidR="00E20B54" w:rsidRDefault="00733C9E">
      <w:pPr>
        <w:spacing w:before="40" w:after="40" w:line="240" w:lineRule="exact"/>
        <w:rPr>
          <w:sz w:val="18"/>
          <w:szCs w:val="18"/>
        </w:rPr>
      </w:pPr>
      <w:r>
        <w:rPr>
          <w:sz w:val="18"/>
          <w:szCs w:val="18"/>
        </w:rPr>
        <w:t>公司报告期未发生破产重整相关事项。</w:t>
      </w:r>
    </w:p>
    <w:p w:rsidR="00E20B54" w:rsidRDefault="00733C9E">
      <w:pPr>
        <w:pStyle w:val="2"/>
        <w:spacing w:before="300" w:after="300" w:line="320" w:lineRule="exact"/>
        <w:rPr>
          <w:b/>
          <w:bCs/>
          <w:sz w:val="24"/>
          <w:szCs w:val="24"/>
        </w:rPr>
      </w:pPr>
      <w:bookmarkStart w:id="102" w:name="_Toc988991"/>
      <w:r>
        <w:rPr>
          <w:b/>
          <w:bCs/>
          <w:sz w:val="24"/>
          <w:szCs w:val="24"/>
        </w:rPr>
        <w:t>十一、重大诉讼、仲裁事项</w:t>
      </w:r>
      <w:bookmarkEnd w:id="102"/>
    </w:p>
    <w:p w:rsidR="00E20B54" w:rsidRDefault="00733C9E">
      <w:pPr>
        <w:spacing w:before="40" w:after="40" w:line="240" w:lineRule="exact"/>
        <w:rPr>
          <w:sz w:val="18"/>
          <w:szCs w:val="18"/>
        </w:rPr>
      </w:pPr>
      <w:r>
        <w:rPr>
          <w:sz w:val="18"/>
          <w:szCs w:val="18"/>
        </w:rPr>
        <w:t>□</w:t>
      </w:r>
      <w:r>
        <w:rPr>
          <w:sz w:val="18"/>
          <w:szCs w:val="18"/>
        </w:rPr>
        <w:t>适用</w:t>
      </w:r>
      <w:r>
        <w:rPr>
          <w:sz w:val="18"/>
          <w:szCs w:val="18"/>
        </w:rPr>
        <w:t xml:space="preserve"> </w:t>
      </w:r>
      <w:r>
        <w:rPr>
          <w:sz w:val="18"/>
          <w:szCs w:val="18"/>
        </w:rPr>
        <w:sym w:font="Wingdings 2" w:char="F052"/>
      </w:r>
      <w:r>
        <w:rPr>
          <w:sz w:val="18"/>
          <w:szCs w:val="18"/>
        </w:rPr>
        <w:t>不适用</w:t>
      </w:r>
    </w:p>
    <w:p w:rsidR="00E20B54" w:rsidRDefault="00733C9E">
      <w:pPr>
        <w:spacing w:before="100" w:after="100" w:line="240" w:lineRule="exact"/>
        <w:rPr>
          <w:sz w:val="18"/>
          <w:szCs w:val="18"/>
        </w:rPr>
      </w:pPr>
      <w:r>
        <w:rPr>
          <w:sz w:val="18"/>
          <w:szCs w:val="18"/>
        </w:rPr>
        <w:t>本年度公司无重大诉讼、仲裁事项。</w:t>
      </w:r>
    </w:p>
    <w:p w:rsidR="00E20B54" w:rsidRDefault="00733C9E">
      <w:pPr>
        <w:pStyle w:val="2"/>
        <w:spacing w:before="300" w:after="300" w:line="320" w:lineRule="exact"/>
        <w:rPr>
          <w:b/>
          <w:bCs/>
          <w:sz w:val="24"/>
          <w:szCs w:val="24"/>
        </w:rPr>
      </w:pPr>
      <w:bookmarkStart w:id="103" w:name="_Toc988992"/>
      <w:r>
        <w:rPr>
          <w:b/>
          <w:bCs/>
          <w:sz w:val="24"/>
          <w:szCs w:val="24"/>
        </w:rPr>
        <w:t>十二、处罚及整改情况</w:t>
      </w:r>
      <w:bookmarkEnd w:id="103"/>
    </w:p>
    <w:p w:rsidR="00E20B54" w:rsidRDefault="00733C9E">
      <w:pPr>
        <w:spacing w:before="40" w:after="40" w:line="240" w:lineRule="exact"/>
        <w:rPr>
          <w:sz w:val="18"/>
          <w:szCs w:val="18"/>
        </w:rPr>
      </w:pPr>
      <w:r>
        <w:rPr>
          <w:sz w:val="18"/>
          <w:szCs w:val="18"/>
        </w:rPr>
        <w:t>□</w:t>
      </w:r>
      <w:r>
        <w:rPr>
          <w:sz w:val="18"/>
          <w:szCs w:val="18"/>
        </w:rPr>
        <w:t>适用</w:t>
      </w:r>
      <w:r>
        <w:rPr>
          <w:sz w:val="18"/>
          <w:szCs w:val="18"/>
        </w:rPr>
        <w:t xml:space="preserve"> </w:t>
      </w:r>
      <w:r>
        <w:rPr>
          <w:sz w:val="18"/>
          <w:szCs w:val="18"/>
        </w:rPr>
        <w:sym w:font="Wingdings 2" w:char="F052"/>
      </w:r>
      <w:r>
        <w:rPr>
          <w:sz w:val="18"/>
          <w:szCs w:val="18"/>
        </w:rPr>
        <w:t>不适用</w:t>
      </w:r>
    </w:p>
    <w:p w:rsidR="00E20B54" w:rsidRDefault="00733C9E">
      <w:pPr>
        <w:spacing w:before="100" w:after="100" w:line="240" w:lineRule="exact"/>
        <w:rPr>
          <w:sz w:val="18"/>
          <w:szCs w:val="18"/>
        </w:rPr>
      </w:pPr>
      <w:r>
        <w:rPr>
          <w:sz w:val="18"/>
          <w:szCs w:val="18"/>
        </w:rPr>
        <w:t>公司报告期不存在处罚及整改情况。</w:t>
      </w:r>
    </w:p>
    <w:p w:rsidR="00E20B54" w:rsidRDefault="00733C9E">
      <w:pPr>
        <w:pStyle w:val="2"/>
        <w:spacing w:before="300" w:after="300" w:line="320" w:lineRule="exact"/>
        <w:rPr>
          <w:b/>
          <w:bCs/>
          <w:sz w:val="24"/>
          <w:szCs w:val="24"/>
        </w:rPr>
      </w:pPr>
      <w:bookmarkStart w:id="104" w:name="_Toc988993"/>
      <w:r>
        <w:rPr>
          <w:b/>
          <w:bCs/>
          <w:sz w:val="24"/>
          <w:szCs w:val="24"/>
        </w:rPr>
        <w:t>十三、公司及其控股股东、实际控制人的诚信状况</w:t>
      </w:r>
      <w:bookmarkEnd w:id="104"/>
    </w:p>
    <w:p w:rsidR="00E20B54" w:rsidRDefault="00733C9E">
      <w:pPr>
        <w:spacing w:before="100" w:after="100" w:line="240" w:lineRule="exact"/>
        <w:rPr>
          <w:sz w:val="18"/>
          <w:szCs w:val="18"/>
        </w:rPr>
      </w:pPr>
      <w:r>
        <w:rPr>
          <w:sz w:val="18"/>
          <w:szCs w:val="18"/>
        </w:rPr>
        <w:t>□</w:t>
      </w:r>
      <w:r>
        <w:rPr>
          <w:sz w:val="18"/>
          <w:szCs w:val="18"/>
        </w:rPr>
        <w:t>适用</w:t>
      </w:r>
      <w:r>
        <w:rPr>
          <w:sz w:val="18"/>
          <w:szCs w:val="18"/>
        </w:rPr>
        <w:t xml:space="preserve"> </w:t>
      </w:r>
      <w:r>
        <w:rPr>
          <w:sz w:val="18"/>
          <w:szCs w:val="18"/>
        </w:rPr>
        <w:sym w:font="Wingdings 2" w:char="F052"/>
      </w:r>
      <w:r>
        <w:rPr>
          <w:sz w:val="18"/>
          <w:szCs w:val="18"/>
        </w:rPr>
        <w:t>不适用</w:t>
      </w:r>
    </w:p>
    <w:p w:rsidR="00E20B54" w:rsidRDefault="00733C9E">
      <w:pPr>
        <w:pStyle w:val="2"/>
        <w:spacing w:before="300" w:after="300" w:line="320" w:lineRule="exact"/>
        <w:rPr>
          <w:b/>
          <w:bCs/>
          <w:sz w:val="24"/>
          <w:szCs w:val="24"/>
        </w:rPr>
      </w:pPr>
      <w:bookmarkStart w:id="105" w:name="_Toc988994"/>
      <w:r>
        <w:rPr>
          <w:b/>
          <w:bCs/>
          <w:sz w:val="24"/>
          <w:szCs w:val="24"/>
        </w:rPr>
        <w:t>十四、重大关联交易</w:t>
      </w:r>
      <w:bookmarkEnd w:id="105"/>
    </w:p>
    <w:p w:rsidR="00E20B54" w:rsidRDefault="00733C9E">
      <w:pPr>
        <w:pStyle w:val="3"/>
        <w:spacing w:line="280" w:lineRule="exact"/>
        <w:jc w:val="left"/>
        <w:rPr>
          <w:b/>
          <w:bCs/>
        </w:rPr>
      </w:pPr>
      <w:bookmarkStart w:id="106" w:name="_Toc988995"/>
      <w:r>
        <w:rPr>
          <w:b/>
          <w:bCs/>
        </w:rPr>
        <w:t>1</w:t>
      </w:r>
      <w:r>
        <w:rPr>
          <w:b/>
          <w:bCs/>
        </w:rPr>
        <w:t>、与日常经营相关的关联交易</w:t>
      </w:r>
      <w:bookmarkEnd w:id="106"/>
    </w:p>
    <w:p w:rsidR="00E20B54" w:rsidRDefault="00733C9E">
      <w:pPr>
        <w:spacing w:before="40" w:after="40" w:line="240" w:lineRule="exact"/>
        <w:rPr>
          <w:sz w:val="18"/>
          <w:szCs w:val="18"/>
        </w:rPr>
      </w:pPr>
      <w:r>
        <w:rPr>
          <w:sz w:val="18"/>
          <w:szCs w:val="18"/>
        </w:rPr>
        <w:t>□</w:t>
      </w:r>
      <w:r>
        <w:rPr>
          <w:sz w:val="18"/>
          <w:szCs w:val="18"/>
        </w:rPr>
        <w:t>适用</w:t>
      </w:r>
      <w:r>
        <w:rPr>
          <w:sz w:val="18"/>
          <w:szCs w:val="18"/>
        </w:rPr>
        <w:t xml:space="preserve"> </w:t>
      </w:r>
      <w:r>
        <w:rPr>
          <w:sz w:val="18"/>
          <w:szCs w:val="18"/>
        </w:rPr>
        <w:sym w:font="Wingdings 2" w:char="F052"/>
      </w:r>
      <w:r>
        <w:rPr>
          <w:sz w:val="18"/>
          <w:szCs w:val="18"/>
        </w:rPr>
        <w:t>不适用</w:t>
      </w:r>
    </w:p>
    <w:p w:rsidR="00E20B54" w:rsidRDefault="00733C9E">
      <w:pPr>
        <w:spacing w:before="40" w:after="40" w:line="240" w:lineRule="exact"/>
        <w:rPr>
          <w:sz w:val="18"/>
          <w:szCs w:val="18"/>
        </w:rPr>
      </w:pPr>
      <w:r>
        <w:rPr>
          <w:sz w:val="18"/>
          <w:szCs w:val="18"/>
        </w:rPr>
        <w:t>公司报告期未发生与日常经营相关的关联交易。</w:t>
      </w:r>
    </w:p>
    <w:p w:rsidR="00E20B54" w:rsidRDefault="00733C9E">
      <w:pPr>
        <w:pStyle w:val="3"/>
        <w:spacing w:line="280" w:lineRule="exact"/>
        <w:jc w:val="left"/>
        <w:rPr>
          <w:b/>
          <w:bCs/>
        </w:rPr>
      </w:pPr>
      <w:bookmarkStart w:id="107" w:name="_Toc988996"/>
      <w:r>
        <w:rPr>
          <w:b/>
          <w:bCs/>
        </w:rPr>
        <w:t>2</w:t>
      </w:r>
      <w:r>
        <w:rPr>
          <w:b/>
          <w:bCs/>
        </w:rPr>
        <w:t>、资产或股权收购、出售发生的关联交易</w:t>
      </w:r>
      <w:bookmarkEnd w:id="107"/>
    </w:p>
    <w:p w:rsidR="00E20B54" w:rsidRDefault="00733C9E">
      <w:pPr>
        <w:spacing w:before="40" w:after="40" w:line="240" w:lineRule="exact"/>
        <w:rPr>
          <w:sz w:val="18"/>
          <w:szCs w:val="18"/>
        </w:rPr>
      </w:pPr>
      <w:r>
        <w:rPr>
          <w:sz w:val="18"/>
          <w:szCs w:val="18"/>
        </w:rPr>
        <w:t>□</w:t>
      </w:r>
      <w:r>
        <w:rPr>
          <w:sz w:val="18"/>
          <w:szCs w:val="18"/>
        </w:rPr>
        <w:t>适用</w:t>
      </w:r>
      <w:r>
        <w:rPr>
          <w:sz w:val="18"/>
          <w:szCs w:val="18"/>
        </w:rPr>
        <w:t xml:space="preserve"> </w:t>
      </w:r>
      <w:r>
        <w:rPr>
          <w:sz w:val="18"/>
          <w:szCs w:val="18"/>
        </w:rPr>
        <w:sym w:font="Wingdings 2" w:char="F052"/>
      </w:r>
      <w:r>
        <w:rPr>
          <w:sz w:val="18"/>
          <w:szCs w:val="18"/>
        </w:rPr>
        <w:t>不适用</w:t>
      </w:r>
    </w:p>
    <w:p w:rsidR="00E20B54" w:rsidRDefault="00733C9E">
      <w:pPr>
        <w:spacing w:before="100" w:after="100" w:line="240" w:lineRule="exact"/>
        <w:rPr>
          <w:sz w:val="18"/>
          <w:szCs w:val="18"/>
        </w:rPr>
      </w:pPr>
      <w:r>
        <w:rPr>
          <w:sz w:val="18"/>
          <w:szCs w:val="18"/>
        </w:rPr>
        <w:t>公司报告期未发生资产或股权收购、出售的关联交易。</w:t>
      </w:r>
    </w:p>
    <w:p w:rsidR="00E20B54" w:rsidRDefault="00733C9E">
      <w:pPr>
        <w:pStyle w:val="3"/>
        <w:spacing w:line="280" w:lineRule="exact"/>
        <w:jc w:val="left"/>
        <w:rPr>
          <w:b/>
          <w:bCs/>
        </w:rPr>
      </w:pPr>
      <w:bookmarkStart w:id="108" w:name="_Toc988997"/>
      <w:r>
        <w:rPr>
          <w:b/>
          <w:bCs/>
        </w:rPr>
        <w:t>3</w:t>
      </w:r>
      <w:r>
        <w:rPr>
          <w:b/>
          <w:bCs/>
        </w:rPr>
        <w:t>、共同对外投资的关联交易</w:t>
      </w:r>
      <w:bookmarkEnd w:id="108"/>
    </w:p>
    <w:p w:rsidR="00E20B54" w:rsidRDefault="00733C9E">
      <w:pPr>
        <w:spacing w:before="40" w:after="40" w:line="240" w:lineRule="exact"/>
        <w:rPr>
          <w:sz w:val="18"/>
          <w:szCs w:val="18"/>
        </w:rPr>
      </w:pPr>
      <w:r>
        <w:rPr>
          <w:sz w:val="18"/>
          <w:szCs w:val="18"/>
        </w:rPr>
        <w:t>□</w:t>
      </w:r>
      <w:r>
        <w:rPr>
          <w:sz w:val="18"/>
          <w:szCs w:val="18"/>
        </w:rPr>
        <w:t>适用</w:t>
      </w:r>
      <w:r>
        <w:rPr>
          <w:sz w:val="18"/>
          <w:szCs w:val="18"/>
        </w:rPr>
        <w:t xml:space="preserve"> </w:t>
      </w:r>
      <w:r>
        <w:rPr>
          <w:sz w:val="18"/>
          <w:szCs w:val="18"/>
        </w:rPr>
        <w:sym w:font="Wingdings 2" w:char="F052"/>
      </w:r>
      <w:r>
        <w:rPr>
          <w:sz w:val="18"/>
          <w:szCs w:val="18"/>
        </w:rPr>
        <w:t>不适用</w:t>
      </w:r>
    </w:p>
    <w:p w:rsidR="00E20B54" w:rsidRDefault="00733C9E">
      <w:pPr>
        <w:spacing w:before="40" w:after="40" w:line="240" w:lineRule="exact"/>
        <w:rPr>
          <w:sz w:val="18"/>
          <w:szCs w:val="18"/>
        </w:rPr>
      </w:pPr>
      <w:r>
        <w:rPr>
          <w:sz w:val="18"/>
          <w:szCs w:val="18"/>
        </w:rPr>
        <w:t>公司报告期未发生共同对外投资的关联交易。</w:t>
      </w:r>
    </w:p>
    <w:p w:rsidR="00E20B54" w:rsidRDefault="00733C9E">
      <w:pPr>
        <w:pStyle w:val="3"/>
        <w:spacing w:line="280" w:lineRule="exact"/>
        <w:jc w:val="left"/>
        <w:rPr>
          <w:b/>
          <w:bCs/>
        </w:rPr>
      </w:pPr>
      <w:bookmarkStart w:id="109" w:name="_Toc988998"/>
      <w:r>
        <w:rPr>
          <w:b/>
          <w:bCs/>
        </w:rPr>
        <w:t>4</w:t>
      </w:r>
      <w:r>
        <w:rPr>
          <w:b/>
          <w:bCs/>
        </w:rPr>
        <w:t>、关联债权债务往来</w:t>
      </w:r>
      <w:bookmarkEnd w:id="109"/>
    </w:p>
    <w:p w:rsidR="00E20B54" w:rsidRDefault="00733C9E">
      <w:pPr>
        <w:spacing w:before="100" w:after="100" w:line="240" w:lineRule="exact"/>
        <w:rPr>
          <w:sz w:val="18"/>
          <w:szCs w:val="18"/>
        </w:rPr>
      </w:pPr>
      <w:r>
        <w:rPr>
          <w:sz w:val="18"/>
          <w:szCs w:val="18"/>
        </w:rPr>
        <w:t>□</w:t>
      </w:r>
      <w:r>
        <w:rPr>
          <w:sz w:val="18"/>
          <w:szCs w:val="18"/>
        </w:rPr>
        <w:t>适用</w:t>
      </w:r>
      <w:r>
        <w:rPr>
          <w:sz w:val="18"/>
          <w:szCs w:val="18"/>
        </w:rPr>
        <w:t xml:space="preserve"> </w:t>
      </w:r>
      <w:r>
        <w:rPr>
          <w:sz w:val="18"/>
          <w:szCs w:val="18"/>
        </w:rPr>
        <w:sym w:font="Wingdings 2" w:char="F052"/>
      </w:r>
      <w:r>
        <w:rPr>
          <w:sz w:val="18"/>
          <w:szCs w:val="18"/>
        </w:rPr>
        <w:t>不适用</w:t>
      </w:r>
    </w:p>
    <w:p w:rsidR="00E20B54" w:rsidRDefault="00733C9E">
      <w:pPr>
        <w:spacing w:before="100" w:after="100" w:line="240" w:lineRule="exact"/>
        <w:rPr>
          <w:sz w:val="18"/>
          <w:szCs w:val="18"/>
        </w:rPr>
      </w:pPr>
      <w:r>
        <w:rPr>
          <w:sz w:val="18"/>
          <w:szCs w:val="18"/>
        </w:rPr>
        <w:t>公司报告期不存在关联债权债务往来。</w:t>
      </w:r>
    </w:p>
    <w:p w:rsidR="00E20B54" w:rsidRDefault="00733C9E">
      <w:pPr>
        <w:pStyle w:val="3"/>
        <w:spacing w:line="280" w:lineRule="exact"/>
        <w:jc w:val="left"/>
        <w:rPr>
          <w:b/>
          <w:bCs/>
        </w:rPr>
      </w:pPr>
      <w:bookmarkStart w:id="110" w:name="_Toc988999"/>
      <w:r>
        <w:rPr>
          <w:b/>
          <w:bCs/>
        </w:rPr>
        <w:t>5</w:t>
      </w:r>
      <w:r>
        <w:rPr>
          <w:b/>
          <w:bCs/>
        </w:rPr>
        <w:t>、与存在关联关系的财务公司的往来情况</w:t>
      </w:r>
      <w:bookmarkEnd w:id="110"/>
    </w:p>
    <w:p w:rsidR="00E20B54" w:rsidRDefault="00733C9E">
      <w:pPr>
        <w:spacing w:before="40" w:after="40" w:line="240" w:lineRule="exact"/>
        <w:rPr>
          <w:sz w:val="18"/>
          <w:szCs w:val="18"/>
        </w:rPr>
      </w:pPr>
      <w:r>
        <w:rPr>
          <w:sz w:val="18"/>
          <w:szCs w:val="18"/>
        </w:rPr>
        <w:t>□</w:t>
      </w:r>
      <w:r>
        <w:rPr>
          <w:sz w:val="18"/>
          <w:szCs w:val="18"/>
        </w:rPr>
        <w:t>适用</w:t>
      </w:r>
      <w:r>
        <w:rPr>
          <w:sz w:val="18"/>
          <w:szCs w:val="18"/>
        </w:rPr>
        <w:t xml:space="preserve"> </w:t>
      </w:r>
      <w:r>
        <w:rPr>
          <w:sz w:val="18"/>
          <w:szCs w:val="18"/>
        </w:rPr>
        <w:sym w:font="Wingdings 2" w:char="F052"/>
      </w:r>
      <w:r>
        <w:rPr>
          <w:sz w:val="18"/>
          <w:szCs w:val="18"/>
        </w:rPr>
        <w:t>不适用</w:t>
      </w:r>
    </w:p>
    <w:p w:rsidR="00E20B54" w:rsidRDefault="00733C9E">
      <w:pPr>
        <w:spacing w:before="40" w:after="40" w:line="240" w:lineRule="exact"/>
        <w:rPr>
          <w:sz w:val="18"/>
          <w:szCs w:val="18"/>
        </w:rPr>
      </w:pPr>
      <w:r>
        <w:rPr>
          <w:sz w:val="18"/>
          <w:szCs w:val="18"/>
        </w:rPr>
        <w:t>公司与存在关联关系的财务公司与关联方之间不存在存款、贷款、授信或其他金融业务。</w:t>
      </w:r>
    </w:p>
    <w:p w:rsidR="00E20B54" w:rsidRDefault="00733C9E">
      <w:pPr>
        <w:pStyle w:val="3"/>
        <w:spacing w:line="280" w:lineRule="exact"/>
        <w:jc w:val="left"/>
        <w:rPr>
          <w:b/>
          <w:bCs/>
        </w:rPr>
      </w:pPr>
      <w:bookmarkStart w:id="111" w:name="_Toc989000"/>
      <w:r>
        <w:rPr>
          <w:b/>
          <w:bCs/>
        </w:rPr>
        <w:lastRenderedPageBreak/>
        <w:t>6</w:t>
      </w:r>
      <w:r>
        <w:rPr>
          <w:b/>
          <w:bCs/>
        </w:rPr>
        <w:t>、公司控股的财务公司与关联方的往来情况</w:t>
      </w:r>
      <w:bookmarkEnd w:id="111"/>
    </w:p>
    <w:p w:rsidR="00E20B54" w:rsidRDefault="00733C9E">
      <w:pPr>
        <w:spacing w:before="40" w:after="40" w:line="240" w:lineRule="exact"/>
        <w:rPr>
          <w:sz w:val="18"/>
          <w:szCs w:val="18"/>
        </w:rPr>
      </w:pPr>
      <w:r>
        <w:rPr>
          <w:sz w:val="18"/>
          <w:szCs w:val="18"/>
        </w:rPr>
        <w:t>□</w:t>
      </w:r>
      <w:r>
        <w:rPr>
          <w:sz w:val="18"/>
          <w:szCs w:val="18"/>
        </w:rPr>
        <w:t>适用</w:t>
      </w:r>
      <w:r>
        <w:rPr>
          <w:sz w:val="18"/>
          <w:szCs w:val="18"/>
        </w:rPr>
        <w:t xml:space="preserve"> </w:t>
      </w:r>
      <w:r>
        <w:rPr>
          <w:sz w:val="18"/>
          <w:szCs w:val="18"/>
        </w:rPr>
        <w:sym w:font="Wingdings 2" w:char="F052"/>
      </w:r>
      <w:r>
        <w:rPr>
          <w:sz w:val="18"/>
          <w:szCs w:val="18"/>
        </w:rPr>
        <w:t>不适用</w:t>
      </w:r>
    </w:p>
    <w:p w:rsidR="00E20B54" w:rsidRDefault="00E20B54">
      <w:pPr>
        <w:spacing w:before="40" w:after="40" w:line="0" w:lineRule="atLeast"/>
      </w:pPr>
    </w:p>
    <w:p w:rsidR="00E20B54" w:rsidRDefault="00733C9E">
      <w:pPr>
        <w:spacing w:before="40" w:after="40" w:line="240" w:lineRule="exact"/>
        <w:rPr>
          <w:sz w:val="18"/>
          <w:szCs w:val="18"/>
        </w:rPr>
      </w:pPr>
      <w:r>
        <w:rPr>
          <w:sz w:val="18"/>
          <w:szCs w:val="18"/>
        </w:rPr>
        <w:t>公司控股的财务公司与关联方之间不存在存款、贷款、授信或其他金融业务。</w:t>
      </w:r>
    </w:p>
    <w:p w:rsidR="00E20B54" w:rsidRDefault="00733C9E">
      <w:pPr>
        <w:pStyle w:val="3"/>
        <w:spacing w:line="280" w:lineRule="exact"/>
        <w:jc w:val="left"/>
        <w:rPr>
          <w:b/>
          <w:bCs/>
        </w:rPr>
      </w:pPr>
      <w:bookmarkStart w:id="112" w:name="_Toc989001"/>
      <w:r>
        <w:rPr>
          <w:b/>
          <w:bCs/>
        </w:rPr>
        <w:t>7</w:t>
      </w:r>
      <w:r>
        <w:rPr>
          <w:b/>
          <w:bCs/>
        </w:rPr>
        <w:t>、其他重大关联交易</w:t>
      </w:r>
      <w:bookmarkEnd w:id="112"/>
    </w:p>
    <w:p w:rsidR="00E20B54" w:rsidRDefault="00733C9E">
      <w:pPr>
        <w:spacing w:before="100" w:after="100" w:line="240" w:lineRule="exact"/>
        <w:rPr>
          <w:sz w:val="18"/>
          <w:szCs w:val="18"/>
        </w:rPr>
      </w:pPr>
      <w:r>
        <w:rPr>
          <w:sz w:val="18"/>
          <w:szCs w:val="18"/>
        </w:rPr>
        <w:t>□</w:t>
      </w:r>
      <w:r>
        <w:rPr>
          <w:sz w:val="18"/>
          <w:szCs w:val="18"/>
        </w:rPr>
        <w:t>适用</w:t>
      </w:r>
      <w:r>
        <w:rPr>
          <w:sz w:val="18"/>
          <w:szCs w:val="18"/>
        </w:rPr>
        <w:t xml:space="preserve"> </w:t>
      </w:r>
      <w:r>
        <w:rPr>
          <w:sz w:val="18"/>
          <w:szCs w:val="18"/>
        </w:rPr>
        <w:sym w:font="Wingdings 2" w:char="F052"/>
      </w:r>
      <w:r>
        <w:rPr>
          <w:sz w:val="18"/>
          <w:szCs w:val="18"/>
        </w:rPr>
        <w:t>不适用</w:t>
      </w:r>
    </w:p>
    <w:p w:rsidR="00E20B54" w:rsidRDefault="00733C9E">
      <w:pPr>
        <w:spacing w:before="100" w:after="100" w:line="240" w:lineRule="exact"/>
        <w:rPr>
          <w:sz w:val="18"/>
          <w:szCs w:val="18"/>
        </w:rPr>
      </w:pPr>
      <w:r>
        <w:rPr>
          <w:sz w:val="18"/>
          <w:szCs w:val="18"/>
        </w:rPr>
        <w:t>公司报告期无其他重大关联交易。</w:t>
      </w:r>
    </w:p>
    <w:p w:rsidR="00E20B54" w:rsidRDefault="00733C9E">
      <w:pPr>
        <w:pStyle w:val="2"/>
        <w:spacing w:before="300" w:after="300" w:line="320" w:lineRule="exact"/>
        <w:rPr>
          <w:b/>
          <w:bCs/>
          <w:sz w:val="24"/>
          <w:szCs w:val="24"/>
        </w:rPr>
      </w:pPr>
      <w:bookmarkStart w:id="113" w:name="_Toc989002"/>
      <w:r>
        <w:rPr>
          <w:b/>
          <w:bCs/>
          <w:sz w:val="24"/>
          <w:szCs w:val="24"/>
        </w:rPr>
        <w:t>十五、重大合同及其履行情况</w:t>
      </w:r>
      <w:bookmarkEnd w:id="113"/>
    </w:p>
    <w:p w:rsidR="00E20B54" w:rsidRDefault="00733C9E">
      <w:pPr>
        <w:pStyle w:val="3"/>
        <w:spacing w:line="280" w:lineRule="exact"/>
        <w:jc w:val="left"/>
        <w:rPr>
          <w:b/>
          <w:bCs/>
        </w:rPr>
      </w:pPr>
      <w:bookmarkStart w:id="114" w:name="_Toc989003"/>
      <w:r>
        <w:rPr>
          <w:b/>
          <w:bCs/>
        </w:rPr>
        <w:t>1</w:t>
      </w:r>
      <w:r>
        <w:rPr>
          <w:b/>
          <w:bCs/>
        </w:rPr>
        <w:t>、托管、承包、租赁事项情况</w:t>
      </w:r>
      <w:bookmarkEnd w:id="114"/>
    </w:p>
    <w:p w:rsidR="00E20B54" w:rsidRDefault="00733C9E">
      <w:pPr>
        <w:keepNext/>
        <w:keepLines/>
        <w:spacing w:before="300" w:after="300" w:line="280" w:lineRule="exact"/>
        <w:outlineLvl w:val="3"/>
        <w:rPr>
          <w:b/>
          <w:bCs/>
          <w:sz w:val="18"/>
          <w:szCs w:val="18"/>
        </w:rPr>
      </w:pPr>
      <w:bookmarkStart w:id="115" w:name="_Toc989004"/>
      <w:r>
        <w:rPr>
          <w:b/>
          <w:bCs/>
          <w:sz w:val="18"/>
          <w:szCs w:val="18"/>
        </w:rPr>
        <w:t>（</w:t>
      </w:r>
      <w:r>
        <w:rPr>
          <w:b/>
          <w:bCs/>
          <w:sz w:val="18"/>
          <w:szCs w:val="18"/>
        </w:rPr>
        <w:t>1</w:t>
      </w:r>
      <w:r>
        <w:rPr>
          <w:b/>
          <w:bCs/>
          <w:sz w:val="18"/>
          <w:szCs w:val="18"/>
        </w:rPr>
        <w:t>）</w:t>
      </w:r>
      <w:r>
        <w:rPr>
          <w:b/>
          <w:bCs/>
          <w:sz w:val="18"/>
          <w:szCs w:val="18"/>
        </w:rPr>
        <w:t xml:space="preserve"> </w:t>
      </w:r>
      <w:r>
        <w:rPr>
          <w:b/>
          <w:bCs/>
          <w:sz w:val="18"/>
          <w:szCs w:val="18"/>
        </w:rPr>
        <w:t>托管情况</w:t>
      </w:r>
      <w:bookmarkEnd w:id="115"/>
    </w:p>
    <w:p w:rsidR="00E20B54" w:rsidRDefault="00733C9E">
      <w:pPr>
        <w:spacing w:before="40" w:after="40" w:line="240" w:lineRule="exact"/>
        <w:rPr>
          <w:sz w:val="18"/>
          <w:szCs w:val="18"/>
        </w:rPr>
      </w:pPr>
      <w:r>
        <w:rPr>
          <w:sz w:val="18"/>
          <w:szCs w:val="18"/>
        </w:rPr>
        <w:t>□</w:t>
      </w:r>
      <w:r>
        <w:rPr>
          <w:sz w:val="18"/>
          <w:szCs w:val="18"/>
        </w:rPr>
        <w:t>适用</w:t>
      </w:r>
      <w:r>
        <w:rPr>
          <w:sz w:val="18"/>
          <w:szCs w:val="18"/>
        </w:rPr>
        <w:t xml:space="preserve"> </w:t>
      </w:r>
      <w:r>
        <w:rPr>
          <w:sz w:val="18"/>
          <w:szCs w:val="18"/>
        </w:rPr>
        <w:sym w:font="Wingdings 2" w:char="F052"/>
      </w:r>
      <w:r>
        <w:rPr>
          <w:sz w:val="18"/>
          <w:szCs w:val="18"/>
        </w:rPr>
        <w:t>不适用</w:t>
      </w:r>
    </w:p>
    <w:p w:rsidR="00E20B54" w:rsidRDefault="00733C9E">
      <w:pPr>
        <w:spacing w:before="100" w:after="100" w:line="240" w:lineRule="exact"/>
        <w:rPr>
          <w:sz w:val="18"/>
          <w:szCs w:val="18"/>
        </w:rPr>
      </w:pPr>
      <w:r>
        <w:rPr>
          <w:sz w:val="18"/>
          <w:szCs w:val="18"/>
        </w:rPr>
        <w:t>公司报告期不存在托管情况。</w:t>
      </w:r>
    </w:p>
    <w:p w:rsidR="00E20B54" w:rsidRDefault="00733C9E">
      <w:pPr>
        <w:keepNext/>
        <w:keepLines/>
        <w:spacing w:before="300" w:after="300" w:line="280" w:lineRule="exact"/>
        <w:outlineLvl w:val="3"/>
        <w:rPr>
          <w:b/>
          <w:bCs/>
          <w:sz w:val="18"/>
          <w:szCs w:val="18"/>
        </w:rPr>
      </w:pPr>
      <w:bookmarkStart w:id="116" w:name="_Toc989005"/>
      <w:r>
        <w:rPr>
          <w:b/>
          <w:bCs/>
          <w:sz w:val="18"/>
          <w:szCs w:val="18"/>
        </w:rPr>
        <w:t>（</w:t>
      </w:r>
      <w:r>
        <w:rPr>
          <w:b/>
          <w:bCs/>
          <w:sz w:val="18"/>
          <w:szCs w:val="18"/>
        </w:rPr>
        <w:t>2</w:t>
      </w:r>
      <w:r>
        <w:rPr>
          <w:b/>
          <w:bCs/>
          <w:sz w:val="18"/>
          <w:szCs w:val="18"/>
        </w:rPr>
        <w:t>）</w:t>
      </w:r>
      <w:r>
        <w:rPr>
          <w:b/>
          <w:bCs/>
          <w:sz w:val="18"/>
          <w:szCs w:val="18"/>
        </w:rPr>
        <w:t xml:space="preserve"> </w:t>
      </w:r>
      <w:r>
        <w:rPr>
          <w:b/>
          <w:bCs/>
          <w:sz w:val="18"/>
          <w:szCs w:val="18"/>
        </w:rPr>
        <w:t>承包情况</w:t>
      </w:r>
      <w:bookmarkEnd w:id="116"/>
    </w:p>
    <w:p w:rsidR="00E20B54" w:rsidRDefault="00733C9E">
      <w:pPr>
        <w:spacing w:before="40" w:after="40" w:line="240" w:lineRule="exact"/>
        <w:rPr>
          <w:sz w:val="18"/>
          <w:szCs w:val="18"/>
        </w:rPr>
      </w:pPr>
      <w:r>
        <w:rPr>
          <w:sz w:val="18"/>
          <w:szCs w:val="18"/>
        </w:rPr>
        <w:t>□</w:t>
      </w:r>
      <w:r>
        <w:rPr>
          <w:sz w:val="18"/>
          <w:szCs w:val="18"/>
        </w:rPr>
        <w:t>适用</w:t>
      </w:r>
      <w:r>
        <w:rPr>
          <w:sz w:val="18"/>
          <w:szCs w:val="18"/>
        </w:rPr>
        <w:t xml:space="preserve"> </w:t>
      </w:r>
      <w:r>
        <w:rPr>
          <w:sz w:val="18"/>
          <w:szCs w:val="18"/>
        </w:rPr>
        <w:sym w:font="Wingdings 2" w:char="F052"/>
      </w:r>
      <w:r>
        <w:rPr>
          <w:sz w:val="18"/>
          <w:szCs w:val="18"/>
        </w:rPr>
        <w:t>不适用</w:t>
      </w:r>
    </w:p>
    <w:p w:rsidR="00E20B54" w:rsidRDefault="00733C9E">
      <w:pPr>
        <w:spacing w:before="100" w:after="100" w:line="240" w:lineRule="exact"/>
        <w:rPr>
          <w:sz w:val="18"/>
          <w:szCs w:val="18"/>
        </w:rPr>
      </w:pPr>
      <w:r>
        <w:rPr>
          <w:sz w:val="18"/>
          <w:szCs w:val="18"/>
        </w:rPr>
        <w:t>公司报告期不存在承包情况。</w:t>
      </w:r>
    </w:p>
    <w:p w:rsidR="00E20B54" w:rsidRDefault="00733C9E">
      <w:pPr>
        <w:keepNext/>
        <w:keepLines/>
        <w:spacing w:before="300" w:after="300" w:line="280" w:lineRule="exact"/>
        <w:outlineLvl w:val="3"/>
        <w:rPr>
          <w:b/>
          <w:bCs/>
          <w:sz w:val="18"/>
          <w:szCs w:val="18"/>
        </w:rPr>
      </w:pPr>
      <w:bookmarkStart w:id="117" w:name="_Toc989006"/>
      <w:r>
        <w:rPr>
          <w:b/>
          <w:bCs/>
          <w:sz w:val="18"/>
          <w:szCs w:val="18"/>
        </w:rPr>
        <w:t>（</w:t>
      </w:r>
      <w:r>
        <w:rPr>
          <w:b/>
          <w:bCs/>
          <w:sz w:val="18"/>
          <w:szCs w:val="18"/>
        </w:rPr>
        <w:t>3</w:t>
      </w:r>
      <w:r>
        <w:rPr>
          <w:b/>
          <w:bCs/>
          <w:sz w:val="18"/>
          <w:szCs w:val="18"/>
        </w:rPr>
        <w:t>）</w:t>
      </w:r>
      <w:r>
        <w:rPr>
          <w:b/>
          <w:bCs/>
          <w:sz w:val="18"/>
          <w:szCs w:val="18"/>
        </w:rPr>
        <w:t xml:space="preserve"> </w:t>
      </w:r>
      <w:r>
        <w:rPr>
          <w:b/>
          <w:bCs/>
          <w:sz w:val="18"/>
          <w:szCs w:val="18"/>
        </w:rPr>
        <w:t>租赁情况</w:t>
      </w:r>
      <w:bookmarkEnd w:id="117"/>
    </w:p>
    <w:p w:rsidR="00E20B54" w:rsidRDefault="00733C9E">
      <w:pPr>
        <w:spacing w:before="100" w:after="100" w:line="240" w:lineRule="exact"/>
        <w:rPr>
          <w:sz w:val="18"/>
          <w:szCs w:val="18"/>
        </w:rPr>
      </w:pPr>
      <w:r>
        <w:rPr>
          <w:sz w:val="18"/>
          <w:szCs w:val="18"/>
        </w:rPr>
        <w:sym w:font="Wingdings 2" w:char="F052"/>
      </w:r>
      <w:r>
        <w:rPr>
          <w:sz w:val="18"/>
          <w:szCs w:val="18"/>
        </w:rPr>
        <w:t>适用</w:t>
      </w:r>
      <w:r>
        <w:rPr>
          <w:sz w:val="18"/>
          <w:szCs w:val="18"/>
        </w:rPr>
        <w:t xml:space="preserve"> □</w:t>
      </w:r>
      <w:r>
        <w:rPr>
          <w:sz w:val="18"/>
          <w:szCs w:val="18"/>
        </w:rPr>
        <w:t>不适用</w:t>
      </w:r>
    </w:p>
    <w:p w:rsidR="00E20B54" w:rsidRDefault="00733C9E">
      <w:pPr>
        <w:spacing w:before="100" w:after="100" w:line="240" w:lineRule="exact"/>
        <w:rPr>
          <w:sz w:val="18"/>
          <w:szCs w:val="18"/>
        </w:rPr>
      </w:pPr>
      <w:r>
        <w:rPr>
          <w:sz w:val="18"/>
          <w:szCs w:val="18"/>
        </w:rPr>
        <w:t>租赁情况说明</w:t>
      </w:r>
    </w:p>
    <w:p w:rsidR="00E20B54" w:rsidRDefault="00733C9E">
      <w:pPr>
        <w:pStyle w:val="a3"/>
        <w:widowControl/>
      </w:pPr>
      <w:r>
        <w:rPr>
          <w:sz w:val="18"/>
          <w:szCs w:val="18"/>
        </w:rPr>
        <w:t>报告期内公司发生的租赁事项主要为子公司以售后回租方式申请融资租赁。</w:t>
      </w:r>
    </w:p>
    <w:p w:rsidR="00E20B54" w:rsidRDefault="00733C9E">
      <w:pPr>
        <w:spacing w:before="100" w:after="100" w:line="240" w:lineRule="exact"/>
        <w:rPr>
          <w:sz w:val="18"/>
          <w:szCs w:val="18"/>
        </w:rPr>
      </w:pPr>
      <w:r>
        <w:rPr>
          <w:sz w:val="18"/>
          <w:szCs w:val="18"/>
        </w:rPr>
        <w:t>为公司带来的损益达到公司报告期利润总额</w:t>
      </w:r>
      <w:r>
        <w:rPr>
          <w:sz w:val="18"/>
          <w:szCs w:val="18"/>
        </w:rPr>
        <w:t>10%</w:t>
      </w:r>
      <w:r>
        <w:rPr>
          <w:sz w:val="18"/>
          <w:szCs w:val="18"/>
        </w:rPr>
        <w:t>以上的项目</w:t>
      </w:r>
    </w:p>
    <w:p w:rsidR="00E20B54" w:rsidRDefault="00733C9E">
      <w:pPr>
        <w:spacing w:before="100" w:after="100" w:line="240" w:lineRule="exact"/>
        <w:rPr>
          <w:sz w:val="18"/>
          <w:szCs w:val="18"/>
        </w:rPr>
      </w:pPr>
      <w:r>
        <w:rPr>
          <w:sz w:val="18"/>
          <w:szCs w:val="18"/>
        </w:rPr>
        <w:t>□</w:t>
      </w:r>
      <w:r>
        <w:rPr>
          <w:sz w:val="18"/>
          <w:szCs w:val="18"/>
        </w:rPr>
        <w:t>适用</w:t>
      </w:r>
      <w:r>
        <w:rPr>
          <w:sz w:val="18"/>
          <w:szCs w:val="18"/>
        </w:rPr>
        <w:t xml:space="preserve"> </w:t>
      </w:r>
      <w:r>
        <w:rPr>
          <w:sz w:val="18"/>
          <w:szCs w:val="18"/>
        </w:rPr>
        <w:sym w:font="Wingdings 2" w:char="F052"/>
      </w:r>
      <w:r>
        <w:rPr>
          <w:sz w:val="18"/>
          <w:szCs w:val="18"/>
        </w:rPr>
        <w:t>不适用</w:t>
      </w:r>
    </w:p>
    <w:p w:rsidR="00E20B54" w:rsidRDefault="00733C9E">
      <w:pPr>
        <w:spacing w:before="100" w:after="100" w:line="240" w:lineRule="exact"/>
        <w:rPr>
          <w:sz w:val="18"/>
          <w:szCs w:val="18"/>
        </w:rPr>
      </w:pPr>
      <w:r>
        <w:rPr>
          <w:sz w:val="18"/>
          <w:szCs w:val="18"/>
        </w:rPr>
        <w:t>公司报告期不存在为公司带来的损益达到公司报告期利润总额</w:t>
      </w:r>
      <w:r>
        <w:rPr>
          <w:sz w:val="18"/>
          <w:szCs w:val="18"/>
        </w:rPr>
        <w:t>10%</w:t>
      </w:r>
      <w:r>
        <w:rPr>
          <w:sz w:val="18"/>
          <w:szCs w:val="18"/>
        </w:rPr>
        <w:t>以上的租赁项目。</w:t>
      </w:r>
    </w:p>
    <w:p w:rsidR="00E20B54" w:rsidRDefault="00733C9E">
      <w:pPr>
        <w:pStyle w:val="3"/>
        <w:spacing w:line="280" w:lineRule="exact"/>
        <w:jc w:val="left"/>
        <w:rPr>
          <w:b/>
          <w:bCs/>
        </w:rPr>
      </w:pPr>
      <w:bookmarkStart w:id="118" w:name="_Toc989007"/>
      <w:r>
        <w:rPr>
          <w:b/>
          <w:bCs/>
        </w:rPr>
        <w:t>2</w:t>
      </w:r>
      <w:r>
        <w:rPr>
          <w:b/>
          <w:bCs/>
        </w:rPr>
        <w:t>、重大担保</w:t>
      </w:r>
      <w:bookmarkEnd w:id="118"/>
    </w:p>
    <w:p w:rsidR="00E20B54" w:rsidRDefault="00733C9E">
      <w:pPr>
        <w:spacing w:before="40" w:after="40" w:line="240" w:lineRule="exact"/>
        <w:rPr>
          <w:sz w:val="18"/>
          <w:szCs w:val="18"/>
        </w:rPr>
      </w:pPr>
      <w:r>
        <w:rPr>
          <w:sz w:val="18"/>
          <w:szCs w:val="18"/>
        </w:rPr>
        <w:sym w:font="Wingdings 2" w:char="F052"/>
      </w:r>
      <w:r>
        <w:rPr>
          <w:sz w:val="18"/>
          <w:szCs w:val="18"/>
        </w:rPr>
        <w:t>适用</w:t>
      </w:r>
      <w:r>
        <w:rPr>
          <w:sz w:val="18"/>
          <w:szCs w:val="18"/>
        </w:rPr>
        <w:t xml:space="preserve"> □</w:t>
      </w:r>
      <w:r>
        <w:rPr>
          <w:sz w:val="18"/>
          <w:szCs w:val="18"/>
        </w:rPr>
        <w:t>不适用</w:t>
      </w:r>
    </w:p>
    <w:p w:rsidR="00E20B54" w:rsidRDefault="00733C9E">
      <w:pPr>
        <w:spacing w:before="120" w:after="120" w:line="240" w:lineRule="exact"/>
        <w:jc w:val="right"/>
        <w:rPr>
          <w:sz w:val="18"/>
          <w:szCs w:val="18"/>
        </w:rPr>
      </w:pPr>
      <w:r>
        <w:rPr>
          <w:sz w:val="18"/>
          <w:szCs w:val="18"/>
        </w:rPr>
        <w:t>单位：万元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875"/>
        <w:gridCol w:w="877"/>
        <w:gridCol w:w="876"/>
        <w:gridCol w:w="877"/>
        <w:gridCol w:w="876"/>
        <w:gridCol w:w="877"/>
        <w:gridCol w:w="876"/>
        <w:gridCol w:w="876"/>
        <w:gridCol w:w="876"/>
        <w:gridCol w:w="876"/>
        <w:gridCol w:w="877"/>
      </w:tblGrid>
      <w:tr w:rsidR="00E20B54">
        <w:trPr>
          <w:trHeight w:val="240"/>
        </w:trPr>
        <w:tc>
          <w:tcPr>
            <w:tcW w:w="9639" w:type="dxa"/>
            <w:gridSpan w:val="11"/>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公司及其子公司对外担保情况（不包括对子公司的担保）</w:t>
            </w:r>
          </w:p>
        </w:tc>
      </w:tr>
      <w:tr w:rsidR="00E20B54">
        <w:trPr>
          <w:trHeight w:val="240"/>
        </w:trPr>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担保对象名称</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担保额度相关公告披露日期</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担保额度</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实际发生日期</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实际担保金额</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担保类型</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担保物（如有）</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反担保情况（如有）</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担保期</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是否履行完毕</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是否为关联方担保</w:t>
            </w:r>
          </w:p>
        </w:tc>
      </w:tr>
      <w:tr w:rsidR="00E20B54">
        <w:trPr>
          <w:trHeight w:val="240"/>
        </w:trPr>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无</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rPr>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rPr>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rPr>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rPr>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rPr>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rPr>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rPr>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rPr>
                <w:sz w:val="18"/>
                <w:szCs w:val="18"/>
              </w:rPr>
            </w:pPr>
          </w:p>
        </w:tc>
      </w:tr>
      <w:tr w:rsidR="00E20B54">
        <w:trPr>
          <w:trHeight w:val="240"/>
        </w:trPr>
        <w:tc>
          <w:tcPr>
            <w:tcW w:w="1753"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报告期内审批的对外担保额度合计</w:t>
            </w:r>
            <w:r>
              <w:rPr>
                <w:sz w:val="18"/>
                <w:szCs w:val="18"/>
              </w:rPr>
              <w:lastRenderedPageBreak/>
              <w:t>（</w:t>
            </w:r>
            <w:r>
              <w:rPr>
                <w:sz w:val="18"/>
                <w:szCs w:val="18"/>
              </w:rPr>
              <w:t>A1</w:t>
            </w:r>
            <w:r>
              <w:rPr>
                <w:sz w:val="18"/>
                <w:szCs w:val="18"/>
              </w:rPr>
              <w:t>）</w:t>
            </w:r>
          </w:p>
        </w:tc>
        <w:tc>
          <w:tcPr>
            <w:tcW w:w="1753" w:type="dxa"/>
            <w:gridSpan w:val="2"/>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lastRenderedPageBreak/>
              <w:t>0</w:t>
            </w:r>
          </w:p>
        </w:tc>
        <w:tc>
          <w:tcPr>
            <w:tcW w:w="1753"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报告期内对外担保实际发生额合计</w:t>
            </w:r>
            <w:r>
              <w:rPr>
                <w:sz w:val="18"/>
                <w:szCs w:val="18"/>
              </w:rPr>
              <w:lastRenderedPageBreak/>
              <w:t>（</w:t>
            </w:r>
            <w:r>
              <w:rPr>
                <w:sz w:val="18"/>
                <w:szCs w:val="18"/>
              </w:rPr>
              <w:t>A2</w:t>
            </w:r>
            <w:r>
              <w:rPr>
                <w:sz w:val="18"/>
                <w:szCs w:val="18"/>
              </w:rPr>
              <w:t>）</w:t>
            </w:r>
          </w:p>
        </w:tc>
        <w:tc>
          <w:tcPr>
            <w:tcW w:w="4381" w:type="dxa"/>
            <w:gridSpan w:val="5"/>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lastRenderedPageBreak/>
              <w:t>0</w:t>
            </w:r>
          </w:p>
        </w:tc>
      </w:tr>
      <w:tr w:rsidR="00E20B54">
        <w:trPr>
          <w:trHeight w:val="240"/>
        </w:trPr>
        <w:tc>
          <w:tcPr>
            <w:tcW w:w="1753"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lastRenderedPageBreak/>
              <w:t>报告期末已审批的对外担保额度合计（</w:t>
            </w:r>
            <w:r>
              <w:rPr>
                <w:sz w:val="18"/>
                <w:szCs w:val="18"/>
              </w:rPr>
              <w:t>A3</w:t>
            </w:r>
            <w:r>
              <w:rPr>
                <w:sz w:val="18"/>
                <w:szCs w:val="18"/>
              </w:rPr>
              <w:t>）</w:t>
            </w:r>
          </w:p>
        </w:tc>
        <w:tc>
          <w:tcPr>
            <w:tcW w:w="1753" w:type="dxa"/>
            <w:gridSpan w:val="2"/>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w:t>
            </w:r>
          </w:p>
        </w:tc>
        <w:tc>
          <w:tcPr>
            <w:tcW w:w="1753"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报告期末实际对外担保余额合计（</w:t>
            </w:r>
            <w:r>
              <w:rPr>
                <w:sz w:val="18"/>
                <w:szCs w:val="18"/>
              </w:rPr>
              <w:t>A4</w:t>
            </w:r>
            <w:r>
              <w:rPr>
                <w:sz w:val="18"/>
                <w:szCs w:val="18"/>
              </w:rPr>
              <w:t>）</w:t>
            </w:r>
          </w:p>
        </w:tc>
        <w:tc>
          <w:tcPr>
            <w:tcW w:w="4381" w:type="dxa"/>
            <w:gridSpan w:val="5"/>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w:t>
            </w:r>
          </w:p>
        </w:tc>
      </w:tr>
      <w:tr w:rsidR="00E20B54">
        <w:trPr>
          <w:trHeight w:val="240"/>
        </w:trPr>
        <w:tc>
          <w:tcPr>
            <w:tcW w:w="9639" w:type="dxa"/>
            <w:gridSpan w:val="11"/>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公司对子公司的担保情况</w:t>
            </w:r>
          </w:p>
        </w:tc>
      </w:tr>
      <w:tr w:rsidR="00E20B54">
        <w:trPr>
          <w:trHeight w:val="240"/>
        </w:trPr>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担保对象名称</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担保额度相关公告披露日期</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担保额度</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实际发生日期</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实际担保金额</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担保类型</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担保物（如有）</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反担保情况（如有）</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担保期</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是否履行完毕</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是否为关联方担保</w:t>
            </w:r>
          </w:p>
        </w:tc>
      </w:tr>
      <w:tr w:rsidR="00E20B54">
        <w:trPr>
          <w:trHeight w:val="240"/>
        </w:trPr>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天亿马信息技术有限公司</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2023</w:t>
            </w:r>
            <w:r>
              <w:rPr>
                <w:sz w:val="18"/>
                <w:szCs w:val="18"/>
              </w:rPr>
              <w:t>年</w:t>
            </w:r>
            <w:r>
              <w:rPr>
                <w:sz w:val="18"/>
                <w:szCs w:val="18"/>
              </w:rPr>
              <w:t>04</w:t>
            </w:r>
            <w:r>
              <w:rPr>
                <w:sz w:val="18"/>
                <w:szCs w:val="18"/>
              </w:rPr>
              <w:t>月</w:t>
            </w:r>
            <w:r>
              <w:rPr>
                <w:sz w:val="18"/>
                <w:szCs w:val="18"/>
              </w:rPr>
              <w:t>20</w:t>
            </w:r>
            <w:r>
              <w:rPr>
                <w:sz w:val="18"/>
                <w:szCs w:val="18"/>
              </w:rPr>
              <w:t>日</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8,000</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2023</w:t>
            </w:r>
            <w:r>
              <w:rPr>
                <w:sz w:val="18"/>
                <w:szCs w:val="18"/>
              </w:rPr>
              <w:t>年</w:t>
            </w:r>
            <w:r>
              <w:rPr>
                <w:sz w:val="18"/>
                <w:szCs w:val="18"/>
              </w:rPr>
              <w:t>12</w:t>
            </w:r>
            <w:r>
              <w:rPr>
                <w:sz w:val="18"/>
                <w:szCs w:val="18"/>
              </w:rPr>
              <w:t>月</w:t>
            </w:r>
            <w:r>
              <w:rPr>
                <w:sz w:val="18"/>
                <w:szCs w:val="18"/>
              </w:rPr>
              <w:t>18</w:t>
            </w:r>
            <w:r>
              <w:rPr>
                <w:sz w:val="18"/>
                <w:szCs w:val="18"/>
              </w:rPr>
              <w:t>日</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3,000</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连带责任保证</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rPr>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rPr>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2023.12.18-2028.12.18</w:t>
            </w:r>
            <w:r>
              <w:rPr>
                <w:sz w:val="18"/>
                <w:szCs w:val="18"/>
              </w:rPr>
              <w:t>，履行债务期限届满之日起三年</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否</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否</w:t>
            </w:r>
          </w:p>
        </w:tc>
      </w:tr>
      <w:tr w:rsidR="00E20B54">
        <w:trPr>
          <w:trHeight w:val="240"/>
        </w:trPr>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天亿马信息技术有限公司</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2023</w:t>
            </w:r>
            <w:r>
              <w:rPr>
                <w:sz w:val="18"/>
                <w:szCs w:val="18"/>
              </w:rPr>
              <w:t>年</w:t>
            </w:r>
            <w:r>
              <w:rPr>
                <w:sz w:val="18"/>
                <w:szCs w:val="18"/>
              </w:rPr>
              <w:t>04</w:t>
            </w:r>
            <w:r>
              <w:rPr>
                <w:sz w:val="18"/>
                <w:szCs w:val="18"/>
              </w:rPr>
              <w:t>月</w:t>
            </w:r>
            <w:r>
              <w:rPr>
                <w:sz w:val="18"/>
                <w:szCs w:val="18"/>
              </w:rPr>
              <w:t>20</w:t>
            </w:r>
            <w:r>
              <w:rPr>
                <w:sz w:val="18"/>
                <w:szCs w:val="18"/>
              </w:rPr>
              <w:t>日</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8,000</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2024</w:t>
            </w:r>
            <w:r>
              <w:rPr>
                <w:sz w:val="18"/>
                <w:szCs w:val="18"/>
              </w:rPr>
              <w:t>年</w:t>
            </w:r>
            <w:r>
              <w:rPr>
                <w:sz w:val="18"/>
                <w:szCs w:val="18"/>
              </w:rPr>
              <w:t>02</w:t>
            </w:r>
            <w:r>
              <w:rPr>
                <w:sz w:val="18"/>
                <w:szCs w:val="18"/>
              </w:rPr>
              <w:t>月</w:t>
            </w:r>
            <w:r>
              <w:rPr>
                <w:sz w:val="18"/>
                <w:szCs w:val="18"/>
              </w:rPr>
              <w:t>06</w:t>
            </w:r>
            <w:r>
              <w:rPr>
                <w:sz w:val="18"/>
                <w:szCs w:val="18"/>
              </w:rPr>
              <w:t>日</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1,000</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连带责任保证</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rPr>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rPr>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2024.2.6-2025.2.5</w:t>
            </w:r>
            <w:r>
              <w:rPr>
                <w:sz w:val="18"/>
                <w:szCs w:val="18"/>
              </w:rPr>
              <w:t>，履行债务期限届满之日起三年</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是</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否</w:t>
            </w:r>
          </w:p>
        </w:tc>
      </w:tr>
      <w:tr w:rsidR="00E20B54">
        <w:trPr>
          <w:trHeight w:val="240"/>
        </w:trPr>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广东天亿马信息科技有限公司</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2023</w:t>
            </w:r>
            <w:r>
              <w:rPr>
                <w:sz w:val="18"/>
                <w:szCs w:val="18"/>
              </w:rPr>
              <w:t>年</w:t>
            </w:r>
            <w:r>
              <w:rPr>
                <w:sz w:val="18"/>
                <w:szCs w:val="18"/>
              </w:rPr>
              <w:t>04</w:t>
            </w:r>
            <w:r>
              <w:rPr>
                <w:sz w:val="18"/>
                <w:szCs w:val="18"/>
              </w:rPr>
              <w:t>月</w:t>
            </w:r>
            <w:r>
              <w:rPr>
                <w:sz w:val="18"/>
                <w:szCs w:val="18"/>
              </w:rPr>
              <w:t>20</w:t>
            </w:r>
            <w:r>
              <w:rPr>
                <w:sz w:val="18"/>
                <w:szCs w:val="18"/>
              </w:rPr>
              <w:t>日</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4,000</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2024</w:t>
            </w:r>
            <w:r>
              <w:rPr>
                <w:sz w:val="18"/>
                <w:szCs w:val="18"/>
              </w:rPr>
              <w:t>年</w:t>
            </w:r>
            <w:r>
              <w:rPr>
                <w:sz w:val="18"/>
                <w:szCs w:val="18"/>
              </w:rPr>
              <w:t>02</w:t>
            </w:r>
            <w:r>
              <w:rPr>
                <w:sz w:val="18"/>
                <w:szCs w:val="18"/>
              </w:rPr>
              <w:t>月</w:t>
            </w:r>
            <w:r>
              <w:rPr>
                <w:sz w:val="18"/>
                <w:szCs w:val="18"/>
              </w:rPr>
              <w:t>06</w:t>
            </w:r>
            <w:r>
              <w:rPr>
                <w:sz w:val="18"/>
                <w:szCs w:val="18"/>
              </w:rPr>
              <w:t>日</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1,000</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连带责任保证</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rPr>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rPr>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2024.2.6-2025.2.5</w:t>
            </w:r>
            <w:r>
              <w:rPr>
                <w:sz w:val="18"/>
                <w:szCs w:val="18"/>
              </w:rPr>
              <w:t>，履行债务期限届满之日起三年</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否</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是</w:t>
            </w:r>
          </w:p>
        </w:tc>
      </w:tr>
      <w:tr w:rsidR="00E20B54">
        <w:trPr>
          <w:trHeight w:val="240"/>
        </w:trPr>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湖南天晨新能源有限公司</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2024</w:t>
            </w:r>
            <w:r>
              <w:rPr>
                <w:sz w:val="18"/>
                <w:szCs w:val="18"/>
              </w:rPr>
              <w:t>年</w:t>
            </w:r>
            <w:r>
              <w:rPr>
                <w:sz w:val="18"/>
                <w:szCs w:val="18"/>
              </w:rPr>
              <w:t>06</w:t>
            </w:r>
            <w:r>
              <w:rPr>
                <w:sz w:val="18"/>
                <w:szCs w:val="18"/>
              </w:rPr>
              <w:t>月</w:t>
            </w:r>
            <w:r>
              <w:rPr>
                <w:sz w:val="18"/>
                <w:szCs w:val="18"/>
              </w:rPr>
              <w:t>15</w:t>
            </w:r>
            <w:r>
              <w:rPr>
                <w:sz w:val="18"/>
                <w:szCs w:val="18"/>
              </w:rPr>
              <w:t>日</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5,922</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2024</w:t>
            </w:r>
            <w:r>
              <w:rPr>
                <w:sz w:val="18"/>
                <w:szCs w:val="18"/>
              </w:rPr>
              <w:t>年</w:t>
            </w:r>
            <w:r>
              <w:rPr>
                <w:sz w:val="18"/>
                <w:szCs w:val="18"/>
              </w:rPr>
              <w:t>07</w:t>
            </w:r>
            <w:r>
              <w:rPr>
                <w:sz w:val="18"/>
                <w:szCs w:val="18"/>
              </w:rPr>
              <w:t>月</w:t>
            </w:r>
            <w:r>
              <w:rPr>
                <w:sz w:val="18"/>
                <w:szCs w:val="18"/>
              </w:rPr>
              <w:t>08</w:t>
            </w:r>
            <w:r>
              <w:rPr>
                <w:sz w:val="18"/>
                <w:szCs w:val="18"/>
              </w:rPr>
              <w:t>日</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5,922</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连带责任保证</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rPr>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rPr>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2024.6.11-2036.12.31</w:t>
            </w:r>
            <w:r>
              <w:rPr>
                <w:sz w:val="18"/>
                <w:szCs w:val="18"/>
              </w:rPr>
              <w:t>，履行债务期限届满之日起三年</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否</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是</w:t>
            </w:r>
          </w:p>
        </w:tc>
      </w:tr>
      <w:tr w:rsidR="00E20B54">
        <w:trPr>
          <w:trHeight w:val="240"/>
        </w:trPr>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桓台爱道光伏发电有限公司</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2024</w:t>
            </w:r>
            <w:r>
              <w:rPr>
                <w:sz w:val="18"/>
                <w:szCs w:val="18"/>
              </w:rPr>
              <w:t>年</w:t>
            </w:r>
            <w:r>
              <w:rPr>
                <w:sz w:val="18"/>
                <w:szCs w:val="18"/>
              </w:rPr>
              <w:t>12</w:t>
            </w:r>
            <w:r>
              <w:rPr>
                <w:sz w:val="18"/>
                <w:szCs w:val="18"/>
              </w:rPr>
              <w:t>月</w:t>
            </w:r>
            <w:r>
              <w:rPr>
                <w:sz w:val="18"/>
                <w:szCs w:val="18"/>
              </w:rPr>
              <w:t>18</w:t>
            </w:r>
            <w:r>
              <w:rPr>
                <w:sz w:val="18"/>
                <w:szCs w:val="18"/>
              </w:rPr>
              <w:t>日</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3,700</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2024</w:t>
            </w:r>
            <w:r>
              <w:rPr>
                <w:sz w:val="18"/>
                <w:szCs w:val="18"/>
              </w:rPr>
              <w:t>年</w:t>
            </w:r>
            <w:r>
              <w:rPr>
                <w:sz w:val="18"/>
                <w:szCs w:val="18"/>
              </w:rPr>
              <w:t>12</w:t>
            </w:r>
            <w:r>
              <w:rPr>
                <w:sz w:val="18"/>
                <w:szCs w:val="18"/>
              </w:rPr>
              <w:t>月</w:t>
            </w:r>
            <w:r>
              <w:rPr>
                <w:sz w:val="18"/>
                <w:szCs w:val="18"/>
              </w:rPr>
              <w:t>17</w:t>
            </w:r>
            <w:r>
              <w:rPr>
                <w:sz w:val="18"/>
                <w:szCs w:val="18"/>
              </w:rPr>
              <w:t>日</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3,700</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连带责任保证</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rPr>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rPr>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履行债务期限届满之日起三年</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否</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否</w:t>
            </w:r>
          </w:p>
        </w:tc>
      </w:tr>
      <w:tr w:rsidR="00E20B54">
        <w:trPr>
          <w:trHeight w:val="240"/>
        </w:trPr>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邯郸庚源新能源科技有限公司</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2025</w:t>
            </w:r>
            <w:r>
              <w:rPr>
                <w:sz w:val="18"/>
                <w:szCs w:val="18"/>
              </w:rPr>
              <w:t>年</w:t>
            </w:r>
            <w:r>
              <w:rPr>
                <w:sz w:val="18"/>
                <w:szCs w:val="18"/>
              </w:rPr>
              <w:t>03</w:t>
            </w:r>
            <w:r>
              <w:rPr>
                <w:sz w:val="18"/>
                <w:szCs w:val="18"/>
              </w:rPr>
              <w:t>月</w:t>
            </w:r>
            <w:r>
              <w:rPr>
                <w:sz w:val="18"/>
                <w:szCs w:val="18"/>
              </w:rPr>
              <w:t>01</w:t>
            </w:r>
            <w:r>
              <w:rPr>
                <w:sz w:val="18"/>
                <w:szCs w:val="18"/>
              </w:rPr>
              <w:t>日</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6,750</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rPr>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rPr>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rPr>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rPr>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rPr>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rPr>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rPr>
                <w:sz w:val="18"/>
                <w:szCs w:val="18"/>
              </w:rPr>
            </w:pPr>
          </w:p>
        </w:tc>
      </w:tr>
      <w:tr w:rsidR="00E20B54">
        <w:trPr>
          <w:trHeight w:val="240"/>
        </w:trPr>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深圳市互联精英信息技术有限公司</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2025</w:t>
            </w:r>
            <w:r>
              <w:rPr>
                <w:sz w:val="18"/>
                <w:szCs w:val="18"/>
              </w:rPr>
              <w:t>年</w:t>
            </w:r>
            <w:r>
              <w:rPr>
                <w:sz w:val="18"/>
                <w:szCs w:val="18"/>
              </w:rPr>
              <w:t>04</w:t>
            </w:r>
            <w:r>
              <w:rPr>
                <w:sz w:val="18"/>
                <w:szCs w:val="18"/>
              </w:rPr>
              <w:t>月</w:t>
            </w:r>
            <w:r>
              <w:rPr>
                <w:sz w:val="18"/>
                <w:szCs w:val="18"/>
              </w:rPr>
              <w:t>22</w:t>
            </w:r>
            <w:r>
              <w:rPr>
                <w:sz w:val="18"/>
                <w:szCs w:val="18"/>
              </w:rPr>
              <w:t>日</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5,000</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rPr>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rPr>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rPr>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rPr>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rPr>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rPr>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rPr>
                <w:sz w:val="18"/>
                <w:szCs w:val="18"/>
              </w:rPr>
            </w:pPr>
          </w:p>
        </w:tc>
      </w:tr>
      <w:tr w:rsidR="00E20B54">
        <w:trPr>
          <w:trHeight w:val="240"/>
        </w:trPr>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lastRenderedPageBreak/>
              <w:t>天亿马信息技术有限公司</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2025</w:t>
            </w:r>
            <w:r>
              <w:rPr>
                <w:sz w:val="18"/>
                <w:szCs w:val="18"/>
              </w:rPr>
              <w:t>年</w:t>
            </w:r>
            <w:r>
              <w:rPr>
                <w:sz w:val="18"/>
                <w:szCs w:val="18"/>
              </w:rPr>
              <w:t>04</w:t>
            </w:r>
            <w:r>
              <w:rPr>
                <w:sz w:val="18"/>
                <w:szCs w:val="18"/>
              </w:rPr>
              <w:t>月</w:t>
            </w:r>
            <w:r>
              <w:rPr>
                <w:sz w:val="18"/>
                <w:szCs w:val="18"/>
              </w:rPr>
              <w:t>22</w:t>
            </w:r>
            <w:r>
              <w:rPr>
                <w:sz w:val="18"/>
                <w:szCs w:val="18"/>
              </w:rPr>
              <w:t>日</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7,000</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2025</w:t>
            </w:r>
            <w:r>
              <w:rPr>
                <w:sz w:val="18"/>
                <w:szCs w:val="18"/>
              </w:rPr>
              <w:t>年</w:t>
            </w:r>
            <w:r>
              <w:rPr>
                <w:sz w:val="18"/>
                <w:szCs w:val="18"/>
              </w:rPr>
              <w:t>09</w:t>
            </w:r>
            <w:r>
              <w:rPr>
                <w:sz w:val="18"/>
                <w:szCs w:val="18"/>
              </w:rPr>
              <w:t>月</w:t>
            </w:r>
            <w:r>
              <w:rPr>
                <w:sz w:val="18"/>
                <w:szCs w:val="18"/>
              </w:rPr>
              <w:t>04</w:t>
            </w:r>
            <w:r>
              <w:rPr>
                <w:sz w:val="18"/>
                <w:szCs w:val="18"/>
              </w:rPr>
              <w:t>日</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3,600</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连带责任保证</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rPr>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rPr>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2025.9.4-2030.12.31</w:t>
            </w:r>
            <w:r>
              <w:rPr>
                <w:sz w:val="18"/>
                <w:szCs w:val="18"/>
              </w:rPr>
              <w:t>，履行债务期限届满之日起三年</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否</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否</w:t>
            </w:r>
          </w:p>
        </w:tc>
      </w:tr>
      <w:tr w:rsidR="00E20B54">
        <w:trPr>
          <w:trHeight w:val="240"/>
        </w:trPr>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天亿马信息技术有限公司</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2025</w:t>
            </w:r>
            <w:r>
              <w:rPr>
                <w:sz w:val="18"/>
                <w:szCs w:val="18"/>
              </w:rPr>
              <w:t>年</w:t>
            </w:r>
            <w:r>
              <w:rPr>
                <w:sz w:val="18"/>
                <w:szCs w:val="18"/>
              </w:rPr>
              <w:t>04</w:t>
            </w:r>
            <w:r>
              <w:rPr>
                <w:sz w:val="18"/>
                <w:szCs w:val="18"/>
              </w:rPr>
              <w:t>月</w:t>
            </w:r>
            <w:r>
              <w:rPr>
                <w:sz w:val="18"/>
                <w:szCs w:val="18"/>
              </w:rPr>
              <w:t>22</w:t>
            </w:r>
            <w:r>
              <w:rPr>
                <w:sz w:val="18"/>
                <w:szCs w:val="18"/>
              </w:rPr>
              <w:t>日</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7,000</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2025</w:t>
            </w:r>
            <w:r>
              <w:rPr>
                <w:sz w:val="18"/>
                <w:szCs w:val="18"/>
              </w:rPr>
              <w:t>年</w:t>
            </w:r>
            <w:r>
              <w:rPr>
                <w:sz w:val="18"/>
                <w:szCs w:val="18"/>
              </w:rPr>
              <w:t>12</w:t>
            </w:r>
            <w:r>
              <w:rPr>
                <w:sz w:val="18"/>
                <w:szCs w:val="18"/>
              </w:rPr>
              <w:t>月</w:t>
            </w:r>
            <w:r>
              <w:rPr>
                <w:sz w:val="18"/>
                <w:szCs w:val="18"/>
              </w:rPr>
              <w:t>04</w:t>
            </w:r>
            <w:r>
              <w:rPr>
                <w:sz w:val="18"/>
                <w:szCs w:val="18"/>
              </w:rPr>
              <w:t>日</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2,548</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连带责任保证</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rPr>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rPr>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至</w:t>
            </w:r>
            <w:r>
              <w:rPr>
                <w:sz w:val="18"/>
                <w:szCs w:val="18"/>
              </w:rPr>
              <w:t>2031.10.31</w:t>
            </w:r>
            <w:r>
              <w:rPr>
                <w:sz w:val="18"/>
                <w:szCs w:val="18"/>
              </w:rPr>
              <w:t>，履行债务期限届满之日起三年</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否</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否</w:t>
            </w:r>
          </w:p>
        </w:tc>
      </w:tr>
      <w:tr w:rsidR="00E20B54">
        <w:trPr>
          <w:trHeight w:val="240"/>
        </w:trPr>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广东天亿马信息科技有限公司</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2025</w:t>
            </w:r>
            <w:r>
              <w:rPr>
                <w:sz w:val="18"/>
                <w:szCs w:val="18"/>
              </w:rPr>
              <w:t>年</w:t>
            </w:r>
            <w:r>
              <w:rPr>
                <w:sz w:val="18"/>
                <w:szCs w:val="18"/>
              </w:rPr>
              <w:t>04</w:t>
            </w:r>
            <w:r>
              <w:rPr>
                <w:sz w:val="18"/>
                <w:szCs w:val="18"/>
              </w:rPr>
              <w:t>月</w:t>
            </w:r>
            <w:r>
              <w:rPr>
                <w:sz w:val="18"/>
                <w:szCs w:val="18"/>
              </w:rPr>
              <w:t>22</w:t>
            </w:r>
            <w:r>
              <w:rPr>
                <w:sz w:val="18"/>
                <w:szCs w:val="18"/>
              </w:rPr>
              <w:t>日</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10,000</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2025</w:t>
            </w:r>
            <w:r>
              <w:rPr>
                <w:sz w:val="18"/>
                <w:szCs w:val="18"/>
              </w:rPr>
              <w:t>年</w:t>
            </w:r>
            <w:r>
              <w:rPr>
                <w:sz w:val="18"/>
                <w:szCs w:val="18"/>
              </w:rPr>
              <w:t>07</w:t>
            </w:r>
            <w:r>
              <w:rPr>
                <w:sz w:val="18"/>
                <w:szCs w:val="18"/>
              </w:rPr>
              <w:t>月</w:t>
            </w:r>
            <w:r>
              <w:rPr>
                <w:sz w:val="18"/>
                <w:szCs w:val="18"/>
              </w:rPr>
              <w:t>07</w:t>
            </w:r>
            <w:r>
              <w:rPr>
                <w:sz w:val="18"/>
                <w:szCs w:val="18"/>
              </w:rPr>
              <w:t>日</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1,000</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连带责任保证</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rPr>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rPr>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履行债务期限届满之日起三年</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否</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否</w:t>
            </w:r>
          </w:p>
        </w:tc>
      </w:tr>
      <w:tr w:rsidR="00E20B54">
        <w:trPr>
          <w:trHeight w:val="240"/>
        </w:trPr>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广东天亿马数字能源有限公司</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2025</w:t>
            </w:r>
            <w:r>
              <w:rPr>
                <w:sz w:val="18"/>
                <w:szCs w:val="18"/>
              </w:rPr>
              <w:t>年</w:t>
            </w:r>
            <w:r>
              <w:rPr>
                <w:sz w:val="18"/>
                <w:szCs w:val="18"/>
              </w:rPr>
              <w:t>04</w:t>
            </w:r>
            <w:r>
              <w:rPr>
                <w:sz w:val="18"/>
                <w:szCs w:val="18"/>
              </w:rPr>
              <w:t>月</w:t>
            </w:r>
            <w:r>
              <w:rPr>
                <w:sz w:val="18"/>
                <w:szCs w:val="18"/>
              </w:rPr>
              <w:t>22</w:t>
            </w:r>
            <w:r>
              <w:rPr>
                <w:sz w:val="18"/>
                <w:szCs w:val="18"/>
              </w:rPr>
              <w:t>日</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4,156</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rPr>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rPr>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rPr>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rPr>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rPr>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rPr>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rPr>
                <w:sz w:val="18"/>
                <w:szCs w:val="18"/>
              </w:rPr>
            </w:pPr>
          </w:p>
        </w:tc>
      </w:tr>
      <w:tr w:rsidR="00E20B54">
        <w:trPr>
          <w:trHeight w:val="240"/>
        </w:trPr>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广东天亿马新能源产业发展有限公司</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2025</w:t>
            </w:r>
            <w:r>
              <w:rPr>
                <w:sz w:val="18"/>
                <w:szCs w:val="18"/>
              </w:rPr>
              <w:t>年</w:t>
            </w:r>
            <w:r>
              <w:rPr>
                <w:sz w:val="18"/>
                <w:szCs w:val="18"/>
              </w:rPr>
              <w:t>04</w:t>
            </w:r>
            <w:r>
              <w:rPr>
                <w:sz w:val="18"/>
                <w:szCs w:val="18"/>
              </w:rPr>
              <w:t>月</w:t>
            </w:r>
            <w:r>
              <w:rPr>
                <w:sz w:val="18"/>
                <w:szCs w:val="18"/>
              </w:rPr>
              <w:t>22</w:t>
            </w:r>
            <w:r>
              <w:rPr>
                <w:sz w:val="18"/>
                <w:szCs w:val="18"/>
              </w:rPr>
              <w:t>日</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1,000</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rPr>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rPr>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rPr>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rPr>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rPr>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rPr>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rPr>
                <w:sz w:val="18"/>
                <w:szCs w:val="18"/>
              </w:rPr>
            </w:pPr>
          </w:p>
        </w:tc>
      </w:tr>
      <w:tr w:rsidR="00E20B54">
        <w:trPr>
          <w:trHeight w:val="240"/>
        </w:trPr>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广西亿泰新能源有限公司</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2025</w:t>
            </w:r>
            <w:r>
              <w:rPr>
                <w:sz w:val="18"/>
                <w:szCs w:val="18"/>
              </w:rPr>
              <w:t>年</w:t>
            </w:r>
            <w:r>
              <w:rPr>
                <w:sz w:val="18"/>
                <w:szCs w:val="18"/>
              </w:rPr>
              <w:t>08</w:t>
            </w:r>
            <w:r>
              <w:rPr>
                <w:sz w:val="18"/>
                <w:szCs w:val="18"/>
              </w:rPr>
              <w:t>月</w:t>
            </w:r>
            <w:r>
              <w:rPr>
                <w:sz w:val="18"/>
                <w:szCs w:val="18"/>
              </w:rPr>
              <w:t>15</w:t>
            </w:r>
            <w:r>
              <w:rPr>
                <w:sz w:val="18"/>
                <w:szCs w:val="18"/>
              </w:rPr>
              <w:t>日</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844</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2025</w:t>
            </w:r>
            <w:r>
              <w:rPr>
                <w:sz w:val="18"/>
                <w:szCs w:val="18"/>
              </w:rPr>
              <w:t>年</w:t>
            </w:r>
            <w:r>
              <w:rPr>
                <w:sz w:val="18"/>
                <w:szCs w:val="18"/>
              </w:rPr>
              <w:t>08</w:t>
            </w:r>
            <w:r>
              <w:rPr>
                <w:sz w:val="18"/>
                <w:szCs w:val="18"/>
              </w:rPr>
              <w:t>月</w:t>
            </w:r>
            <w:r>
              <w:rPr>
                <w:sz w:val="18"/>
                <w:szCs w:val="18"/>
              </w:rPr>
              <w:t>15</w:t>
            </w:r>
            <w:r>
              <w:rPr>
                <w:sz w:val="18"/>
                <w:szCs w:val="18"/>
              </w:rPr>
              <w:t>日</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844</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连带责任保证</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rPr>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rPr>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2025.8.22-2043.6.30</w:t>
            </w:r>
            <w:r>
              <w:rPr>
                <w:sz w:val="18"/>
                <w:szCs w:val="18"/>
              </w:rPr>
              <w:t>，履行债务期限届满之日起三年</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否</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否</w:t>
            </w:r>
          </w:p>
        </w:tc>
      </w:tr>
      <w:tr w:rsidR="00E20B54">
        <w:trPr>
          <w:trHeight w:val="240"/>
        </w:trPr>
        <w:tc>
          <w:tcPr>
            <w:tcW w:w="1753"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报告期内审批对子公司担保额度合计（</w:t>
            </w:r>
            <w:r>
              <w:rPr>
                <w:sz w:val="18"/>
                <w:szCs w:val="18"/>
              </w:rPr>
              <w:t>B1</w:t>
            </w:r>
            <w:r>
              <w:rPr>
                <w:sz w:val="18"/>
                <w:szCs w:val="18"/>
              </w:rPr>
              <w:t>）</w:t>
            </w:r>
          </w:p>
        </w:tc>
        <w:tc>
          <w:tcPr>
            <w:tcW w:w="1753" w:type="dxa"/>
            <w:gridSpan w:val="2"/>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34,750</w:t>
            </w:r>
          </w:p>
        </w:tc>
        <w:tc>
          <w:tcPr>
            <w:tcW w:w="1753"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报告期内对子公司担保实际发生额合计（</w:t>
            </w:r>
            <w:r>
              <w:rPr>
                <w:sz w:val="18"/>
                <w:szCs w:val="18"/>
              </w:rPr>
              <w:t>B2</w:t>
            </w:r>
            <w:r>
              <w:rPr>
                <w:sz w:val="18"/>
                <w:szCs w:val="18"/>
              </w:rPr>
              <w:t>）</w:t>
            </w:r>
          </w:p>
        </w:tc>
        <w:tc>
          <w:tcPr>
            <w:tcW w:w="4381" w:type="dxa"/>
            <w:gridSpan w:val="5"/>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7,992</w:t>
            </w:r>
          </w:p>
        </w:tc>
      </w:tr>
      <w:tr w:rsidR="00E20B54">
        <w:trPr>
          <w:trHeight w:val="240"/>
        </w:trPr>
        <w:tc>
          <w:tcPr>
            <w:tcW w:w="1753"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报告期末已审批的对子公司担保额度合计（</w:t>
            </w:r>
            <w:r>
              <w:rPr>
                <w:sz w:val="18"/>
                <w:szCs w:val="18"/>
              </w:rPr>
              <w:t>B3</w:t>
            </w:r>
            <w:r>
              <w:rPr>
                <w:sz w:val="18"/>
                <w:szCs w:val="18"/>
              </w:rPr>
              <w:t>）</w:t>
            </w:r>
          </w:p>
        </w:tc>
        <w:tc>
          <w:tcPr>
            <w:tcW w:w="1753" w:type="dxa"/>
            <w:gridSpan w:val="2"/>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44,372</w:t>
            </w:r>
          </w:p>
        </w:tc>
        <w:tc>
          <w:tcPr>
            <w:tcW w:w="1753"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报告期末对子公司实际担保余额合计（</w:t>
            </w:r>
            <w:r>
              <w:rPr>
                <w:sz w:val="18"/>
                <w:szCs w:val="18"/>
              </w:rPr>
              <w:t>B4</w:t>
            </w:r>
            <w:r>
              <w:rPr>
                <w:sz w:val="18"/>
                <w:szCs w:val="18"/>
              </w:rPr>
              <w:t>）</w:t>
            </w:r>
          </w:p>
        </w:tc>
        <w:tc>
          <w:tcPr>
            <w:tcW w:w="4381" w:type="dxa"/>
            <w:gridSpan w:val="5"/>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15,377.14</w:t>
            </w:r>
          </w:p>
        </w:tc>
      </w:tr>
      <w:tr w:rsidR="00E20B54">
        <w:trPr>
          <w:trHeight w:val="240"/>
        </w:trPr>
        <w:tc>
          <w:tcPr>
            <w:tcW w:w="9639" w:type="dxa"/>
            <w:gridSpan w:val="11"/>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子公司对子公司的担保情况</w:t>
            </w:r>
          </w:p>
        </w:tc>
      </w:tr>
      <w:tr w:rsidR="00E20B54">
        <w:trPr>
          <w:trHeight w:val="240"/>
        </w:trPr>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担保对象名称</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担保额度相关公告披露日期</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担保额度</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实际发生日期</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实际担保金额</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担保类型</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担保物（如有）</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反担保情况（如有）</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担保期</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是否履行完毕</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是否为关联方担保</w:t>
            </w:r>
          </w:p>
        </w:tc>
      </w:tr>
      <w:tr w:rsidR="00E20B54">
        <w:trPr>
          <w:trHeight w:val="240"/>
        </w:trPr>
        <w:tc>
          <w:tcPr>
            <w:tcW w:w="9639" w:type="dxa"/>
            <w:gridSpan w:val="11"/>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公司担保总额（即前三大项的合计）</w:t>
            </w:r>
          </w:p>
        </w:tc>
      </w:tr>
      <w:tr w:rsidR="00E20B54">
        <w:trPr>
          <w:trHeight w:val="240"/>
        </w:trPr>
        <w:tc>
          <w:tcPr>
            <w:tcW w:w="1753"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报告期内审批担保额度合计（</w:t>
            </w:r>
            <w:r>
              <w:rPr>
                <w:sz w:val="18"/>
                <w:szCs w:val="18"/>
              </w:rPr>
              <w:t>A1+B1+C1</w:t>
            </w:r>
            <w:r>
              <w:rPr>
                <w:sz w:val="18"/>
                <w:szCs w:val="18"/>
              </w:rPr>
              <w:t>）</w:t>
            </w:r>
          </w:p>
        </w:tc>
        <w:tc>
          <w:tcPr>
            <w:tcW w:w="1753" w:type="dxa"/>
            <w:gridSpan w:val="2"/>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34,750</w:t>
            </w:r>
          </w:p>
        </w:tc>
        <w:tc>
          <w:tcPr>
            <w:tcW w:w="1753"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报告期内担保实际发生额合计（</w:t>
            </w:r>
            <w:r>
              <w:rPr>
                <w:sz w:val="18"/>
                <w:szCs w:val="18"/>
              </w:rPr>
              <w:t>A2+B2+C2</w:t>
            </w:r>
            <w:r>
              <w:rPr>
                <w:sz w:val="18"/>
                <w:szCs w:val="18"/>
              </w:rPr>
              <w:t>）</w:t>
            </w:r>
          </w:p>
        </w:tc>
        <w:tc>
          <w:tcPr>
            <w:tcW w:w="4381" w:type="dxa"/>
            <w:gridSpan w:val="5"/>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7,992</w:t>
            </w:r>
          </w:p>
        </w:tc>
      </w:tr>
      <w:tr w:rsidR="00E20B54">
        <w:trPr>
          <w:trHeight w:val="240"/>
        </w:trPr>
        <w:tc>
          <w:tcPr>
            <w:tcW w:w="1753"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报告期末已审批的</w:t>
            </w:r>
            <w:r>
              <w:rPr>
                <w:sz w:val="18"/>
                <w:szCs w:val="18"/>
              </w:rPr>
              <w:lastRenderedPageBreak/>
              <w:t>担保额度合计（</w:t>
            </w:r>
            <w:r>
              <w:rPr>
                <w:sz w:val="18"/>
                <w:szCs w:val="18"/>
              </w:rPr>
              <w:t>A3+B3+C3</w:t>
            </w:r>
            <w:r>
              <w:rPr>
                <w:sz w:val="18"/>
                <w:szCs w:val="18"/>
              </w:rPr>
              <w:t>）</w:t>
            </w:r>
          </w:p>
        </w:tc>
        <w:tc>
          <w:tcPr>
            <w:tcW w:w="1753" w:type="dxa"/>
            <w:gridSpan w:val="2"/>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lastRenderedPageBreak/>
              <w:t>44,372</w:t>
            </w:r>
          </w:p>
        </w:tc>
        <w:tc>
          <w:tcPr>
            <w:tcW w:w="1753"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报告期末实际担保</w:t>
            </w:r>
            <w:r>
              <w:rPr>
                <w:sz w:val="18"/>
                <w:szCs w:val="18"/>
              </w:rPr>
              <w:lastRenderedPageBreak/>
              <w:t>余额合计（</w:t>
            </w:r>
            <w:r>
              <w:rPr>
                <w:sz w:val="18"/>
                <w:szCs w:val="18"/>
              </w:rPr>
              <w:t>A4+B4+C4</w:t>
            </w:r>
            <w:r>
              <w:rPr>
                <w:sz w:val="18"/>
                <w:szCs w:val="18"/>
              </w:rPr>
              <w:t>）</w:t>
            </w:r>
          </w:p>
        </w:tc>
        <w:tc>
          <w:tcPr>
            <w:tcW w:w="4381" w:type="dxa"/>
            <w:gridSpan w:val="5"/>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lastRenderedPageBreak/>
              <w:t>15,377.14</w:t>
            </w:r>
          </w:p>
        </w:tc>
      </w:tr>
      <w:tr w:rsidR="00E20B54">
        <w:trPr>
          <w:trHeight w:val="240"/>
        </w:trPr>
        <w:tc>
          <w:tcPr>
            <w:tcW w:w="3505" w:type="dxa"/>
            <w:gridSpan w:val="4"/>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lastRenderedPageBreak/>
              <w:t>全部担保余额（即</w:t>
            </w:r>
            <w:r>
              <w:rPr>
                <w:sz w:val="18"/>
                <w:szCs w:val="18"/>
              </w:rPr>
              <w:t>A4+B4+C4</w:t>
            </w:r>
            <w:r>
              <w:rPr>
                <w:sz w:val="18"/>
                <w:szCs w:val="18"/>
              </w:rPr>
              <w:t>）占公司净资产的比例</w:t>
            </w:r>
          </w:p>
        </w:tc>
        <w:tc>
          <w:tcPr>
            <w:tcW w:w="6134" w:type="dxa"/>
            <w:gridSpan w:val="7"/>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19.79%</w:t>
            </w:r>
          </w:p>
        </w:tc>
      </w:tr>
      <w:tr w:rsidR="00E20B54">
        <w:trPr>
          <w:trHeight w:val="240"/>
        </w:trPr>
        <w:tc>
          <w:tcPr>
            <w:tcW w:w="9639" w:type="dxa"/>
            <w:gridSpan w:val="11"/>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其中：</w:t>
            </w:r>
          </w:p>
        </w:tc>
      </w:tr>
      <w:tr w:rsidR="00E20B54">
        <w:trPr>
          <w:trHeight w:val="240"/>
        </w:trPr>
        <w:tc>
          <w:tcPr>
            <w:tcW w:w="3505" w:type="dxa"/>
            <w:gridSpan w:val="4"/>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为股东、实际控制人及其关联方提供担保的余额（</w:t>
            </w:r>
            <w:r>
              <w:rPr>
                <w:sz w:val="18"/>
                <w:szCs w:val="18"/>
              </w:rPr>
              <w:t>D</w:t>
            </w:r>
            <w:r>
              <w:rPr>
                <w:sz w:val="18"/>
                <w:szCs w:val="18"/>
              </w:rPr>
              <w:t>）</w:t>
            </w:r>
          </w:p>
        </w:tc>
        <w:tc>
          <w:tcPr>
            <w:tcW w:w="6134" w:type="dxa"/>
            <w:gridSpan w:val="7"/>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w:t>
            </w:r>
          </w:p>
        </w:tc>
      </w:tr>
      <w:tr w:rsidR="00E20B54">
        <w:trPr>
          <w:trHeight w:val="240"/>
        </w:trPr>
        <w:tc>
          <w:tcPr>
            <w:tcW w:w="3505" w:type="dxa"/>
            <w:gridSpan w:val="4"/>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直接或间接为资产负债率超过</w:t>
            </w:r>
            <w:r>
              <w:rPr>
                <w:sz w:val="18"/>
                <w:szCs w:val="18"/>
              </w:rPr>
              <w:t>70%</w:t>
            </w:r>
            <w:r>
              <w:rPr>
                <w:sz w:val="18"/>
                <w:szCs w:val="18"/>
              </w:rPr>
              <w:t>的被担保对象提供的债务担保余额（</w:t>
            </w:r>
            <w:r>
              <w:rPr>
                <w:sz w:val="18"/>
                <w:szCs w:val="18"/>
              </w:rPr>
              <w:t>E</w:t>
            </w:r>
            <w:r>
              <w:rPr>
                <w:sz w:val="18"/>
                <w:szCs w:val="18"/>
              </w:rPr>
              <w:t>）</w:t>
            </w:r>
          </w:p>
        </w:tc>
        <w:tc>
          <w:tcPr>
            <w:tcW w:w="6134" w:type="dxa"/>
            <w:gridSpan w:val="7"/>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9,980.43</w:t>
            </w:r>
          </w:p>
        </w:tc>
      </w:tr>
      <w:tr w:rsidR="00E20B54">
        <w:trPr>
          <w:trHeight w:val="240"/>
        </w:trPr>
        <w:tc>
          <w:tcPr>
            <w:tcW w:w="3505" w:type="dxa"/>
            <w:gridSpan w:val="4"/>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担保总额超过净资产</w:t>
            </w:r>
            <w:r>
              <w:rPr>
                <w:sz w:val="18"/>
                <w:szCs w:val="18"/>
              </w:rPr>
              <w:t>50%</w:t>
            </w:r>
            <w:r>
              <w:rPr>
                <w:sz w:val="18"/>
                <w:szCs w:val="18"/>
              </w:rPr>
              <w:t>部分的金额（</w:t>
            </w:r>
            <w:r>
              <w:rPr>
                <w:sz w:val="18"/>
                <w:szCs w:val="18"/>
              </w:rPr>
              <w:t>F</w:t>
            </w:r>
            <w:r>
              <w:rPr>
                <w:sz w:val="18"/>
                <w:szCs w:val="18"/>
              </w:rPr>
              <w:t>）</w:t>
            </w:r>
          </w:p>
        </w:tc>
        <w:tc>
          <w:tcPr>
            <w:tcW w:w="6134" w:type="dxa"/>
            <w:gridSpan w:val="7"/>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w:t>
            </w:r>
          </w:p>
        </w:tc>
      </w:tr>
      <w:tr w:rsidR="00E20B54">
        <w:trPr>
          <w:trHeight w:val="240"/>
        </w:trPr>
        <w:tc>
          <w:tcPr>
            <w:tcW w:w="3505" w:type="dxa"/>
            <w:gridSpan w:val="4"/>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上述三项担保金额合计（</w:t>
            </w:r>
            <w:r>
              <w:rPr>
                <w:sz w:val="18"/>
                <w:szCs w:val="18"/>
              </w:rPr>
              <w:t>D+E+F</w:t>
            </w:r>
            <w:r>
              <w:rPr>
                <w:sz w:val="18"/>
                <w:szCs w:val="18"/>
              </w:rPr>
              <w:t>）</w:t>
            </w:r>
          </w:p>
        </w:tc>
        <w:tc>
          <w:tcPr>
            <w:tcW w:w="6134" w:type="dxa"/>
            <w:gridSpan w:val="7"/>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9,980.43</w:t>
            </w:r>
          </w:p>
        </w:tc>
      </w:tr>
      <w:tr w:rsidR="00E20B54">
        <w:trPr>
          <w:trHeight w:val="240"/>
        </w:trPr>
        <w:tc>
          <w:tcPr>
            <w:tcW w:w="3505" w:type="dxa"/>
            <w:gridSpan w:val="4"/>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对未到期担保合同，报告期内发生担保责任或有证据表明有可能承担连带清偿责任的情况说明（如有）</w:t>
            </w:r>
          </w:p>
        </w:tc>
        <w:tc>
          <w:tcPr>
            <w:tcW w:w="6134" w:type="dxa"/>
            <w:gridSpan w:val="7"/>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无。</w:t>
            </w:r>
          </w:p>
        </w:tc>
      </w:tr>
      <w:tr w:rsidR="00E20B54">
        <w:trPr>
          <w:trHeight w:val="240"/>
        </w:trPr>
        <w:tc>
          <w:tcPr>
            <w:tcW w:w="3505" w:type="dxa"/>
            <w:gridSpan w:val="4"/>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违反规定程序对外提供担保的说明（如有）</w:t>
            </w:r>
          </w:p>
        </w:tc>
        <w:tc>
          <w:tcPr>
            <w:tcW w:w="6134" w:type="dxa"/>
            <w:gridSpan w:val="7"/>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无。</w:t>
            </w:r>
          </w:p>
        </w:tc>
      </w:tr>
    </w:tbl>
    <w:p w:rsidR="00E20B54" w:rsidRDefault="00733C9E">
      <w:pPr>
        <w:spacing w:before="100" w:after="100" w:line="240" w:lineRule="exact"/>
        <w:rPr>
          <w:sz w:val="18"/>
          <w:szCs w:val="18"/>
        </w:rPr>
      </w:pPr>
      <w:r>
        <w:rPr>
          <w:sz w:val="18"/>
          <w:szCs w:val="18"/>
        </w:rPr>
        <w:t>采用复合方式担保的具体情况说明</w:t>
      </w:r>
    </w:p>
    <w:p w:rsidR="00E20B54" w:rsidRDefault="00733C9E" w:rsidP="00C57489">
      <w:pPr>
        <w:pStyle w:val="a3"/>
        <w:widowControl/>
        <w:spacing w:beforeLines="50" w:before="156" w:beforeAutospacing="0" w:afterLines="50" w:after="156" w:afterAutospacing="0"/>
        <w:ind w:firstLineChars="200" w:firstLine="420"/>
        <w:rPr>
          <w:sz w:val="21"/>
          <w:szCs w:val="21"/>
        </w:rPr>
      </w:pPr>
      <w:r>
        <w:rPr>
          <w:sz w:val="21"/>
          <w:szCs w:val="21"/>
        </w:rPr>
        <w:t>1.</w:t>
      </w:r>
      <w:r>
        <w:rPr>
          <w:sz w:val="21"/>
          <w:szCs w:val="21"/>
        </w:rPr>
        <w:t>湖南天晨向中国银行股份有限公司娄底分行固定资产贷款，由公司和其他股东湖南宝田实业有限公司共同提供连带责任保证担保，并以湖南天晨应收账款</w:t>
      </w:r>
      <w:r>
        <w:rPr>
          <w:sz w:val="21"/>
          <w:szCs w:val="21"/>
        </w:rPr>
        <w:t>-</w:t>
      </w:r>
      <w:r>
        <w:rPr>
          <w:sz w:val="21"/>
          <w:szCs w:val="21"/>
        </w:rPr>
        <w:t>售电收费权提供质押担保。</w:t>
      </w:r>
    </w:p>
    <w:p w:rsidR="00E20B54" w:rsidRDefault="00733C9E" w:rsidP="00C57489">
      <w:pPr>
        <w:pStyle w:val="a3"/>
        <w:widowControl/>
        <w:spacing w:beforeLines="50" w:before="156" w:beforeAutospacing="0" w:afterLines="50" w:after="156" w:afterAutospacing="0"/>
        <w:ind w:firstLineChars="200" w:firstLine="420"/>
      </w:pPr>
      <w:r>
        <w:rPr>
          <w:sz w:val="21"/>
          <w:szCs w:val="21"/>
        </w:rPr>
        <w:t>2.</w:t>
      </w:r>
      <w:r>
        <w:rPr>
          <w:sz w:val="21"/>
          <w:szCs w:val="21"/>
        </w:rPr>
        <w:t>桓台爱道向华润融资租赁有限公司申请综合授信，由公司提供连带责任保证担保，并以桓台爱道应收账款</w:t>
      </w:r>
      <w:r>
        <w:rPr>
          <w:sz w:val="21"/>
          <w:szCs w:val="21"/>
        </w:rPr>
        <w:t>-</w:t>
      </w:r>
      <w:r>
        <w:rPr>
          <w:sz w:val="21"/>
          <w:szCs w:val="21"/>
        </w:rPr>
        <w:t>售电收费权提供质押担保。</w:t>
      </w:r>
    </w:p>
    <w:p w:rsidR="00E20B54" w:rsidRDefault="00733C9E" w:rsidP="00C57489">
      <w:pPr>
        <w:pStyle w:val="a3"/>
        <w:widowControl/>
        <w:spacing w:beforeLines="50" w:before="156" w:beforeAutospacing="0" w:afterLines="50" w:after="156" w:afterAutospacing="0"/>
        <w:ind w:firstLineChars="200" w:firstLine="420"/>
      </w:pPr>
      <w:r>
        <w:rPr>
          <w:sz w:val="21"/>
          <w:szCs w:val="21"/>
        </w:rPr>
        <w:t>3.</w:t>
      </w:r>
      <w:r>
        <w:rPr>
          <w:sz w:val="21"/>
          <w:szCs w:val="21"/>
        </w:rPr>
        <w:t>广西亿泰向中航国际融资租赁有限公司以售后回租申请融资租赁，由公司和其他股东广东后洋投资有限公司提供连带责任保证担保，以广西亿泰应收账款</w:t>
      </w:r>
      <w:r>
        <w:rPr>
          <w:sz w:val="21"/>
          <w:szCs w:val="21"/>
        </w:rPr>
        <w:t>-</w:t>
      </w:r>
      <w:r>
        <w:rPr>
          <w:sz w:val="21"/>
          <w:szCs w:val="21"/>
        </w:rPr>
        <w:t>电费收费权提供质押担保。</w:t>
      </w:r>
    </w:p>
    <w:p w:rsidR="00E20B54" w:rsidRDefault="00733C9E">
      <w:pPr>
        <w:pStyle w:val="3"/>
        <w:spacing w:line="280" w:lineRule="exact"/>
        <w:jc w:val="left"/>
        <w:rPr>
          <w:b/>
          <w:bCs/>
        </w:rPr>
      </w:pPr>
      <w:bookmarkStart w:id="119" w:name="_Toc989008"/>
      <w:r>
        <w:rPr>
          <w:b/>
          <w:bCs/>
        </w:rPr>
        <w:t>3</w:t>
      </w:r>
      <w:r>
        <w:rPr>
          <w:b/>
          <w:bCs/>
        </w:rPr>
        <w:t>、委托他人进行现金资产管理情况</w:t>
      </w:r>
      <w:bookmarkEnd w:id="119"/>
    </w:p>
    <w:p w:rsidR="00E20B54" w:rsidRDefault="00733C9E">
      <w:pPr>
        <w:keepNext/>
        <w:keepLines/>
        <w:spacing w:before="300" w:after="300" w:line="280" w:lineRule="exact"/>
        <w:outlineLvl w:val="3"/>
        <w:rPr>
          <w:b/>
          <w:bCs/>
          <w:sz w:val="18"/>
          <w:szCs w:val="18"/>
        </w:rPr>
      </w:pPr>
      <w:bookmarkStart w:id="120" w:name="_Toc989009"/>
      <w:r>
        <w:rPr>
          <w:b/>
          <w:bCs/>
          <w:sz w:val="18"/>
          <w:szCs w:val="18"/>
        </w:rPr>
        <w:t>（</w:t>
      </w:r>
      <w:r>
        <w:rPr>
          <w:b/>
          <w:bCs/>
          <w:sz w:val="18"/>
          <w:szCs w:val="18"/>
        </w:rPr>
        <w:t>1</w:t>
      </w:r>
      <w:r>
        <w:rPr>
          <w:b/>
          <w:bCs/>
          <w:sz w:val="18"/>
          <w:szCs w:val="18"/>
        </w:rPr>
        <w:t>）</w:t>
      </w:r>
      <w:r>
        <w:rPr>
          <w:b/>
          <w:bCs/>
          <w:sz w:val="18"/>
          <w:szCs w:val="18"/>
        </w:rPr>
        <w:t xml:space="preserve"> </w:t>
      </w:r>
      <w:r>
        <w:rPr>
          <w:b/>
          <w:bCs/>
          <w:sz w:val="18"/>
          <w:szCs w:val="18"/>
        </w:rPr>
        <w:t>委托理财情况</w:t>
      </w:r>
      <w:bookmarkEnd w:id="120"/>
    </w:p>
    <w:p w:rsidR="00E20B54" w:rsidRDefault="00733C9E">
      <w:pPr>
        <w:spacing w:before="40" w:after="40" w:line="240" w:lineRule="exact"/>
        <w:rPr>
          <w:sz w:val="18"/>
          <w:szCs w:val="18"/>
        </w:rPr>
      </w:pPr>
      <w:r>
        <w:rPr>
          <w:sz w:val="18"/>
          <w:szCs w:val="18"/>
        </w:rPr>
        <w:t>□</w:t>
      </w:r>
      <w:r>
        <w:rPr>
          <w:sz w:val="18"/>
          <w:szCs w:val="18"/>
        </w:rPr>
        <w:t>适用</w:t>
      </w:r>
      <w:r>
        <w:rPr>
          <w:sz w:val="18"/>
          <w:szCs w:val="18"/>
        </w:rPr>
        <w:t xml:space="preserve"> </w:t>
      </w:r>
      <w:r>
        <w:rPr>
          <w:sz w:val="18"/>
          <w:szCs w:val="18"/>
        </w:rPr>
        <w:sym w:font="Wingdings 2" w:char="F052"/>
      </w:r>
      <w:r>
        <w:rPr>
          <w:sz w:val="18"/>
          <w:szCs w:val="18"/>
        </w:rPr>
        <w:t>不适用</w:t>
      </w:r>
    </w:p>
    <w:p w:rsidR="00E20B54" w:rsidRDefault="00733C9E">
      <w:pPr>
        <w:spacing w:before="40" w:after="40" w:line="240" w:lineRule="exact"/>
        <w:rPr>
          <w:sz w:val="18"/>
          <w:szCs w:val="18"/>
        </w:rPr>
      </w:pPr>
      <w:r>
        <w:rPr>
          <w:sz w:val="18"/>
          <w:szCs w:val="18"/>
        </w:rPr>
        <w:t>公司报告期不存在委托理财。</w:t>
      </w:r>
    </w:p>
    <w:p w:rsidR="00E20B54" w:rsidRDefault="00733C9E">
      <w:pPr>
        <w:keepNext/>
        <w:keepLines/>
        <w:spacing w:before="300" w:after="300" w:line="280" w:lineRule="exact"/>
        <w:outlineLvl w:val="3"/>
        <w:rPr>
          <w:b/>
          <w:bCs/>
          <w:sz w:val="18"/>
          <w:szCs w:val="18"/>
        </w:rPr>
      </w:pPr>
      <w:bookmarkStart w:id="121" w:name="_Toc989010"/>
      <w:r>
        <w:rPr>
          <w:b/>
          <w:bCs/>
          <w:sz w:val="18"/>
          <w:szCs w:val="18"/>
        </w:rPr>
        <w:t>（</w:t>
      </w:r>
      <w:r>
        <w:rPr>
          <w:b/>
          <w:bCs/>
          <w:sz w:val="18"/>
          <w:szCs w:val="18"/>
        </w:rPr>
        <w:t>2</w:t>
      </w:r>
      <w:r>
        <w:rPr>
          <w:b/>
          <w:bCs/>
          <w:sz w:val="18"/>
          <w:szCs w:val="18"/>
        </w:rPr>
        <w:t>）</w:t>
      </w:r>
      <w:r>
        <w:rPr>
          <w:b/>
          <w:bCs/>
          <w:sz w:val="18"/>
          <w:szCs w:val="18"/>
        </w:rPr>
        <w:t xml:space="preserve"> </w:t>
      </w:r>
      <w:r>
        <w:rPr>
          <w:b/>
          <w:bCs/>
          <w:sz w:val="18"/>
          <w:szCs w:val="18"/>
        </w:rPr>
        <w:t>委托贷款情况</w:t>
      </w:r>
      <w:bookmarkEnd w:id="121"/>
    </w:p>
    <w:p w:rsidR="00E20B54" w:rsidRDefault="00733C9E">
      <w:pPr>
        <w:spacing w:before="100" w:after="100" w:line="240" w:lineRule="exact"/>
        <w:rPr>
          <w:sz w:val="18"/>
          <w:szCs w:val="18"/>
        </w:rPr>
      </w:pPr>
      <w:r>
        <w:rPr>
          <w:sz w:val="18"/>
          <w:szCs w:val="18"/>
        </w:rPr>
        <w:t>□</w:t>
      </w:r>
      <w:r>
        <w:rPr>
          <w:sz w:val="18"/>
          <w:szCs w:val="18"/>
        </w:rPr>
        <w:t>适用</w:t>
      </w:r>
      <w:r>
        <w:rPr>
          <w:sz w:val="18"/>
          <w:szCs w:val="18"/>
        </w:rPr>
        <w:t xml:space="preserve"> </w:t>
      </w:r>
      <w:r>
        <w:rPr>
          <w:sz w:val="18"/>
          <w:szCs w:val="18"/>
        </w:rPr>
        <w:sym w:font="Wingdings 2" w:char="F052"/>
      </w:r>
      <w:r>
        <w:rPr>
          <w:sz w:val="18"/>
          <w:szCs w:val="18"/>
        </w:rPr>
        <w:t>不适用</w:t>
      </w:r>
    </w:p>
    <w:p w:rsidR="00E20B54" w:rsidRDefault="00733C9E">
      <w:pPr>
        <w:spacing w:before="100" w:after="100" w:line="240" w:lineRule="exact"/>
        <w:rPr>
          <w:sz w:val="18"/>
          <w:szCs w:val="18"/>
        </w:rPr>
      </w:pPr>
      <w:r>
        <w:rPr>
          <w:sz w:val="18"/>
          <w:szCs w:val="18"/>
        </w:rPr>
        <w:t>公司报告期不存在委托贷款。</w:t>
      </w:r>
    </w:p>
    <w:p w:rsidR="00E20B54" w:rsidRDefault="00733C9E">
      <w:pPr>
        <w:pStyle w:val="3"/>
        <w:spacing w:line="280" w:lineRule="exact"/>
        <w:jc w:val="left"/>
        <w:rPr>
          <w:b/>
          <w:bCs/>
        </w:rPr>
      </w:pPr>
      <w:bookmarkStart w:id="122" w:name="_Toc989011"/>
      <w:r>
        <w:rPr>
          <w:b/>
          <w:bCs/>
        </w:rPr>
        <w:t>4</w:t>
      </w:r>
      <w:r>
        <w:rPr>
          <w:b/>
          <w:bCs/>
        </w:rPr>
        <w:t>、其他重大合同</w:t>
      </w:r>
      <w:bookmarkEnd w:id="122"/>
    </w:p>
    <w:p w:rsidR="00E20B54" w:rsidRDefault="00733C9E">
      <w:pPr>
        <w:spacing w:before="40" w:after="40" w:line="240" w:lineRule="exact"/>
        <w:rPr>
          <w:sz w:val="18"/>
          <w:szCs w:val="18"/>
        </w:rPr>
      </w:pPr>
      <w:r>
        <w:rPr>
          <w:sz w:val="18"/>
          <w:szCs w:val="18"/>
        </w:rPr>
        <w:t>□</w:t>
      </w:r>
      <w:r>
        <w:rPr>
          <w:sz w:val="18"/>
          <w:szCs w:val="18"/>
        </w:rPr>
        <w:t>适用</w:t>
      </w:r>
      <w:r>
        <w:rPr>
          <w:sz w:val="18"/>
          <w:szCs w:val="18"/>
        </w:rPr>
        <w:t xml:space="preserve"> </w:t>
      </w:r>
      <w:r>
        <w:rPr>
          <w:sz w:val="18"/>
          <w:szCs w:val="18"/>
        </w:rPr>
        <w:sym w:font="Wingdings 2" w:char="F052"/>
      </w:r>
      <w:r>
        <w:rPr>
          <w:sz w:val="18"/>
          <w:szCs w:val="18"/>
        </w:rPr>
        <w:t>不适用</w:t>
      </w:r>
    </w:p>
    <w:p w:rsidR="00E20B54" w:rsidRDefault="00733C9E">
      <w:pPr>
        <w:spacing w:before="100" w:after="100" w:line="240" w:lineRule="exact"/>
        <w:rPr>
          <w:sz w:val="18"/>
          <w:szCs w:val="18"/>
        </w:rPr>
      </w:pPr>
      <w:r>
        <w:rPr>
          <w:sz w:val="18"/>
          <w:szCs w:val="18"/>
        </w:rPr>
        <w:t>公司报告期不存在其他重大合同。</w:t>
      </w:r>
    </w:p>
    <w:p w:rsidR="00E20B54" w:rsidRDefault="00733C9E">
      <w:pPr>
        <w:pStyle w:val="2"/>
        <w:spacing w:before="300" w:after="300" w:line="320" w:lineRule="exact"/>
        <w:rPr>
          <w:b/>
          <w:bCs/>
          <w:sz w:val="24"/>
          <w:szCs w:val="24"/>
        </w:rPr>
      </w:pPr>
      <w:bookmarkStart w:id="123" w:name="_Toc989012"/>
      <w:r>
        <w:rPr>
          <w:b/>
          <w:bCs/>
          <w:sz w:val="24"/>
          <w:szCs w:val="24"/>
        </w:rPr>
        <w:t>十六、募集资金使用情况</w:t>
      </w:r>
      <w:bookmarkEnd w:id="123"/>
    </w:p>
    <w:p w:rsidR="00E20B54" w:rsidRDefault="00733C9E">
      <w:pPr>
        <w:spacing w:before="100" w:after="100" w:line="240" w:lineRule="exact"/>
        <w:rPr>
          <w:sz w:val="18"/>
          <w:szCs w:val="18"/>
        </w:rPr>
      </w:pPr>
      <w:r>
        <w:rPr>
          <w:sz w:val="18"/>
          <w:szCs w:val="18"/>
        </w:rPr>
        <w:sym w:font="Wingdings 2" w:char="F052"/>
      </w:r>
      <w:r>
        <w:rPr>
          <w:sz w:val="18"/>
          <w:szCs w:val="18"/>
        </w:rPr>
        <w:t>适用</w:t>
      </w:r>
      <w:r>
        <w:rPr>
          <w:sz w:val="18"/>
          <w:szCs w:val="18"/>
        </w:rPr>
        <w:t xml:space="preserve"> □</w:t>
      </w:r>
      <w:r>
        <w:rPr>
          <w:sz w:val="18"/>
          <w:szCs w:val="18"/>
        </w:rPr>
        <w:t>不适用</w:t>
      </w:r>
    </w:p>
    <w:p w:rsidR="00E20B54" w:rsidRDefault="00733C9E">
      <w:pPr>
        <w:pStyle w:val="3"/>
        <w:spacing w:line="280" w:lineRule="exact"/>
        <w:jc w:val="left"/>
        <w:rPr>
          <w:b/>
          <w:bCs/>
        </w:rPr>
      </w:pPr>
      <w:bookmarkStart w:id="124" w:name="_Toc989013"/>
      <w:r>
        <w:rPr>
          <w:b/>
          <w:bCs/>
        </w:rPr>
        <w:lastRenderedPageBreak/>
        <w:t>1</w:t>
      </w:r>
      <w:r>
        <w:rPr>
          <w:b/>
          <w:bCs/>
        </w:rPr>
        <w:t>、募集资金总体使用情况</w:t>
      </w:r>
      <w:bookmarkEnd w:id="124"/>
    </w:p>
    <w:p w:rsidR="00E20B54" w:rsidRDefault="00733C9E">
      <w:pPr>
        <w:spacing w:before="100" w:after="100" w:line="240" w:lineRule="exact"/>
        <w:rPr>
          <w:sz w:val="18"/>
          <w:szCs w:val="18"/>
        </w:rPr>
      </w:pPr>
      <w:r>
        <w:rPr>
          <w:sz w:val="18"/>
          <w:szCs w:val="18"/>
        </w:rPr>
        <w:sym w:font="Wingdings 2" w:char="F052"/>
      </w:r>
      <w:r>
        <w:rPr>
          <w:sz w:val="18"/>
          <w:szCs w:val="18"/>
        </w:rPr>
        <w:t>适用</w:t>
      </w:r>
      <w:r>
        <w:rPr>
          <w:sz w:val="18"/>
          <w:szCs w:val="18"/>
        </w:rPr>
        <w:t xml:space="preserve"> □</w:t>
      </w:r>
      <w:r>
        <w:rPr>
          <w:sz w:val="18"/>
          <w:szCs w:val="18"/>
        </w:rPr>
        <w:t>不适用</w:t>
      </w:r>
    </w:p>
    <w:p w:rsidR="00E20B54" w:rsidRDefault="00733C9E">
      <w:pPr>
        <w:spacing w:before="120" w:after="120" w:line="240" w:lineRule="exact"/>
        <w:jc w:val="right"/>
        <w:rPr>
          <w:sz w:val="18"/>
          <w:szCs w:val="18"/>
        </w:rPr>
      </w:pPr>
      <w:r>
        <w:rPr>
          <w:sz w:val="18"/>
          <w:szCs w:val="18"/>
        </w:rPr>
        <w:t>单位：万元</w:t>
      </w:r>
    </w:p>
    <w:tbl>
      <w:tblPr>
        <w:tblW w:w="9646"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689"/>
        <w:gridCol w:w="689"/>
        <w:gridCol w:w="689"/>
        <w:gridCol w:w="689"/>
        <w:gridCol w:w="689"/>
        <w:gridCol w:w="689"/>
        <w:gridCol w:w="689"/>
        <w:gridCol w:w="689"/>
        <w:gridCol w:w="689"/>
        <w:gridCol w:w="689"/>
        <w:gridCol w:w="689"/>
        <w:gridCol w:w="689"/>
        <w:gridCol w:w="689"/>
        <w:gridCol w:w="689"/>
      </w:tblGrid>
      <w:tr w:rsidR="00E20B54">
        <w:trPr>
          <w:trHeight w:val="240"/>
        </w:trPr>
        <w:tc>
          <w:tcPr>
            <w:tcW w:w="689"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募集年份</w:t>
            </w:r>
          </w:p>
        </w:tc>
        <w:tc>
          <w:tcPr>
            <w:tcW w:w="689"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募集方式</w:t>
            </w:r>
          </w:p>
        </w:tc>
        <w:tc>
          <w:tcPr>
            <w:tcW w:w="689"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证券上市日期</w:t>
            </w:r>
          </w:p>
        </w:tc>
        <w:tc>
          <w:tcPr>
            <w:tcW w:w="689"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募集资金总额</w:t>
            </w:r>
          </w:p>
        </w:tc>
        <w:tc>
          <w:tcPr>
            <w:tcW w:w="689"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募集资金净额（</w:t>
            </w:r>
            <w:r>
              <w:rPr>
                <w:sz w:val="18"/>
                <w:szCs w:val="18"/>
              </w:rPr>
              <w:t>1</w:t>
            </w:r>
            <w:r>
              <w:rPr>
                <w:sz w:val="18"/>
                <w:szCs w:val="18"/>
              </w:rPr>
              <w:t>）</w:t>
            </w:r>
          </w:p>
        </w:tc>
        <w:tc>
          <w:tcPr>
            <w:tcW w:w="689"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本期已使用募集资金总额</w:t>
            </w:r>
          </w:p>
        </w:tc>
        <w:tc>
          <w:tcPr>
            <w:tcW w:w="689"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已累计使用募集资金总额（</w:t>
            </w:r>
            <w:r>
              <w:rPr>
                <w:sz w:val="18"/>
                <w:szCs w:val="18"/>
              </w:rPr>
              <w:t>2</w:t>
            </w:r>
            <w:r>
              <w:rPr>
                <w:sz w:val="18"/>
                <w:szCs w:val="18"/>
              </w:rPr>
              <w:t>）</w:t>
            </w:r>
          </w:p>
        </w:tc>
        <w:tc>
          <w:tcPr>
            <w:tcW w:w="689"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报告期末募集资金使用比例（</w:t>
            </w:r>
            <w:r>
              <w:rPr>
                <w:sz w:val="18"/>
                <w:szCs w:val="18"/>
              </w:rPr>
              <w:t>3</w:t>
            </w:r>
            <w:r>
              <w:rPr>
                <w:sz w:val="18"/>
                <w:szCs w:val="18"/>
              </w:rPr>
              <w:t>）</w:t>
            </w:r>
            <w:r>
              <w:rPr>
                <w:sz w:val="18"/>
                <w:szCs w:val="18"/>
              </w:rPr>
              <w:t>=</w:t>
            </w:r>
            <w:r>
              <w:rPr>
                <w:sz w:val="18"/>
                <w:szCs w:val="18"/>
              </w:rPr>
              <w:t>（</w:t>
            </w:r>
            <w:r>
              <w:rPr>
                <w:sz w:val="18"/>
                <w:szCs w:val="18"/>
              </w:rPr>
              <w:t>2</w:t>
            </w:r>
            <w:r>
              <w:rPr>
                <w:sz w:val="18"/>
                <w:szCs w:val="18"/>
              </w:rPr>
              <w:t>）</w:t>
            </w:r>
            <w:r>
              <w:rPr>
                <w:sz w:val="18"/>
                <w:szCs w:val="18"/>
              </w:rPr>
              <w:t>/</w:t>
            </w:r>
            <w:r>
              <w:rPr>
                <w:sz w:val="18"/>
                <w:szCs w:val="18"/>
              </w:rPr>
              <w:t>（</w:t>
            </w:r>
            <w:r>
              <w:rPr>
                <w:sz w:val="18"/>
                <w:szCs w:val="18"/>
              </w:rPr>
              <w:t>1</w:t>
            </w:r>
            <w:r>
              <w:rPr>
                <w:sz w:val="18"/>
                <w:szCs w:val="18"/>
              </w:rPr>
              <w:t>）</w:t>
            </w:r>
          </w:p>
        </w:tc>
        <w:tc>
          <w:tcPr>
            <w:tcW w:w="689"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报告期内变更用途的募集资金总额</w:t>
            </w:r>
          </w:p>
        </w:tc>
        <w:tc>
          <w:tcPr>
            <w:tcW w:w="689"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累计变更用途的募集资金总额</w:t>
            </w:r>
          </w:p>
        </w:tc>
        <w:tc>
          <w:tcPr>
            <w:tcW w:w="689"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累计变更用途的募集资金总额比例</w:t>
            </w:r>
          </w:p>
        </w:tc>
        <w:tc>
          <w:tcPr>
            <w:tcW w:w="689"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尚未使用募集资金总额</w:t>
            </w:r>
          </w:p>
        </w:tc>
        <w:tc>
          <w:tcPr>
            <w:tcW w:w="689"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尚未使用募集资金用途及去向</w:t>
            </w:r>
          </w:p>
        </w:tc>
        <w:tc>
          <w:tcPr>
            <w:tcW w:w="689"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闲置两年以上募集资金金额</w:t>
            </w:r>
          </w:p>
        </w:tc>
      </w:tr>
      <w:tr w:rsidR="00E20B54">
        <w:trPr>
          <w:trHeight w:val="240"/>
        </w:trPr>
        <w:tc>
          <w:tcPr>
            <w:tcW w:w="689"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2021</w:t>
            </w:r>
          </w:p>
        </w:tc>
        <w:tc>
          <w:tcPr>
            <w:tcW w:w="689"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首次公开发行</w:t>
            </w:r>
          </w:p>
        </w:tc>
        <w:tc>
          <w:tcPr>
            <w:tcW w:w="689"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2021</w:t>
            </w:r>
            <w:r>
              <w:rPr>
                <w:sz w:val="18"/>
                <w:szCs w:val="18"/>
              </w:rPr>
              <w:t>年</w:t>
            </w:r>
            <w:r>
              <w:rPr>
                <w:sz w:val="18"/>
                <w:szCs w:val="18"/>
              </w:rPr>
              <w:t>11</w:t>
            </w:r>
            <w:r>
              <w:rPr>
                <w:sz w:val="18"/>
                <w:szCs w:val="18"/>
              </w:rPr>
              <w:t>月</w:t>
            </w:r>
            <w:r>
              <w:rPr>
                <w:sz w:val="18"/>
                <w:szCs w:val="18"/>
              </w:rPr>
              <w:t>12</w:t>
            </w:r>
            <w:r>
              <w:rPr>
                <w:sz w:val="18"/>
                <w:szCs w:val="18"/>
              </w:rPr>
              <w:t>日</w:t>
            </w:r>
          </w:p>
        </w:tc>
        <w:tc>
          <w:tcPr>
            <w:tcW w:w="689"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57,311.75</w:t>
            </w:r>
          </w:p>
        </w:tc>
        <w:tc>
          <w:tcPr>
            <w:tcW w:w="689"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51,026.07</w:t>
            </w:r>
          </w:p>
        </w:tc>
        <w:tc>
          <w:tcPr>
            <w:tcW w:w="689"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7,137.19</w:t>
            </w:r>
          </w:p>
        </w:tc>
        <w:tc>
          <w:tcPr>
            <w:tcW w:w="689"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41,027.9</w:t>
            </w:r>
          </w:p>
        </w:tc>
        <w:tc>
          <w:tcPr>
            <w:tcW w:w="689"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80.41%</w:t>
            </w:r>
          </w:p>
        </w:tc>
        <w:tc>
          <w:tcPr>
            <w:tcW w:w="689"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w:t>
            </w:r>
          </w:p>
        </w:tc>
        <w:tc>
          <w:tcPr>
            <w:tcW w:w="689"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17,285.67</w:t>
            </w:r>
          </w:p>
        </w:tc>
        <w:tc>
          <w:tcPr>
            <w:tcW w:w="689"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33.88%</w:t>
            </w:r>
          </w:p>
        </w:tc>
        <w:tc>
          <w:tcPr>
            <w:tcW w:w="689"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9,998.17</w:t>
            </w:r>
          </w:p>
        </w:tc>
        <w:tc>
          <w:tcPr>
            <w:tcW w:w="689"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尚未使用的募集资金依规存放于专项监管账户中，将用于承诺募投项目或将依据公司经营计划和实际需求，经董事会、股东会决议后，审慎投入使用。</w:t>
            </w:r>
          </w:p>
        </w:tc>
        <w:tc>
          <w:tcPr>
            <w:tcW w:w="689"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6,253.71</w:t>
            </w:r>
          </w:p>
        </w:tc>
      </w:tr>
      <w:tr w:rsidR="00E20B54">
        <w:trPr>
          <w:trHeight w:val="240"/>
        </w:trPr>
        <w:tc>
          <w:tcPr>
            <w:tcW w:w="689"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合计</w:t>
            </w:r>
          </w:p>
        </w:tc>
        <w:tc>
          <w:tcPr>
            <w:tcW w:w="689"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w:t>
            </w:r>
          </w:p>
        </w:tc>
        <w:tc>
          <w:tcPr>
            <w:tcW w:w="689"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w:t>
            </w:r>
          </w:p>
        </w:tc>
        <w:tc>
          <w:tcPr>
            <w:tcW w:w="689"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57,311.75</w:t>
            </w:r>
          </w:p>
        </w:tc>
        <w:tc>
          <w:tcPr>
            <w:tcW w:w="689"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51,026.07</w:t>
            </w:r>
          </w:p>
        </w:tc>
        <w:tc>
          <w:tcPr>
            <w:tcW w:w="689"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7,137.19</w:t>
            </w:r>
          </w:p>
        </w:tc>
        <w:tc>
          <w:tcPr>
            <w:tcW w:w="689"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41,027.9</w:t>
            </w:r>
          </w:p>
        </w:tc>
        <w:tc>
          <w:tcPr>
            <w:tcW w:w="689"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80.41%</w:t>
            </w:r>
          </w:p>
        </w:tc>
        <w:tc>
          <w:tcPr>
            <w:tcW w:w="689"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w:t>
            </w:r>
          </w:p>
        </w:tc>
        <w:tc>
          <w:tcPr>
            <w:tcW w:w="689"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17,285.67</w:t>
            </w:r>
          </w:p>
        </w:tc>
        <w:tc>
          <w:tcPr>
            <w:tcW w:w="689"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33.88%</w:t>
            </w:r>
          </w:p>
        </w:tc>
        <w:tc>
          <w:tcPr>
            <w:tcW w:w="689"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9,998.17</w:t>
            </w:r>
          </w:p>
        </w:tc>
        <w:tc>
          <w:tcPr>
            <w:tcW w:w="689"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w:t>
            </w:r>
          </w:p>
        </w:tc>
        <w:tc>
          <w:tcPr>
            <w:tcW w:w="689"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6,253.71</w:t>
            </w:r>
          </w:p>
        </w:tc>
      </w:tr>
    </w:tbl>
    <w:p w:rsidR="00E20B54" w:rsidRDefault="00733C9E">
      <w:pPr>
        <w:spacing w:before="100" w:after="100" w:line="240" w:lineRule="exact"/>
        <w:rPr>
          <w:sz w:val="18"/>
          <w:szCs w:val="18"/>
        </w:rPr>
      </w:pPr>
      <w:r>
        <w:rPr>
          <w:sz w:val="18"/>
          <w:szCs w:val="18"/>
        </w:rPr>
        <w:t>募集资金总体使用情况说明：</w:t>
      </w:r>
    </w:p>
    <w:p w:rsidR="00E20B54" w:rsidRDefault="00733C9E">
      <w:pPr>
        <w:pStyle w:val="a3"/>
        <w:widowControl/>
        <w:spacing w:before="156" w:beforeAutospacing="0" w:after="156" w:afterAutospacing="0" w:line="240" w:lineRule="atLeast"/>
        <w:ind w:firstLineChars="200" w:firstLine="420"/>
        <w:jc w:val="both"/>
        <w:rPr>
          <w:sz w:val="21"/>
          <w:szCs w:val="21"/>
        </w:rPr>
      </w:pPr>
      <w:r>
        <w:rPr>
          <w:sz w:val="21"/>
          <w:szCs w:val="21"/>
        </w:rPr>
        <w:t>①</w:t>
      </w:r>
      <w:r>
        <w:rPr>
          <w:sz w:val="21"/>
          <w:szCs w:val="21"/>
        </w:rPr>
        <w:t>募集资金基本情况</w:t>
      </w:r>
    </w:p>
    <w:p w:rsidR="00E20B54" w:rsidRDefault="00733C9E">
      <w:pPr>
        <w:pStyle w:val="a3"/>
        <w:widowControl/>
        <w:spacing w:before="156" w:beforeAutospacing="0" w:after="156" w:afterAutospacing="0" w:line="240" w:lineRule="atLeast"/>
        <w:ind w:firstLineChars="200" w:firstLine="420"/>
        <w:jc w:val="both"/>
        <w:rPr>
          <w:sz w:val="21"/>
          <w:szCs w:val="21"/>
        </w:rPr>
      </w:pPr>
      <w:r>
        <w:rPr>
          <w:sz w:val="21"/>
          <w:szCs w:val="21"/>
        </w:rPr>
        <w:lastRenderedPageBreak/>
        <w:t>公司于</w:t>
      </w:r>
      <w:r>
        <w:rPr>
          <w:sz w:val="21"/>
          <w:szCs w:val="21"/>
        </w:rPr>
        <w:t>2021</w:t>
      </w:r>
      <w:r>
        <w:rPr>
          <w:sz w:val="21"/>
          <w:szCs w:val="21"/>
        </w:rPr>
        <w:t>年</w:t>
      </w:r>
      <w:r>
        <w:rPr>
          <w:sz w:val="21"/>
          <w:szCs w:val="21"/>
        </w:rPr>
        <w:t>11</w:t>
      </w:r>
      <w:r>
        <w:rPr>
          <w:sz w:val="21"/>
          <w:szCs w:val="21"/>
        </w:rPr>
        <w:t>月</w:t>
      </w:r>
      <w:r>
        <w:rPr>
          <w:sz w:val="21"/>
          <w:szCs w:val="21"/>
        </w:rPr>
        <w:t>1</w:t>
      </w:r>
      <w:r>
        <w:rPr>
          <w:sz w:val="21"/>
          <w:szCs w:val="21"/>
        </w:rPr>
        <w:t>日采用网上定价方式公开发行人民币普通股（</w:t>
      </w:r>
      <w:r>
        <w:rPr>
          <w:sz w:val="21"/>
          <w:szCs w:val="21"/>
        </w:rPr>
        <w:t>A</w:t>
      </w:r>
      <w:r>
        <w:rPr>
          <w:sz w:val="21"/>
          <w:szCs w:val="21"/>
        </w:rPr>
        <w:t>股）</w:t>
      </w:r>
      <w:r>
        <w:rPr>
          <w:sz w:val="21"/>
          <w:szCs w:val="21"/>
        </w:rPr>
        <w:t>11,778,000.00</w:t>
      </w:r>
      <w:r>
        <w:rPr>
          <w:sz w:val="21"/>
          <w:szCs w:val="21"/>
        </w:rPr>
        <w:t>股，每股面值为人民币</w:t>
      </w:r>
      <w:r>
        <w:rPr>
          <w:sz w:val="21"/>
          <w:szCs w:val="21"/>
        </w:rPr>
        <w:t>1</w:t>
      </w:r>
      <w:r>
        <w:rPr>
          <w:sz w:val="21"/>
          <w:szCs w:val="21"/>
        </w:rPr>
        <w:t>元，每股发行价格为人民币</w:t>
      </w:r>
      <w:r>
        <w:rPr>
          <w:sz w:val="21"/>
          <w:szCs w:val="21"/>
        </w:rPr>
        <w:t>48.66</w:t>
      </w:r>
      <w:r>
        <w:rPr>
          <w:sz w:val="21"/>
          <w:szCs w:val="21"/>
        </w:rPr>
        <w:t>元，募集资金总额</w:t>
      </w:r>
      <w:r>
        <w:rPr>
          <w:sz w:val="21"/>
          <w:szCs w:val="21"/>
        </w:rPr>
        <w:t>573,117,480.00</w:t>
      </w:r>
      <w:r>
        <w:rPr>
          <w:sz w:val="21"/>
          <w:szCs w:val="21"/>
        </w:rPr>
        <w:t>元，实际募集资金净额</w:t>
      </w:r>
      <w:r>
        <w:rPr>
          <w:sz w:val="21"/>
          <w:szCs w:val="21"/>
        </w:rPr>
        <w:t>510,260,652.00</w:t>
      </w:r>
      <w:r>
        <w:rPr>
          <w:sz w:val="21"/>
          <w:szCs w:val="21"/>
        </w:rPr>
        <w:t>元。该项募集资金已于</w:t>
      </w:r>
      <w:r>
        <w:rPr>
          <w:sz w:val="21"/>
          <w:szCs w:val="21"/>
        </w:rPr>
        <w:t>2021</w:t>
      </w:r>
      <w:r>
        <w:rPr>
          <w:sz w:val="21"/>
          <w:szCs w:val="21"/>
        </w:rPr>
        <w:t>年</w:t>
      </w:r>
      <w:r>
        <w:rPr>
          <w:sz w:val="21"/>
          <w:szCs w:val="21"/>
        </w:rPr>
        <w:t>11</w:t>
      </w:r>
      <w:r>
        <w:rPr>
          <w:sz w:val="21"/>
          <w:szCs w:val="21"/>
        </w:rPr>
        <w:t>月</w:t>
      </w:r>
      <w:r>
        <w:rPr>
          <w:sz w:val="21"/>
          <w:szCs w:val="21"/>
        </w:rPr>
        <w:t>5</w:t>
      </w:r>
      <w:r>
        <w:rPr>
          <w:sz w:val="21"/>
          <w:szCs w:val="21"/>
        </w:rPr>
        <w:t>日存入公司募集资金专用账户，并经中审众环会计师事务所（特殊普通合伙）以众环验字（</w:t>
      </w:r>
      <w:r>
        <w:rPr>
          <w:sz w:val="21"/>
          <w:szCs w:val="21"/>
        </w:rPr>
        <w:t>2021</w:t>
      </w:r>
      <w:r>
        <w:rPr>
          <w:sz w:val="21"/>
          <w:szCs w:val="21"/>
        </w:rPr>
        <w:t>）</w:t>
      </w:r>
      <w:r>
        <w:rPr>
          <w:sz w:val="21"/>
          <w:szCs w:val="21"/>
        </w:rPr>
        <w:t>0600012</w:t>
      </w:r>
      <w:r>
        <w:rPr>
          <w:sz w:val="21"/>
          <w:szCs w:val="21"/>
        </w:rPr>
        <w:t>号《验资报告》审验。根据公司《首次公开发行股票并在创业板上市招股说明书》公司拟募集资金</w:t>
      </w:r>
      <w:r>
        <w:rPr>
          <w:sz w:val="21"/>
          <w:szCs w:val="21"/>
        </w:rPr>
        <w:t>279,361,500.00</w:t>
      </w:r>
      <w:r>
        <w:rPr>
          <w:sz w:val="21"/>
          <w:szCs w:val="21"/>
        </w:rPr>
        <w:t>元，本次超募资金为</w:t>
      </w:r>
      <w:r>
        <w:rPr>
          <w:sz w:val="21"/>
          <w:szCs w:val="21"/>
        </w:rPr>
        <w:t>230,899,152.00</w:t>
      </w:r>
      <w:r>
        <w:rPr>
          <w:sz w:val="21"/>
          <w:szCs w:val="21"/>
        </w:rPr>
        <w:t>元。</w:t>
      </w:r>
    </w:p>
    <w:p w:rsidR="00E20B54" w:rsidRDefault="00733C9E">
      <w:pPr>
        <w:pStyle w:val="a3"/>
        <w:widowControl/>
        <w:spacing w:before="156" w:beforeAutospacing="0" w:after="156" w:afterAutospacing="0" w:line="240" w:lineRule="atLeast"/>
        <w:ind w:firstLineChars="200" w:firstLine="420"/>
        <w:jc w:val="both"/>
        <w:rPr>
          <w:sz w:val="21"/>
          <w:szCs w:val="21"/>
        </w:rPr>
      </w:pPr>
      <w:r>
        <w:rPr>
          <w:sz w:val="21"/>
          <w:szCs w:val="21"/>
        </w:rPr>
        <w:t>②</w:t>
      </w:r>
      <w:r>
        <w:rPr>
          <w:sz w:val="21"/>
          <w:szCs w:val="21"/>
        </w:rPr>
        <w:t>报告期内使用情况</w:t>
      </w:r>
    </w:p>
    <w:p w:rsidR="00E20B54" w:rsidRDefault="00733C9E">
      <w:pPr>
        <w:pStyle w:val="a3"/>
        <w:widowControl/>
        <w:spacing w:before="156" w:beforeAutospacing="0" w:after="156" w:afterAutospacing="0" w:line="240" w:lineRule="atLeast"/>
        <w:ind w:firstLineChars="200" w:firstLine="420"/>
        <w:jc w:val="both"/>
        <w:rPr>
          <w:sz w:val="21"/>
          <w:szCs w:val="21"/>
        </w:rPr>
      </w:pPr>
      <w:r>
        <w:rPr>
          <w:sz w:val="21"/>
          <w:szCs w:val="21"/>
        </w:rPr>
        <w:t>截至</w:t>
      </w:r>
      <w:r>
        <w:rPr>
          <w:sz w:val="21"/>
          <w:szCs w:val="21"/>
        </w:rPr>
        <w:t>2025</w:t>
      </w:r>
      <w:r>
        <w:rPr>
          <w:sz w:val="21"/>
          <w:szCs w:val="21"/>
        </w:rPr>
        <w:t>年</w:t>
      </w:r>
      <w:r>
        <w:rPr>
          <w:sz w:val="21"/>
          <w:szCs w:val="21"/>
        </w:rPr>
        <w:t>12</w:t>
      </w:r>
      <w:r>
        <w:rPr>
          <w:sz w:val="21"/>
          <w:szCs w:val="21"/>
        </w:rPr>
        <w:t>月</w:t>
      </w:r>
      <w:r>
        <w:rPr>
          <w:sz w:val="21"/>
          <w:szCs w:val="21"/>
        </w:rPr>
        <w:t>31</w:t>
      </w:r>
      <w:r>
        <w:rPr>
          <w:sz w:val="21"/>
          <w:szCs w:val="21"/>
        </w:rPr>
        <w:t>日，公司募集资金专户余额为</w:t>
      </w:r>
      <w:r>
        <w:rPr>
          <w:sz w:val="21"/>
          <w:szCs w:val="21"/>
        </w:rPr>
        <w:t>132,319,444.73</w:t>
      </w:r>
      <w:r>
        <w:rPr>
          <w:sz w:val="21"/>
          <w:szCs w:val="21"/>
        </w:rPr>
        <w:t>元，本年度募投项目使用金额</w:t>
      </w:r>
      <w:r>
        <w:rPr>
          <w:sz w:val="21"/>
          <w:szCs w:val="21"/>
        </w:rPr>
        <w:t>3,371,960.52</w:t>
      </w:r>
      <w:r>
        <w:rPr>
          <w:sz w:val="21"/>
          <w:szCs w:val="21"/>
        </w:rPr>
        <w:t>元，其中：</w:t>
      </w:r>
      <w:r>
        <w:rPr>
          <w:sz w:val="21"/>
          <w:szCs w:val="21"/>
        </w:rPr>
        <w:t>2025</w:t>
      </w:r>
      <w:r>
        <w:rPr>
          <w:sz w:val="21"/>
          <w:szCs w:val="21"/>
        </w:rPr>
        <w:t>年使用募集资金</w:t>
      </w:r>
      <w:r>
        <w:rPr>
          <w:sz w:val="21"/>
          <w:szCs w:val="21"/>
        </w:rPr>
        <w:t>367,440.00</w:t>
      </w:r>
      <w:r>
        <w:rPr>
          <w:sz w:val="21"/>
          <w:szCs w:val="21"/>
        </w:rPr>
        <w:t>元用于实施</w:t>
      </w:r>
      <w:r>
        <w:rPr>
          <w:sz w:val="21"/>
          <w:szCs w:val="21"/>
        </w:rPr>
        <w:t>“</w:t>
      </w:r>
      <w:r>
        <w:rPr>
          <w:sz w:val="21"/>
          <w:szCs w:val="21"/>
        </w:rPr>
        <w:t>算力集群服务项目</w:t>
      </w:r>
      <w:r>
        <w:rPr>
          <w:sz w:val="21"/>
          <w:szCs w:val="21"/>
        </w:rPr>
        <w:t>”</w:t>
      </w:r>
      <w:r>
        <w:rPr>
          <w:sz w:val="21"/>
          <w:szCs w:val="21"/>
        </w:rPr>
        <w:t>，使用</w:t>
      </w:r>
      <w:r w:rsidR="00AF475D">
        <w:rPr>
          <w:rFonts w:hint="eastAsia"/>
          <w:sz w:val="21"/>
          <w:szCs w:val="21"/>
        </w:rPr>
        <w:t>超</w:t>
      </w:r>
      <w:r>
        <w:rPr>
          <w:sz w:val="21"/>
          <w:szCs w:val="21"/>
        </w:rPr>
        <w:t>募资金支付深圳综合运营中心项目</w:t>
      </w:r>
      <w:r>
        <w:rPr>
          <w:sz w:val="21"/>
          <w:szCs w:val="21"/>
        </w:rPr>
        <w:t>3,004,520.52</w:t>
      </w:r>
      <w:r>
        <w:rPr>
          <w:sz w:val="21"/>
          <w:szCs w:val="21"/>
        </w:rPr>
        <w:t>元。公司在广东华兴银行股份有限公司深圳分行、兴业银行股份有限公司汕头分行、兴业银行股份有限公司汕头分行开设的募集资金监管账户于</w:t>
      </w:r>
      <w:r>
        <w:rPr>
          <w:sz w:val="21"/>
          <w:szCs w:val="21"/>
        </w:rPr>
        <w:t>2025</w:t>
      </w:r>
      <w:r>
        <w:rPr>
          <w:sz w:val="21"/>
          <w:szCs w:val="21"/>
        </w:rPr>
        <w:t>年</w:t>
      </w:r>
      <w:r>
        <w:rPr>
          <w:sz w:val="21"/>
          <w:szCs w:val="21"/>
        </w:rPr>
        <w:t>8</w:t>
      </w:r>
      <w:r>
        <w:rPr>
          <w:sz w:val="21"/>
          <w:szCs w:val="21"/>
        </w:rPr>
        <w:t>月签订了协定存款协议，截至本期末上述协议尚在有效期，报告期末协定存款余额为</w:t>
      </w:r>
      <w:r>
        <w:rPr>
          <w:sz w:val="21"/>
          <w:szCs w:val="21"/>
        </w:rPr>
        <w:t>130,719,444.73</w:t>
      </w:r>
      <w:r>
        <w:rPr>
          <w:sz w:val="21"/>
          <w:szCs w:val="21"/>
        </w:rPr>
        <w:t>元。</w:t>
      </w:r>
    </w:p>
    <w:p w:rsidR="00E20B54" w:rsidRDefault="00733C9E">
      <w:pPr>
        <w:pStyle w:val="3"/>
        <w:spacing w:line="280" w:lineRule="exact"/>
        <w:jc w:val="left"/>
        <w:rPr>
          <w:b/>
          <w:bCs/>
        </w:rPr>
      </w:pPr>
      <w:bookmarkStart w:id="125" w:name="_Toc989014"/>
      <w:r>
        <w:rPr>
          <w:b/>
          <w:bCs/>
        </w:rPr>
        <w:t>2</w:t>
      </w:r>
      <w:r>
        <w:rPr>
          <w:b/>
          <w:bCs/>
        </w:rPr>
        <w:t>、募集资金承诺项目情况</w:t>
      </w:r>
      <w:bookmarkEnd w:id="125"/>
    </w:p>
    <w:p w:rsidR="00E20B54" w:rsidRDefault="00733C9E">
      <w:pPr>
        <w:spacing w:before="40" w:after="40" w:line="240" w:lineRule="exact"/>
        <w:rPr>
          <w:sz w:val="18"/>
          <w:szCs w:val="18"/>
        </w:rPr>
      </w:pPr>
      <w:r>
        <w:rPr>
          <w:sz w:val="18"/>
          <w:szCs w:val="18"/>
        </w:rPr>
        <w:sym w:font="Wingdings 2" w:char="F052"/>
      </w:r>
      <w:r>
        <w:rPr>
          <w:sz w:val="18"/>
          <w:szCs w:val="18"/>
        </w:rPr>
        <w:t>适用</w:t>
      </w:r>
      <w:r>
        <w:rPr>
          <w:sz w:val="18"/>
          <w:szCs w:val="18"/>
        </w:rPr>
        <w:t xml:space="preserve"> □</w:t>
      </w:r>
      <w:r>
        <w:rPr>
          <w:sz w:val="18"/>
          <w:szCs w:val="18"/>
        </w:rPr>
        <w:t>不适用</w:t>
      </w:r>
    </w:p>
    <w:p w:rsidR="00E20B54" w:rsidRDefault="00733C9E">
      <w:pPr>
        <w:spacing w:before="120" w:after="120" w:line="240" w:lineRule="exact"/>
        <w:jc w:val="right"/>
        <w:rPr>
          <w:sz w:val="18"/>
          <w:szCs w:val="18"/>
        </w:rPr>
      </w:pPr>
      <w:r>
        <w:rPr>
          <w:sz w:val="18"/>
          <w:szCs w:val="18"/>
        </w:rPr>
        <w:t>单位：万元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642"/>
        <w:gridCol w:w="642"/>
        <w:gridCol w:w="642"/>
        <w:gridCol w:w="642"/>
        <w:gridCol w:w="642"/>
        <w:gridCol w:w="642"/>
        <w:gridCol w:w="643"/>
        <w:gridCol w:w="643"/>
        <w:gridCol w:w="643"/>
        <w:gridCol w:w="643"/>
        <w:gridCol w:w="643"/>
        <w:gridCol w:w="643"/>
        <w:gridCol w:w="643"/>
        <w:gridCol w:w="643"/>
        <w:gridCol w:w="643"/>
      </w:tblGrid>
      <w:tr w:rsidR="00E20B54">
        <w:trPr>
          <w:trHeight w:val="240"/>
        </w:trPr>
        <w:tc>
          <w:tcPr>
            <w:tcW w:w="64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融资项目名称</w:t>
            </w:r>
          </w:p>
        </w:tc>
        <w:tc>
          <w:tcPr>
            <w:tcW w:w="64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证券上市日期</w:t>
            </w:r>
          </w:p>
        </w:tc>
        <w:tc>
          <w:tcPr>
            <w:tcW w:w="64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承诺投资项目和超募资金投向</w:t>
            </w:r>
          </w:p>
        </w:tc>
        <w:tc>
          <w:tcPr>
            <w:tcW w:w="64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项目性质</w:t>
            </w:r>
          </w:p>
        </w:tc>
        <w:tc>
          <w:tcPr>
            <w:tcW w:w="64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是否已变更项目</w:t>
            </w:r>
            <w:r>
              <w:rPr>
                <w:sz w:val="18"/>
                <w:szCs w:val="18"/>
              </w:rPr>
              <w:t>(</w:t>
            </w:r>
            <w:r>
              <w:rPr>
                <w:sz w:val="18"/>
                <w:szCs w:val="18"/>
              </w:rPr>
              <w:t>含部分变更</w:t>
            </w:r>
            <w:r>
              <w:rPr>
                <w:sz w:val="18"/>
                <w:szCs w:val="18"/>
              </w:rPr>
              <w:t>)</w:t>
            </w:r>
          </w:p>
        </w:tc>
        <w:tc>
          <w:tcPr>
            <w:tcW w:w="64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募集资金承诺投资总额</w:t>
            </w:r>
          </w:p>
        </w:tc>
        <w:tc>
          <w:tcPr>
            <w:tcW w:w="64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调整后投资总额</w:t>
            </w:r>
            <w:r>
              <w:rPr>
                <w:sz w:val="18"/>
                <w:szCs w:val="18"/>
              </w:rPr>
              <w:t>(1)</w:t>
            </w:r>
          </w:p>
        </w:tc>
        <w:tc>
          <w:tcPr>
            <w:tcW w:w="64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本报告期投入金额</w:t>
            </w:r>
          </w:p>
        </w:tc>
        <w:tc>
          <w:tcPr>
            <w:tcW w:w="64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截至期末累计投入金额</w:t>
            </w:r>
            <w:r>
              <w:rPr>
                <w:sz w:val="18"/>
                <w:szCs w:val="18"/>
              </w:rPr>
              <w:t>(2)</w:t>
            </w:r>
          </w:p>
        </w:tc>
        <w:tc>
          <w:tcPr>
            <w:tcW w:w="64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截至期末投资进度</w:t>
            </w:r>
            <w:r>
              <w:rPr>
                <w:sz w:val="18"/>
                <w:szCs w:val="18"/>
              </w:rPr>
              <w:t>(3)</w:t>
            </w:r>
            <w:r>
              <w:rPr>
                <w:sz w:val="18"/>
                <w:szCs w:val="18"/>
              </w:rPr>
              <w:t>＝</w:t>
            </w:r>
            <w:r>
              <w:rPr>
                <w:sz w:val="18"/>
                <w:szCs w:val="18"/>
              </w:rPr>
              <w:t>(2)/(1)</w:t>
            </w:r>
          </w:p>
        </w:tc>
        <w:tc>
          <w:tcPr>
            <w:tcW w:w="64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项目达到预定可使用状态日期</w:t>
            </w:r>
          </w:p>
        </w:tc>
        <w:tc>
          <w:tcPr>
            <w:tcW w:w="64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本报告期实现的效益</w:t>
            </w:r>
          </w:p>
        </w:tc>
        <w:tc>
          <w:tcPr>
            <w:tcW w:w="64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截止报告期末累计实现的效益</w:t>
            </w:r>
          </w:p>
        </w:tc>
        <w:tc>
          <w:tcPr>
            <w:tcW w:w="64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是否达到预计效益</w:t>
            </w:r>
          </w:p>
        </w:tc>
        <w:tc>
          <w:tcPr>
            <w:tcW w:w="64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项目可行性是否发生重大变化</w:t>
            </w:r>
          </w:p>
        </w:tc>
      </w:tr>
      <w:tr w:rsidR="00E20B54">
        <w:trPr>
          <w:trHeight w:val="240"/>
        </w:trPr>
        <w:tc>
          <w:tcPr>
            <w:tcW w:w="9639" w:type="dxa"/>
            <w:gridSpan w:val="15"/>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承诺投资项目</w:t>
            </w:r>
          </w:p>
        </w:tc>
      </w:tr>
      <w:tr w:rsidR="00E20B54">
        <w:trPr>
          <w:trHeight w:val="240"/>
        </w:trPr>
        <w:tc>
          <w:tcPr>
            <w:tcW w:w="64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2021</w:t>
            </w:r>
            <w:r>
              <w:rPr>
                <w:sz w:val="18"/>
                <w:szCs w:val="18"/>
              </w:rPr>
              <w:t>年度首次公开发行证券</w:t>
            </w:r>
          </w:p>
        </w:tc>
        <w:tc>
          <w:tcPr>
            <w:tcW w:w="64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2021</w:t>
            </w:r>
            <w:r>
              <w:rPr>
                <w:sz w:val="18"/>
                <w:szCs w:val="18"/>
              </w:rPr>
              <w:t>年</w:t>
            </w:r>
            <w:r>
              <w:rPr>
                <w:sz w:val="18"/>
                <w:szCs w:val="18"/>
              </w:rPr>
              <w:t>11</w:t>
            </w:r>
            <w:r>
              <w:rPr>
                <w:sz w:val="18"/>
                <w:szCs w:val="18"/>
              </w:rPr>
              <w:t>月</w:t>
            </w:r>
            <w:r>
              <w:rPr>
                <w:sz w:val="18"/>
                <w:szCs w:val="18"/>
              </w:rPr>
              <w:t>12</w:t>
            </w:r>
            <w:r>
              <w:rPr>
                <w:sz w:val="18"/>
                <w:szCs w:val="18"/>
              </w:rPr>
              <w:t>日</w:t>
            </w:r>
          </w:p>
        </w:tc>
        <w:tc>
          <w:tcPr>
            <w:tcW w:w="64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1</w:t>
            </w:r>
            <w:r>
              <w:rPr>
                <w:sz w:val="18"/>
                <w:szCs w:val="18"/>
              </w:rPr>
              <w:t>、智慧城市综合解决方案升级项目</w:t>
            </w:r>
          </w:p>
        </w:tc>
        <w:tc>
          <w:tcPr>
            <w:tcW w:w="64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生产建设</w:t>
            </w:r>
          </w:p>
        </w:tc>
        <w:tc>
          <w:tcPr>
            <w:tcW w:w="64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是</w:t>
            </w:r>
          </w:p>
        </w:tc>
        <w:tc>
          <w:tcPr>
            <w:tcW w:w="64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12,572.7</w:t>
            </w:r>
          </w:p>
        </w:tc>
        <w:tc>
          <w:tcPr>
            <w:tcW w:w="64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64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64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64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64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rPr>
                <w:sz w:val="18"/>
                <w:szCs w:val="18"/>
              </w:rPr>
            </w:pPr>
          </w:p>
        </w:tc>
        <w:tc>
          <w:tcPr>
            <w:tcW w:w="64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64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64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不适用</w:t>
            </w:r>
          </w:p>
        </w:tc>
        <w:tc>
          <w:tcPr>
            <w:tcW w:w="64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是</w:t>
            </w:r>
          </w:p>
        </w:tc>
      </w:tr>
      <w:tr w:rsidR="00E20B54">
        <w:trPr>
          <w:trHeight w:val="240"/>
        </w:trPr>
        <w:tc>
          <w:tcPr>
            <w:tcW w:w="64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2021</w:t>
            </w:r>
            <w:r>
              <w:rPr>
                <w:sz w:val="18"/>
                <w:szCs w:val="18"/>
              </w:rPr>
              <w:t>年度首次公开发行证券</w:t>
            </w:r>
          </w:p>
        </w:tc>
        <w:tc>
          <w:tcPr>
            <w:tcW w:w="64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2021</w:t>
            </w:r>
            <w:r>
              <w:rPr>
                <w:sz w:val="18"/>
                <w:szCs w:val="18"/>
              </w:rPr>
              <w:t>年</w:t>
            </w:r>
            <w:r>
              <w:rPr>
                <w:sz w:val="18"/>
                <w:szCs w:val="18"/>
              </w:rPr>
              <w:t>11</w:t>
            </w:r>
            <w:r>
              <w:rPr>
                <w:sz w:val="18"/>
                <w:szCs w:val="18"/>
              </w:rPr>
              <w:t>月</w:t>
            </w:r>
            <w:r>
              <w:rPr>
                <w:sz w:val="18"/>
                <w:szCs w:val="18"/>
              </w:rPr>
              <w:t>12</w:t>
            </w:r>
            <w:r>
              <w:rPr>
                <w:sz w:val="18"/>
                <w:szCs w:val="18"/>
              </w:rPr>
              <w:t>日</w:t>
            </w:r>
          </w:p>
        </w:tc>
        <w:tc>
          <w:tcPr>
            <w:tcW w:w="64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2</w:t>
            </w:r>
            <w:r>
              <w:rPr>
                <w:sz w:val="18"/>
                <w:szCs w:val="18"/>
              </w:rPr>
              <w:t>、大数据应用技术中心建设项目</w:t>
            </w:r>
          </w:p>
        </w:tc>
        <w:tc>
          <w:tcPr>
            <w:tcW w:w="64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研发项目</w:t>
            </w:r>
          </w:p>
        </w:tc>
        <w:tc>
          <w:tcPr>
            <w:tcW w:w="64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是</w:t>
            </w:r>
          </w:p>
        </w:tc>
        <w:tc>
          <w:tcPr>
            <w:tcW w:w="64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3,763.6</w:t>
            </w:r>
          </w:p>
        </w:tc>
        <w:tc>
          <w:tcPr>
            <w:tcW w:w="64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64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64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64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64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rPr>
                <w:sz w:val="18"/>
                <w:szCs w:val="18"/>
              </w:rPr>
            </w:pPr>
          </w:p>
        </w:tc>
        <w:tc>
          <w:tcPr>
            <w:tcW w:w="64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64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64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不适用</w:t>
            </w:r>
          </w:p>
        </w:tc>
        <w:tc>
          <w:tcPr>
            <w:tcW w:w="64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是</w:t>
            </w:r>
          </w:p>
        </w:tc>
      </w:tr>
      <w:tr w:rsidR="00E20B54">
        <w:trPr>
          <w:trHeight w:val="240"/>
        </w:trPr>
        <w:tc>
          <w:tcPr>
            <w:tcW w:w="64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2021</w:t>
            </w:r>
            <w:r>
              <w:rPr>
                <w:sz w:val="18"/>
                <w:szCs w:val="18"/>
              </w:rPr>
              <w:t>年度首次公开发行证券</w:t>
            </w:r>
          </w:p>
        </w:tc>
        <w:tc>
          <w:tcPr>
            <w:tcW w:w="64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2021</w:t>
            </w:r>
            <w:r>
              <w:rPr>
                <w:sz w:val="18"/>
                <w:szCs w:val="18"/>
              </w:rPr>
              <w:t>年</w:t>
            </w:r>
            <w:r>
              <w:rPr>
                <w:sz w:val="18"/>
                <w:szCs w:val="18"/>
              </w:rPr>
              <w:t>11</w:t>
            </w:r>
            <w:r>
              <w:rPr>
                <w:sz w:val="18"/>
                <w:szCs w:val="18"/>
              </w:rPr>
              <w:t>月</w:t>
            </w:r>
            <w:r>
              <w:rPr>
                <w:sz w:val="18"/>
                <w:szCs w:val="18"/>
              </w:rPr>
              <w:t>12</w:t>
            </w:r>
            <w:r>
              <w:rPr>
                <w:sz w:val="18"/>
                <w:szCs w:val="18"/>
              </w:rPr>
              <w:t>日</w:t>
            </w:r>
          </w:p>
        </w:tc>
        <w:tc>
          <w:tcPr>
            <w:tcW w:w="64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3</w:t>
            </w:r>
            <w:r>
              <w:rPr>
                <w:sz w:val="18"/>
                <w:szCs w:val="18"/>
              </w:rPr>
              <w:t>、营销服务体系升级建设项目</w:t>
            </w:r>
          </w:p>
        </w:tc>
        <w:tc>
          <w:tcPr>
            <w:tcW w:w="64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运营管理</w:t>
            </w:r>
          </w:p>
        </w:tc>
        <w:tc>
          <w:tcPr>
            <w:tcW w:w="64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是</w:t>
            </w:r>
          </w:p>
        </w:tc>
        <w:tc>
          <w:tcPr>
            <w:tcW w:w="64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1,599.85</w:t>
            </w:r>
          </w:p>
        </w:tc>
        <w:tc>
          <w:tcPr>
            <w:tcW w:w="64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64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64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64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64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rPr>
                <w:sz w:val="18"/>
                <w:szCs w:val="18"/>
              </w:rPr>
            </w:pPr>
          </w:p>
        </w:tc>
        <w:tc>
          <w:tcPr>
            <w:tcW w:w="64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64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64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不适用</w:t>
            </w:r>
          </w:p>
        </w:tc>
        <w:tc>
          <w:tcPr>
            <w:tcW w:w="64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是</w:t>
            </w:r>
          </w:p>
        </w:tc>
      </w:tr>
      <w:tr w:rsidR="00E20B54">
        <w:trPr>
          <w:trHeight w:val="240"/>
        </w:trPr>
        <w:tc>
          <w:tcPr>
            <w:tcW w:w="64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2021</w:t>
            </w:r>
            <w:r>
              <w:rPr>
                <w:sz w:val="18"/>
                <w:szCs w:val="18"/>
              </w:rPr>
              <w:t>年度</w:t>
            </w:r>
            <w:r>
              <w:rPr>
                <w:sz w:val="18"/>
                <w:szCs w:val="18"/>
              </w:rPr>
              <w:lastRenderedPageBreak/>
              <w:t>首次公开发行证券</w:t>
            </w:r>
          </w:p>
        </w:tc>
        <w:tc>
          <w:tcPr>
            <w:tcW w:w="64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lastRenderedPageBreak/>
              <w:t>2021</w:t>
            </w:r>
            <w:r>
              <w:rPr>
                <w:sz w:val="18"/>
                <w:szCs w:val="18"/>
              </w:rPr>
              <w:t>年</w:t>
            </w:r>
            <w:r>
              <w:rPr>
                <w:sz w:val="18"/>
                <w:szCs w:val="18"/>
              </w:rPr>
              <w:t>11</w:t>
            </w:r>
            <w:r>
              <w:rPr>
                <w:sz w:val="18"/>
                <w:szCs w:val="18"/>
              </w:rPr>
              <w:lastRenderedPageBreak/>
              <w:t>月</w:t>
            </w:r>
            <w:r>
              <w:rPr>
                <w:sz w:val="18"/>
                <w:szCs w:val="18"/>
              </w:rPr>
              <w:t>12</w:t>
            </w:r>
            <w:r>
              <w:rPr>
                <w:sz w:val="18"/>
                <w:szCs w:val="18"/>
              </w:rPr>
              <w:t>日</w:t>
            </w:r>
          </w:p>
        </w:tc>
        <w:tc>
          <w:tcPr>
            <w:tcW w:w="64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lastRenderedPageBreak/>
              <w:t>4</w:t>
            </w:r>
            <w:r>
              <w:rPr>
                <w:sz w:val="18"/>
                <w:szCs w:val="18"/>
              </w:rPr>
              <w:t>、深圳</w:t>
            </w:r>
            <w:r>
              <w:rPr>
                <w:sz w:val="18"/>
                <w:szCs w:val="18"/>
              </w:rPr>
              <w:lastRenderedPageBreak/>
              <w:t>综合运营中心项目</w:t>
            </w:r>
          </w:p>
        </w:tc>
        <w:tc>
          <w:tcPr>
            <w:tcW w:w="64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lastRenderedPageBreak/>
              <w:t>生产建设</w:t>
            </w:r>
          </w:p>
        </w:tc>
        <w:tc>
          <w:tcPr>
            <w:tcW w:w="64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否</w:t>
            </w:r>
          </w:p>
        </w:tc>
        <w:tc>
          <w:tcPr>
            <w:tcW w:w="64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64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5,569.67</w:t>
            </w:r>
          </w:p>
        </w:tc>
        <w:tc>
          <w:tcPr>
            <w:tcW w:w="64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64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5,569.67</w:t>
            </w:r>
          </w:p>
        </w:tc>
        <w:tc>
          <w:tcPr>
            <w:tcW w:w="64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100.00%</w:t>
            </w:r>
          </w:p>
        </w:tc>
        <w:tc>
          <w:tcPr>
            <w:tcW w:w="64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2025</w:t>
            </w:r>
            <w:r>
              <w:rPr>
                <w:sz w:val="18"/>
                <w:szCs w:val="18"/>
              </w:rPr>
              <w:t>年</w:t>
            </w:r>
            <w:r>
              <w:rPr>
                <w:sz w:val="18"/>
                <w:szCs w:val="18"/>
              </w:rPr>
              <w:t>08</w:t>
            </w:r>
            <w:r>
              <w:rPr>
                <w:sz w:val="18"/>
                <w:szCs w:val="18"/>
              </w:rPr>
              <w:lastRenderedPageBreak/>
              <w:t>月</w:t>
            </w:r>
            <w:r>
              <w:rPr>
                <w:sz w:val="18"/>
                <w:szCs w:val="18"/>
              </w:rPr>
              <w:t>24</w:t>
            </w:r>
            <w:r>
              <w:rPr>
                <w:sz w:val="18"/>
                <w:szCs w:val="18"/>
              </w:rPr>
              <w:t>日</w:t>
            </w:r>
          </w:p>
        </w:tc>
        <w:tc>
          <w:tcPr>
            <w:tcW w:w="64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64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64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不适用</w:t>
            </w:r>
          </w:p>
        </w:tc>
        <w:tc>
          <w:tcPr>
            <w:tcW w:w="64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否</w:t>
            </w:r>
          </w:p>
        </w:tc>
      </w:tr>
      <w:tr w:rsidR="00E20B54">
        <w:trPr>
          <w:trHeight w:val="240"/>
        </w:trPr>
        <w:tc>
          <w:tcPr>
            <w:tcW w:w="64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lastRenderedPageBreak/>
              <w:t>2021</w:t>
            </w:r>
            <w:r>
              <w:rPr>
                <w:sz w:val="18"/>
                <w:szCs w:val="18"/>
              </w:rPr>
              <w:t>年度首次公开发行证券</w:t>
            </w:r>
          </w:p>
        </w:tc>
        <w:tc>
          <w:tcPr>
            <w:tcW w:w="64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2021</w:t>
            </w:r>
            <w:r>
              <w:rPr>
                <w:sz w:val="18"/>
                <w:szCs w:val="18"/>
              </w:rPr>
              <w:t>年</w:t>
            </w:r>
            <w:r>
              <w:rPr>
                <w:sz w:val="18"/>
                <w:szCs w:val="18"/>
              </w:rPr>
              <w:t>11</w:t>
            </w:r>
            <w:r>
              <w:rPr>
                <w:sz w:val="18"/>
                <w:szCs w:val="18"/>
              </w:rPr>
              <w:t>月</w:t>
            </w:r>
            <w:r>
              <w:rPr>
                <w:sz w:val="18"/>
                <w:szCs w:val="18"/>
              </w:rPr>
              <w:t>12</w:t>
            </w:r>
            <w:r>
              <w:rPr>
                <w:sz w:val="18"/>
                <w:szCs w:val="18"/>
              </w:rPr>
              <w:t>日</w:t>
            </w:r>
          </w:p>
        </w:tc>
        <w:tc>
          <w:tcPr>
            <w:tcW w:w="64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5</w:t>
            </w:r>
            <w:r>
              <w:rPr>
                <w:sz w:val="18"/>
                <w:szCs w:val="18"/>
              </w:rPr>
              <w:t>、算力集群服务项目</w:t>
            </w:r>
          </w:p>
        </w:tc>
        <w:tc>
          <w:tcPr>
            <w:tcW w:w="64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生产建设</w:t>
            </w:r>
          </w:p>
        </w:tc>
        <w:tc>
          <w:tcPr>
            <w:tcW w:w="64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否</w:t>
            </w:r>
          </w:p>
        </w:tc>
        <w:tc>
          <w:tcPr>
            <w:tcW w:w="64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64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11,716</w:t>
            </w:r>
          </w:p>
        </w:tc>
        <w:tc>
          <w:tcPr>
            <w:tcW w:w="64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36.74</w:t>
            </w:r>
          </w:p>
        </w:tc>
        <w:tc>
          <w:tcPr>
            <w:tcW w:w="64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10,011.74</w:t>
            </w:r>
          </w:p>
        </w:tc>
        <w:tc>
          <w:tcPr>
            <w:tcW w:w="64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85.45%</w:t>
            </w:r>
          </w:p>
        </w:tc>
        <w:tc>
          <w:tcPr>
            <w:tcW w:w="64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2025</w:t>
            </w:r>
            <w:r>
              <w:rPr>
                <w:sz w:val="18"/>
                <w:szCs w:val="18"/>
              </w:rPr>
              <w:t>年</w:t>
            </w:r>
            <w:r>
              <w:rPr>
                <w:sz w:val="18"/>
                <w:szCs w:val="18"/>
              </w:rPr>
              <w:t>01</w:t>
            </w:r>
            <w:r>
              <w:rPr>
                <w:sz w:val="18"/>
                <w:szCs w:val="18"/>
              </w:rPr>
              <w:t>月</w:t>
            </w:r>
            <w:r>
              <w:rPr>
                <w:sz w:val="18"/>
                <w:szCs w:val="18"/>
              </w:rPr>
              <w:t>16</w:t>
            </w:r>
            <w:r>
              <w:rPr>
                <w:sz w:val="18"/>
                <w:szCs w:val="18"/>
              </w:rPr>
              <w:t>日</w:t>
            </w:r>
          </w:p>
        </w:tc>
        <w:tc>
          <w:tcPr>
            <w:tcW w:w="64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1,961.66</w:t>
            </w:r>
          </w:p>
        </w:tc>
        <w:tc>
          <w:tcPr>
            <w:tcW w:w="64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1,961.66</w:t>
            </w:r>
          </w:p>
        </w:tc>
        <w:tc>
          <w:tcPr>
            <w:tcW w:w="64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是</w:t>
            </w:r>
          </w:p>
        </w:tc>
        <w:tc>
          <w:tcPr>
            <w:tcW w:w="64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否</w:t>
            </w:r>
          </w:p>
        </w:tc>
      </w:tr>
      <w:tr w:rsidR="00E20B54">
        <w:trPr>
          <w:trHeight w:val="240"/>
        </w:trPr>
        <w:tc>
          <w:tcPr>
            <w:tcW w:w="64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2021</w:t>
            </w:r>
            <w:r>
              <w:rPr>
                <w:sz w:val="18"/>
                <w:szCs w:val="18"/>
              </w:rPr>
              <w:t>年度首次公开发行证券</w:t>
            </w:r>
          </w:p>
        </w:tc>
        <w:tc>
          <w:tcPr>
            <w:tcW w:w="64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2021</w:t>
            </w:r>
            <w:r>
              <w:rPr>
                <w:sz w:val="18"/>
                <w:szCs w:val="18"/>
              </w:rPr>
              <w:t>年</w:t>
            </w:r>
            <w:r>
              <w:rPr>
                <w:sz w:val="18"/>
                <w:szCs w:val="18"/>
              </w:rPr>
              <w:t>11</w:t>
            </w:r>
            <w:r>
              <w:rPr>
                <w:sz w:val="18"/>
                <w:szCs w:val="18"/>
              </w:rPr>
              <w:t>月</w:t>
            </w:r>
            <w:r>
              <w:rPr>
                <w:sz w:val="18"/>
                <w:szCs w:val="18"/>
              </w:rPr>
              <w:t>12</w:t>
            </w:r>
            <w:r>
              <w:rPr>
                <w:sz w:val="18"/>
                <w:szCs w:val="18"/>
              </w:rPr>
              <w:t>日</w:t>
            </w:r>
          </w:p>
        </w:tc>
        <w:tc>
          <w:tcPr>
            <w:tcW w:w="64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6</w:t>
            </w:r>
            <w:r>
              <w:rPr>
                <w:sz w:val="18"/>
                <w:szCs w:val="18"/>
              </w:rPr>
              <w:t>、补充流动资金</w:t>
            </w:r>
          </w:p>
        </w:tc>
        <w:tc>
          <w:tcPr>
            <w:tcW w:w="64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补流</w:t>
            </w:r>
          </w:p>
        </w:tc>
        <w:tc>
          <w:tcPr>
            <w:tcW w:w="64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否</w:t>
            </w:r>
          </w:p>
        </w:tc>
        <w:tc>
          <w:tcPr>
            <w:tcW w:w="64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10,000</w:t>
            </w:r>
          </w:p>
        </w:tc>
        <w:tc>
          <w:tcPr>
            <w:tcW w:w="64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10,000</w:t>
            </w:r>
          </w:p>
        </w:tc>
        <w:tc>
          <w:tcPr>
            <w:tcW w:w="64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64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10,017.49</w:t>
            </w:r>
          </w:p>
        </w:tc>
        <w:tc>
          <w:tcPr>
            <w:tcW w:w="64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100.17%</w:t>
            </w:r>
          </w:p>
        </w:tc>
        <w:tc>
          <w:tcPr>
            <w:tcW w:w="64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rPr>
                <w:sz w:val="18"/>
                <w:szCs w:val="18"/>
              </w:rPr>
            </w:pPr>
          </w:p>
        </w:tc>
        <w:tc>
          <w:tcPr>
            <w:tcW w:w="64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64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64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不适用</w:t>
            </w:r>
          </w:p>
        </w:tc>
        <w:tc>
          <w:tcPr>
            <w:tcW w:w="64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否</w:t>
            </w:r>
          </w:p>
        </w:tc>
      </w:tr>
      <w:tr w:rsidR="00E20B54">
        <w:trPr>
          <w:trHeight w:val="240"/>
        </w:trPr>
        <w:tc>
          <w:tcPr>
            <w:tcW w:w="2570" w:type="dxa"/>
            <w:gridSpan w:val="4"/>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承诺投资项目小计</w:t>
            </w:r>
          </w:p>
        </w:tc>
        <w:tc>
          <w:tcPr>
            <w:tcW w:w="64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w:t>
            </w:r>
          </w:p>
        </w:tc>
        <w:tc>
          <w:tcPr>
            <w:tcW w:w="64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27,936.15</w:t>
            </w:r>
          </w:p>
        </w:tc>
        <w:tc>
          <w:tcPr>
            <w:tcW w:w="64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27,285.67</w:t>
            </w:r>
          </w:p>
        </w:tc>
        <w:tc>
          <w:tcPr>
            <w:tcW w:w="64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36.74</w:t>
            </w:r>
          </w:p>
        </w:tc>
        <w:tc>
          <w:tcPr>
            <w:tcW w:w="64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25,598.9</w:t>
            </w:r>
          </w:p>
        </w:tc>
        <w:tc>
          <w:tcPr>
            <w:tcW w:w="64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w:t>
            </w:r>
          </w:p>
        </w:tc>
        <w:tc>
          <w:tcPr>
            <w:tcW w:w="64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w:t>
            </w:r>
          </w:p>
        </w:tc>
        <w:tc>
          <w:tcPr>
            <w:tcW w:w="64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1,961.66</w:t>
            </w:r>
          </w:p>
        </w:tc>
        <w:tc>
          <w:tcPr>
            <w:tcW w:w="64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1,961.66</w:t>
            </w:r>
          </w:p>
        </w:tc>
        <w:tc>
          <w:tcPr>
            <w:tcW w:w="64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w:t>
            </w:r>
          </w:p>
        </w:tc>
        <w:tc>
          <w:tcPr>
            <w:tcW w:w="64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w:t>
            </w:r>
          </w:p>
        </w:tc>
      </w:tr>
      <w:tr w:rsidR="00E20B54">
        <w:trPr>
          <w:trHeight w:val="240"/>
        </w:trPr>
        <w:tc>
          <w:tcPr>
            <w:tcW w:w="9639" w:type="dxa"/>
            <w:gridSpan w:val="15"/>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超募资金投向</w:t>
            </w:r>
          </w:p>
        </w:tc>
      </w:tr>
      <w:tr w:rsidR="00E20B54">
        <w:trPr>
          <w:trHeight w:val="240"/>
        </w:trPr>
        <w:tc>
          <w:tcPr>
            <w:tcW w:w="64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2021</w:t>
            </w:r>
            <w:r>
              <w:rPr>
                <w:sz w:val="18"/>
                <w:szCs w:val="18"/>
              </w:rPr>
              <w:t>年度首次公开发行证券</w:t>
            </w:r>
          </w:p>
        </w:tc>
        <w:tc>
          <w:tcPr>
            <w:tcW w:w="64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2021</w:t>
            </w:r>
            <w:r>
              <w:rPr>
                <w:sz w:val="18"/>
                <w:szCs w:val="18"/>
              </w:rPr>
              <w:t>年</w:t>
            </w:r>
            <w:r>
              <w:rPr>
                <w:sz w:val="18"/>
                <w:szCs w:val="18"/>
              </w:rPr>
              <w:t>11</w:t>
            </w:r>
            <w:r>
              <w:rPr>
                <w:sz w:val="18"/>
                <w:szCs w:val="18"/>
              </w:rPr>
              <w:t>月</w:t>
            </w:r>
            <w:r>
              <w:rPr>
                <w:sz w:val="18"/>
                <w:szCs w:val="18"/>
              </w:rPr>
              <w:t>12</w:t>
            </w:r>
            <w:r>
              <w:rPr>
                <w:sz w:val="18"/>
                <w:szCs w:val="18"/>
              </w:rPr>
              <w:t>日</w:t>
            </w:r>
          </w:p>
        </w:tc>
        <w:tc>
          <w:tcPr>
            <w:tcW w:w="64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1</w:t>
            </w:r>
            <w:r>
              <w:rPr>
                <w:sz w:val="18"/>
                <w:szCs w:val="18"/>
              </w:rPr>
              <w:t>、未明确流向</w:t>
            </w:r>
          </w:p>
        </w:tc>
        <w:tc>
          <w:tcPr>
            <w:tcW w:w="64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其他</w:t>
            </w:r>
          </w:p>
        </w:tc>
        <w:tc>
          <w:tcPr>
            <w:tcW w:w="64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否</w:t>
            </w:r>
          </w:p>
        </w:tc>
        <w:tc>
          <w:tcPr>
            <w:tcW w:w="64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5,603.22</w:t>
            </w:r>
          </w:p>
        </w:tc>
        <w:tc>
          <w:tcPr>
            <w:tcW w:w="64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5,603.22</w:t>
            </w:r>
          </w:p>
        </w:tc>
        <w:tc>
          <w:tcPr>
            <w:tcW w:w="64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64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64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64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rPr>
                <w:sz w:val="18"/>
                <w:szCs w:val="18"/>
              </w:rPr>
            </w:pPr>
          </w:p>
        </w:tc>
        <w:tc>
          <w:tcPr>
            <w:tcW w:w="64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64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64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不适用</w:t>
            </w:r>
          </w:p>
        </w:tc>
        <w:tc>
          <w:tcPr>
            <w:tcW w:w="64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否</w:t>
            </w:r>
          </w:p>
        </w:tc>
      </w:tr>
      <w:tr w:rsidR="00E20B54">
        <w:trPr>
          <w:trHeight w:val="240"/>
        </w:trPr>
        <w:tc>
          <w:tcPr>
            <w:tcW w:w="64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2021</w:t>
            </w:r>
            <w:r>
              <w:rPr>
                <w:sz w:val="18"/>
                <w:szCs w:val="18"/>
              </w:rPr>
              <w:t>年度首次公开发行证券</w:t>
            </w:r>
          </w:p>
        </w:tc>
        <w:tc>
          <w:tcPr>
            <w:tcW w:w="64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2021</w:t>
            </w:r>
            <w:r>
              <w:rPr>
                <w:sz w:val="18"/>
                <w:szCs w:val="18"/>
              </w:rPr>
              <w:t>年</w:t>
            </w:r>
            <w:r>
              <w:rPr>
                <w:sz w:val="18"/>
                <w:szCs w:val="18"/>
              </w:rPr>
              <w:t>11</w:t>
            </w:r>
            <w:r>
              <w:rPr>
                <w:sz w:val="18"/>
                <w:szCs w:val="18"/>
              </w:rPr>
              <w:t>月</w:t>
            </w:r>
            <w:r>
              <w:rPr>
                <w:sz w:val="18"/>
                <w:szCs w:val="18"/>
              </w:rPr>
              <w:t>12</w:t>
            </w:r>
            <w:r>
              <w:rPr>
                <w:sz w:val="18"/>
                <w:szCs w:val="18"/>
              </w:rPr>
              <w:t>日</w:t>
            </w:r>
          </w:p>
        </w:tc>
        <w:tc>
          <w:tcPr>
            <w:tcW w:w="64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2</w:t>
            </w:r>
            <w:r>
              <w:rPr>
                <w:sz w:val="18"/>
                <w:szCs w:val="18"/>
              </w:rPr>
              <w:t>、深圳综合运营中心项目</w:t>
            </w:r>
          </w:p>
        </w:tc>
        <w:tc>
          <w:tcPr>
            <w:tcW w:w="64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生产建设</w:t>
            </w:r>
          </w:p>
        </w:tc>
        <w:tc>
          <w:tcPr>
            <w:tcW w:w="64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否</w:t>
            </w:r>
          </w:p>
        </w:tc>
        <w:tc>
          <w:tcPr>
            <w:tcW w:w="64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4,186.69</w:t>
            </w:r>
          </w:p>
        </w:tc>
        <w:tc>
          <w:tcPr>
            <w:tcW w:w="64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4,186.69</w:t>
            </w:r>
          </w:p>
        </w:tc>
        <w:tc>
          <w:tcPr>
            <w:tcW w:w="64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300.45</w:t>
            </w:r>
          </w:p>
        </w:tc>
        <w:tc>
          <w:tcPr>
            <w:tcW w:w="64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2,129</w:t>
            </w:r>
          </w:p>
        </w:tc>
        <w:tc>
          <w:tcPr>
            <w:tcW w:w="64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50.85%</w:t>
            </w:r>
          </w:p>
        </w:tc>
        <w:tc>
          <w:tcPr>
            <w:tcW w:w="64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2025</w:t>
            </w:r>
            <w:r>
              <w:rPr>
                <w:sz w:val="18"/>
                <w:szCs w:val="18"/>
              </w:rPr>
              <w:t>年</w:t>
            </w:r>
            <w:r>
              <w:rPr>
                <w:sz w:val="18"/>
                <w:szCs w:val="18"/>
              </w:rPr>
              <w:t>08</w:t>
            </w:r>
            <w:r>
              <w:rPr>
                <w:sz w:val="18"/>
                <w:szCs w:val="18"/>
              </w:rPr>
              <w:t>月</w:t>
            </w:r>
            <w:r>
              <w:rPr>
                <w:sz w:val="18"/>
                <w:szCs w:val="18"/>
              </w:rPr>
              <w:t>24</w:t>
            </w:r>
            <w:r>
              <w:rPr>
                <w:sz w:val="18"/>
                <w:szCs w:val="18"/>
              </w:rPr>
              <w:t>日</w:t>
            </w:r>
          </w:p>
        </w:tc>
        <w:tc>
          <w:tcPr>
            <w:tcW w:w="64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64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64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不适用</w:t>
            </w:r>
          </w:p>
        </w:tc>
        <w:tc>
          <w:tcPr>
            <w:tcW w:w="64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否</w:t>
            </w:r>
          </w:p>
        </w:tc>
      </w:tr>
      <w:tr w:rsidR="00E20B54">
        <w:trPr>
          <w:trHeight w:val="240"/>
        </w:trPr>
        <w:tc>
          <w:tcPr>
            <w:tcW w:w="2570" w:type="dxa"/>
            <w:gridSpan w:val="4"/>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补充流动资金（如有）</w:t>
            </w:r>
          </w:p>
        </w:tc>
        <w:tc>
          <w:tcPr>
            <w:tcW w:w="64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w:t>
            </w:r>
          </w:p>
        </w:tc>
        <w:tc>
          <w:tcPr>
            <w:tcW w:w="64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13,300</w:t>
            </w:r>
          </w:p>
        </w:tc>
        <w:tc>
          <w:tcPr>
            <w:tcW w:w="64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13,300</w:t>
            </w:r>
          </w:p>
        </w:tc>
        <w:tc>
          <w:tcPr>
            <w:tcW w:w="64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6,800</w:t>
            </w:r>
          </w:p>
        </w:tc>
        <w:tc>
          <w:tcPr>
            <w:tcW w:w="64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13,300</w:t>
            </w:r>
          </w:p>
        </w:tc>
        <w:tc>
          <w:tcPr>
            <w:tcW w:w="64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100.00%</w:t>
            </w:r>
          </w:p>
        </w:tc>
        <w:tc>
          <w:tcPr>
            <w:tcW w:w="64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w:t>
            </w:r>
          </w:p>
        </w:tc>
        <w:tc>
          <w:tcPr>
            <w:tcW w:w="64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w:t>
            </w:r>
          </w:p>
        </w:tc>
        <w:tc>
          <w:tcPr>
            <w:tcW w:w="64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w:t>
            </w:r>
          </w:p>
        </w:tc>
        <w:tc>
          <w:tcPr>
            <w:tcW w:w="64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w:t>
            </w:r>
          </w:p>
        </w:tc>
        <w:tc>
          <w:tcPr>
            <w:tcW w:w="64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w:t>
            </w:r>
          </w:p>
        </w:tc>
      </w:tr>
      <w:tr w:rsidR="00E20B54">
        <w:trPr>
          <w:trHeight w:val="240"/>
        </w:trPr>
        <w:tc>
          <w:tcPr>
            <w:tcW w:w="2570" w:type="dxa"/>
            <w:gridSpan w:val="4"/>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超募资金投向小计</w:t>
            </w:r>
          </w:p>
        </w:tc>
        <w:tc>
          <w:tcPr>
            <w:tcW w:w="64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w:t>
            </w:r>
          </w:p>
        </w:tc>
        <w:tc>
          <w:tcPr>
            <w:tcW w:w="64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23,089.91</w:t>
            </w:r>
          </w:p>
        </w:tc>
        <w:tc>
          <w:tcPr>
            <w:tcW w:w="64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23,089.91</w:t>
            </w:r>
          </w:p>
        </w:tc>
        <w:tc>
          <w:tcPr>
            <w:tcW w:w="64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7,100.45</w:t>
            </w:r>
          </w:p>
        </w:tc>
        <w:tc>
          <w:tcPr>
            <w:tcW w:w="64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15,429</w:t>
            </w:r>
          </w:p>
        </w:tc>
        <w:tc>
          <w:tcPr>
            <w:tcW w:w="64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w:t>
            </w:r>
          </w:p>
        </w:tc>
        <w:tc>
          <w:tcPr>
            <w:tcW w:w="64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w:t>
            </w:r>
          </w:p>
        </w:tc>
        <w:tc>
          <w:tcPr>
            <w:tcW w:w="64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64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64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w:t>
            </w:r>
          </w:p>
        </w:tc>
        <w:tc>
          <w:tcPr>
            <w:tcW w:w="64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w:t>
            </w:r>
          </w:p>
        </w:tc>
      </w:tr>
      <w:tr w:rsidR="00E20B54">
        <w:trPr>
          <w:trHeight w:val="240"/>
        </w:trPr>
        <w:tc>
          <w:tcPr>
            <w:tcW w:w="2570" w:type="dxa"/>
            <w:gridSpan w:val="4"/>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合计</w:t>
            </w:r>
          </w:p>
        </w:tc>
        <w:tc>
          <w:tcPr>
            <w:tcW w:w="64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w:t>
            </w:r>
          </w:p>
        </w:tc>
        <w:tc>
          <w:tcPr>
            <w:tcW w:w="64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51,026.06</w:t>
            </w:r>
          </w:p>
        </w:tc>
        <w:tc>
          <w:tcPr>
            <w:tcW w:w="64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50,375.58</w:t>
            </w:r>
          </w:p>
        </w:tc>
        <w:tc>
          <w:tcPr>
            <w:tcW w:w="64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7,137.19</w:t>
            </w:r>
          </w:p>
        </w:tc>
        <w:tc>
          <w:tcPr>
            <w:tcW w:w="64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41,027.9</w:t>
            </w:r>
          </w:p>
        </w:tc>
        <w:tc>
          <w:tcPr>
            <w:tcW w:w="64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w:t>
            </w:r>
          </w:p>
        </w:tc>
        <w:tc>
          <w:tcPr>
            <w:tcW w:w="64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w:t>
            </w:r>
          </w:p>
        </w:tc>
        <w:tc>
          <w:tcPr>
            <w:tcW w:w="64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1,961.66</w:t>
            </w:r>
          </w:p>
        </w:tc>
        <w:tc>
          <w:tcPr>
            <w:tcW w:w="64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1,961.66</w:t>
            </w:r>
          </w:p>
        </w:tc>
        <w:tc>
          <w:tcPr>
            <w:tcW w:w="64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w:t>
            </w:r>
          </w:p>
        </w:tc>
        <w:tc>
          <w:tcPr>
            <w:tcW w:w="64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w:t>
            </w:r>
          </w:p>
        </w:tc>
      </w:tr>
      <w:tr w:rsidR="00E20B54">
        <w:trPr>
          <w:trHeight w:val="240"/>
        </w:trPr>
        <w:tc>
          <w:tcPr>
            <w:tcW w:w="1285"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分项目说明未达到计划进度、预计收益的情况和原因（含</w:t>
            </w:r>
            <w:r>
              <w:rPr>
                <w:sz w:val="18"/>
                <w:szCs w:val="18"/>
              </w:rPr>
              <w:t>“</w:t>
            </w:r>
            <w:r>
              <w:rPr>
                <w:sz w:val="18"/>
                <w:szCs w:val="18"/>
              </w:rPr>
              <w:t>是否达到预计效益</w:t>
            </w:r>
            <w:r>
              <w:rPr>
                <w:sz w:val="18"/>
                <w:szCs w:val="18"/>
              </w:rPr>
              <w:t>”</w:t>
            </w:r>
            <w:r>
              <w:rPr>
                <w:sz w:val="18"/>
                <w:szCs w:val="18"/>
              </w:rPr>
              <w:t>选择</w:t>
            </w:r>
            <w:r>
              <w:rPr>
                <w:sz w:val="18"/>
                <w:szCs w:val="18"/>
              </w:rPr>
              <w:t>“</w:t>
            </w:r>
            <w:r>
              <w:rPr>
                <w:sz w:val="18"/>
                <w:szCs w:val="18"/>
              </w:rPr>
              <w:t>不适用</w:t>
            </w:r>
            <w:r>
              <w:rPr>
                <w:sz w:val="18"/>
                <w:szCs w:val="18"/>
              </w:rPr>
              <w:t>”</w:t>
            </w:r>
            <w:r>
              <w:rPr>
                <w:sz w:val="18"/>
                <w:szCs w:val="18"/>
              </w:rPr>
              <w:t>的原因）</w:t>
            </w:r>
          </w:p>
        </w:tc>
        <w:tc>
          <w:tcPr>
            <w:tcW w:w="8354" w:type="dxa"/>
            <w:gridSpan w:val="13"/>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不适用。</w:t>
            </w:r>
          </w:p>
        </w:tc>
      </w:tr>
      <w:tr w:rsidR="00E20B54">
        <w:trPr>
          <w:trHeight w:val="240"/>
        </w:trPr>
        <w:tc>
          <w:tcPr>
            <w:tcW w:w="1285"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项目可行性发生重大变化的情况说明</w:t>
            </w:r>
          </w:p>
        </w:tc>
        <w:tc>
          <w:tcPr>
            <w:tcW w:w="8354" w:type="dxa"/>
            <w:gridSpan w:val="13"/>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不适用。</w:t>
            </w:r>
          </w:p>
        </w:tc>
      </w:tr>
      <w:tr w:rsidR="00E20B54">
        <w:trPr>
          <w:trHeight w:val="240"/>
        </w:trPr>
        <w:tc>
          <w:tcPr>
            <w:tcW w:w="1285" w:type="dxa"/>
            <w:gridSpan w:val="2"/>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超募资金的金额、用途及使用进展情况</w:t>
            </w:r>
          </w:p>
        </w:tc>
        <w:tc>
          <w:tcPr>
            <w:tcW w:w="8354" w:type="dxa"/>
            <w:gridSpan w:val="13"/>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适用</w:t>
            </w:r>
          </w:p>
        </w:tc>
      </w:tr>
      <w:tr w:rsidR="00E20B54">
        <w:trPr>
          <w:trHeight w:val="240"/>
        </w:trPr>
        <w:tc>
          <w:tcPr>
            <w:tcW w:w="1285" w:type="dxa"/>
            <w:gridSpan w:val="2"/>
            <w:vMerge/>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c>
          <w:tcPr>
            <w:tcW w:w="8354" w:type="dxa"/>
            <w:gridSpan w:val="13"/>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w:t>
            </w:r>
            <w:r>
              <w:rPr>
                <w:sz w:val="18"/>
                <w:szCs w:val="18"/>
              </w:rPr>
              <w:t>1</w:t>
            </w:r>
            <w:r>
              <w:rPr>
                <w:sz w:val="18"/>
                <w:szCs w:val="18"/>
              </w:rPr>
              <w:t>）超募资金的金额</w:t>
            </w:r>
          </w:p>
          <w:p w:rsidR="00E20B54" w:rsidRDefault="00733C9E">
            <w:pPr>
              <w:spacing w:line="240" w:lineRule="exact"/>
              <w:rPr>
                <w:sz w:val="18"/>
                <w:szCs w:val="18"/>
              </w:rPr>
            </w:pPr>
            <w:r>
              <w:rPr>
                <w:sz w:val="18"/>
                <w:szCs w:val="18"/>
              </w:rPr>
              <w:t>公司首次公开发行股票实际募集资金净额</w:t>
            </w:r>
            <w:r>
              <w:rPr>
                <w:sz w:val="18"/>
                <w:szCs w:val="18"/>
              </w:rPr>
              <w:t>510,260,652.00</w:t>
            </w:r>
            <w:r>
              <w:rPr>
                <w:sz w:val="18"/>
                <w:szCs w:val="18"/>
              </w:rPr>
              <w:t>元，根据《招股说明书》拟募集资金</w:t>
            </w:r>
            <w:r>
              <w:rPr>
                <w:sz w:val="18"/>
                <w:szCs w:val="18"/>
              </w:rPr>
              <w:t>279,361,500.00</w:t>
            </w:r>
            <w:r>
              <w:rPr>
                <w:sz w:val="18"/>
                <w:szCs w:val="18"/>
              </w:rPr>
              <w:t>元，本次超募资金为</w:t>
            </w:r>
            <w:r>
              <w:rPr>
                <w:sz w:val="18"/>
                <w:szCs w:val="18"/>
              </w:rPr>
              <w:t>230,899,152.00</w:t>
            </w:r>
            <w:r>
              <w:rPr>
                <w:sz w:val="18"/>
                <w:szCs w:val="18"/>
              </w:rPr>
              <w:t>元。</w:t>
            </w:r>
          </w:p>
          <w:p w:rsidR="00E20B54" w:rsidRDefault="00733C9E">
            <w:pPr>
              <w:spacing w:line="240" w:lineRule="exact"/>
              <w:rPr>
                <w:sz w:val="18"/>
                <w:szCs w:val="18"/>
              </w:rPr>
            </w:pPr>
            <w:r>
              <w:rPr>
                <w:sz w:val="18"/>
                <w:szCs w:val="18"/>
              </w:rPr>
              <w:t>（</w:t>
            </w:r>
            <w:r>
              <w:rPr>
                <w:sz w:val="18"/>
                <w:szCs w:val="18"/>
              </w:rPr>
              <w:t>2</w:t>
            </w:r>
            <w:r>
              <w:rPr>
                <w:sz w:val="18"/>
                <w:szCs w:val="18"/>
              </w:rPr>
              <w:t>）超募资金的用途及使用进展情况</w:t>
            </w:r>
          </w:p>
          <w:p w:rsidR="00E20B54" w:rsidRDefault="00733C9E">
            <w:pPr>
              <w:spacing w:line="240" w:lineRule="exact"/>
              <w:rPr>
                <w:sz w:val="18"/>
                <w:szCs w:val="18"/>
              </w:rPr>
            </w:pPr>
            <w:r>
              <w:rPr>
                <w:sz w:val="18"/>
                <w:szCs w:val="18"/>
              </w:rPr>
              <w:t>①</w:t>
            </w:r>
            <w:r>
              <w:rPr>
                <w:sz w:val="18"/>
                <w:szCs w:val="18"/>
              </w:rPr>
              <w:t>本报告期内永久补充流动资金情况</w:t>
            </w:r>
          </w:p>
          <w:p w:rsidR="00E20B54" w:rsidRDefault="00733C9E">
            <w:pPr>
              <w:spacing w:line="240" w:lineRule="exact"/>
              <w:rPr>
                <w:sz w:val="18"/>
                <w:szCs w:val="18"/>
              </w:rPr>
            </w:pPr>
            <w:r>
              <w:rPr>
                <w:sz w:val="18"/>
                <w:szCs w:val="18"/>
              </w:rPr>
              <w:lastRenderedPageBreak/>
              <w:t>公司于</w:t>
            </w:r>
            <w:r>
              <w:rPr>
                <w:sz w:val="18"/>
                <w:szCs w:val="18"/>
              </w:rPr>
              <w:t>2024</w:t>
            </w:r>
            <w:r>
              <w:rPr>
                <w:sz w:val="18"/>
                <w:szCs w:val="18"/>
              </w:rPr>
              <w:t>年</w:t>
            </w:r>
            <w:r>
              <w:rPr>
                <w:sz w:val="18"/>
                <w:szCs w:val="18"/>
              </w:rPr>
              <w:t>12</w:t>
            </w:r>
            <w:r>
              <w:rPr>
                <w:sz w:val="18"/>
                <w:szCs w:val="18"/>
              </w:rPr>
              <w:t>月</w:t>
            </w:r>
            <w:r>
              <w:rPr>
                <w:sz w:val="18"/>
                <w:szCs w:val="18"/>
              </w:rPr>
              <w:t>12</w:t>
            </w:r>
            <w:r>
              <w:rPr>
                <w:sz w:val="18"/>
                <w:szCs w:val="18"/>
              </w:rPr>
              <w:t>日召开了第三届董事会第二十六次会议和第三届监事会第二十四次会议，并于</w:t>
            </w:r>
            <w:r>
              <w:rPr>
                <w:sz w:val="18"/>
                <w:szCs w:val="18"/>
              </w:rPr>
              <w:t>2024</w:t>
            </w:r>
            <w:r>
              <w:rPr>
                <w:sz w:val="18"/>
                <w:szCs w:val="18"/>
              </w:rPr>
              <w:t>年</w:t>
            </w:r>
            <w:r>
              <w:rPr>
                <w:sz w:val="18"/>
                <w:szCs w:val="18"/>
              </w:rPr>
              <w:t>12</w:t>
            </w:r>
            <w:r>
              <w:rPr>
                <w:sz w:val="18"/>
                <w:szCs w:val="18"/>
              </w:rPr>
              <w:t>月</w:t>
            </w:r>
            <w:r>
              <w:rPr>
                <w:sz w:val="18"/>
                <w:szCs w:val="18"/>
              </w:rPr>
              <w:t>27</w:t>
            </w:r>
            <w:r>
              <w:rPr>
                <w:sz w:val="18"/>
                <w:szCs w:val="18"/>
              </w:rPr>
              <w:t>日召开</w:t>
            </w:r>
            <w:r>
              <w:rPr>
                <w:sz w:val="18"/>
                <w:szCs w:val="18"/>
              </w:rPr>
              <w:t>2024</w:t>
            </w:r>
            <w:r>
              <w:rPr>
                <w:sz w:val="18"/>
                <w:szCs w:val="18"/>
              </w:rPr>
              <w:t>年第四次临时股东会，审议通过了《关于使用部分超募资金永久补充流动资金的议案》，同意公司使用不超过</w:t>
            </w:r>
            <w:r>
              <w:rPr>
                <w:sz w:val="18"/>
                <w:szCs w:val="18"/>
              </w:rPr>
              <w:t>6,800</w:t>
            </w:r>
            <w:r>
              <w:rPr>
                <w:sz w:val="18"/>
                <w:szCs w:val="18"/>
              </w:rPr>
              <w:t>万元的超募资金永久性补充流动资金（占超募资金总额的</w:t>
            </w:r>
            <w:r>
              <w:rPr>
                <w:sz w:val="18"/>
                <w:szCs w:val="18"/>
              </w:rPr>
              <w:t>29.45%</w:t>
            </w:r>
            <w:r>
              <w:rPr>
                <w:sz w:val="18"/>
                <w:szCs w:val="18"/>
              </w:rPr>
              <w:t>），用于主营业务相关的生产经营活动。公司监事会、保荐机构就该事项发表同意意见。</w:t>
            </w:r>
          </w:p>
          <w:p w:rsidR="00E20B54" w:rsidRDefault="00733C9E">
            <w:pPr>
              <w:spacing w:line="240" w:lineRule="exact"/>
              <w:rPr>
                <w:sz w:val="18"/>
                <w:szCs w:val="18"/>
              </w:rPr>
            </w:pPr>
            <w:r>
              <w:rPr>
                <w:sz w:val="18"/>
                <w:szCs w:val="18"/>
              </w:rPr>
              <w:t>公司于</w:t>
            </w:r>
            <w:r>
              <w:rPr>
                <w:sz w:val="18"/>
                <w:szCs w:val="18"/>
              </w:rPr>
              <w:t>2025</w:t>
            </w:r>
            <w:r>
              <w:rPr>
                <w:sz w:val="18"/>
                <w:szCs w:val="18"/>
              </w:rPr>
              <w:t>年</w:t>
            </w:r>
            <w:r>
              <w:rPr>
                <w:sz w:val="18"/>
                <w:szCs w:val="18"/>
              </w:rPr>
              <w:t>1</w:t>
            </w:r>
            <w:r>
              <w:rPr>
                <w:sz w:val="18"/>
                <w:szCs w:val="18"/>
              </w:rPr>
              <w:t>月</w:t>
            </w:r>
            <w:r>
              <w:rPr>
                <w:sz w:val="18"/>
                <w:szCs w:val="18"/>
              </w:rPr>
              <w:t>2</w:t>
            </w:r>
            <w:r>
              <w:rPr>
                <w:sz w:val="18"/>
                <w:szCs w:val="18"/>
              </w:rPr>
              <w:t>日完成</w:t>
            </w:r>
            <w:r>
              <w:rPr>
                <w:sz w:val="18"/>
                <w:szCs w:val="18"/>
              </w:rPr>
              <w:t>6,800</w:t>
            </w:r>
            <w:r>
              <w:rPr>
                <w:sz w:val="18"/>
                <w:szCs w:val="18"/>
              </w:rPr>
              <w:t>万元超募资金永久性补充流动资金的资金划转。</w:t>
            </w:r>
          </w:p>
          <w:p w:rsidR="00E20B54" w:rsidRDefault="00733C9E">
            <w:pPr>
              <w:spacing w:line="240" w:lineRule="exact"/>
              <w:rPr>
                <w:sz w:val="18"/>
                <w:szCs w:val="18"/>
              </w:rPr>
            </w:pPr>
            <w:r>
              <w:rPr>
                <w:sz w:val="18"/>
                <w:szCs w:val="18"/>
              </w:rPr>
              <w:t>②</w:t>
            </w:r>
            <w:r>
              <w:rPr>
                <w:sz w:val="18"/>
                <w:szCs w:val="18"/>
              </w:rPr>
              <w:t>本报告期内募投项目结项形成节余资金</w:t>
            </w:r>
          </w:p>
          <w:p w:rsidR="00E20B54" w:rsidRDefault="00733C9E">
            <w:pPr>
              <w:spacing w:line="240" w:lineRule="exact"/>
              <w:rPr>
                <w:sz w:val="18"/>
                <w:szCs w:val="18"/>
              </w:rPr>
            </w:pPr>
            <w:r>
              <w:rPr>
                <w:sz w:val="18"/>
                <w:szCs w:val="18"/>
              </w:rPr>
              <w:t>报告期内，公司募投项目</w:t>
            </w:r>
            <w:r>
              <w:rPr>
                <w:sz w:val="18"/>
                <w:szCs w:val="18"/>
              </w:rPr>
              <w:t>“</w:t>
            </w:r>
            <w:r>
              <w:rPr>
                <w:sz w:val="18"/>
                <w:szCs w:val="18"/>
              </w:rPr>
              <w:t>深圳综合运营中心</w:t>
            </w:r>
            <w:r>
              <w:rPr>
                <w:sz w:val="18"/>
                <w:szCs w:val="18"/>
              </w:rPr>
              <w:t>”</w:t>
            </w:r>
            <w:r>
              <w:rPr>
                <w:sz w:val="18"/>
                <w:szCs w:val="18"/>
              </w:rPr>
              <w:t>于</w:t>
            </w:r>
            <w:r>
              <w:rPr>
                <w:sz w:val="18"/>
                <w:szCs w:val="18"/>
              </w:rPr>
              <w:t>2025</w:t>
            </w:r>
            <w:r>
              <w:rPr>
                <w:sz w:val="18"/>
                <w:szCs w:val="18"/>
              </w:rPr>
              <w:t>年</w:t>
            </w:r>
            <w:r>
              <w:rPr>
                <w:sz w:val="18"/>
                <w:szCs w:val="18"/>
              </w:rPr>
              <w:t>12</w:t>
            </w:r>
            <w:r>
              <w:rPr>
                <w:sz w:val="18"/>
                <w:szCs w:val="18"/>
              </w:rPr>
              <w:t>月结项。原计划投入超募资金</w:t>
            </w:r>
            <w:r>
              <w:rPr>
                <w:sz w:val="18"/>
                <w:szCs w:val="18"/>
              </w:rPr>
              <w:t>4,186.69</w:t>
            </w:r>
            <w:r>
              <w:rPr>
                <w:sz w:val="18"/>
                <w:szCs w:val="18"/>
              </w:rPr>
              <w:t>万元，本期投入</w:t>
            </w:r>
            <w:r>
              <w:rPr>
                <w:sz w:val="18"/>
                <w:szCs w:val="18"/>
              </w:rPr>
              <w:t>300.45</w:t>
            </w:r>
            <w:r>
              <w:rPr>
                <w:sz w:val="18"/>
                <w:szCs w:val="18"/>
              </w:rPr>
              <w:t>万元，累计投入</w:t>
            </w:r>
            <w:r>
              <w:rPr>
                <w:sz w:val="18"/>
                <w:szCs w:val="18"/>
              </w:rPr>
              <w:t>2,129.00</w:t>
            </w:r>
            <w:r>
              <w:rPr>
                <w:sz w:val="18"/>
                <w:szCs w:val="18"/>
              </w:rPr>
              <w:t>万元，形成节余资金约为</w:t>
            </w:r>
            <w:r>
              <w:rPr>
                <w:sz w:val="18"/>
                <w:szCs w:val="18"/>
              </w:rPr>
              <w:t>2,072.19</w:t>
            </w:r>
            <w:r>
              <w:rPr>
                <w:sz w:val="18"/>
                <w:szCs w:val="18"/>
              </w:rPr>
              <w:t>万元（含孳息</w:t>
            </w:r>
            <w:r>
              <w:rPr>
                <w:sz w:val="18"/>
                <w:szCs w:val="18"/>
              </w:rPr>
              <w:t>14.50</w:t>
            </w:r>
            <w:r>
              <w:rPr>
                <w:sz w:val="18"/>
                <w:szCs w:val="18"/>
              </w:rPr>
              <w:t>万元）。该部分节余资金尚未决定用途，现存放于原募投项目募集资金专户管理。</w:t>
            </w:r>
          </w:p>
          <w:p w:rsidR="00E20B54" w:rsidRDefault="00733C9E">
            <w:pPr>
              <w:spacing w:line="240" w:lineRule="exact"/>
              <w:rPr>
                <w:sz w:val="18"/>
                <w:szCs w:val="18"/>
              </w:rPr>
            </w:pPr>
            <w:r>
              <w:rPr>
                <w:sz w:val="18"/>
                <w:szCs w:val="18"/>
              </w:rPr>
              <w:t>③</w:t>
            </w:r>
            <w:r>
              <w:rPr>
                <w:sz w:val="18"/>
                <w:szCs w:val="18"/>
              </w:rPr>
              <w:t>其他投向</w:t>
            </w:r>
          </w:p>
          <w:p w:rsidR="00E20B54" w:rsidRDefault="00733C9E">
            <w:pPr>
              <w:spacing w:line="240" w:lineRule="exact"/>
              <w:rPr>
                <w:sz w:val="18"/>
                <w:szCs w:val="18"/>
              </w:rPr>
            </w:pPr>
            <w:r>
              <w:rPr>
                <w:sz w:val="18"/>
                <w:szCs w:val="18"/>
              </w:rPr>
              <w:t>截至</w:t>
            </w:r>
            <w:r>
              <w:rPr>
                <w:sz w:val="18"/>
                <w:szCs w:val="18"/>
              </w:rPr>
              <w:t>2025</w:t>
            </w:r>
            <w:r>
              <w:rPr>
                <w:sz w:val="18"/>
                <w:szCs w:val="18"/>
              </w:rPr>
              <w:t>年</w:t>
            </w:r>
            <w:r>
              <w:rPr>
                <w:sz w:val="18"/>
                <w:szCs w:val="18"/>
              </w:rPr>
              <w:t>12</w:t>
            </w:r>
            <w:r>
              <w:rPr>
                <w:sz w:val="18"/>
                <w:szCs w:val="18"/>
              </w:rPr>
              <w:t>月</w:t>
            </w:r>
            <w:r>
              <w:rPr>
                <w:sz w:val="18"/>
                <w:szCs w:val="18"/>
              </w:rPr>
              <w:t>31</w:t>
            </w:r>
            <w:r>
              <w:rPr>
                <w:sz w:val="18"/>
                <w:szCs w:val="18"/>
              </w:rPr>
              <w:t>日，超募资金余额中</w:t>
            </w:r>
            <w:r>
              <w:rPr>
                <w:sz w:val="18"/>
                <w:szCs w:val="18"/>
              </w:rPr>
              <w:t>5,603.22</w:t>
            </w:r>
            <w:r>
              <w:rPr>
                <w:sz w:val="18"/>
                <w:szCs w:val="18"/>
              </w:rPr>
              <w:t>万元尚未确定具体投向。</w:t>
            </w:r>
          </w:p>
        </w:tc>
      </w:tr>
      <w:tr w:rsidR="00E20B54">
        <w:trPr>
          <w:trHeight w:val="240"/>
        </w:trPr>
        <w:tc>
          <w:tcPr>
            <w:tcW w:w="1285" w:type="dxa"/>
            <w:gridSpan w:val="2"/>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lastRenderedPageBreak/>
              <w:t>存在擅自变更募集资金用途、违规占用募集资金的情形</w:t>
            </w:r>
          </w:p>
        </w:tc>
        <w:tc>
          <w:tcPr>
            <w:tcW w:w="8354" w:type="dxa"/>
            <w:gridSpan w:val="13"/>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不适用</w:t>
            </w:r>
          </w:p>
        </w:tc>
      </w:tr>
      <w:tr w:rsidR="00E20B54">
        <w:trPr>
          <w:trHeight w:val="240"/>
        </w:trPr>
        <w:tc>
          <w:tcPr>
            <w:tcW w:w="1285" w:type="dxa"/>
            <w:gridSpan w:val="2"/>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募集资金投资项目实施地点变更情况</w:t>
            </w:r>
          </w:p>
        </w:tc>
        <w:tc>
          <w:tcPr>
            <w:tcW w:w="8354" w:type="dxa"/>
            <w:gridSpan w:val="13"/>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不适用</w:t>
            </w:r>
          </w:p>
        </w:tc>
      </w:tr>
      <w:tr w:rsidR="00E20B54">
        <w:trPr>
          <w:trHeight w:val="240"/>
        </w:trPr>
        <w:tc>
          <w:tcPr>
            <w:tcW w:w="1285" w:type="dxa"/>
            <w:gridSpan w:val="2"/>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募集资金投资项目实施方式调整情况</w:t>
            </w:r>
          </w:p>
        </w:tc>
        <w:tc>
          <w:tcPr>
            <w:tcW w:w="8354" w:type="dxa"/>
            <w:gridSpan w:val="13"/>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不适用</w:t>
            </w:r>
          </w:p>
        </w:tc>
      </w:tr>
      <w:tr w:rsidR="00E20B54">
        <w:trPr>
          <w:trHeight w:val="240"/>
        </w:trPr>
        <w:tc>
          <w:tcPr>
            <w:tcW w:w="1285" w:type="dxa"/>
            <w:gridSpan w:val="2"/>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募集资金投资项目先期投入及置换情况</w:t>
            </w:r>
          </w:p>
        </w:tc>
        <w:tc>
          <w:tcPr>
            <w:tcW w:w="8354" w:type="dxa"/>
            <w:gridSpan w:val="13"/>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不适用</w:t>
            </w:r>
          </w:p>
        </w:tc>
      </w:tr>
      <w:tr w:rsidR="00E20B54">
        <w:trPr>
          <w:trHeight w:val="240"/>
        </w:trPr>
        <w:tc>
          <w:tcPr>
            <w:tcW w:w="1285" w:type="dxa"/>
            <w:gridSpan w:val="2"/>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用闲置募集资金暂时补充流动资金情况</w:t>
            </w:r>
          </w:p>
        </w:tc>
        <w:tc>
          <w:tcPr>
            <w:tcW w:w="8354" w:type="dxa"/>
            <w:gridSpan w:val="13"/>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不适用</w:t>
            </w:r>
          </w:p>
        </w:tc>
      </w:tr>
      <w:tr w:rsidR="00E20B54">
        <w:trPr>
          <w:trHeight w:val="240"/>
        </w:trPr>
        <w:tc>
          <w:tcPr>
            <w:tcW w:w="1285" w:type="dxa"/>
            <w:gridSpan w:val="2"/>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项目实施出现募集资金结余的金额及原因</w:t>
            </w:r>
          </w:p>
        </w:tc>
        <w:tc>
          <w:tcPr>
            <w:tcW w:w="8354" w:type="dxa"/>
            <w:gridSpan w:val="13"/>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适用</w:t>
            </w:r>
          </w:p>
        </w:tc>
      </w:tr>
      <w:tr w:rsidR="00E20B54">
        <w:trPr>
          <w:trHeight w:val="240"/>
        </w:trPr>
        <w:tc>
          <w:tcPr>
            <w:tcW w:w="1285" w:type="dxa"/>
            <w:gridSpan w:val="2"/>
            <w:vMerge/>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c>
          <w:tcPr>
            <w:tcW w:w="8354" w:type="dxa"/>
            <w:gridSpan w:val="13"/>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报告期内，公司募投项目</w:t>
            </w:r>
            <w:r>
              <w:rPr>
                <w:sz w:val="18"/>
                <w:szCs w:val="18"/>
              </w:rPr>
              <w:t>“</w:t>
            </w:r>
            <w:r>
              <w:rPr>
                <w:sz w:val="18"/>
                <w:szCs w:val="18"/>
              </w:rPr>
              <w:t>深圳综合运营中心</w:t>
            </w:r>
            <w:r>
              <w:rPr>
                <w:sz w:val="18"/>
                <w:szCs w:val="18"/>
              </w:rPr>
              <w:t>”</w:t>
            </w:r>
            <w:r>
              <w:rPr>
                <w:sz w:val="18"/>
                <w:szCs w:val="18"/>
              </w:rPr>
              <w:t>于</w:t>
            </w:r>
            <w:r>
              <w:rPr>
                <w:sz w:val="18"/>
                <w:szCs w:val="18"/>
              </w:rPr>
              <w:t>2025</w:t>
            </w:r>
            <w:r>
              <w:rPr>
                <w:sz w:val="18"/>
                <w:szCs w:val="18"/>
              </w:rPr>
              <w:t>年</w:t>
            </w:r>
            <w:r>
              <w:rPr>
                <w:sz w:val="18"/>
                <w:szCs w:val="18"/>
              </w:rPr>
              <w:t>12</w:t>
            </w:r>
            <w:r>
              <w:rPr>
                <w:sz w:val="18"/>
                <w:szCs w:val="18"/>
              </w:rPr>
              <w:t>月结项。基于战略转型和经营计划调整，公司审慎扩招团队，相应软硬件研发设备投入减少，形成节余资金约为</w:t>
            </w:r>
            <w:r>
              <w:rPr>
                <w:sz w:val="18"/>
                <w:szCs w:val="18"/>
              </w:rPr>
              <w:t>2,072.19</w:t>
            </w:r>
            <w:r>
              <w:rPr>
                <w:sz w:val="18"/>
                <w:szCs w:val="18"/>
              </w:rPr>
              <w:t>万元</w:t>
            </w:r>
            <w:r>
              <w:rPr>
                <w:sz w:val="18"/>
                <w:szCs w:val="18"/>
              </w:rPr>
              <w:t>(</w:t>
            </w:r>
            <w:r>
              <w:rPr>
                <w:sz w:val="18"/>
                <w:szCs w:val="18"/>
              </w:rPr>
              <w:t>含孳息</w:t>
            </w:r>
            <w:r>
              <w:rPr>
                <w:sz w:val="18"/>
                <w:szCs w:val="18"/>
              </w:rPr>
              <w:t>14.50</w:t>
            </w:r>
            <w:r>
              <w:rPr>
                <w:sz w:val="18"/>
                <w:szCs w:val="18"/>
              </w:rPr>
              <w:t>万元</w:t>
            </w:r>
            <w:r>
              <w:rPr>
                <w:sz w:val="18"/>
                <w:szCs w:val="18"/>
              </w:rPr>
              <w:t>)</w:t>
            </w:r>
            <w:r>
              <w:rPr>
                <w:sz w:val="18"/>
                <w:szCs w:val="18"/>
              </w:rPr>
              <w:t>，尚未决定用途，现存放于原募投项目募集资金专户管理。</w:t>
            </w:r>
          </w:p>
        </w:tc>
      </w:tr>
      <w:tr w:rsidR="00E20B54">
        <w:trPr>
          <w:trHeight w:val="240"/>
        </w:trPr>
        <w:tc>
          <w:tcPr>
            <w:tcW w:w="1285"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尚未使用的募集资金用途及去向</w:t>
            </w:r>
          </w:p>
        </w:tc>
        <w:tc>
          <w:tcPr>
            <w:tcW w:w="8354" w:type="dxa"/>
            <w:gridSpan w:val="13"/>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尚未使用的募集资金依规存放于专项监管账户中，将用于承诺募投项目或将依据公司经营计划和实际需求，经董事会、股东会决议后，审慎投入使用。</w:t>
            </w:r>
          </w:p>
        </w:tc>
      </w:tr>
      <w:tr w:rsidR="00E20B54">
        <w:trPr>
          <w:trHeight w:val="240"/>
        </w:trPr>
        <w:tc>
          <w:tcPr>
            <w:tcW w:w="1285"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募集资金使用及披露中存在的问题或其他情况</w:t>
            </w:r>
          </w:p>
        </w:tc>
        <w:tc>
          <w:tcPr>
            <w:tcW w:w="8354" w:type="dxa"/>
            <w:gridSpan w:val="13"/>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无。</w:t>
            </w:r>
          </w:p>
        </w:tc>
      </w:tr>
    </w:tbl>
    <w:p w:rsidR="00E20B54" w:rsidRDefault="00733C9E">
      <w:pPr>
        <w:pStyle w:val="3"/>
        <w:spacing w:line="280" w:lineRule="exact"/>
        <w:jc w:val="left"/>
        <w:rPr>
          <w:b/>
          <w:bCs/>
        </w:rPr>
      </w:pPr>
      <w:bookmarkStart w:id="126" w:name="_Toc989015"/>
      <w:r>
        <w:rPr>
          <w:b/>
          <w:bCs/>
        </w:rPr>
        <w:t>3</w:t>
      </w:r>
      <w:r>
        <w:rPr>
          <w:b/>
          <w:bCs/>
        </w:rPr>
        <w:t>、募集资金变更项目情况</w:t>
      </w:r>
      <w:bookmarkEnd w:id="126"/>
    </w:p>
    <w:p w:rsidR="00E20B54" w:rsidRDefault="00733C9E">
      <w:pPr>
        <w:spacing w:before="100" w:after="100" w:line="240" w:lineRule="exact"/>
        <w:rPr>
          <w:sz w:val="18"/>
          <w:szCs w:val="18"/>
        </w:rPr>
      </w:pPr>
      <w:r>
        <w:rPr>
          <w:sz w:val="18"/>
          <w:szCs w:val="18"/>
        </w:rPr>
        <w:sym w:font="Wingdings 2" w:char="F052"/>
      </w:r>
      <w:r>
        <w:rPr>
          <w:sz w:val="18"/>
          <w:szCs w:val="18"/>
        </w:rPr>
        <w:t>适用</w:t>
      </w:r>
      <w:r>
        <w:rPr>
          <w:sz w:val="18"/>
          <w:szCs w:val="18"/>
        </w:rPr>
        <w:t xml:space="preserve"> □</w:t>
      </w:r>
      <w:r>
        <w:rPr>
          <w:sz w:val="18"/>
          <w:szCs w:val="18"/>
        </w:rPr>
        <w:t>不适用</w:t>
      </w:r>
    </w:p>
    <w:p w:rsidR="00E20B54" w:rsidRDefault="00733C9E">
      <w:pPr>
        <w:spacing w:before="120" w:after="120" w:line="240" w:lineRule="exact"/>
        <w:jc w:val="right"/>
        <w:rPr>
          <w:sz w:val="18"/>
          <w:szCs w:val="18"/>
        </w:rPr>
      </w:pPr>
      <w:r>
        <w:rPr>
          <w:sz w:val="18"/>
          <w:szCs w:val="18"/>
        </w:rPr>
        <w:t>单位：万元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803"/>
        <w:gridCol w:w="803"/>
        <w:gridCol w:w="804"/>
        <w:gridCol w:w="803"/>
        <w:gridCol w:w="803"/>
        <w:gridCol w:w="803"/>
        <w:gridCol w:w="803"/>
        <w:gridCol w:w="803"/>
        <w:gridCol w:w="803"/>
        <w:gridCol w:w="803"/>
        <w:gridCol w:w="803"/>
        <w:gridCol w:w="805"/>
      </w:tblGrid>
      <w:tr w:rsidR="00E20B54">
        <w:trPr>
          <w:trHeight w:val="240"/>
        </w:trPr>
        <w:tc>
          <w:tcPr>
            <w:tcW w:w="80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融资项目名称</w:t>
            </w:r>
          </w:p>
        </w:tc>
        <w:tc>
          <w:tcPr>
            <w:tcW w:w="80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募集方式</w:t>
            </w:r>
          </w:p>
        </w:tc>
        <w:tc>
          <w:tcPr>
            <w:tcW w:w="80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变更后的项目</w:t>
            </w:r>
          </w:p>
        </w:tc>
        <w:tc>
          <w:tcPr>
            <w:tcW w:w="80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对应的原承诺项目</w:t>
            </w:r>
          </w:p>
        </w:tc>
        <w:tc>
          <w:tcPr>
            <w:tcW w:w="80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变更后项目拟投入募集资金总额</w:t>
            </w:r>
            <w:r>
              <w:rPr>
                <w:sz w:val="18"/>
                <w:szCs w:val="18"/>
              </w:rPr>
              <w:t>(1)</w:t>
            </w:r>
          </w:p>
        </w:tc>
        <w:tc>
          <w:tcPr>
            <w:tcW w:w="80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本报告期实际投入金额</w:t>
            </w:r>
          </w:p>
        </w:tc>
        <w:tc>
          <w:tcPr>
            <w:tcW w:w="80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截至期末实际累计投入金额</w:t>
            </w:r>
            <w:r>
              <w:rPr>
                <w:sz w:val="18"/>
                <w:szCs w:val="18"/>
              </w:rPr>
              <w:t>(2)</w:t>
            </w:r>
          </w:p>
        </w:tc>
        <w:tc>
          <w:tcPr>
            <w:tcW w:w="80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截至期末投资进度</w:t>
            </w:r>
            <w:r>
              <w:rPr>
                <w:sz w:val="18"/>
                <w:szCs w:val="18"/>
              </w:rPr>
              <w:t>(3)=(2)/(1)</w:t>
            </w:r>
          </w:p>
        </w:tc>
        <w:tc>
          <w:tcPr>
            <w:tcW w:w="80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项目达到预定可使用状态日期</w:t>
            </w:r>
          </w:p>
        </w:tc>
        <w:tc>
          <w:tcPr>
            <w:tcW w:w="80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本报告期实现的效益</w:t>
            </w:r>
          </w:p>
        </w:tc>
        <w:tc>
          <w:tcPr>
            <w:tcW w:w="80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是否达到预计效益</w:t>
            </w:r>
          </w:p>
        </w:tc>
        <w:tc>
          <w:tcPr>
            <w:tcW w:w="80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变更后的项目可行性是否发生重大</w:t>
            </w:r>
            <w:r>
              <w:rPr>
                <w:sz w:val="18"/>
                <w:szCs w:val="18"/>
              </w:rPr>
              <w:lastRenderedPageBreak/>
              <w:t>变化</w:t>
            </w:r>
          </w:p>
        </w:tc>
      </w:tr>
      <w:tr w:rsidR="00E20B54">
        <w:trPr>
          <w:trHeight w:val="240"/>
        </w:trPr>
        <w:tc>
          <w:tcPr>
            <w:tcW w:w="80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lastRenderedPageBreak/>
              <w:t>2021</w:t>
            </w:r>
            <w:r>
              <w:rPr>
                <w:sz w:val="18"/>
                <w:szCs w:val="18"/>
              </w:rPr>
              <w:t>年首次公开发行股票</w:t>
            </w:r>
          </w:p>
        </w:tc>
        <w:tc>
          <w:tcPr>
            <w:tcW w:w="80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首次公开发行</w:t>
            </w:r>
          </w:p>
        </w:tc>
        <w:tc>
          <w:tcPr>
            <w:tcW w:w="80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深圳综合运营中心项目</w:t>
            </w:r>
          </w:p>
        </w:tc>
        <w:tc>
          <w:tcPr>
            <w:tcW w:w="80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大数据应用技术中心建设项目、营销服务体系升级建设项目</w:t>
            </w:r>
          </w:p>
        </w:tc>
        <w:tc>
          <w:tcPr>
            <w:tcW w:w="80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9,756.36</w:t>
            </w:r>
          </w:p>
        </w:tc>
        <w:tc>
          <w:tcPr>
            <w:tcW w:w="80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300.45</w:t>
            </w:r>
          </w:p>
        </w:tc>
        <w:tc>
          <w:tcPr>
            <w:tcW w:w="80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7,698.67</w:t>
            </w:r>
          </w:p>
        </w:tc>
        <w:tc>
          <w:tcPr>
            <w:tcW w:w="80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78.91%</w:t>
            </w:r>
          </w:p>
        </w:tc>
        <w:tc>
          <w:tcPr>
            <w:tcW w:w="80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2025</w:t>
            </w:r>
            <w:r>
              <w:rPr>
                <w:sz w:val="18"/>
                <w:szCs w:val="18"/>
              </w:rPr>
              <w:t>年</w:t>
            </w:r>
            <w:r>
              <w:rPr>
                <w:sz w:val="18"/>
                <w:szCs w:val="18"/>
              </w:rPr>
              <w:t>08</w:t>
            </w:r>
            <w:r>
              <w:rPr>
                <w:sz w:val="18"/>
                <w:szCs w:val="18"/>
              </w:rPr>
              <w:t>月</w:t>
            </w:r>
            <w:r>
              <w:rPr>
                <w:sz w:val="18"/>
                <w:szCs w:val="18"/>
              </w:rPr>
              <w:t>24</w:t>
            </w:r>
            <w:r>
              <w:rPr>
                <w:sz w:val="18"/>
                <w:szCs w:val="18"/>
              </w:rPr>
              <w:t>日</w:t>
            </w:r>
          </w:p>
        </w:tc>
        <w:tc>
          <w:tcPr>
            <w:tcW w:w="80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80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不适用</w:t>
            </w:r>
          </w:p>
        </w:tc>
        <w:tc>
          <w:tcPr>
            <w:tcW w:w="80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否</w:t>
            </w:r>
          </w:p>
        </w:tc>
      </w:tr>
      <w:tr w:rsidR="00E20B54">
        <w:trPr>
          <w:trHeight w:val="240"/>
        </w:trPr>
        <w:tc>
          <w:tcPr>
            <w:tcW w:w="80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2021</w:t>
            </w:r>
            <w:r>
              <w:rPr>
                <w:sz w:val="18"/>
                <w:szCs w:val="18"/>
              </w:rPr>
              <w:t>年首次公开发行股票</w:t>
            </w:r>
          </w:p>
        </w:tc>
        <w:tc>
          <w:tcPr>
            <w:tcW w:w="80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首次公开发行</w:t>
            </w:r>
          </w:p>
        </w:tc>
        <w:tc>
          <w:tcPr>
            <w:tcW w:w="80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算力集群服务项目</w:t>
            </w:r>
          </w:p>
        </w:tc>
        <w:tc>
          <w:tcPr>
            <w:tcW w:w="80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智慧城市综合解决方案升级项目</w:t>
            </w:r>
          </w:p>
        </w:tc>
        <w:tc>
          <w:tcPr>
            <w:tcW w:w="80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11,716</w:t>
            </w:r>
          </w:p>
        </w:tc>
        <w:tc>
          <w:tcPr>
            <w:tcW w:w="80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36.74</w:t>
            </w:r>
          </w:p>
        </w:tc>
        <w:tc>
          <w:tcPr>
            <w:tcW w:w="80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10,011.74</w:t>
            </w:r>
          </w:p>
        </w:tc>
        <w:tc>
          <w:tcPr>
            <w:tcW w:w="80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85.45%</w:t>
            </w:r>
          </w:p>
        </w:tc>
        <w:tc>
          <w:tcPr>
            <w:tcW w:w="80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2025</w:t>
            </w:r>
            <w:r>
              <w:rPr>
                <w:sz w:val="18"/>
                <w:szCs w:val="18"/>
              </w:rPr>
              <w:t>年</w:t>
            </w:r>
            <w:r>
              <w:rPr>
                <w:sz w:val="18"/>
                <w:szCs w:val="18"/>
              </w:rPr>
              <w:t>01</w:t>
            </w:r>
            <w:r>
              <w:rPr>
                <w:sz w:val="18"/>
                <w:szCs w:val="18"/>
              </w:rPr>
              <w:t>月</w:t>
            </w:r>
            <w:r>
              <w:rPr>
                <w:sz w:val="18"/>
                <w:szCs w:val="18"/>
              </w:rPr>
              <w:t>26</w:t>
            </w:r>
            <w:r>
              <w:rPr>
                <w:sz w:val="18"/>
                <w:szCs w:val="18"/>
              </w:rPr>
              <w:t>日</w:t>
            </w:r>
          </w:p>
        </w:tc>
        <w:tc>
          <w:tcPr>
            <w:tcW w:w="80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1,961.66</w:t>
            </w:r>
          </w:p>
        </w:tc>
        <w:tc>
          <w:tcPr>
            <w:tcW w:w="80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是</w:t>
            </w:r>
          </w:p>
        </w:tc>
        <w:tc>
          <w:tcPr>
            <w:tcW w:w="80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否</w:t>
            </w:r>
          </w:p>
        </w:tc>
      </w:tr>
      <w:tr w:rsidR="00E20B54">
        <w:trPr>
          <w:trHeight w:val="240"/>
        </w:trPr>
        <w:tc>
          <w:tcPr>
            <w:tcW w:w="80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合计</w:t>
            </w:r>
          </w:p>
        </w:tc>
        <w:tc>
          <w:tcPr>
            <w:tcW w:w="80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w:t>
            </w:r>
          </w:p>
        </w:tc>
        <w:tc>
          <w:tcPr>
            <w:tcW w:w="80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w:t>
            </w:r>
          </w:p>
        </w:tc>
        <w:tc>
          <w:tcPr>
            <w:tcW w:w="80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w:t>
            </w:r>
          </w:p>
        </w:tc>
        <w:tc>
          <w:tcPr>
            <w:tcW w:w="80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21,472.36</w:t>
            </w:r>
          </w:p>
        </w:tc>
        <w:tc>
          <w:tcPr>
            <w:tcW w:w="80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337.19</w:t>
            </w:r>
          </w:p>
        </w:tc>
        <w:tc>
          <w:tcPr>
            <w:tcW w:w="80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17,710.41</w:t>
            </w:r>
          </w:p>
        </w:tc>
        <w:tc>
          <w:tcPr>
            <w:tcW w:w="80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w:t>
            </w:r>
          </w:p>
        </w:tc>
        <w:tc>
          <w:tcPr>
            <w:tcW w:w="80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w:t>
            </w:r>
          </w:p>
        </w:tc>
        <w:tc>
          <w:tcPr>
            <w:tcW w:w="80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1,961.66</w:t>
            </w:r>
          </w:p>
        </w:tc>
        <w:tc>
          <w:tcPr>
            <w:tcW w:w="80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w:t>
            </w:r>
          </w:p>
        </w:tc>
        <w:tc>
          <w:tcPr>
            <w:tcW w:w="80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w:t>
            </w:r>
          </w:p>
        </w:tc>
      </w:tr>
      <w:tr w:rsidR="00E20B54">
        <w:trPr>
          <w:trHeight w:val="240"/>
        </w:trPr>
        <w:tc>
          <w:tcPr>
            <w:tcW w:w="2410" w:type="dxa"/>
            <w:gridSpan w:val="3"/>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变更原因、决策程序及信息披露情况说明</w:t>
            </w:r>
            <w:r>
              <w:rPr>
                <w:sz w:val="18"/>
                <w:szCs w:val="18"/>
              </w:rPr>
              <w:t>(</w:t>
            </w:r>
            <w:r>
              <w:rPr>
                <w:sz w:val="18"/>
                <w:szCs w:val="18"/>
              </w:rPr>
              <w:t>分具体项目</w:t>
            </w:r>
            <w:r>
              <w:rPr>
                <w:sz w:val="18"/>
                <w:szCs w:val="18"/>
              </w:rPr>
              <w:t>)</w:t>
            </w:r>
          </w:p>
        </w:tc>
        <w:tc>
          <w:tcPr>
            <w:tcW w:w="7229" w:type="dxa"/>
            <w:gridSpan w:val="9"/>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w:t>
            </w:r>
            <w:r>
              <w:rPr>
                <w:sz w:val="18"/>
                <w:szCs w:val="18"/>
              </w:rPr>
              <w:t>1</w:t>
            </w:r>
            <w:r>
              <w:rPr>
                <w:sz w:val="18"/>
                <w:szCs w:val="18"/>
              </w:rPr>
              <w:t>）深圳综合运营中心项目</w:t>
            </w:r>
          </w:p>
          <w:p w:rsidR="00E20B54" w:rsidRDefault="00733C9E">
            <w:pPr>
              <w:spacing w:line="240" w:lineRule="exact"/>
              <w:rPr>
                <w:sz w:val="18"/>
                <w:szCs w:val="18"/>
              </w:rPr>
            </w:pPr>
            <w:r>
              <w:rPr>
                <w:sz w:val="18"/>
                <w:szCs w:val="18"/>
              </w:rPr>
              <w:t>①</w:t>
            </w:r>
            <w:r>
              <w:rPr>
                <w:sz w:val="18"/>
                <w:szCs w:val="18"/>
              </w:rPr>
              <w:t>改变原因</w:t>
            </w:r>
          </w:p>
          <w:p w:rsidR="00E20B54" w:rsidRDefault="00733C9E">
            <w:pPr>
              <w:spacing w:line="240" w:lineRule="exact"/>
              <w:rPr>
                <w:sz w:val="18"/>
                <w:szCs w:val="18"/>
              </w:rPr>
            </w:pPr>
            <w:r>
              <w:rPr>
                <w:sz w:val="18"/>
                <w:szCs w:val="18"/>
              </w:rPr>
              <w:t>2023</w:t>
            </w:r>
            <w:r>
              <w:rPr>
                <w:sz w:val="18"/>
                <w:szCs w:val="18"/>
              </w:rPr>
              <w:t>年</w:t>
            </w:r>
            <w:r>
              <w:rPr>
                <w:sz w:val="18"/>
                <w:szCs w:val="18"/>
              </w:rPr>
              <w:t>8</w:t>
            </w:r>
            <w:r>
              <w:rPr>
                <w:sz w:val="18"/>
                <w:szCs w:val="18"/>
              </w:rPr>
              <w:t>月，基于整体经营规划和合理布局，公司计划整合原募投项目</w:t>
            </w:r>
            <w:r>
              <w:rPr>
                <w:sz w:val="18"/>
                <w:szCs w:val="18"/>
              </w:rPr>
              <w:t>“</w:t>
            </w:r>
            <w:r>
              <w:rPr>
                <w:sz w:val="18"/>
                <w:szCs w:val="18"/>
              </w:rPr>
              <w:t>大数据应用技术中心建设项目</w:t>
            </w:r>
            <w:r>
              <w:rPr>
                <w:sz w:val="18"/>
                <w:szCs w:val="18"/>
              </w:rPr>
              <w:t>”“</w:t>
            </w:r>
            <w:r>
              <w:rPr>
                <w:sz w:val="18"/>
                <w:szCs w:val="18"/>
              </w:rPr>
              <w:t>营销服务体系升级建设项目</w:t>
            </w:r>
            <w:r>
              <w:rPr>
                <w:sz w:val="18"/>
                <w:szCs w:val="18"/>
              </w:rPr>
              <w:t>”</w:t>
            </w:r>
            <w:r>
              <w:rPr>
                <w:sz w:val="18"/>
                <w:szCs w:val="18"/>
              </w:rPr>
              <w:t>，升级建设深圳综合运营中心。综合运营中心选址于深圳南山区，具备创新氛围浓厚、高端人才聚集力强、交通物流便利、产业链齐全的区位优势。同时，综合运营中心补足了公司轻资产运营模式下空间功能受限、办公分散导致协作不足的痛点，可承载运营、研发及商务推广功能，整合广深两地研发资源、运营资源，提升团队效能，为公司战略实施提供可靠的硬件保障。</w:t>
            </w:r>
          </w:p>
          <w:p w:rsidR="00E20B54" w:rsidRDefault="00733C9E">
            <w:pPr>
              <w:spacing w:line="240" w:lineRule="exact"/>
              <w:rPr>
                <w:sz w:val="18"/>
                <w:szCs w:val="18"/>
              </w:rPr>
            </w:pPr>
            <w:r>
              <w:rPr>
                <w:sz w:val="18"/>
                <w:szCs w:val="18"/>
              </w:rPr>
              <w:t>②</w:t>
            </w:r>
            <w:r>
              <w:rPr>
                <w:sz w:val="18"/>
                <w:szCs w:val="18"/>
              </w:rPr>
              <w:t>决策程序</w:t>
            </w:r>
          </w:p>
          <w:p w:rsidR="00E20B54" w:rsidRDefault="00733C9E">
            <w:pPr>
              <w:spacing w:line="240" w:lineRule="exact"/>
              <w:rPr>
                <w:sz w:val="18"/>
                <w:szCs w:val="18"/>
              </w:rPr>
            </w:pPr>
            <w:r>
              <w:rPr>
                <w:sz w:val="18"/>
                <w:szCs w:val="18"/>
              </w:rPr>
              <w:t>经公司第三届董事会第十四次会议、第三届监事会第十二次会议，另经</w:t>
            </w:r>
            <w:r>
              <w:rPr>
                <w:sz w:val="18"/>
                <w:szCs w:val="18"/>
              </w:rPr>
              <w:t>2023</w:t>
            </w:r>
            <w:r>
              <w:rPr>
                <w:sz w:val="18"/>
                <w:szCs w:val="18"/>
              </w:rPr>
              <w:t>年第三次临时股东会审议通过，同意《关于变更募投项目实施主体、实施地点及部分募集资金用途的议案》。公司监事会及保荐机构就该事项发表同意意见。</w:t>
            </w:r>
          </w:p>
          <w:p w:rsidR="00E20B54" w:rsidRDefault="00733C9E">
            <w:pPr>
              <w:spacing w:line="240" w:lineRule="exact"/>
              <w:rPr>
                <w:sz w:val="18"/>
                <w:szCs w:val="18"/>
              </w:rPr>
            </w:pPr>
            <w:r>
              <w:rPr>
                <w:sz w:val="18"/>
                <w:szCs w:val="18"/>
              </w:rPr>
              <w:t>③</w:t>
            </w:r>
            <w:r>
              <w:rPr>
                <w:sz w:val="18"/>
                <w:szCs w:val="18"/>
              </w:rPr>
              <w:t>信息披露情况</w:t>
            </w:r>
          </w:p>
          <w:p w:rsidR="00E20B54" w:rsidRDefault="00733C9E">
            <w:pPr>
              <w:spacing w:line="240" w:lineRule="exact"/>
              <w:rPr>
                <w:sz w:val="18"/>
                <w:szCs w:val="18"/>
              </w:rPr>
            </w:pPr>
            <w:r>
              <w:rPr>
                <w:sz w:val="18"/>
                <w:szCs w:val="18"/>
              </w:rPr>
              <w:t>详见公司于</w:t>
            </w:r>
            <w:r>
              <w:rPr>
                <w:sz w:val="18"/>
                <w:szCs w:val="18"/>
              </w:rPr>
              <w:t>2023</w:t>
            </w:r>
            <w:r>
              <w:rPr>
                <w:sz w:val="18"/>
                <w:szCs w:val="18"/>
              </w:rPr>
              <w:t>年</w:t>
            </w:r>
            <w:r>
              <w:rPr>
                <w:sz w:val="18"/>
                <w:szCs w:val="18"/>
              </w:rPr>
              <w:t>8</w:t>
            </w:r>
            <w:r>
              <w:rPr>
                <w:sz w:val="18"/>
                <w:szCs w:val="18"/>
              </w:rPr>
              <w:t>月</w:t>
            </w:r>
            <w:r>
              <w:rPr>
                <w:sz w:val="18"/>
                <w:szCs w:val="18"/>
              </w:rPr>
              <w:t>3</w:t>
            </w:r>
            <w:r>
              <w:rPr>
                <w:sz w:val="18"/>
                <w:szCs w:val="18"/>
              </w:rPr>
              <w:t>日披露于巨潮资讯网（</w:t>
            </w:r>
            <w:r>
              <w:rPr>
                <w:sz w:val="18"/>
                <w:szCs w:val="18"/>
              </w:rPr>
              <w:t>www.cninfo.com.cn</w:t>
            </w:r>
            <w:r>
              <w:rPr>
                <w:sz w:val="18"/>
                <w:szCs w:val="18"/>
              </w:rPr>
              <w:t>）等法定信息披露媒体的《关于变更募投项目实施主体、实施地点及部分募集资金用途的公告》（公告编号：</w:t>
            </w:r>
            <w:r>
              <w:rPr>
                <w:sz w:val="18"/>
                <w:szCs w:val="18"/>
              </w:rPr>
              <w:t>2023-080</w:t>
            </w:r>
            <w:r>
              <w:rPr>
                <w:sz w:val="18"/>
                <w:szCs w:val="18"/>
              </w:rPr>
              <w:t>）及相关公告。</w:t>
            </w:r>
          </w:p>
          <w:p w:rsidR="00E20B54" w:rsidRDefault="00733C9E">
            <w:pPr>
              <w:spacing w:line="240" w:lineRule="exact"/>
              <w:rPr>
                <w:sz w:val="18"/>
                <w:szCs w:val="18"/>
              </w:rPr>
            </w:pPr>
            <w:r>
              <w:rPr>
                <w:sz w:val="18"/>
                <w:szCs w:val="18"/>
              </w:rPr>
              <w:t>（</w:t>
            </w:r>
            <w:r>
              <w:rPr>
                <w:sz w:val="18"/>
                <w:szCs w:val="18"/>
              </w:rPr>
              <w:t>2</w:t>
            </w:r>
            <w:r>
              <w:rPr>
                <w:sz w:val="18"/>
                <w:szCs w:val="18"/>
              </w:rPr>
              <w:t>）算力集群服务项目</w:t>
            </w:r>
          </w:p>
          <w:p w:rsidR="00E20B54" w:rsidRDefault="00733C9E">
            <w:pPr>
              <w:spacing w:line="240" w:lineRule="exact"/>
              <w:rPr>
                <w:sz w:val="18"/>
                <w:szCs w:val="18"/>
              </w:rPr>
            </w:pPr>
            <w:r>
              <w:rPr>
                <w:sz w:val="18"/>
                <w:szCs w:val="18"/>
              </w:rPr>
              <w:t>①</w:t>
            </w:r>
            <w:r>
              <w:rPr>
                <w:sz w:val="18"/>
                <w:szCs w:val="18"/>
              </w:rPr>
              <w:t>改变原因</w:t>
            </w:r>
          </w:p>
          <w:p w:rsidR="00E20B54" w:rsidRDefault="00733C9E">
            <w:pPr>
              <w:spacing w:line="240" w:lineRule="exact"/>
              <w:rPr>
                <w:sz w:val="18"/>
                <w:szCs w:val="18"/>
              </w:rPr>
            </w:pPr>
            <w:r>
              <w:rPr>
                <w:sz w:val="18"/>
                <w:szCs w:val="18"/>
              </w:rPr>
              <w:t>2024</w:t>
            </w:r>
            <w:r>
              <w:rPr>
                <w:sz w:val="18"/>
                <w:szCs w:val="18"/>
              </w:rPr>
              <w:t>年</w:t>
            </w:r>
            <w:r>
              <w:rPr>
                <w:sz w:val="18"/>
                <w:szCs w:val="18"/>
              </w:rPr>
              <w:t>12</w:t>
            </w:r>
            <w:r>
              <w:rPr>
                <w:sz w:val="18"/>
                <w:szCs w:val="18"/>
              </w:rPr>
              <w:t>月，在我国数字经济高速发展的背景下，公司全面深化数字经济的战略拓展目标，由智慧城市领域向上游延伸产业链。同时，随深圳综合运营中心项目的落地，深圳办公室研发中心、展示</w:t>
            </w:r>
            <w:r>
              <w:rPr>
                <w:sz w:val="18"/>
                <w:szCs w:val="18"/>
              </w:rPr>
              <w:t xml:space="preserve"> </w:t>
            </w:r>
            <w:r>
              <w:rPr>
                <w:sz w:val="18"/>
                <w:szCs w:val="18"/>
              </w:rPr>
              <w:t>中心、运营中心的投入使用，一定程度缓解了总部办公用地压力。公司终止</w:t>
            </w:r>
            <w:r>
              <w:rPr>
                <w:sz w:val="18"/>
                <w:szCs w:val="18"/>
              </w:rPr>
              <w:t>“</w:t>
            </w:r>
            <w:r>
              <w:rPr>
                <w:sz w:val="18"/>
                <w:szCs w:val="18"/>
              </w:rPr>
              <w:t>智慧城市综合解决方案升级项目</w:t>
            </w:r>
            <w:r>
              <w:rPr>
                <w:sz w:val="18"/>
                <w:szCs w:val="18"/>
              </w:rPr>
              <w:t>”</w:t>
            </w:r>
            <w:r>
              <w:rPr>
                <w:sz w:val="18"/>
                <w:szCs w:val="18"/>
              </w:rPr>
              <w:t>，变更其部分募集资金用途用于实施</w:t>
            </w:r>
            <w:r>
              <w:rPr>
                <w:sz w:val="18"/>
                <w:szCs w:val="18"/>
              </w:rPr>
              <w:t>“</w:t>
            </w:r>
            <w:r>
              <w:rPr>
                <w:sz w:val="18"/>
                <w:szCs w:val="18"/>
              </w:rPr>
              <w:t>算力集群服务项目</w:t>
            </w:r>
            <w:r>
              <w:rPr>
                <w:sz w:val="18"/>
                <w:szCs w:val="18"/>
              </w:rPr>
              <w:t>”</w:t>
            </w:r>
            <w:r>
              <w:rPr>
                <w:sz w:val="18"/>
                <w:szCs w:val="18"/>
              </w:rPr>
              <w:t>，以提升募集资金使用效率和投资回报，进而提升综合竞争力，优化产业布局。</w:t>
            </w:r>
          </w:p>
          <w:p w:rsidR="00E20B54" w:rsidRDefault="00733C9E">
            <w:pPr>
              <w:spacing w:line="240" w:lineRule="exact"/>
              <w:rPr>
                <w:sz w:val="18"/>
                <w:szCs w:val="18"/>
              </w:rPr>
            </w:pPr>
            <w:r>
              <w:rPr>
                <w:sz w:val="18"/>
                <w:szCs w:val="18"/>
              </w:rPr>
              <w:t>②</w:t>
            </w:r>
            <w:r>
              <w:rPr>
                <w:sz w:val="18"/>
                <w:szCs w:val="18"/>
              </w:rPr>
              <w:t>决策程序</w:t>
            </w:r>
          </w:p>
          <w:p w:rsidR="00E20B54" w:rsidRDefault="00733C9E">
            <w:pPr>
              <w:spacing w:line="240" w:lineRule="exact"/>
              <w:rPr>
                <w:sz w:val="18"/>
                <w:szCs w:val="18"/>
              </w:rPr>
            </w:pPr>
            <w:r>
              <w:rPr>
                <w:sz w:val="18"/>
                <w:szCs w:val="18"/>
              </w:rPr>
              <w:t>经公司第三届董事会第二十六次会议和第三届监事会第二十四次会议审议通过，并经</w:t>
            </w:r>
            <w:r>
              <w:rPr>
                <w:sz w:val="18"/>
                <w:szCs w:val="18"/>
              </w:rPr>
              <w:t>2024</w:t>
            </w:r>
            <w:r>
              <w:rPr>
                <w:sz w:val="18"/>
                <w:szCs w:val="18"/>
              </w:rPr>
              <w:t>年第四次临时股东会审议通过，同意了《关于变更部分募集资金用途的议案》。公司监事会及保荐机构就该事项发表同意意见。</w:t>
            </w:r>
          </w:p>
          <w:p w:rsidR="00E20B54" w:rsidRDefault="00733C9E">
            <w:pPr>
              <w:spacing w:line="240" w:lineRule="exact"/>
              <w:rPr>
                <w:sz w:val="18"/>
                <w:szCs w:val="18"/>
              </w:rPr>
            </w:pPr>
            <w:r>
              <w:rPr>
                <w:sz w:val="18"/>
                <w:szCs w:val="18"/>
              </w:rPr>
              <w:t>③</w:t>
            </w:r>
            <w:r>
              <w:rPr>
                <w:sz w:val="18"/>
                <w:szCs w:val="18"/>
              </w:rPr>
              <w:t>信息披露情况</w:t>
            </w:r>
          </w:p>
          <w:p w:rsidR="00E20B54" w:rsidRDefault="00733C9E">
            <w:pPr>
              <w:spacing w:line="240" w:lineRule="exact"/>
              <w:rPr>
                <w:sz w:val="18"/>
                <w:szCs w:val="18"/>
              </w:rPr>
            </w:pPr>
            <w:r>
              <w:rPr>
                <w:sz w:val="18"/>
                <w:szCs w:val="18"/>
              </w:rPr>
              <w:t>公司于</w:t>
            </w:r>
            <w:r>
              <w:rPr>
                <w:sz w:val="18"/>
                <w:szCs w:val="18"/>
              </w:rPr>
              <w:t>2024</w:t>
            </w:r>
            <w:r>
              <w:rPr>
                <w:sz w:val="18"/>
                <w:szCs w:val="18"/>
              </w:rPr>
              <w:t>年</w:t>
            </w:r>
            <w:r>
              <w:rPr>
                <w:sz w:val="18"/>
                <w:szCs w:val="18"/>
              </w:rPr>
              <w:t>12</w:t>
            </w:r>
            <w:r>
              <w:rPr>
                <w:sz w:val="18"/>
                <w:szCs w:val="18"/>
              </w:rPr>
              <w:t>月</w:t>
            </w:r>
            <w:r>
              <w:rPr>
                <w:sz w:val="18"/>
                <w:szCs w:val="18"/>
              </w:rPr>
              <w:t>12</w:t>
            </w:r>
            <w:r>
              <w:rPr>
                <w:sz w:val="18"/>
                <w:szCs w:val="18"/>
              </w:rPr>
              <w:t>日披露于巨潮资讯网（</w:t>
            </w:r>
            <w:r>
              <w:rPr>
                <w:sz w:val="18"/>
                <w:szCs w:val="18"/>
              </w:rPr>
              <w:t>www.cninfo.com.cn</w:t>
            </w:r>
            <w:r>
              <w:rPr>
                <w:sz w:val="18"/>
                <w:szCs w:val="18"/>
              </w:rPr>
              <w:t>）等法定信息披露媒体的《关于变更募集资金用途的公告》（公告编号：</w:t>
            </w:r>
            <w:r>
              <w:rPr>
                <w:sz w:val="18"/>
                <w:szCs w:val="18"/>
              </w:rPr>
              <w:t>2024-090</w:t>
            </w:r>
            <w:r>
              <w:rPr>
                <w:sz w:val="18"/>
                <w:szCs w:val="18"/>
              </w:rPr>
              <w:t>）及相关公告。</w:t>
            </w:r>
          </w:p>
        </w:tc>
      </w:tr>
      <w:tr w:rsidR="00E20B54">
        <w:trPr>
          <w:trHeight w:val="240"/>
        </w:trPr>
        <w:tc>
          <w:tcPr>
            <w:tcW w:w="2410" w:type="dxa"/>
            <w:gridSpan w:val="3"/>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未达到计划进度或预计收益的情况和原因</w:t>
            </w:r>
            <w:r>
              <w:rPr>
                <w:sz w:val="18"/>
                <w:szCs w:val="18"/>
              </w:rPr>
              <w:t>(</w:t>
            </w:r>
            <w:r>
              <w:rPr>
                <w:sz w:val="18"/>
                <w:szCs w:val="18"/>
              </w:rPr>
              <w:t>分具体项目</w:t>
            </w:r>
            <w:r>
              <w:rPr>
                <w:sz w:val="18"/>
                <w:szCs w:val="18"/>
              </w:rPr>
              <w:t>)</w:t>
            </w:r>
          </w:p>
        </w:tc>
        <w:tc>
          <w:tcPr>
            <w:tcW w:w="7229" w:type="dxa"/>
            <w:gridSpan w:val="9"/>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w:t>
            </w:r>
            <w:r>
              <w:rPr>
                <w:sz w:val="18"/>
                <w:szCs w:val="18"/>
              </w:rPr>
              <w:t>1</w:t>
            </w:r>
            <w:r>
              <w:rPr>
                <w:sz w:val="18"/>
                <w:szCs w:val="18"/>
              </w:rPr>
              <w:t>）深圳综合运营中心项目</w:t>
            </w:r>
          </w:p>
          <w:p w:rsidR="00E20B54" w:rsidRDefault="00733C9E">
            <w:pPr>
              <w:spacing w:line="240" w:lineRule="exact"/>
              <w:rPr>
                <w:sz w:val="18"/>
                <w:szCs w:val="18"/>
              </w:rPr>
            </w:pPr>
            <w:r>
              <w:rPr>
                <w:sz w:val="18"/>
                <w:szCs w:val="18"/>
              </w:rPr>
              <w:t>公司深圳综合运营中心已投入使用，运营中心、研发中心及展示中心配套设施建设完成。深圳综合运营中心项目的投入使用改善了公司办公环境，改善研发条件，提高工作效率，对公司品牌形象、人才吸引力皆有所提升。</w:t>
            </w:r>
          </w:p>
        </w:tc>
      </w:tr>
      <w:tr w:rsidR="00E20B54">
        <w:trPr>
          <w:trHeight w:val="240"/>
        </w:trPr>
        <w:tc>
          <w:tcPr>
            <w:tcW w:w="2410" w:type="dxa"/>
            <w:gridSpan w:val="3"/>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变更后的项目可行性发生重大变化的情况说明</w:t>
            </w:r>
          </w:p>
        </w:tc>
        <w:tc>
          <w:tcPr>
            <w:tcW w:w="7229" w:type="dxa"/>
            <w:gridSpan w:val="9"/>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不适用。</w:t>
            </w:r>
          </w:p>
        </w:tc>
      </w:tr>
    </w:tbl>
    <w:p w:rsidR="00E20B54" w:rsidRDefault="00733C9E">
      <w:pPr>
        <w:pStyle w:val="3"/>
        <w:spacing w:line="280" w:lineRule="exact"/>
        <w:jc w:val="left"/>
        <w:rPr>
          <w:b/>
          <w:bCs/>
        </w:rPr>
      </w:pPr>
      <w:bookmarkStart w:id="127" w:name="_Toc989016"/>
      <w:r>
        <w:rPr>
          <w:b/>
          <w:bCs/>
        </w:rPr>
        <w:lastRenderedPageBreak/>
        <w:t>4</w:t>
      </w:r>
      <w:r>
        <w:rPr>
          <w:b/>
          <w:bCs/>
        </w:rPr>
        <w:t>、中介机构关于募集资金存储与使用情况的核查意见</w:t>
      </w:r>
      <w:bookmarkEnd w:id="127"/>
    </w:p>
    <w:p w:rsidR="00E20B54" w:rsidRDefault="00733C9E">
      <w:pPr>
        <w:spacing w:before="40" w:after="40" w:line="240" w:lineRule="exact"/>
        <w:rPr>
          <w:sz w:val="18"/>
          <w:szCs w:val="18"/>
        </w:rPr>
      </w:pPr>
      <w:r>
        <w:rPr>
          <w:sz w:val="18"/>
          <w:szCs w:val="18"/>
        </w:rPr>
        <w:sym w:font="Wingdings 2" w:char="F052"/>
      </w:r>
      <w:r>
        <w:rPr>
          <w:sz w:val="18"/>
          <w:szCs w:val="18"/>
        </w:rPr>
        <w:t>适用</w:t>
      </w:r>
      <w:r>
        <w:rPr>
          <w:sz w:val="18"/>
          <w:szCs w:val="18"/>
        </w:rPr>
        <w:t xml:space="preserve"> □</w:t>
      </w:r>
      <w:r>
        <w:rPr>
          <w:sz w:val="18"/>
          <w:szCs w:val="18"/>
        </w:rPr>
        <w:t>不适用</w:t>
      </w:r>
    </w:p>
    <w:p w:rsidR="00E20B54" w:rsidRDefault="00733C9E" w:rsidP="00C57489">
      <w:pPr>
        <w:pStyle w:val="a3"/>
        <w:widowControl/>
        <w:spacing w:beforeLines="50" w:before="156" w:beforeAutospacing="0" w:afterLines="50" w:after="156" w:afterAutospacing="0"/>
        <w:ind w:firstLine="363"/>
        <w:jc w:val="both"/>
        <w:rPr>
          <w:sz w:val="21"/>
          <w:szCs w:val="21"/>
        </w:rPr>
      </w:pPr>
      <w:r>
        <w:rPr>
          <w:color w:val="000000"/>
          <w:sz w:val="21"/>
          <w:szCs w:val="21"/>
        </w:rPr>
        <w:t>（</w:t>
      </w:r>
      <w:r>
        <w:rPr>
          <w:color w:val="000000"/>
          <w:sz w:val="21"/>
          <w:szCs w:val="21"/>
        </w:rPr>
        <w:t>1</w:t>
      </w:r>
      <w:r>
        <w:rPr>
          <w:color w:val="000000"/>
          <w:sz w:val="21"/>
          <w:szCs w:val="21"/>
        </w:rPr>
        <w:t>）保荐机构核查意见</w:t>
      </w:r>
    </w:p>
    <w:p w:rsidR="00E20B54" w:rsidRDefault="00733C9E" w:rsidP="00C57489">
      <w:pPr>
        <w:pStyle w:val="a3"/>
        <w:widowControl/>
        <w:spacing w:beforeLines="50" w:before="156" w:beforeAutospacing="0" w:afterLines="50" w:after="156" w:afterAutospacing="0"/>
        <w:ind w:firstLine="363"/>
        <w:jc w:val="both"/>
        <w:rPr>
          <w:sz w:val="21"/>
          <w:szCs w:val="21"/>
        </w:rPr>
      </w:pPr>
      <w:r>
        <w:rPr>
          <w:color w:val="000000"/>
          <w:sz w:val="21"/>
          <w:szCs w:val="21"/>
        </w:rPr>
        <w:t>五矿证券有限公司作公司首次公开发行股票并在创业板上市的保荐机构，根据《证券发行上市保荐业务管理办法》《上市公司募集资金监管规则》《深圳证券交易所上市公司自律监管指引第</w:t>
      </w:r>
      <w:r>
        <w:rPr>
          <w:color w:val="000000"/>
          <w:sz w:val="21"/>
          <w:szCs w:val="21"/>
        </w:rPr>
        <w:t>2</w:t>
      </w:r>
      <w:r>
        <w:rPr>
          <w:color w:val="000000"/>
          <w:sz w:val="21"/>
          <w:szCs w:val="21"/>
        </w:rPr>
        <w:t>号</w:t>
      </w:r>
      <w:r>
        <w:rPr>
          <w:color w:val="000000"/>
          <w:sz w:val="21"/>
          <w:szCs w:val="21"/>
        </w:rPr>
        <w:t>——</w:t>
      </w:r>
      <w:r>
        <w:rPr>
          <w:color w:val="000000"/>
          <w:sz w:val="21"/>
          <w:szCs w:val="21"/>
        </w:rPr>
        <w:t>创业板上市公司规范运作》《深圳证券交易所创业板股票上市规则》等相关规定履行持续督导职责，对公司</w:t>
      </w:r>
      <w:r>
        <w:rPr>
          <w:color w:val="000000"/>
          <w:sz w:val="21"/>
          <w:szCs w:val="21"/>
        </w:rPr>
        <w:t>2025</w:t>
      </w:r>
      <w:r>
        <w:rPr>
          <w:color w:val="000000"/>
          <w:sz w:val="21"/>
          <w:szCs w:val="21"/>
        </w:rPr>
        <w:t>年度募集资金年度存放与实际使用情况进行了专项核查，查阅了公司募集资金存放银行对账单，获取了公司募集资金使用台账；查阅了中介机构相关报告，募集资金使用情况的相关公告和支持文件等资料。</w:t>
      </w:r>
    </w:p>
    <w:p w:rsidR="00E20B54" w:rsidRDefault="00733C9E" w:rsidP="00C57489">
      <w:pPr>
        <w:pStyle w:val="a3"/>
        <w:widowControl/>
        <w:spacing w:beforeLines="50" w:before="156" w:beforeAutospacing="0" w:afterLines="50" w:after="156" w:afterAutospacing="0"/>
        <w:ind w:firstLine="363"/>
        <w:jc w:val="both"/>
        <w:rPr>
          <w:sz w:val="21"/>
          <w:szCs w:val="21"/>
        </w:rPr>
      </w:pPr>
      <w:r>
        <w:rPr>
          <w:color w:val="000000"/>
          <w:sz w:val="21"/>
          <w:szCs w:val="21"/>
        </w:rPr>
        <w:t>经核查，保荐机构认为：公司募集资金</w:t>
      </w:r>
      <w:r>
        <w:rPr>
          <w:color w:val="000000"/>
          <w:sz w:val="21"/>
          <w:szCs w:val="21"/>
        </w:rPr>
        <w:t>2025</w:t>
      </w:r>
      <w:r>
        <w:rPr>
          <w:color w:val="000000"/>
          <w:sz w:val="21"/>
          <w:szCs w:val="21"/>
        </w:rPr>
        <w:t>年度存放、管理与使用情况符合《证券发行上市保荐业务管理办法》《上市公司募集资金监管规则》《深圳证券交易所上市公司自律监管指引第</w:t>
      </w:r>
      <w:r>
        <w:rPr>
          <w:color w:val="000000"/>
          <w:sz w:val="21"/>
          <w:szCs w:val="21"/>
        </w:rPr>
        <w:t>2</w:t>
      </w:r>
      <w:r>
        <w:rPr>
          <w:color w:val="000000"/>
          <w:sz w:val="21"/>
          <w:szCs w:val="21"/>
        </w:rPr>
        <w:t>号</w:t>
      </w:r>
      <w:r>
        <w:rPr>
          <w:color w:val="000000"/>
          <w:sz w:val="21"/>
          <w:szCs w:val="21"/>
        </w:rPr>
        <w:t>——</w:t>
      </w:r>
      <w:r>
        <w:rPr>
          <w:color w:val="000000"/>
          <w:sz w:val="21"/>
          <w:szCs w:val="21"/>
        </w:rPr>
        <w:t>创业板上市公司规范运作》《深圳证券交易所创业板股票上市规则》等相关规定及公司募集资金管理制度，对募集资金进行了专户存储和使用，截至</w:t>
      </w:r>
      <w:r>
        <w:rPr>
          <w:color w:val="000000"/>
          <w:sz w:val="21"/>
          <w:szCs w:val="21"/>
        </w:rPr>
        <w:t>2025</w:t>
      </w:r>
      <w:r>
        <w:rPr>
          <w:color w:val="000000"/>
          <w:sz w:val="21"/>
          <w:szCs w:val="21"/>
        </w:rPr>
        <w:t>年</w:t>
      </w:r>
      <w:r>
        <w:rPr>
          <w:color w:val="000000"/>
          <w:sz w:val="21"/>
          <w:szCs w:val="21"/>
        </w:rPr>
        <w:t>12</w:t>
      </w:r>
      <w:r>
        <w:rPr>
          <w:color w:val="000000"/>
          <w:sz w:val="21"/>
          <w:szCs w:val="21"/>
        </w:rPr>
        <w:t>月</w:t>
      </w:r>
      <w:r>
        <w:rPr>
          <w:color w:val="000000"/>
          <w:sz w:val="21"/>
          <w:szCs w:val="21"/>
        </w:rPr>
        <w:t>31</w:t>
      </w:r>
      <w:r>
        <w:rPr>
          <w:color w:val="000000"/>
          <w:sz w:val="21"/>
          <w:szCs w:val="21"/>
        </w:rPr>
        <w:t>日，公司募集资金使用不存在违反国家反洗钱相关法律法规的情形，公司不存在变相改变募集资金用途和损害股东利益的情形，不存在违规使用募集资金的情形。</w:t>
      </w:r>
    </w:p>
    <w:p w:rsidR="00E20B54" w:rsidRDefault="00733C9E" w:rsidP="00C57489">
      <w:pPr>
        <w:pStyle w:val="a3"/>
        <w:widowControl/>
        <w:spacing w:beforeLines="50" w:before="156" w:beforeAutospacing="0" w:afterLines="50" w:after="156" w:afterAutospacing="0"/>
        <w:ind w:firstLine="363"/>
        <w:jc w:val="both"/>
        <w:rPr>
          <w:sz w:val="21"/>
          <w:szCs w:val="21"/>
        </w:rPr>
      </w:pPr>
      <w:r>
        <w:rPr>
          <w:color w:val="000000"/>
          <w:sz w:val="21"/>
          <w:szCs w:val="21"/>
        </w:rPr>
        <w:t>（</w:t>
      </w:r>
      <w:r>
        <w:rPr>
          <w:color w:val="000000"/>
          <w:sz w:val="21"/>
          <w:szCs w:val="21"/>
        </w:rPr>
        <w:t>2</w:t>
      </w:r>
      <w:r>
        <w:rPr>
          <w:color w:val="000000"/>
          <w:sz w:val="21"/>
          <w:szCs w:val="21"/>
        </w:rPr>
        <w:t>）会计师事务所鉴证意见</w:t>
      </w:r>
    </w:p>
    <w:p w:rsidR="00E20B54" w:rsidRDefault="00733C9E" w:rsidP="00C57489">
      <w:pPr>
        <w:pStyle w:val="a3"/>
        <w:widowControl/>
        <w:spacing w:beforeLines="50" w:before="156" w:beforeAutospacing="0" w:afterLines="50" w:after="156" w:afterAutospacing="0"/>
        <w:ind w:firstLine="363"/>
        <w:jc w:val="both"/>
        <w:rPr>
          <w:sz w:val="21"/>
          <w:szCs w:val="21"/>
        </w:rPr>
      </w:pPr>
      <w:r>
        <w:rPr>
          <w:color w:val="000000"/>
          <w:sz w:val="21"/>
          <w:szCs w:val="21"/>
        </w:rPr>
        <w:t>中审亚太会计师事务所（特殊普通合伙）接受公司委托，就公司截至</w:t>
      </w:r>
      <w:r>
        <w:rPr>
          <w:color w:val="000000"/>
          <w:sz w:val="21"/>
          <w:szCs w:val="21"/>
        </w:rPr>
        <w:t>2025</w:t>
      </w:r>
      <w:r>
        <w:rPr>
          <w:color w:val="000000"/>
          <w:sz w:val="21"/>
          <w:szCs w:val="21"/>
        </w:rPr>
        <w:t>年</w:t>
      </w:r>
      <w:r>
        <w:rPr>
          <w:color w:val="000000"/>
          <w:sz w:val="21"/>
          <w:szCs w:val="21"/>
        </w:rPr>
        <w:t>12</w:t>
      </w:r>
      <w:r>
        <w:rPr>
          <w:color w:val="000000"/>
          <w:sz w:val="21"/>
          <w:szCs w:val="21"/>
        </w:rPr>
        <w:t>月</w:t>
      </w:r>
      <w:r>
        <w:rPr>
          <w:color w:val="000000"/>
          <w:sz w:val="21"/>
          <w:szCs w:val="21"/>
        </w:rPr>
        <w:t>31</w:t>
      </w:r>
      <w:r>
        <w:rPr>
          <w:color w:val="000000"/>
          <w:sz w:val="21"/>
          <w:szCs w:val="21"/>
        </w:rPr>
        <w:t>日止的《募集资金</w:t>
      </w:r>
      <w:r>
        <w:rPr>
          <w:color w:val="000000"/>
          <w:sz w:val="21"/>
          <w:szCs w:val="21"/>
        </w:rPr>
        <w:t>2025</w:t>
      </w:r>
      <w:r>
        <w:rPr>
          <w:color w:val="000000"/>
          <w:sz w:val="21"/>
          <w:szCs w:val="21"/>
        </w:rPr>
        <w:t>年度存放、管理与使用情况的专项报告》进行了鉴证工作，实施了检查会计记录、重新计算相关项目金额等必要的程序。</w:t>
      </w:r>
    </w:p>
    <w:p w:rsidR="00E20B54" w:rsidRDefault="00733C9E" w:rsidP="00C57489">
      <w:pPr>
        <w:pStyle w:val="a3"/>
        <w:widowControl/>
        <w:spacing w:beforeLines="50" w:before="156" w:beforeAutospacing="0" w:afterLines="50" w:after="156" w:afterAutospacing="0"/>
        <w:ind w:firstLine="363"/>
        <w:jc w:val="both"/>
        <w:rPr>
          <w:sz w:val="21"/>
          <w:szCs w:val="21"/>
        </w:rPr>
      </w:pPr>
      <w:r>
        <w:rPr>
          <w:color w:val="000000"/>
          <w:sz w:val="21"/>
          <w:szCs w:val="21"/>
        </w:rPr>
        <w:t>经核查会计师事务所认为，天亿马截至</w:t>
      </w:r>
      <w:r>
        <w:rPr>
          <w:color w:val="000000"/>
          <w:sz w:val="21"/>
          <w:szCs w:val="21"/>
        </w:rPr>
        <w:t>2025</w:t>
      </w:r>
      <w:r>
        <w:rPr>
          <w:color w:val="000000"/>
          <w:sz w:val="21"/>
          <w:szCs w:val="21"/>
        </w:rPr>
        <w:t>年</w:t>
      </w:r>
      <w:r>
        <w:rPr>
          <w:color w:val="000000"/>
          <w:sz w:val="21"/>
          <w:szCs w:val="21"/>
        </w:rPr>
        <w:t>12</w:t>
      </w:r>
      <w:r>
        <w:rPr>
          <w:color w:val="000000"/>
          <w:sz w:val="21"/>
          <w:szCs w:val="21"/>
        </w:rPr>
        <w:t>月</w:t>
      </w:r>
      <w:r>
        <w:rPr>
          <w:color w:val="000000"/>
          <w:sz w:val="21"/>
          <w:szCs w:val="21"/>
        </w:rPr>
        <w:t>31</w:t>
      </w:r>
      <w:r>
        <w:rPr>
          <w:color w:val="000000"/>
          <w:sz w:val="21"/>
          <w:szCs w:val="21"/>
        </w:rPr>
        <w:t>日止的《募集资金</w:t>
      </w:r>
      <w:r>
        <w:rPr>
          <w:color w:val="000000"/>
          <w:sz w:val="21"/>
          <w:szCs w:val="21"/>
        </w:rPr>
        <w:t>2025</w:t>
      </w:r>
      <w:r>
        <w:rPr>
          <w:color w:val="000000"/>
          <w:sz w:val="21"/>
          <w:szCs w:val="21"/>
        </w:rPr>
        <w:t>年度存放、管理与使用情况的专项报告》在所有重大方面按照中国证券监督管理委员会《上市公司募集资金监管规则》和深圳证券交易所发布的《深圳证券交易所上市公司自律监管指引第</w:t>
      </w:r>
      <w:r>
        <w:rPr>
          <w:color w:val="000000"/>
          <w:sz w:val="21"/>
          <w:szCs w:val="21"/>
        </w:rPr>
        <w:t>2</w:t>
      </w:r>
      <w:r>
        <w:rPr>
          <w:color w:val="000000"/>
          <w:sz w:val="21"/>
          <w:szCs w:val="21"/>
        </w:rPr>
        <w:t>号</w:t>
      </w:r>
      <w:r>
        <w:rPr>
          <w:color w:val="000000"/>
          <w:sz w:val="21"/>
          <w:szCs w:val="21"/>
        </w:rPr>
        <w:t>——</w:t>
      </w:r>
      <w:r>
        <w:rPr>
          <w:color w:val="000000"/>
          <w:sz w:val="21"/>
          <w:szCs w:val="21"/>
        </w:rPr>
        <w:t>创业板上市公司规范运作》《深圳证券交易所创业板上市公司自律监管指南第</w:t>
      </w:r>
      <w:r>
        <w:rPr>
          <w:color w:val="000000"/>
          <w:sz w:val="21"/>
          <w:szCs w:val="21"/>
        </w:rPr>
        <w:t>2</w:t>
      </w:r>
      <w:r>
        <w:rPr>
          <w:color w:val="000000"/>
          <w:sz w:val="21"/>
          <w:szCs w:val="21"/>
        </w:rPr>
        <w:t>号</w:t>
      </w:r>
      <w:r>
        <w:rPr>
          <w:color w:val="000000"/>
          <w:sz w:val="21"/>
          <w:szCs w:val="21"/>
        </w:rPr>
        <w:t>-</w:t>
      </w:r>
      <w:r>
        <w:rPr>
          <w:color w:val="000000"/>
          <w:sz w:val="21"/>
          <w:szCs w:val="21"/>
        </w:rPr>
        <w:t>公告格式》等有关规定编制。</w:t>
      </w:r>
    </w:p>
    <w:p w:rsidR="00E20B54" w:rsidRDefault="00733C9E">
      <w:pPr>
        <w:pStyle w:val="2"/>
        <w:spacing w:before="300" w:after="300" w:line="320" w:lineRule="exact"/>
        <w:rPr>
          <w:b/>
          <w:bCs/>
          <w:sz w:val="24"/>
          <w:szCs w:val="24"/>
        </w:rPr>
      </w:pPr>
      <w:bookmarkStart w:id="128" w:name="_Toc989017"/>
      <w:r>
        <w:rPr>
          <w:b/>
          <w:bCs/>
          <w:sz w:val="24"/>
          <w:szCs w:val="24"/>
        </w:rPr>
        <w:t>十七、其他重大事项的说明</w:t>
      </w:r>
      <w:bookmarkEnd w:id="128"/>
    </w:p>
    <w:p w:rsidR="00E20B54" w:rsidRDefault="00733C9E">
      <w:pPr>
        <w:spacing w:before="100" w:after="100" w:line="240" w:lineRule="exact"/>
        <w:rPr>
          <w:sz w:val="18"/>
          <w:szCs w:val="18"/>
        </w:rPr>
      </w:pPr>
      <w:r>
        <w:rPr>
          <w:sz w:val="18"/>
          <w:szCs w:val="18"/>
        </w:rPr>
        <w:sym w:font="Wingdings 2" w:char="F052"/>
      </w:r>
      <w:r>
        <w:rPr>
          <w:sz w:val="18"/>
          <w:szCs w:val="18"/>
        </w:rPr>
        <w:t>适用</w:t>
      </w:r>
      <w:r>
        <w:rPr>
          <w:sz w:val="18"/>
          <w:szCs w:val="18"/>
        </w:rPr>
        <w:t xml:space="preserve"> □</w:t>
      </w:r>
      <w:r>
        <w:rPr>
          <w:sz w:val="18"/>
          <w:szCs w:val="18"/>
        </w:rPr>
        <w:t>不适用</w:t>
      </w:r>
    </w:p>
    <w:p w:rsidR="00E20B54" w:rsidRDefault="00733C9E" w:rsidP="00C57489">
      <w:pPr>
        <w:pStyle w:val="a3"/>
        <w:widowControl/>
        <w:spacing w:beforeLines="50" w:before="156" w:beforeAutospacing="0" w:afterLines="50" w:after="156" w:afterAutospacing="0"/>
        <w:ind w:firstLine="363"/>
        <w:jc w:val="both"/>
        <w:rPr>
          <w:color w:val="000000"/>
          <w:sz w:val="21"/>
          <w:szCs w:val="21"/>
        </w:rPr>
      </w:pPr>
      <w:r>
        <w:rPr>
          <w:color w:val="000000"/>
          <w:sz w:val="21"/>
          <w:szCs w:val="21"/>
        </w:rPr>
        <w:t>（一）关于发行股份及支付现金购买资产并募集配套资金暨关联交易事项</w:t>
      </w:r>
    </w:p>
    <w:p w:rsidR="00E20B54" w:rsidRDefault="00733C9E" w:rsidP="00C57489">
      <w:pPr>
        <w:pStyle w:val="a3"/>
        <w:widowControl/>
        <w:spacing w:beforeLines="50" w:before="156" w:beforeAutospacing="0" w:afterLines="50" w:after="156" w:afterAutospacing="0"/>
        <w:ind w:firstLine="363"/>
        <w:jc w:val="both"/>
        <w:rPr>
          <w:color w:val="000000"/>
          <w:sz w:val="21"/>
          <w:szCs w:val="21"/>
        </w:rPr>
      </w:pPr>
      <w:r>
        <w:rPr>
          <w:color w:val="000000"/>
          <w:sz w:val="21"/>
          <w:szCs w:val="21"/>
        </w:rPr>
        <w:t>报告期内，公司筹划并实施通过发行股份及支付现金的方式购买广东星云开物科技股份有限公司</w:t>
      </w:r>
      <w:r>
        <w:rPr>
          <w:color w:val="000000"/>
          <w:sz w:val="21"/>
          <w:szCs w:val="21"/>
        </w:rPr>
        <w:t>98.5632%</w:t>
      </w:r>
      <w:r>
        <w:rPr>
          <w:color w:val="000000"/>
          <w:sz w:val="21"/>
          <w:szCs w:val="21"/>
        </w:rPr>
        <w:t>股权（以下简称</w:t>
      </w:r>
      <w:r>
        <w:rPr>
          <w:color w:val="000000"/>
          <w:sz w:val="21"/>
          <w:szCs w:val="21"/>
        </w:rPr>
        <w:t>“</w:t>
      </w:r>
      <w:r>
        <w:rPr>
          <w:color w:val="000000"/>
          <w:sz w:val="21"/>
          <w:szCs w:val="21"/>
        </w:rPr>
        <w:t>本次交易</w:t>
      </w:r>
      <w:r>
        <w:rPr>
          <w:color w:val="000000"/>
          <w:sz w:val="21"/>
          <w:szCs w:val="21"/>
        </w:rPr>
        <w:t>”</w:t>
      </w:r>
      <w:r>
        <w:rPr>
          <w:color w:val="000000"/>
          <w:sz w:val="21"/>
          <w:szCs w:val="21"/>
        </w:rPr>
        <w:t>），并向实际控制人之一马学沛先生发行股份募集配套资金不超过</w:t>
      </w:r>
      <w:r>
        <w:rPr>
          <w:color w:val="000000"/>
          <w:sz w:val="21"/>
          <w:szCs w:val="21"/>
        </w:rPr>
        <w:t>1.55</w:t>
      </w:r>
      <w:r>
        <w:rPr>
          <w:color w:val="000000"/>
          <w:sz w:val="21"/>
          <w:szCs w:val="21"/>
        </w:rPr>
        <w:t>亿元。根据《上市公司重大资产重组管理办法》相关规定，本次交易构成重大资产重组，不构成关联交易，不构成重组上市。</w:t>
      </w:r>
    </w:p>
    <w:p w:rsidR="00E20B54" w:rsidRDefault="00733C9E" w:rsidP="00C57489">
      <w:pPr>
        <w:pStyle w:val="a3"/>
        <w:widowControl/>
        <w:spacing w:beforeLines="50" w:before="156" w:beforeAutospacing="0" w:afterLines="50" w:after="156" w:afterAutospacing="0"/>
        <w:ind w:firstLine="363"/>
        <w:jc w:val="both"/>
        <w:rPr>
          <w:color w:val="000000"/>
          <w:sz w:val="21"/>
          <w:szCs w:val="21"/>
        </w:rPr>
      </w:pPr>
      <w:r>
        <w:rPr>
          <w:color w:val="000000"/>
          <w:sz w:val="21"/>
          <w:szCs w:val="21"/>
        </w:rPr>
        <w:t>经公司第三届董事会第三十二次会议、第四届董事会第三次会议，并经</w:t>
      </w:r>
      <w:r>
        <w:rPr>
          <w:color w:val="000000"/>
          <w:sz w:val="21"/>
          <w:szCs w:val="21"/>
        </w:rPr>
        <w:t>2025</w:t>
      </w:r>
      <w:r>
        <w:rPr>
          <w:color w:val="000000"/>
          <w:sz w:val="21"/>
          <w:szCs w:val="21"/>
        </w:rPr>
        <w:t>年第三次临时股东会决议，公司审议通过了本次交易方案（草案）并予以披露。</w:t>
      </w:r>
    </w:p>
    <w:p w:rsidR="00E20B54" w:rsidRDefault="00733C9E" w:rsidP="00C57489">
      <w:pPr>
        <w:pStyle w:val="a3"/>
        <w:widowControl/>
        <w:spacing w:beforeLines="50" w:before="156" w:beforeAutospacing="0" w:afterLines="50" w:after="156" w:afterAutospacing="0"/>
        <w:ind w:firstLine="363"/>
        <w:jc w:val="both"/>
        <w:rPr>
          <w:color w:val="000000"/>
          <w:sz w:val="21"/>
          <w:szCs w:val="21"/>
        </w:rPr>
      </w:pPr>
      <w:r>
        <w:rPr>
          <w:color w:val="000000"/>
          <w:sz w:val="21"/>
          <w:szCs w:val="21"/>
        </w:rPr>
        <w:t>公司于</w:t>
      </w:r>
      <w:r>
        <w:rPr>
          <w:color w:val="000000"/>
          <w:sz w:val="21"/>
          <w:szCs w:val="21"/>
        </w:rPr>
        <w:t>2025</w:t>
      </w:r>
      <w:r>
        <w:rPr>
          <w:color w:val="000000"/>
          <w:sz w:val="21"/>
          <w:szCs w:val="21"/>
        </w:rPr>
        <w:t>年</w:t>
      </w:r>
      <w:r>
        <w:rPr>
          <w:color w:val="000000"/>
          <w:sz w:val="21"/>
          <w:szCs w:val="21"/>
        </w:rPr>
        <w:t>12</w:t>
      </w:r>
      <w:r>
        <w:rPr>
          <w:color w:val="000000"/>
          <w:sz w:val="21"/>
          <w:szCs w:val="21"/>
        </w:rPr>
        <w:t>月收到深圳证券交易所出具的《关于广东天亿马信息产业股份有限公司发行股份及支付现金购买资产并募集配套资金申请的审核问询函》（审核函〔</w:t>
      </w:r>
      <w:r>
        <w:rPr>
          <w:color w:val="000000"/>
          <w:sz w:val="21"/>
          <w:szCs w:val="21"/>
        </w:rPr>
        <w:t>2025</w:t>
      </w:r>
      <w:r>
        <w:rPr>
          <w:color w:val="000000"/>
          <w:sz w:val="21"/>
          <w:szCs w:val="21"/>
        </w:rPr>
        <w:t>〕</w:t>
      </w:r>
      <w:r>
        <w:rPr>
          <w:color w:val="000000"/>
          <w:sz w:val="21"/>
          <w:szCs w:val="21"/>
        </w:rPr>
        <w:t xml:space="preserve">030021 </w:t>
      </w:r>
      <w:r>
        <w:rPr>
          <w:color w:val="000000"/>
          <w:sz w:val="21"/>
          <w:szCs w:val="21"/>
        </w:rPr>
        <w:t>号），并于</w:t>
      </w:r>
      <w:r>
        <w:rPr>
          <w:color w:val="000000"/>
          <w:sz w:val="21"/>
          <w:szCs w:val="21"/>
        </w:rPr>
        <w:t>2026</w:t>
      </w:r>
      <w:r>
        <w:rPr>
          <w:color w:val="000000"/>
          <w:sz w:val="21"/>
          <w:szCs w:val="21"/>
        </w:rPr>
        <w:t>年</w:t>
      </w:r>
      <w:r>
        <w:rPr>
          <w:color w:val="000000"/>
          <w:sz w:val="21"/>
          <w:szCs w:val="21"/>
        </w:rPr>
        <w:t>1</w:t>
      </w:r>
      <w:r>
        <w:rPr>
          <w:color w:val="000000"/>
          <w:sz w:val="21"/>
          <w:szCs w:val="21"/>
        </w:rPr>
        <w:t>月</w:t>
      </w:r>
      <w:r>
        <w:rPr>
          <w:color w:val="000000"/>
          <w:sz w:val="21"/>
          <w:szCs w:val="21"/>
        </w:rPr>
        <w:t>27</w:t>
      </w:r>
      <w:r>
        <w:rPr>
          <w:color w:val="000000"/>
          <w:sz w:val="21"/>
          <w:szCs w:val="21"/>
        </w:rPr>
        <w:t>日予以回复并披露。</w:t>
      </w:r>
    </w:p>
    <w:p w:rsidR="00E20B54" w:rsidRDefault="00733C9E" w:rsidP="00C57489">
      <w:pPr>
        <w:pStyle w:val="a3"/>
        <w:widowControl/>
        <w:spacing w:beforeLines="50" w:before="156" w:beforeAutospacing="0" w:afterLines="50" w:after="156" w:afterAutospacing="0"/>
        <w:ind w:firstLine="363"/>
        <w:jc w:val="both"/>
        <w:rPr>
          <w:color w:val="000000"/>
          <w:sz w:val="21"/>
          <w:szCs w:val="21"/>
        </w:rPr>
      </w:pPr>
      <w:r>
        <w:rPr>
          <w:color w:val="000000"/>
          <w:sz w:val="21"/>
          <w:szCs w:val="21"/>
        </w:rPr>
        <w:lastRenderedPageBreak/>
        <w:t>本次交易尚需深圳证券交易所审核通过以及中国证券监督管理委员会同意注册后方可实施。本次交易能否取得相关部门的审核或注册，以及最终取得审核或注册的时间均存在不确定性。截至本报告出具之日，该项目尚在推进中，敬请广大投资者注意风险。</w:t>
      </w:r>
    </w:p>
    <w:p w:rsidR="00E20B54" w:rsidRDefault="00733C9E">
      <w:pPr>
        <w:pStyle w:val="2"/>
        <w:spacing w:before="300" w:after="300" w:line="320" w:lineRule="exact"/>
        <w:rPr>
          <w:b/>
          <w:bCs/>
          <w:sz w:val="24"/>
          <w:szCs w:val="24"/>
        </w:rPr>
      </w:pPr>
      <w:bookmarkStart w:id="129" w:name="_Toc989018"/>
      <w:r>
        <w:rPr>
          <w:b/>
          <w:bCs/>
          <w:sz w:val="24"/>
          <w:szCs w:val="24"/>
        </w:rPr>
        <w:t>十八、公司子公司重大事项</w:t>
      </w:r>
      <w:bookmarkEnd w:id="129"/>
    </w:p>
    <w:p w:rsidR="00E20B54" w:rsidRDefault="00733C9E">
      <w:pPr>
        <w:spacing w:before="100" w:after="100" w:line="240" w:lineRule="exact"/>
        <w:rPr>
          <w:sz w:val="18"/>
          <w:szCs w:val="18"/>
        </w:rPr>
      </w:pPr>
      <w:r>
        <w:rPr>
          <w:sz w:val="18"/>
          <w:szCs w:val="18"/>
        </w:rPr>
        <w:t>□</w:t>
      </w:r>
      <w:r>
        <w:rPr>
          <w:sz w:val="18"/>
          <w:szCs w:val="18"/>
        </w:rPr>
        <w:t>适用</w:t>
      </w:r>
      <w:r>
        <w:rPr>
          <w:sz w:val="18"/>
          <w:szCs w:val="18"/>
        </w:rPr>
        <w:t xml:space="preserve"> </w:t>
      </w:r>
      <w:r>
        <w:rPr>
          <w:sz w:val="18"/>
          <w:szCs w:val="18"/>
        </w:rPr>
        <w:sym w:font="Wingdings 2" w:char="F052"/>
      </w:r>
      <w:r>
        <w:rPr>
          <w:sz w:val="18"/>
          <w:szCs w:val="18"/>
        </w:rPr>
        <w:t>不适用</w:t>
      </w:r>
    </w:p>
    <w:p w:rsidR="00E20B54" w:rsidRDefault="00733C9E">
      <w:r>
        <w:br w:type="page"/>
      </w:r>
    </w:p>
    <w:p w:rsidR="00E20B54" w:rsidRDefault="00733C9E">
      <w:pPr>
        <w:pStyle w:val="headingh1"/>
        <w:spacing w:before="340" w:after="330" w:line="773" w:lineRule="exact"/>
        <w:jc w:val="center"/>
        <w:rPr>
          <w:b/>
          <w:bCs/>
          <w:sz w:val="32"/>
          <w:szCs w:val="32"/>
        </w:rPr>
      </w:pPr>
      <w:bookmarkStart w:id="130" w:name="_Toc989019"/>
      <w:r>
        <w:rPr>
          <w:b/>
          <w:bCs/>
          <w:sz w:val="32"/>
          <w:szCs w:val="32"/>
        </w:rPr>
        <w:lastRenderedPageBreak/>
        <w:t>第六节</w:t>
      </w:r>
      <w:r>
        <w:rPr>
          <w:b/>
          <w:bCs/>
          <w:sz w:val="32"/>
          <w:szCs w:val="32"/>
        </w:rPr>
        <w:t xml:space="preserve"> </w:t>
      </w:r>
      <w:r>
        <w:rPr>
          <w:b/>
          <w:bCs/>
          <w:sz w:val="32"/>
          <w:szCs w:val="32"/>
        </w:rPr>
        <w:t>股份变动及股东情况</w:t>
      </w:r>
      <w:bookmarkEnd w:id="130"/>
    </w:p>
    <w:p w:rsidR="00E20B54" w:rsidRDefault="00733C9E">
      <w:pPr>
        <w:pStyle w:val="2"/>
        <w:spacing w:before="300" w:after="300" w:line="320" w:lineRule="exact"/>
        <w:rPr>
          <w:b/>
          <w:bCs/>
          <w:sz w:val="24"/>
          <w:szCs w:val="24"/>
        </w:rPr>
      </w:pPr>
      <w:bookmarkStart w:id="131" w:name="_Toc989020"/>
      <w:r>
        <w:rPr>
          <w:b/>
          <w:bCs/>
          <w:sz w:val="24"/>
          <w:szCs w:val="24"/>
        </w:rPr>
        <w:t>一、股份变动情况</w:t>
      </w:r>
      <w:bookmarkEnd w:id="131"/>
    </w:p>
    <w:p w:rsidR="00E20B54" w:rsidRDefault="00733C9E">
      <w:pPr>
        <w:pStyle w:val="3"/>
        <w:spacing w:line="280" w:lineRule="exact"/>
        <w:jc w:val="left"/>
        <w:rPr>
          <w:b/>
          <w:bCs/>
        </w:rPr>
      </w:pPr>
      <w:bookmarkStart w:id="132" w:name="_Toc989021"/>
      <w:r>
        <w:rPr>
          <w:b/>
          <w:bCs/>
        </w:rPr>
        <w:t>1</w:t>
      </w:r>
      <w:r>
        <w:rPr>
          <w:b/>
          <w:bCs/>
        </w:rPr>
        <w:t>、股份变动情况</w:t>
      </w:r>
      <w:bookmarkEnd w:id="132"/>
    </w:p>
    <w:p w:rsidR="00E20B54" w:rsidRDefault="00733C9E">
      <w:pPr>
        <w:spacing w:before="40" w:after="40" w:line="240" w:lineRule="exact"/>
        <w:jc w:val="right"/>
        <w:rPr>
          <w:sz w:val="18"/>
          <w:szCs w:val="18"/>
        </w:rPr>
      </w:pPr>
      <w:r>
        <w:rPr>
          <w:sz w:val="18"/>
          <w:szCs w:val="18"/>
        </w:rPr>
        <w:t>单位：股</w:t>
      </w:r>
    </w:p>
    <w:tbl>
      <w:tblPr>
        <w:tblW w:w="5000" w:type="pct"/>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873"/>
        <w:gridCol w:w="1027"/>
        <w:gridCol w:w="862"/>
        <w:gridCol w:w="792"/>
        <w:gridCol w:w="526"/>
        <w:gridCol w:w="924"/>
        <w:gridCol w:w="979"/>
        <w:gridCol w:w="983"/>
        <w:gridCol w:w="1026"/>
        <w:gridCol w:w="861"/>
      </w:tblGrid>
      <w:tr w:rsidR="00E20B54">
        <w:trPr>
          <w:trHeight w:val="240"/>
        </w:trPr>
        <w:tc>
          <w:tcPr>
            <w:tcW w:w="950" w:type="pct"/>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c>
          <w:tcPr>
            <w:tcW w:w="957" w:type="pct"/>
            <w:gridSpan w:val="2"/>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本次变动前</w:t>
            </w:r>
          </w:p>
        </w:tc>
        <w:tc>
          <w:tcPr>
            <w:tcW w:w="2134" w:type="pct"/>
            <w:gridSpan w:val="5"/>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本次变动增减（＋，－）</w:t>
            </w:r>
          </w:p>
        </w:tc>
        <w:tc>
          <w:tcPr>
            <w:tcW w:w="957" w:type="pct"/>
            <w:gridSpan w:val="2"/>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本次变动后</w:t>
            </w:r>
          </w:p>
        </w:tc>
      </w:tr>
      <w:tr w:rsidR="00E20B54">
        <w:trPr>
          <w:trHeight w:val="240"/>
        </w:trPr>
        <w:tc>
          <w:tcPr>
            <w:tcW w:w="950" w:type="pct"/>
            <w:vMerge/>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c>
          <w:tcPr>
            <w:tcW w:w="520" w:type="pc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数量</w:t>
            </w:r>
          </w:p>
        </w:tc>
        <w:tc>
          <w:tcPr>
            <w:tcW w:w="436" w:type="pc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比例</w:t>
            </w:r>
          </w:p>
        </w:tc>
        <w:tc>
          <w:tcPr>
            <w:tcW w:w="402" w:type="pc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发行新股</w:t>
            </w:r>
          </w:p>
        </w:tc>
        <w:tc>
          <w:tcPr>
            <w:tcW w:w="267" w:type="pc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送股</w:t>
            </w:r>
          </w:p>
        </w:tc>
        <w:tc>
          <w:tcPr>
            <w:tcW w:w="469" w:type="pc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公积金转股</w:t>
            </w:r>
          </w:p>
        </w:tc>
        <w:tc>
          <w:tcPr>
            <w:tcW w:w="497" w:type="pc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其他</w:t>
            </w:r>
          </w:p>
        </w:tc>
        <w:tc>
          <w:tcPr>
            <w:tcW w:w="497" w:type="pc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小计</w:t>
            </w:r>
          </w:p>
        </w:tc>
        <w:tc>
          <w:tcPr>
            <w:tcW w:w="520" w:type="pc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数量</w:t>
            </w:r>
          </w:p>
        </w:tc>
        <w:tc>
          <w:tcPr>
            <w:tcW w:w="436" w:type="pc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比例</w:t>
            </w:r>
          </w:p>
        </w:tc>
      </w:tr>
      <w:tr w:rsidR="00E20B54">
        <w:trPr>
          <w:trHeight w:val="240"/>
        </w:trPr>
        <w:tc>
          <w:tcPr>
            <w:tcW w:w="950" w:type="pc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一、有限售条件股份</w:t>
            </w:r>
          </w:p>
        </w:tc>
        <w:tc>
          <w:tcPr>
            <w:tcW w:w="520"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23,509,944</w:t>
            </w:r>
          </w:p>
        </w:tc>
        <w:tc>
          <w:tcPr>
            <w:tcW w:w="436"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35.03%</w:t>
            </w:r>
          </w:p>
        </w:tc>
        <w:tc>
          <w:tcPr>
            <w:tcW w:w="402"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w:t>
            </w:r>
          </w:p>
        </w:tc>
        <w:tc>
          <w:tcPr>
            <w:tcW w:w="267"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w:t>
            </w:r>
          </w:p>
        </w:tc>
        <w:tc>
          <w:tcPr>
            <w:tcW w:w="469"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w:t>
            </w:r>
          </w:p>
        </w:tc>
        <w:tc>
          <w:tcPr>
            <w:tcW w:w="497"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-6,133,486</w:t>
            </w:r>
          </w:p>
        </w:tc>
        <w:tc>
          <w:tcPr>
            <w:tcW w:w="497"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-6,133,486</w:t>
            </w:r>
          </w:p>
        </w:tc>
        <w:tc>
          <w:tcPr>
            <w:tcW w:w="520"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17,376,458</w:t>
            </w:r>
          </w:p>
        </w:tc>
        <w:tc>
          <w:tcPr>
            <w:tcW w:w="436"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25.99%</w:t>
            </w:r>
          </w:p>
        </w:tc>
      </w:tr>
      <w:tr w:rsidR="00E20B54">
        <w:trPr>
          <w:trHeight w:val="240"/>
        </w:trPr>
        <w:tc>
          <w:tcPr>
            <w:tcW w:w="950" w:type="pc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100" w:firstLine="180"/>
              <w:rPr>
                <w:sz w:val="18"/>
                <w:szCs w:val="18"/>
              </w:rPr>
            </w:pPr>
            <w:r>
              <w:rPr>
                <w:sz w:val="18"/>
                <w:szCs w:val="18"/>
              </w:rPr>
              <w:t>1</w:t>
            </w:r>
            <w:r>
              <w:rPr>
                <w:sz w:val="18"/>
                <w:szCs w:val="18"/>
              </w:rPr>
              <w:t>、国家持股</w:t>
            </w:r>
          </w:p>
        </w:tc>
        <w:tc>
          <w:tcPr>
            <w:tcW w:w="520"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w:t>
            </w:r>
          </w:p>
        </w:tc>
        <w:tc>
          <w:tcPr>
            <w:tcW w:w="436"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0.00%</w:t>
            </w:r>
          </w:p>
        </w:tc>
        <w:tc>
          <w:tcPr>
            <w:tcW w:w="402"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w:t>
            </w:r>
          </w:p>
        </w:tc>
        <w:tc>
          <w:tcPr>
            <w:tcW w:w="267"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w:t>
            </w:r>
          </w:p>
        </w:tc>
        <w:tc>
          <w:tcPr>
            <w:tcW w:w="469"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w:t>
            </w:r>
          </w:p>
        </w:tc>
        <w:tc>
          <w:tcPr>
            <w:tcW w:w="497"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w:t>
            </w:r>
          </w:p>
        </w:tc>
        <w:tc>
          <w:tcPr>
            <w:tcW w:w="497"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w:t>
            </w:r>
          </w:p>
        </w:tc>
        <w:tc>
          <w:tcPr>
            <w:tcW w:w="520"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w:t>
            </w:r>
          </w:p>
        </w:tc>
        <w:tc>
          <w:tcPr>
            <w:tcW w:w="436"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0.00%</w:t>
            </w:r>
          </w:p>
        </w:tc>
      </w:tr>
      <w:tr w:rsidR="00E20B54">
        <w:trPr>
          <w:trHeight w:val="240"/>
        </w:trPr>
        <w:tc>
          <w:tcPr>
            <w:tcW w:w="950" w:type="pc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100" w:firstLine="180"/>
              <w:rPr>
                <w:sz w:val="18"/>
                <w:szCs w:val="18"/>
              </w:rPr>
            </w:pPr>
            <w:r>
              <w:rPr>
                <w:sz w:val="18"/>
                <w:szCs w:val="18"/>
              </w:rPr>
              <w:t>2</w:t>
            </w:r>
            <w:r>
              <w:rPr>
                <w:sz w:val="18"/>
                <w:szCs w:val="18"/>
              </w:rPr>
              <w:t>、国有法人持股</w:t>
            </w:r>
          </w:p>
        </w:tc>
        <w:tc>
          <w:tcPr>
            <w:tcW w:w="520"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w:t>
            </w:r>
          </w:p>
        </w:tc>
        <w:tc>
          <w:tcPr>
            <w:tcW w:w="436"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0.00%</w:t>
            </w:r>
          </w:p>
        </w:tc>
        <w:tc>
          <w:tcPr>
            <w:tcW w:w="402"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w:t>
            </w:r>
          </w:p>
        </w:tc>
        <w:tc>
          <w:tcPr>
            <w:tcW w:w="267"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w:t>
            </w:r>
          </w:p>
        </w:tc>
        <w:tc>
          <w:tcPr>
            <w:tcW w:w="469"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w:t>
            </w:r>
          </w:p>
        </w:tc>
        <w:tc>
          <w:tcPr>
            <w:tcW w:w="497"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w:t>
            </w:r>
          </w:p>
        </w:tc>
        <w:tc>
          <w:tcPr>
            <w:tcW w:w="497"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w:t>
            </w:r>
          </w:p>
        </w:tc>
        <w:tc>
          <w:tcPr>
            <w:tcW w:w="520"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w:t>
            </w:r>
          </w:p>
        </w:tc>
        <w:tc>
          <w:tcPr>
            <w:tcW w:w="436"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0.00%</w:t>
            </w:r>
          </w:p>
        </w:tc>
      </w:tr>
      <w:tr w:rsidR="00E20B54">
        <w:trPr>
          <w:trHeight w:val="240"/>
        </w:trPr>
        <w:tc>
          <w:tcPr>
            <w:tcW w:w="950" w:type="pc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100" w:firstLine="180"/>
              <w:rPr>
                <w:sz w:val="18"/>
                <w:szCs w:val="18"/>
              </w:rPr>
            </w:pPr>
            <w:r>
              <w:rPr>
                <w:sz w:val="18"/>
                <w:szCs w:val="18"/>
              </w:rPr>
              <w:t>3</w:t>
            </w:r>
            <w:r>
              <w:rPr>
                <w:sz w:val="18"/>
                <w:szCs w:val="18"/>
              </w:rPr>
              <w:t>、其他内资持股</w:t>
            </w:r>
          </w:p>
        </w:tc>
        <w:tc>
          <w:tcPr>
            <w:tcW w:w="520"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23,509,944</w:t>
            </w:r>
          </w:p>
        </w:tc>
        <w:tc>
          <w:tcPr>
            <w:tcW w:w="436"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35.03%</w:t>
            </w:r>
          </w:p>
        </w:tc>
        <w:tc>
          <w:tcPr>
            <w:tcW w:w="402"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w:t>
            </w:r>
          </w:p>
        </w:tc>
        <w:tc>
          <w:tcPr>
            <w:tcW w:w="267"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w:t>
            </w:r>
          </w:p>
        </w:tc>
        <w:tc>
          <w:tcPr>
            <w:tcW w:w="469"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w:t>
            </w:r>
          </w:p>
        </w:tc>
        <w:tc>
          <w:tcPr>
            <w:tcW w:w="497"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-6,133,486</w:t>
            </w:r>
          </w:p>
        </w:tc>
        <w:tc>
          <w:tcPr>
            <w:tcW w:w="497"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-6,133,486</w:t>
            </w:r>
          </w:p>
        </w:tc>
        <w:tc>
          <w:tcPr>
            <w:tcW w:w="520"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17,376,458</w:t>
            </w:r>
          </w:p>
        </w:tc>
        <w:tc>
          <w:tcPr>
            <w:tcW w:w="436"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25.99%</w:t>
            </w:r>
          </w:p>
        </w:tc>
      </w:tr>
      <w:tr w:rsidR="00E20B54">
        <w:trPr>
          <w:trHeight w:val="240"/>
        </w:trPr>
        <w:tc>
          <w:tcPr>
            <w:tcW w:w="950" w:type="pc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200" w:firstLine="360"/>
              <w:rPr>
                <w:sz w:val="18"/>
                <w:szCs w:val="18"/>
              </w:rPr>
            </w:pPr>
            <w:r>
              <w:rPr>
                <w:sz w:val="18"/>
                <w:szCs w:val="18"/>
              </w:rPr>
              <w:t>其中：境内法人持股</w:t>
            </w:r>
          </w:p>
        </w:tc>
        <w:tc>
          <w:tcPr>
            <w:tcW w:w="520"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w:t>
            </w:r>
          </w:p>
        </w:tc>
        <w:tc>
          <w:tcPr>
            <w:tcW w:w="436"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0.00%</w:t>
            </w:r>
          </w:p>
        </w:tc>
        <w:tc>
          <w:tcPr>
            <w:tcW w:w="402"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w:t>
            </w:r>
          </w:p>
        </w:tc>
        <w:tc>
          <w:tcPr>
            <w:tcW w:w="267"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w:t>
            </w:r>
          </w:p>
        </w:tc>
        <w:tc>
          <w:tcPr>
            <w:tcW w:w="469"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w:t>
            </w:r>
          </w:p>
        </w:tc>
        <w:tc>
          <w:tcPr>
            <w:tcW w:w="497"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w:t>
            </w:r>
          </w:p>
        </w:tc>
        <w:tc>
          <w:tcPr>
            <w:tcW w:w="497"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w:t>
            </w:r>
          </w:p>
        </w:tc>
        <w:tc>
          <w:tcPr>
            <w:tcW w:w="520"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w:t>
            </w:r>
          </w:p>
        </w:tc>
        <w:tc>
          <w:tcPr>
            <w:tcW w:w="436"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0.00%</w:t>
            </w:r>
          </w:p>
        </w:tc>
      </w:tr>
      <w:tr w:rsidR="00E20B54">
        <w:trPr>
          <w:trHeight w:val="240"/>
        </w:trPr>
        <w:tc>
          <w:tcPr>
            <w:tcW w:w="950" w:type="pc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200" w:firstLine="360"/>
              <w:rPr>
                <w:sz w:val="18"/>
                <w:szCs w:val="18"/>
              </w:rPr>
            </w:pPr>
            <w:r>
              <w:rPr>
                <w:sz w:val="18"/>
                <w:szCs w:val="18"/>
              </w:rPr>
              <w:t>境内自然人持股</w:t>
            </w:r>
          </w:p>
        </w:tc>
        <w:tc>
          <w:tcPr>
            <w:tcW w:w="520"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23,509,944</w:t>
            </w:r>
          </w:p>
        </w:tc>
        <w:tc>
          <w:tcPr>
            <w:tcW w:w="436"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35.03%</w:t>
            </w:r>
          </w:p>
        </w:tc>
        <w:tc>
          <w:tcPr>
            <w:tcW w:w="402"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w:t>
            </w:r>
          </w:p>
        </w:tc>
        <w:tc>
          <w:tcPr>
            <w:tcW w:w="267"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w:t>
            </w:r>
          </w:p>
        </w:tc>
        <w:tc>
          <w:tcPr>
            <w:tcW w:w="469"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w:t>
            </w:r>
          </w:p>
        </w:tc>
        <w:tc>
          <w:tcPr>
            <w:tcW w:w="497"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-6,133,486</w:t>
            </w:r>
          </w:p>
        </w:tc>
        <w:tc>
          <w:tcPr>
            <w:tcW w:w="497"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-6,133,486</w:t>
            </w:r>
          </w:p>
        </w:tc>
        <w:tc>
          <w:tcPr>
            <w:tcW w:w="520"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17,376,458</w:t>
            </w:r>
          </w:p>
        </w:tc>
        <w:tc>
          <w:tcPr>
            <w:tcW w:w="436"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25.99%</w:t>
            </w:r>
          </w:p>
        </w:tc>
      </w:tr>
      <w:tr w:rsidR="00E20B54">
        <w:trPr>
          <w:trHeight w:val="240"/>
        </w:trPr>
        <w:tc>
          <w:tcPr>
            <w:tcW w:w="950" w:type="pc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100" w:firstLine="180"/>
              <w:rPr>
                <w:sz w:val="18"/>
                <w:szCs w:val="18"/>
              </w:rPr>
            </w:pPr>
            <w:r>
              <w:rPr>
                <w:sz w:val="18"/>
                <w:szCs w:val="18"/>
              </w:rPr>
              <w:t>4</w:t>
            </w:r>
            <w:r>
              <w:rPr>
                <w:sz w:val="18"/>
                <w:szCs w:val="18"/>
              </w:rPr>
              <w:t>、外资持股</w:t>
            </w:r>
          </w:p>
        </w:tc>
        <w:tc>
          <w:tcPr>
            <w:tcW w:w="520"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w:t>
            </w:r>
          </w:p>
        </w:tc>
        <w:tc>
          <w:tcPr>
            <w:tcW w:w="436"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0.00%</w:t>
            </w:r>
          </w:p>
        </w:tc>
        <w:tc>
          <w:tcPr>
            <w:tcW w:w="402"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w:t>
            </w:r>
          </w:p>
        </w:tc>
        <w:tc>
          <w:tcPr>
            <w:tcW w:w="267"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w:t>
            </w:r>
          </w:p>
        </w:tc>
        <w:tc>
          <w:tcPr>
            <w:tcW w:w="469"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w:t>
            </w:r>
          </w:p>
        </w:tc>
        <w:tc>
          <w:tcPr>
            <w:tcW w:w="497"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w:t>
            </w:r>
          </w:p>
        </w:tc>
        <w:tc>
          <w:tcPr>
            <w:tcW w:w="497"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w:t>
            </w:r>
          </w:p>
        </w:tc>
        <w:tc>
          <w:tcPr>
            <w:tcW w:w="520"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w:t>
            </w:r>
          </w:p>
        </w:tc>
        <w:tc>
          <w:tcPr>
            <w:tcW w:w="436"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0.00%</w:t>
            </w:r>
          </w:p>
        </w:tc>
      </w:tr>
      <w:tr w:rsidR="00E20B54">
        <w:trPr>
          <w:trHeight w:val="240"/>
        </w:trPr>
        <w:tc>
          <w:tcPr>
            <w:tcW w:w="950" w:type="pc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200" w:firstLine="360"/>
              <w:rPr>
                <w:sz w:val="18"/>
                <w:szCs w:val="18"/>
              </w:rPr>
            </w:pPr>
            <w:r>
              <w:rPr>
                <w:sz w:val="18"/>
                <w:szCs w:val="18"/>
              </w:rPr>
              <w:t>其中：境外法人持股</w:t>
            </w:r>
          </w:p>
        </w:tc>
        <w:tc>
          <w:tcPr>
            <w:tcW w:w="520"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w:t>
            </w:r>
          </w:p>
        </w:tc>
        <w:tc>
          <w:tcPr>
            <w:tcW w:w="436"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0.00%</w:t>
            </w:r>
          </w:p>
        </w:tc>
        <w:tc>
          <w:tcPr>
            <w:tcW w:w="402"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w:t>
            </w:r>
          </w:p>
        </w:tc>
        <w:tc>
          <w:tcPr>
            <w:tcW w:w="267"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w:t>
            </w:r>
          </w:p>
        </w:tc>
        <w:tc>
          <w:tcPr>
            <w:tcW w:w="469"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w:t>
            </w:r>
          </w:p>
        </w:tc>
        <w:tc>
          <w:tcPr>
            <w:tcW w:w="497"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w:t>
            </w:r>
          </w:p>
        </w:tc>
        <w:tc>
          <w:tcPr>
            <w:tcW w:w="497"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w:t>
            </w:r>
          </w:p>
        </w:tc>
        <w:tc>
          <w:tcPr>
            <w:tcW w:w="520"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w:t>
            </w:r>
          </w:p>
        </w:tc>
        <w:tc>
          <w:tcPr>
            <w:tcW w:w="436"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0.00%</w:t>
            </w:r>
          </w:p>
        </w:tc>
      </w:tr>
      <w:tr w:rsidR="00E20B54">
        <w:trPr>
          <w:trHeight w:val="240"/>
        </w:trPr>
        <w:tc>
          <w:tcPr>
            <w:tcW w:w="950" w:type="pc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200" w:firstLine="360"/>
              <w:rPr>
                <w:sz w:val="18"/>
                <w:szCs w:val="18"/>
              </w:rPr>
            </w:pPr>
            <w:r>
              <w:rPr>
                <w:sz w:val="18"/>
                <w:szCs w:val="18"/>
              </w:rPr>
              <w:t>境外自然人持股</w:t>
            </w:r>
          </w:p>
        </w:tc>
        <w:tc>
          <w:tcPr>
            <w:tcW w:w="520"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w:t>
            </w:r>
          </w:p>
        </w:tc>
        <w:tc>
          <w:tcPr>
            <w:tcW w:w="436"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0.00%</w:t>
            </w:r>
          </w:p>
        </w:tc>
        <w:tc>
          <w:tcPr>
            <w:tcW w:w="402"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w:t>
            </w:r>
          </w:p>
        </w:tc>
        <w:tc>
          <w:tcPr>
            <w:tcW w:w="267"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w:t>
            </w:r>
          </w:p>
        </w:tc>
        <w:tc>
          <w:tcPr>
            <w:tcW w:w="469"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w:t>
            </w:r>
          </w:p>
        </w:tc>
        <w:tc>
          <w:tcPr>
            <w:tcW w:w="497"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w:t>
            </w:r>
          </w:p>
        </w:tc>
        <w:tc>
          <w:tcPr>
            <w:tcW w:w="497"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w:t>
            </w:r>
          </w:p>
        </w:tc>
        <w:tc>
          <w:tcPr>
            <w:tcW w:w="520"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w:t>
            </w:r>
          </w:p>
        </w:tc>
        <w:tc>
          <w:tcPr>
            <w:tcW w:w="436"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0.00%</w:t>
            </w:r>
          </w:p>
        </w:tc>
      </w:tr>
      <w:tr w:rsidR="00E20B54">
        <w:trPr>
          <w:trHeight w:val="240"/>
        </w:trPr>
        <w:tc>
          <w:tcPr>
            <w:tcW w:w="950" w:type="pc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二、无限售条件股份</w:t>
            </w:r>
          </w:p>
        </w:tc>
        <w:tc>
          <w:tcPr>
            <w:tcW w:w="520"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43,598,856</w:t>
            </w:r>
          </w:p>
        </w:tc>
        <w:tc>
          <w:tcPr>
            <w:tcW w:w="436"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64.97%</w:t>
            </w:r>
          </w:p>
        </w:tc>
        <w:tc>
          <w:tcPr>
            <w:tcW w:w="402"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w:t>
            </w:r>
          </w:p>
        </w:tc>
        <w:tc>
          <w:tcPr>
            <w:tcW w:w="267"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w:t>
            </w:r>
          </w:p>
        </w:tc>
        <w:tc>
          <w:tcPr>
            <w:tcW w:w="469"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w:t>
            </w:r>
          </w:p>
        </w:tc>
        <w:tc>
          <w:tcPr>
            <w:tcW w:w="497"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5,877,486</w:t>
            </w:r>
          </w:p>
        </w:tc>
        <w:tc>
          <w:tcPr>
            <w:tcW w:w="497"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5,877,486</w:t>
            </w:r>
          </w:p>
        </w:tc>
        <w:tc>
          <w:tcPr>
            <w:tcW w:w="520"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49,476,342</w:t>
            </w:r>
          </w:p>
        </w:tc>
        <w:tc>
          <w:tcPr>
            <w:tcW w:w="436"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74.01%</w:t>
            </w:r>
          </w:p>
        </w:tc>
      </w:tr>
      <w:tr w:rsidR="00E20B54">
        <w:trPr>
          <w:trHeight w:val="240"/>
        </w:trPr>
        <w:tc>
          <w:tcPr>
            <w:tcW w:w="950" w:type="pc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100" w:firstLine="180"/>
              <w:rPr>
                <w:sz w:val="18"/>
                <w:szCs w:val="18"/>
              </w:rPr>
            </w:pPr>
            <w:r>
              <w:rPr>
                <w:sz w:val="18"/>
                <w:szCs w:val="18"/>
              </w:rPr>
              <w:t>1</w:t>
            </w:r>
            <w:r>
              <w:rPr>
                <w:sz w:val="18"/>
                <w:szCs w:val="18"/>
              </w:rPr>
              <w:t>、人民币普通股</w:t>
            </w:r>
          </w:p>
        </w:tc>
        <w:tc>
          <w:tcPr>
            <w:tcW w:w="520"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43,598,856</w:t>
            </w:r>
          </w:p>
        </w:tc>
        <w:tc>
          <w:tcPr>
            <w:tcW w:w="436"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64.97%</w:t>
            </w:r>
          </w:p>
        </w:tc>
        <w:tc>
          <w:tcPr>
            <w:tcW w:w="402"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w:t>
            </w:r>
          </w:p>
        </w:tc>
        <w:tc>
          <w:tcPr>
            <w:tcW w:w="267"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w:t>
            </w:r>
          </w:p>
        </w:tc>
        <w:tc>
          <w:tcPr>
            <w:tcW w:w="469"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w:t>
            </w:r>
          </w:p>
        </w:tc>
        <w:tc>
          <w:tcPr>
            <w:tcW w:w="497"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5,877,486</w:t>
            </w:r>
          </w:p>
        </w:tc>
        <w:tc>
          <w:tcPr>
            <w:tcW w:w="497"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5,877,486</w:t>
            </w:r>
          </w:p>
        </w:tc>
        <w:tc>
          <w:tcPr>
            <w:tcW w:w="520"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49,476,342</w:t>
            </w:r>
          </w:p>
        </w:tc>
        <w:tc>
          <w:tcPr>
            <w:tcW w:w="436"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74.01%</w:t>
            </w:r>
          </w:p>
        </w:tc>
      </w:tr>
      <w:tr w:rsidR="00E20B54">
        <w:trPr>
          <w:trHeight w:val="240"/>
        </w:trPr>
        <w:tc>
          <w:tcPr>
            <w:tcW w:w="950" w:type="pc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100" w:firstLine="180"/>
              <w:rPr>
                <w:sz w:val="18"/>
                <w:szCs w:val="18"/>
              </w:rPr>
            </w:pPr>
            <w:r>
              <w:rPr>
                <w:sz w:val="18"/>
                <w:szCs w:val="18"/>
              </w:rPr>
              <w:t>2</w:t>
            </w:r>
            <w:r>
              <w:rPr>
                <w:sz w:val="18"/>
                <w:szCs w:val="18"/>
              </w:rPr>
              <w:t>、境内上市的外资股</w:t>
            </w:r>
          </w:p>
        </w:tc>
        <w:tc>
          <w:tcPr>
            <w:tcW w:w="520"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w:t>
            </w:r>
          </w:p>
        </w:tc>
        <w:tc>
          <w:tcPr>
            <w:tcW w:w="436"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0.00%</w:t>
            </w:r>
          </w:p>
        </w:tc>
        <w:tc>
          <w:tcPr>
            <w:tcW w:w="402"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w:t>
            </w:r>
          </w:p>
        </w:tc>
        <w:tc>
          <w:tcPr>
            <w:tcW w:w="267"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w:t>
            </w:r>
          </w:p>
        </w:tc>
        <w:tc>
          <w:tcPr>
            <w:tcW w:w="469"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w:t>
            </w:r>
          </w:p>
        </w:tc>
        <w:tc>
          <w:tcPr>
            <w:tcW w:w="497"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w:t>
            </w:r>
          </w:p>
        </w:tc>
        <w:tc>
          <w:tcPr>
            <w:tcW w:w="497"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w:t>
            </w:r>
          </w:p>
        </w:tc>
        <w:tc>
          <w:tcPr>
            <w:tcW w:w="520"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w:t>
            </w:r>
          </w:p>
        </w:tc>
        <w:tc>
          <w:tcPr>
            <w:tcW w:w="436"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0.00%</w:t>
            </w:r>
          </w:p>
        </w:tc>
      </w:tr>
      <w:tr w:rsidR="00E20B54">
        <w:trPr>
          <w:trHeight w:val="240"/>
        </w:trPr>
        <w:tc>
          <w:tcPr>
            <w:tcW w:w="950" w:type="pc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100" w:firstLine="180"/>
              <w:rPr>
                <w:sz w:val="18"/>
                <w:szCs w:val="18"/>
              </w:rPr>
            </w:pPr>
            <w:r>
              <w:rPr>
                <w:sz w:val="18"/>
                <w:szCs w:val="18"/>
              </w:rPr>
              <w:t>3</w:t>
            </w:r>
            <w:r>
              <w:rPr>
                <w:sz w:val="18"/>
                <w:szCs w:val="18"/>
              </w:rPr>
              <w:t>、境外上市的外资股</w:t>
            </w:r>
          </w:p>
        </w:tc>
        <w:tc>
          <w:tcPr>
            <w:tcW w:w="520"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w:t>
            </w:r>
          </w:p>
        </w:tc>
        <w:tc>
          <w:tcPr>
            <w:tcW w:w="436"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0.00%</w:t>
            </w:r>
          </w:p>
        </w:tc>
        <w:tc>
          <w:tcPr>
            <w:tcW w:w="402"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w:t>
            </w:r>
          </w:p>
        </w:tc>
        <w:tc>
          <w:tcPr>
            <w:tcW w:w="267"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w:t>
            </w:r>
          </w:p>
        </w:tc>
        <w:tc>
          <w:tcPr>
            <w:tcW w:w="469"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w:t>
            </w:r>
          </w:p>
        </w:tc>
        <w:tc>
          <w:tcPr>
            <w:tcW w:w="497"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w:t>
            </w:r>
          </w:p>
        </w:tc>
        <w:tc>
          <w:tcPr>
            <w:tcW w:w="497"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w:t>
            </w:r>
          </w:p>
        </w:tc>
        <w:tc>
          <w:tcPr>
            <w:tcW w:w="520"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w:t>
            </w:r>
          </w:p>
        </w:tc>
        <w:tc>
          <w:tcPr>
            <w:tcW w:w="436"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0.00%</w:t>
            </w:r>
          </w:p>
        </w:tc>
      </w:tr>
      <w:tr w:rsidR="00E20B54">
        <w:trPr>
          <w:trHeight w:val="240"/>
        </w:trPr>
        <w:tc>
          <w:tcPr>
            <w:tcW w:w="950" w:type="pc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100" w:firstLine="180"/>
              <w:rPr>
                <w:sz w:val="18"/>
                <w:szCs w:val="18"/>
              </w:rPr>
            </w:pPr>
            <w:r>
              <w:rPr>
                <w:sz w:val="18"/>
                <w:szCs w:val="18"/>
              </w:rPr>
              <w:t>4</w:t>
            </w:r>
            <w:r>
              <w:rPr>
                <w:sz w:val="18"/>
                <w:szCs w:val="18"/>
              </w:rPr>
              <w:t>、其他</w:t>
            </w:r>
          </w:p>
        </w:tc>
        <w:tc>
          <w:tcPr>
            <w:tcW w:w="520"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w:t>
            </w:r>
          </w:p>
        </w:tc>
        <w:tc>
          <w:tcPr>
            <w:tcW w:w="436"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0.00%</w:t>
            </w:r>
          </w:p>
        </w:tc>
        <w:tc>
          <w:tcPr>
            <w:tcW w:w="402"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w:t>
            </w:r>
          </w:p>
        </w:tc>
        <w:tc>
          <w:tcPr>
            <w:tcW w:w="267"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w:t>
            </w:r>
          </w:p>
        </w:tc>
        <w:tc>
          <w:tcPr>
            <w:tcW w:w="469"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w:t>
            </w:r>
          </w:p>
        </w:tc>
        <w:tc>
          <w:tcPr>
            <w:tcW w:w="497"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w:t>
            </w:r>
          </w:p>
        </w:tc>
        <w:tc>
          <w:tcPr>
            <w:tcW w:w="497"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w:t>
            </w:r>
          </w:p>
        </w:tc>
        <w:tc>
          <w:tcPr>
            <w:tcW w:w="520"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w:t>
            </w:r>
          </w:p>
        </w:tc>
        <w:tc>
          <w:tcPr>
            <w:tcW w:w="436"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0.00%</w:t>
            </w:r>
          </w:p>
        </w:tc>
      </w:tr>
      <w:tr w:rsidR="00E20B54">
        <w:trPr>
          <w:trHeight w:val="240"/>
        </w:trPr>
        <w:tc>
          <w:tcPr>
            <w:tcW w:w="950" w:type="pc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三、股份总数</w:t>
            </w:r>
          </w:p>
        </w:tc>
        <w:tc>
          <w:tcPr>
            <w:tcW w:w="520"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67,108,800</w:t>
            </w:r>
          </w:p>
        </w:tc>
        <w:tc>
          <w:tcPr>
            <w:tcW w:w="436"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100.00%</w:t>
            </w:r>
          </w:p>
        </w:tc>
        <w:tc>
          <w:tcPr>
            <w:tcW w:w="402"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w:t>
            </w:r>
          </w:p>
        </w:tc>
        <w:tc>
          <w:tcPr>
            <w:tcW w:w="267"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w:t>
            </w:r>
          </w:p>
        </w:tc>
        <w:tc>
          <w:tcPr>
            <w:tcW w:w="469"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w:t>
            </w:r>
          </w:p>
        </w:tc>
        <w:tc>
          <w:tcPr>
            <w:tcW w:w="497"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-256,000</w:t>
            </w:r>
          </w:p>
        </w:tc>
        <w:tc>
          <w:tcPr>
            <w:tcW w:w="497"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-256,000</w:t>
            </w:r>
          </w:p>
        </w:tc>
        <w:tc>
          <w:tcPr>
            <w:tcW w:w="520"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66,852,800</w:t>
            </w:r>
          </w:p>
        </w:tc>
        <w:tc>
          <w:tcPr>
            <w:tcW w:w="436"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100.00%</w:t>
            </w:r>
          </w:p>
        </w:tc>
      </w:tr>
    </w:tbl>
    <w:p w:rsidR="00E20B54" w:rsidRDefault="00733C9E">
      <w:pPr>
        <w:spacing w:before="100" w:after="100" w:line="240" w:lineRule="exact"/>
        <w:rPr>
          <w:sz w:val="18"/>
          <w:szCs w:val="18"/>
        </w:rPr>
      </w:pPr>
      <w:r>
        <w:rPr>
          <w:sz w:val="18"/>
          <w:szCs w:val="18"/>
        </w:rPr>
        <w:t>股份变动的原因</w:t>
      </w:r>
    </w:p>
    <w:p w:rsidR="00E20B54" w:rsidRDefault="00733C9E">
      <w:pPr>
        <w:spacing w:before="100" w:after="100" w:line="240" w:lineRule="exact"/>
        <w:rPr>
          <w:sz w:val="18"/>
          <w:szCs w:val="18"/>
        </w:rPr>
      </w:pPr>
      <w:r>
        <w:rPr>
          <w:sz w:val="18"/>
          <w:szCs w:val="18"/>
        </w:rPr>
        <w:sym w:font="Wingdings 2" w:char="F052"/>
      </w:r>
      <w:r>
        <w:rPr>
          <w:sz w:val="18"/>
          <w:szCs w:val="18"/>
        </w:rPr>
        <w:t>适用</w:t>
      </w:r>
      <w:r>
        <w:rPr>
          <w:sz w:val="18"/>
          <w:szCs w:val="18"/>
        </w:rPr>
        <w:t xml:space="preserve"> □</w:t>
      </w:r>
      <w:r>
        <w:rPr>
          <w:sz w:val="18"/>
          <w:szCs w:val="18"/>
        </w:rPr>
        <w:t>不适用</w:t>
      </w:r>
    </w:p>
    <w:p w:rsidR="00E20B54" w:rsidRDefault="00733C9E" w:rsidP="00C57489">
      <w:pPr>
        <w:pStyle w:val="a3"/>
        <w:widowControl/>
        <w:spacing w:beforeLines="50" w:before="156" w:beforeAutospacing="0" w:afterLines="50" w:after="156" w:afterAutospacing="0"/>
        <w:ind w:firstLine="363"/>
        <w:jc w:val="both"/>
        <w:rPr>
          <w:color w:val="000000"/>
          <w:sz w:val="21"/>
          <w:szCs w:val="21"/>
        </w:rPr>
      </w:pPr>
      <w:r>
        <w:rPr>
          <w:color w:val="000000"/>
          <w:sz w:val="21"/>
          <w:szCs w:val="21"/>
        </w:rPr>
        <w:t>（一）部分首次公开发行前已发行股份解除限售并上市流通</w:t>
      </w:r>
    </w:p>
    <w:p w:rsidR="00E20B54" w:rsidRDefault="00733C9E" w:rsidP="00C57489">
      <w:pPr>
        <w:pStyle w:val="a3"/>
        <w:widowControl/>
        <w:spacing w:beforeLines="50" w:before="156" w:beforeAutospacing="0" w:afterLines="50" w:after="156" w:afterAutospacing="0"/>
        <w:ind w:firstLine="363"/>
        <w:jc w:val="both"/>
        <w:rPr>
          <w:color w:val="000000"/>
          <w:sz w:val="21"/>
          <w:szCs w:val="21"/>
        </w:rPr>
      </w:pPr>
      <w:r>
        <w:rPr>
          <w:color w:val="000000"/>
          <w:sz w:val="21"/>
          <w:szCs w:val="21"/>
        </w:rPr>
        <w:t>报告期内，公司首次公开发行股份并上市满三年又六个月。根据法律法规、上市公司招股说明书和实际控制人所做出的承诺，部分首次公开发行前已发行股份限售期满，于</w:t>
      </w:r>
      <w:r>
        <w:rPr>
          <w:color w:val="000000"/>
          <w:sz w:val="21"/>
          <w:szCs w:val="21"/>
        </w:rPr>
        <w:t>2025</w:t>
      </w:r>
      <w:r>
        <w:rPr>
          <w:color w:val="000000"/>
          <w:sz w:val="21"/>
          <w:szCs w:val="21"/>
        </w:rPr>
        <w:t>年</w:t>
      </w:r>
      <w:r>
        <w:rPr>
          <w:color w:val="000000"/>
          <w:sz w:val="21"/>
          <w:szCs w:val="21"/>
        </w:rPr>
        <w:t>5</w:t>
      </w:r>
      <w:r>
        <w:rPr>
          <w:color w:val="000000"/>
          <w:sz w:val="21"/>
          <w:szCs w:val="21"/>
        </w:rPr>
        <w:t>月</w:t>
      </w:r>
      <w:r>
        <w:rPr>
          <w:color w:val="000000"/>
          <w:sz w:val="21"/>
          <w:szCs w:val="21"/>
        </w:rPr>
        <w:t>12</w:t>
      </w:r>
      <w:r>
        <w:rPr>
          <w:color w:val="000000"/>
          <w:sz w:val="21"/>
          <w:szCs w:val="21"/>
        </w:rPr>
        <w:t>日流通上市。本次解除股份限售的股东数量为</w:t>
      </w:r>
      <w:r>
        <w:rPr>
          <w:color w:val="000000"/>
          <w:sz w:val="21"/>
          <w:szCs w:val="21"/>
        </w:rPr>
        <w:t>2</w:t>
      </w:r>
      <w:r>
        <w:rPr>
          <w:color w:val="000000"/>
          <w:sz w:val="21"/>
          <w:szCs w:val="21"/>
        </w:rPr>
        <w:t>名，数量为</w:t>
      </w:r>
      <w:r>
        <w:rPr>
          <w:color w:val="000000"/>
          <w:sz w:val="21"/>
          <w:szCs w:val="21"/>
        </w:rPr>
        <w:t>22,357,944</w:t>
      </w:r>
      <w:r>
        <w:rPr>
          <w:color w:val="000000"/>
          <w:sz w:val="21"/>
          <w:szCs w:val="21"/>
        </w:rPr>
        <w:t>股。</w:t>
      </w:r>
      <w:r>
        <w:rPr>
          <w:color w:val="000000"/>
          <w:sz w:val="21"/>
          <w:szCs w:val="21"/>
        </w:rPr>
        <w:t xml:space="preserve"> </w:t>
      </w:r>
    </w:p>
    <w:p w:rsidR="00E20B54" w:rsidRDefault="00733C9E" w:rsidP="00C57489">
      <w:pPr>
        <w:pStyle w:val="a3"/>
        <w:widowControl/>
        <w:spacing w:beforeLines="50" w:before="156" w:beforeAutospacing="0" w:afterLines="50" w:after="156" w:afterAutospacing="0"/>
        <w:ind w:firstLine="363"/>
        <w:jc w:val="both"/>
        <w:rPr>
          <w:color w:val="000000"/>
          <w:sz w:val="21"/>
          <w:szCs w:val="21"/>
        </w:rPr>
      </w:pPr>
      <w:r>
        <w:rPr>
          <w:color w:val="000000"/>
          <w:sz w:val="21"/>
          <w:szCs w:val="21"/>
        </w:rPr>
        <w:t>本次解除限售股份的股东中，林明玲担任公司董事长，马学沛担任公司副董事长、总经理。根据相关规定及股东承诺，担任公司董事、高级管理人员期间（离职后六个月内不转让其直接或者间接持有的公司股份；若本人在任期届满前离职，在本人就任时确定的任期内和任期届满后六个月内），每年可转让的股份不超过本人所持有公司股份总数的</w:t>
      </w:r>
      <w:r>
        <w:rPr>
          <w:color w:val="000000"/>
          <w:sz w:val="21"/>
          <w:szCs w:val="21"/>
        </w:rPr>
        <w:t>25%</w:t>
      </w:r>
      <w:r>
        <w:rPr>
          <w:color w:val="000000"/>
          <w:sz w:val="21"/>
          <w:szCs w:val="21"/>
        </w:rPr>
        <w:t>。本次解除限售办理登记后由结算公司系统根据规定进行锁定股份，合计增加高管锁定股</w:t>
      </w:r>
      <w:r>
        <w:rPr>
          <w:color w:val="000000"/>
          <w:sz w:val="21"/>
          <w:szCs w:val="21"/>
        </w:rPr>
        <w:t>16,480,458</w:t>
      </w:r>
      <w:r>
        <w:rPr>
          <w:color w:val="000000"/>
          <w:sz w:val="21"/>
          <w:szCs w:val="21"/>
        </w:rPr>
        <w:t>股。</w:t>
      </w:r>
    </w:p>
    <w:p w:rsidR="00E20B54" w:rsidRDefault="00733C9E" w:rsidP="00C57489">
      <w:pPr>
        <w:pStyle w:val="a3"/>
        <w:widowControl/>
        <w:spacing w:beforeLines="50" w:before="156" w:beforeAutospacing="0" w:afterLines="50" w:after="156" w:afterAutospacing="0"/>
        <w:ind w:firstLine="363"/>
        <w:jc w:val="both"/>
        <w:rPr>
          <w:color w:val="000000"/>
          <w:sz w:val="21"/>
          <w:szCs w:val="21"/>
        </w:rPr>
      </w:pPr>
      <w:r>
        <w:rPr>
          <w:color w:val="000000"/>
          <w:sz w:val="21"/>
          <w:szCs w:val="21"/>
        </w:rPr>
        <w:lastRenderedPageBreak/>
        <w:t>（二）回购注销限制性股票</w:t>
      </w:r>
    </w:p>
    <w:p w:rsidR="00E20B54" w:rsidRDefault="00733C9E" w:rsidP="00C57489">
      <w:pPr>
        <w:pStyle w:val="a3"/>
        <w:widowControl/>
        <w:spacing w:beforeLines="50" w:before="156" w:beforeAutospacing="0" w:afterLines="50" w:after="156" w:afterAutospacing="0"/>
        <w:ind w:firstLine="363"/>
        <w:jc w:val="both"/>
        <w:rPr>
          <w:color w:val="000000"/>
          <w:sz w:val="21"/>
          <w:szCs w:val="21"/>
        </w:rPr>
      </w:pPr>
      <w:r>
        <w:rPr>
          <w:color w:val="000000"/>
          <w:sz w:val="21"/>
          <w:szCs w:val="21"/>
        </w:rPr>
        <w:t>根据经审计的</w:t>
      </w:r>
      <w:r>
        <w:rPr>
          <w:color w:val="000000"/>
          <w:sz w:val="21"/>
          <w:szCs w:val="21"/>
        </w:rPr>
        <w:t>2024</w:t>
      </w:r>
      <w:r>
        <w:rPr>
          <w:color w:val="000000"/>
          <w:sz w:val="21"/>
          <w:szCs w:val="21"/>
        </w:rPr>
        <w:t>年度财务报告，公司层面</w:t>
      </w:r>
      <w:r>
        <w:rPr>
          <w:color w:val="000000"/>
          <w:sz w:val="21"/>
          <w:szCs w:val="21"/>
        </w:rPr>
        <w:t>2024</w:t>
      </w:r>
      <w:r>
        <w:rPr>
          <w:color w:val="000000"/>
          <w:sz w:val="21"/>
          <w:szCs w:val="21"/>
        </w:rPr>
        <w:t>年业绩考核未达标，按公司《</w:t>
      </w:r>
      <w:r>
        <w:rPr>
          <w:color w:val="000000"/>
          <w:sz w:val="21"/>
          <w:szCs w:val="21"/>
        </w:rPr>
        <w:t>2023</w:t>
      </w:r>
      <w:r>
        <w:rPr>
          <w:color w:val="000000"/>
          <w:sz w:val="21"/>
          <w:szCs w:val="21"/>
        </w:rPr>
        <w:t>年限制性股票激励计划》及《</w:t>
      </w:r>
      <w:r>
        <w:rPr>
          <w:color w:val="000000"/>
          <w:sz w:val="21"/>
          <w:szCs w:val="21"/>
        </w:rPr>
        <w:t>2023</w:t>
      </w:r>
      <w:r>
        <w:rPr>
          <w:color w:val="000000"/>
          <w:sz w:val="21"/>
          <w:szCs w:val="21"/>
        </w:rPr>
        <w:t>年限制性股票激励计划实施考核管理办法（修订稿）》相关规定，公司回购并注销首次授予</w:t>
      </w:r>
      <w:r>
        <w:rPr>
          <w:color w:val="000000"/>
          <w:sz w:val="21"/>
          <w:szCs w:val="21"/>
        </w:rPr>
        <w:t>2</w:t>
      </w:r>
      <w:r>
        <w:rPr>
          <w:color w:val="000000"/>
          <w:sz w:val="21"/>
          <w:szCs w:val="21"/>
        </w:rPr>
        <w:t>名激励对象对应当年已获授但尚未解除限售的第一类限制性股票合计</w:t>
      </w:r>
      <w:r>
        <w:rPr>
          <w:color w:val="000000"/>
          <w:sz w:val="21"/>
          <w:szCs w:val="21"/>
        </w:rPr>
        <w:t>256,000</w:t>
      </w:r>
      <w:r>
        <w:rPr>
          <w:color w:val="000000"/>
          <w:sz w:val="21"/>
          <w:szCs w:val="21"/>
        </w:rPr>
        <w:t>股，占注销前总股本比例为</w:t>
      </w:r>
      <w:r>
        <w:rPr>
          <w:color w:val="000000"/>
          <w:sz w:val="21"/>
          <w:szCs w:val="21"/>
        </w:rPr>
        <w:t>0.38%</w:t>
      </w:r>
      <w:r>
        <w:rPr>
          <w:color w:val="000000"/>
          <w:sz w:val="21"/>
          <w:szCs w:val="21"/>
        </w:rPr>
        <w:t>。该事项经公司第三届董事会第三十次会议、第三届监事会第二十六次会议、</w:t>
      </w:r>
      <w:r>
        <w:rPr>
          <w:color w:val="000000"/>
          <w:sz w:val="21"/>
          <w:szCs w:val="21"/>
        </w:rPr>
        <w:t xml:space="preserve">2024 </w:t>
      </w:r>
      <w:r>
        <w:rPr>
          <w:color w:val="000000"/>
          <w:sz w:val="21"/>
          <w:szCs w:val="21"/>
        </w:rPr>
        <w:t>年年度股东会审议通过。经中国证券登记结算有限责任公司深圳分公司审核确认，公司本次部分限制性股票注销事宜已于</w:t>
      </w:r>
      <w:r>
        <w:rPr>
          <w:color w:val="000000"/>
          <w:sz w:val="21"/>
          <w:szCs w:val="21"/>
        </w:rPr>
        <w:t>2025</w:t>
      </w:r>
      <w:r>
        <w:rPr>
          <w:color w:val="000000"/>
          <w:sz w:val="21"/>
          <w:szCs w:val="21"/>
        </w:rPr>
        <w:t>年</w:t>
      </w:r>
      <w:r>
        <w:rPr>
          <w:color w:val="000000"/>
          <w:sz w:val="21"/>
          <w:szCs w:val="21"/>
        </w:rPr>
        <w:t>7</w:t>
      </w:r>
      <w:r>
        <w:rPr>
          <w:color w:val="000000"/>
          <w:sz w:val="21"/>
          <w:szCs w:val="21"/>
        </w:rPr>
        <w:t>月</w:t>
      </w:r>
      <w:r>
        <w:rPr>
          <w:color w:val="000000"/>
          <w:sz w:val="21"/>
          <w:szCs w:val="21"/>
        </w:rPr>
        <w:t>28</w:t>
      </w:r>
      <w:r>
        <w:rPr>
          <w:color w:val="000000"/>
          <w:sz w:val="21"/>
          <w:szCs w:val="21"/>
        </w:rPr>
        <w:t>日办理完成。本次注销完成后，公司股份总数由</w:t>
      </w:r>
      <w:r>
        <w:rPr>
          <w:color w:val="000000"/>
          <w:sz w:val="21"/>
          <w:szCs w:val="21"/>
        </w:rPr>
        <w:t>67,108,800</w:t>
      </w:r>
      <w:r>
        <w:rPr>
          <w:color w:val="000000"/>
          <w:sz w:val="21"/>
          <w:szCs w:val="21"/>
        </w:rPr>
        <w:t>股减少至</w:t>
      </w:r>
      <w:r>
        <w:rPr>
          <w:color w:val="000000"/>
          <w:sz w:val="21"/>
          <w:szCs w:val="21"/>
        </w:rPr>
        <w:t xml:space="preserve"> 66,852,800</w:t>
      </w:r>
      <w:r>
        <w:rPr>
          <w:color w:val="000000"/>
          <w:sz w:val="21"/>
          <w:szCs w:val="21"/>
        </w:rPr>
        <w:t>股。</w:t>
      </w:r>
    </w:p>
    <w:p w:rsidR="00E20B54" w:rsidRDefault="00733C9E" w:rsidP="00C57489">
      <w:pPr>
        <w:pStyle w:val="a3"/>
        <w:widowControl/>
        <w:spacing w:beforeLines="50" w:before="156" w:beforeAutospacing="0" w:afterLines="50" w:after="156" w:afterAutospacing="0"/>
        <w:ind w:firstLine="363"/>
        <w:jc w:val="both"/>
        <w:rPr>
          <w:color w:val="000000"/>
          <w:sz w:val="21"/>
          <w:szCs w:val="21"/>
        </w:rPr>
      </w:pPr>
      <w:r>
        <w:rPr>
          <w:color w:val="000000"/>
          <w:sz w:val="21"/>
          <w:szCs w:val="21"/>
        </w:rPr>
        <w:t>公司已于</w:t>
      </w:r>
      <w:r>
        <w:rPr>
          <w:color w:val="000000"/>
          <w:sz w:val="21"/>
          <w:szCs w:val="21"/>
        </w:rPr>
        <w:t>2025</w:t>
      </w:r>
      <w:r>
        <w:rPr>
          <w:color w:val="000000"/>
          <w:sz w:val="21"/>
          <w:szCs w:val="21"/>
        </w:rPr>
        <w:t>年</w:t>
      </w:r>
      <w:r>
        <w:rPr>
          <w:color w:val="000000"/>
          <w:sz w:val="21"/>
          <w:szCs w:val="21"/>
        </w:rPr>
        <w:t>8</w:t>
      </w:r>
      <w:r>
        <w:rPr>
          <w:color w:val="000000"/>
          <w:sz w:val="21"/>
          <w:szCs w:val="21"/>
        </w:rPr>
        <w:t>月完成工商变更登记。</w:t>
      </w:r>
    </w:p>
    <w:p w:rsidR="00E20B54" w:rsidRDefault="00733C9E">
      <w:pPr>
        <w:spacing w:before="100" w:after="100" w:line="240" w:lineRule="exact"/>
        <w:rPr>
          <w:sz w:val="18"/>
          <w:szCs w:val="18"/>
        </w:rPr>
      </w:pPr>
      <w:r>
        <w:rPr>
          <w:sz w:val="18"/>
          <w:szCs w:val="18"/>
        </w:rPr>
        <w:t>股份变动的批准情况</w:t>
      </w:r>
    </w:p>
    <w:p w:rsidR="00E20B54" w:rsidRDefault="00733C9E">
      <w:pPr>
        <w:spacing w:before="100" w:after="100" w:line="240" w:lineRule="exact"/>
        <w:rPr>
          <w:sz w:val="18"/>
          <w:szCs w:val="18"/>
        </w:rPr>
      </w:pPr>
      <w:r>
        <w:rPr>
          <w:sz w:val="18"/>
          <w:szCs w:val="18"/>
        </w:rPr>
        <w:t>□</w:t>
      </w:r>
      <w:r>
        <w:rPr>
          <w:sz w:val="18"/>
          <w:szCs w:val="18"/>
        </w:rPr>
        <w:t>适用</w:t>
      </w:r>
      <w:r>
        <w:rPr>
          <w:sz w:val="18"/>
          <w:szCs w:val="18"/>
        </w:rPr>
        <w:t xml:space="preserve"> </w:t>
      </w:r>
      <w:r>
        <w:rPr>
          <w:sz w:val="18"/>
          <w:szCs w:val="18"/>
        </w:rPr>
        <w:sym w:font="Wingdings 2" w:char="F052"/>
      </w:r>
      <w:r>
        <w:rPr>
          <w:sz w:val="18"/>
          <w:szCs w:val="18"/>
        </w:rPr>
        <w:t>不适用</w:t>
      </w:r>
    </w:p>
    <w:p w:rsidR="00E20B54" w:rsidRDefault="00733C9E">
      <w:pPr>
        <w:spacing w:before="100" w:after="100" w:line="240" w:lineRule="exact"/>
        <w:rPr>
          <w:sz w:val="18"/>
          <w:szCs w:val="18"/>
        </w:rPr>
      </w:pPr>
      <w:r>
        <w:rPr>
          <w:sz w:val="18"/>
          <w:szCs w:val="18"/>
        </w:rPr>
        <w:t>股份变动的过户情况</w:t>
      </w:r>
    </w:p>
    <w:p w:rsidR="00E20B54" w:rsidRDefault="00733C9E">
      <w:pPr>
        <w:spacing w:before="100" w:after="100" w:line="240" w:lineRule="exact"/>
        <w:rPr>
          <w:sz w:val="18"/>
          <w:szCs w:val="18"/>
        </w:rPr>
      </w:pPr>
      <w:r>
        <w:rPr>
          <w:sz w:val="18"/>
          <w:szCs w:val="18"/>
        </w:rPr>
        <w:t>□</w:t>
      </w:r>
      <w:r>
        <w:rPr>
          <w:sz w:val="18"/>
          <w:szCs w:val="18"/>
        </w:rPr>
        <w:t>适用</w:t>
      </w:r>
      <w:r>
        <w:rPr>
          <w:sz w:val="18"/>
          <w:szCs w:val="18"/>
        </w:rPr>
        <w:t xml:space="preserve"> </w:t>
      </w:r>
      <w:r>
        <w:rPr>
          <w:sz w:val="18"/>
          <w:szCs w:val="18"/>
        </w:rPr>
        <w:sym w:font="Wingdings 2" w:char="F052"/>
      </w:r>
      <w:r>
        <w:rPr>
          <w:sz w:val="18"/>
          <w:szCs w:val="18"/>
        </w:rPr>
        <w:t>不适用</w:t>
      </w:r>
    </w:p>
    <w:p w:rsidR="00E20B54" w:rsidRDefault="00733C9E">
      <w:pPr>
        <w:spacing w:before="100" w:after="100" w:line="240" w:lineRule="exact"/>
        <w:rPr>
          <w:sz w:val="18"/>
          <w:szCs w:val="18"/>
        </w:rPr>
      </w:pPr>
      <w:r>
        <w:rPr>
          <w:sz w:val="18"/>
          <w:szCs w:val="18"/>
        </w:rPr>
        <w:t>股份变动对最近一年和最近一期基本每股收益和稀释每股收益、归属于公司普通股股东的每股净资产等财务指标的影响</w:t>
      </w:r>
    </w:p>
    <w:p w:rsidR="00E20B54" w:rsidRDefault="00733C9E">
      <w:pPr>
        <w:spacing w:before="100" w:after="100" w:line="240" w:lineRule="exact"/>
        <w:rPr>
          <w:sz w:val="18"/>
          <w:szCs w:val="18"/>
        </w:rPr>
      </w:pPr>
      <w:r>
        <w:rPr>
          <w:sz w:val="18"/>
          <w:szCs w:val="18"/>
        </w:rPr>
        <w:t>□</w:t>
      </w:r>
      <w:r>
        <w:rPr>
          <w:sz w:val="18"/>
          <w:szCs w:val="18"/>
        </w:rPr>
        <w:t>适用</w:t>
      </w:r>
      <w:r>
        <w:rPr>
          <w:sz w:val="18"/>
          <w:szCs w:val="18"/>
        </w:rPr>
        <w:t xml:space="preserve"> </w:t>
      </w:r>
      <w:r>
        <w:rPr>
          <w:sz w:val="18"/>
          <w:szCs w:val="18"/>
        </w:rPr>
        <w:sym w:font="Wingdings 2" w:char="F052"/>
      </w:r>
      <w:r>
        <w:rPr>
          <w:sz w:val="18"/>
          <w:szCs w:val="18"/>
        </w:rPr>
        <w:t>不适用</w:t>
      </w:r>
    </w:p>
    <w:p w:rsidR="00E20B54" w:rsidRDefault="00733C9E">
      <w:pPr>
        <w:spacing w:before="100" w:after="100" w:line="240" w:lineRule="exact"/>
        <w:rPr>
          <w:sz w:val="18"/>
          <w:szCs w:val="18"/>
        </w:rPr>
      </w:pPr>
      <w:r>
        <w:rPr>
          <w:sz w:val="18"/>
          <w:szCs w:val="18"/>
        </w:rPr>
        <w:t>公司认为必要或证券监管机构要求披露的其他内容</w:t>
      </w:r>
    </w:p>
    <w:p w:rsidR="00E20B54" w:rsidRDefault="00733C9E">
      <w:pPr>
        <w:spacing w:before="100" w:after="100" w:line="240" w:lineRule="exact"/>
        <w:rPr>
          <w:sz w:val="18"/>
          <w:szCs w:val="18"/>
        </w:rPr>
      </w:pPr>
      <w:r>
        <w:rPr>
          <w:sz w:val="18"/>
          <w:szCs w:val="18"/>
        </w:rPr>
        <w:t>□</w:t>
      </w:r>
      <w:r>
        <w:rPr>
          <w:sz w:val="18"/>
          <w:szCs w:val="18"/>
        </w:rPr>
        <w:t>适用</w:t>
      </w:r>
      <w:r>
        <w:rPr>
          <w:sz w:val="18"/>
          <w:szCs w:val="18"/>
        </w:rPr>
        <w:t xml:space="preserve"> </w:t>
      </w:r>
      <w:r>
        <w:rPr>
          <w:sz w:val="18"/>
          <w:szCs w:val="18"/>
        </w:rPr>
        <w:sym w:font="Wingdings 2" w:char="F052"/>
      </w:r>
      <w:r>
        <w:rPr>
          <w:sz w:val="18"/>
          <w:szCs w:val="18"/>
        </w:rPr>
        <w:t>不适用</w:t>
      </w:r>
    </w:p>
    <w:p w:rsidR="00E20B54" w:rsidRDefault="00733C9E">
      <w:pPr>
        <w:pStyle w:val="3"/>
        <w:spacing w:line="280" w:lineRule="exact"/>
        <w:jc w:val="left"/>
        <w:rPr>
          <w:b/>
          <w:bCs/>
        </w:rPr>
      </w:pPr>
      <w:bookmarkStart w:id="133" w:name="_Toc989022"/>
      <w:r>
        <w:rPr>
          <w:b/>
          <w:bCs/>
        </w:rPr>
        <w:t>2</w:t>
      </w:r>
      <w:r>
        <w:rPr>
          <w:b/>
          <w:bCs/>
        </w:rPr>
        <w:t>、限售股份变动情况</w:t>
      </w:r>
      <w:bookmarkEnd w:id="133"/>
    </w:p>
    <w:p w:rsidR="00E20B54" w:rsidRDefault="00733C9E">
      <w:pPr>
        <w:spacing w:before="100" w:after="100" w:line="240" w:lineRule="exact"/>
        <w:rPr>
          <w:sz w:val="18"/>
          <w:szCs w:val="18"/>
        </w:rPr>
      </w:pPr>
      <w:r>
        <w:rPr>
          <w:sz w:val="18"/>
          <w:szCs w:val="18"/>
        </w:rPr>
        <w:sym w:font="Wingdings 2" w:char="F052"/>
      </w:r>
      <w:r>
        <w:rPr>
          <w:sz w:val="18"/>
          <w:szCs w:val="18"/>
        </w:rPr>
        <w:t>适用</w:t>
      </w:r>
      <w:r>
        <w:rPr>
          <w:sz w:val="18"/>
          <w:szCs w:val="18"/>
        </w:rPr>
        <w:t xml:space="preserve"> □</w:t>
      </w:r>
      <w:r>
        <w:rPr>
          <w:sz w:val="18"/>
          <w:szCs w:val="18"/>
        </w:rPr>
        <w:t>不适用</w:t>
      </w:r>
    </w:p>
    <w:p w:rsidR="00E20B54" w:rsidRDefault="00733C9E">
      <w:pPr>
        <w:spacing w:before="120" w:after="120" w:line="240" w:lineRule="exact"/>
        <w:jc w:val="right"/>
        <w:rPr>
          <w:sz w:val="18"/>
          <w:szCs w:val="18"/>
        </w:rPr>
      </w:pPr>
      <w:r>
        <w:rPr>
          <w:sz w:val="18"/>
          <w:szCs w:val="18"/>
        </w:rPr>
        <w:t>单位：股</w:t>
      </w:r>
    </w:p>
    <w:tbl>
      <w:tblPr>
        <w:tblW w:w="5000" w:type="pct"/>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460"/>
        <w:gridCol w:w="1257"/>
        <w:gridCol w:w="666"/>
        <w:gridCol w:w="1220"/>
        <w:gridCol w:w="1257"/>
        <w:gridCol w:w="1513"/>
        <w:gridCol w:w="3480"/>
      </w:tblGrid>
      <w:tr w:rsidR="00E20B54">
        <w:trPr>
          <w:trHeight w:val="240"/>
        </w:trPr>
        <w:tc>
          <w:tcPr>
            <w:tcW w:w="233" w:type="pc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股东名称</w:t>
            </w:r>
          </w:p>
        </w:tc>
        <w:tc>
          <w:tcPr>
            <w:tcW w:w="637" w:type="pc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期初限售股数</w:t>
            </w:r>
          </w:p>
        </w:tc>
        <w:tc>
          <w:tcPr>
            <w:tcW w:w="338" w:type="pc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本期增加限售股数</w:t>
            </w:r>
          </w:p>
        </w:tc>
        <w:tc>
          <w:tcPr>
            <w:tcW w:w="619" w:type="pc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本期解除限售股数</w:t>
            </w:r>
          </w:p>
        </w:tc>
        <w:tc>
          <w:tcPr>
            <w:tcW w:w="637" w:type="pc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期末限售股数</w:t>
            </w:r>
          </w:p>
        </w:tc>
        <w:tc>
          <w:tcPr>
            <w:tcW w:w="767" w:type="pc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限售原因</w:t>
            </w:r>
          </w:p>
        </w:tc>
        <w:tc>
          <w:tcPr>
            <w:tcW w:w="1765" w:type="pc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解除限售日期</w:t>
            </w:r>
          </w:p>
        </w:tc>
      </w:tr>
      <w:tr w:rsidR="00E20B54">
        <w:trPr>
          <w:trHeight w:val="240"/>
        </w:trPr>
        <w:tc>
          <w:tcPr>
            <w:tcW w:w="233"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林明玲</w:t>
            </w:r>
          </w:p>
        </w:tc>
        <w:tc>
          <w:tcPr>
            <w:tcW w:w="637"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19,327,824.00</w:t>
            </w:r>
          </w:p>
        </w:tc>
        <w:tc>
          <w:tcPr>
            <w:tcW w:w="338"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0.00</w:t>
            </w:r>
          </w:p>
        </w:tc>
        <w:tc>
          <w:tcPr>
            <w:tcW w:w="619"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4,959,956.00</w:t>
            </w:r>
          </w:p>
        </w:tc>
        <w:tc>
          <w:tcPr>
            <w:tcW w:w="637"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14,367,868.00</w:t>
            </w:r>
          </w:p>
        </w:tc>
        <w:tc>
          <w:tcPr>
            <w:tcW w:w="767"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①</w:t>
            </w:r>
            <w:r>
              <w:rPr>
                <w:sz w:val="18"/>
                <w:szCs w:val="18"/>
              </w:rPr>
              <w:t>高管锁定股：</w:t>
            </w:r>
            <w:r>
              <w:rPr>
                <w:sz w:val="18"/>
                <w:szCs w:val="18"/>
              </w:rPr>
              <w:t>13,919,868</w:t>
            </w:r>
            <w:r>
              <w:rPr>
                <w:sz w:val="18"/>
                <w:szCs w:val="18"/>
              </w:rPr>
              <w:t>股；</w:t>
            </w:r>
          </w:p>
          <w:p w:rsidR="00E20B54" w:rsidRDefault="00733C9E">
            <w:pPr>
              <w:spacing w:line="240" w:lineRule="exact"/>
              <w:rPr>
                <w:sz w:val="18"/>
                <w:szCs w:val="18"/>
              </w:rPr>
            </w:pPr>
            <w:r>
              <w:rPr>
                <w:sz w:val="18"/>
                <w:szCs w:val="18"/>
              </w:rPr>
              <w:t>②</w:t>
            </w:r>
            <w:r>
              <w:rPr>
                <w:sz w:val="18"/>
                <w:szCs w:val="18"/>
              </w:rPr>
              <w:t>股权激励限售股：</w:t>
            </w:r>
            <w:r>
              <w:rPr>
                <w:sz w:val="18"/>
                <w:szCs w:val="18"/>
              </w:rPr>
              <w:t>448,000</w:t>
            </w:r>
            <w:r>
              <w:rPr>
                <w:sz w:val="18"/>
                <w:szCs w:val="18"/>
              </w:rPr>
              <w:t>股。</w:t>
            </w:r>
          </w:p>
        </w:tc>
        <w:tc>
          <w:tcPr>
            <w:tcW w:w="1765"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①</w:t>
            </w:r>
            <w:r>
              <w:rPr>
                <w:sz w:val="18"/>
                <w:szCs w:val="18"/>
              </w:rPr>
              <w:t>高管锁定股：公司董事、高级管理人员在任期间，每年按上年末持有股份数的</w:t>
            </w:r>
            <w:r>
              <w:rPr>
                <w:sz w:val="18"/>
                <w:szCs w:val="18"/>
              </w:rPr>
              <w:t>75%</w:t>
            </w:r>
            <w:r>
              <w:rPr>
                <w:sz w:val="18"/>
                <w:szCs w:val="18"/>
              </w:rPr>
              <w:t>锁定；</w:t>
            </w:r>
          </w:p>
          <w:p w:rsidR="00E20B54" w:rsidRDefault="00733C9E">
            <w:pPr>
              <w:spacing w:line="240" w:lineRule="exact"/>
              <w:rPr>
                <w:sz w:val="18"/>
                <w:szCs w:val="18"/>
              </w:rPr>
            </w:pPr>
            <w:r>
              <w:rPr>
                <w:sz w:val="18"/>
                <w:szCs w:val="18"/>
              </w:rPr>
              <w:t>②</w:t>
            </w:r>
            <w:r>
              <w:rPr>
                <w:sz w:val="18"/>
                <w:szCs w:val="18"/>
              </w:rPr>
              <w:t>股权激励限售股：</w:t>
            </w:r>
          </w:p>
          <w:p w:rsidR="00E20B54" w:rsidRDefault="00733C9E">
            <w:pPr>
              <w:spacing w:line="240" w:lineRule="exact"/>
              <w:rPr>
                <w:sz w:val="18"/>
                <w:szCs w:val="18"/>
              </w:rPr>
            </w:pPr>
            <w:r>
              <w:rPr>
                <w:sz w:val="18"/>
                <w:szCs w:val="18"/>
              </w:rPr>
              <w:t>2025</w:t>
            </w:r>
            <w:r>
              <w:rPr>
                <w:sz w:val="18"/>
                <w:szCs w:val="18"/>
              </w:rPr>
              <w:t>年</w:t>
            </w:r>
            <w:r>
              <w:rPr>
                <w:sz w:val="18"/>
                <w:szCs w:val="18"/>
              </w:rPr>
              <w:t>7</w:t>
            </w:r>
            <w:r>
              <w:rPr>
                <w:sz w:val="18"/>
                <w:szCs w:val="18"/>
              </w:rPr>
              <w:t>月</w:t>
            </w:r>
            <w:r>
              <w:rPr>
                <w:sz w:val="18"/>
                <w:szCs w:val="18"/>
              </w:rPr>
              <w:t>28</w:t>
            </w:r>
            <w:r>
              <w:rPr>
                <w:sz w:val="18"/>
                <w:szCs w:val="18"/>
              </w:rPr>
              <w:t>日，因公司层面业绩指标未达成，由公司回购并注销</w:t>
            </w:r>
            <w:r>
              <w:rPr>
                <w:sz w:val="18"/>
                <w:szCs w:val="18"/>
              </w:rPr>
              <w:t>128,000</w:t>
            </w:r>
            <w:r>
              <w:rPr>
                <w:sz w:val="18"/>
                <w:szCs w:val="18"/>
              </w:rPr>
              <w:t>股；</w:t>
            </w:r>
          </w:p>
          <w:p w:rsidR="00E20B54" w:rsidRDefault="00733C9E">
            <w:pPr>
              <w:spacing w:line="240" w:lineRule="exact"/>
              <w:rPr>
                <w:sz w:val="18"/>
                <w:szCs w:val="18"/>
              </w:rPr>
            </w:pPr>
            <w:r>
              <w:rPr>
                <w:sz w:val="18"/>
                <w:szCs w:val="18"/>
              </w:rPr>
              <w:t>如解锁条件达成，将于</w:t>
            </w:r>
            <w:r>
              <w:rPr>
                <w:sz w:val="18"/>
                <w:szCs w:val="18"/>
              </w:rPr>
              <w:t>2026</w:t>
            </w:r>
            <w:r>
              <w:rPr>
                <w:sz w:val="18"/>
                <w:szCs w:val="18"/>
              </w:rPr>
              <w:t>年</w:t>
            </w:r>
            <w:r>
              <w:rPr>
                <w:sz w:val="18"/>
                <w:szCs w:val="18"/>
              </w:rPr>
              <w:t>9</w:t>
            </w:r>
            <w:r>
              <w:rPr>
                <w:sz w:val="18"/>
                <w:szCs w:val="18"/>
              </w:rPr>
              <w:t>月</w:t>
            </w:r>
            <w:r>
              <w:rPr>
                <w:sz w:val="18"/>
                <w:szCs w:val="18"/>
              </w:rPr>
              <w:t>11</w:t>
            </w:r>
            <w:r>
              <w:rPr>
                <w:sz w:val="18"/>
                <w:szCs w:val="18"/>
              </w:rPr>
              <w:t>日解锁</w:t>
            </w:r>
            <w:r>
              <w:rPr>
                <w:sz w:val="18"/>
                <w:szCs w:val="18"/>
              </w:rPr>
              <w:t>192,000</w:t>
            </w:r>
            <w:r>
              <w:rPr>
                <w:sz w:val="18"/>
                <w:szCs w:val="18"/>
              </w:rPr>
              <w:t>股，于</w:t>
            </w:r>
            <w:r>
              <w:rPr>
                <w:sz w:val="18"/>
                <w:szCs w:val="18"/>
              </w:rPr>
              <w:t>2027</w:t>
            </w:r>
            <w:r>
              <w:rPr>
                <w:sz w:val="18"/>
                <w:szCs w:val="18"/>
              </w:rPr>
              <w:t>年</w:t>
            </w:r>
            <w:r>
              <w:rPr>
                <w:sz w:val="18"/>
                <w:szCs w:val="18"/>
              </w:rPr>
              <w:t>9</w:t>
            </w:r>
            <w:r>
              <w:rPr>
                <w:sz w:val="18"/>
                <w:szCs w:val="18"/>
              </w:rPr>
              <w:t>月</w:t>
            </w:r>
            <w:r>
              <w:rPr>
                <w:sz w:val="18"/>
                <w:szCs w:val="18"/>
              </w:rPr>
              <w:t>11</w:t>
            </w:r>
            <w:r>
              <w:rPr>
                <w:sz w:val="18"/>
                <w:szCs w:val="18"/>
              </w:rPr>
              <w:t>日解锁</w:t>
            </w:r>
            <w:r>
              <w:rPr>
                <w:sz w:val="18"/>
                <w:szCs w:val="18"/>
              </w:rPr>
              <w:t>256,000</w:t>
            </w:r>
            <w:r>
              <w:rPr>
                <w:sz w:val="18"/>
                <w:szCs w:val="18"/>
              </w:rPr>
              <w:t>股。</w:t>
            </w:r>
          </w:p>
        </w:tc>
      </w:tr>
      <w:tr w:rsidR="00E20B54">
        <w:trPr>
          <w:trHeight w:val="240"/>
        </w:trPr>
        <w:tc>
          <w:tcPr>
            <w:tcW w:w="233"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马学沛</w:t>
            </w:r>
          </w:p>
        </w:tc>
        <w:tc>
          <w:tcPr>
            <w:tcW w:w="637"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4,182,120.00</w:t>
            </w:r>
          </w:p>
        </w:tc>
        <w:tc>
          <w:tcPr>
            <w:tcW w:w="338"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0.00</w:t>
            </w:r>
          </w:p>
        </w:tc>
        <w:tc>
          <w:tcPr>
            <w:tcW w:w="619"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1,173,530.00</w:t>
            </w:r>
          </w:p>
        </w:tc>
        <w:tc>
          <w:tcPr>
            <w:tcW w:w="637"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3,008,590.00</w:t>
            </w:r>
          </w:p>
        </w:tc>
        <w:tc>
          <w:tcPr>
            <w:tcW w:w="767"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①</w:t>
            </w:r>
            <w:r>
              <w:rPr>
                <w:sz w:val="18"/>
                <w:szCs w:val="18"/>
              </w:rPr>
              <w:t>高管锁定股：</w:t>
            </w:r>
            <w:r>
              <w:rPr>
                <w:sz w:val="18"/>
                <w:szCs w:val="18"/>
              </w:rPr>
              <w:t>2,560,590</w:t>
            </w:r>
            <w:r>
              <w:rPr>
                <w:sz w:val="18"/>
                <w:szCs w:val="18"/>
              </w:rPr>
              <w:t>股；</w:t>
            </w:r>
            <w:r>
              <w:rPr>
                <w:sz w:val="18"/>
                <w:szCs w:val="18"/>
              </w:rPr>
              <w:t>②</w:t>
            </w:r>
            <w:r>
              <w:rPr>
                <w:sz w:val="18"/>
                <w:szCs w:val="18"/>
              </w:rPr>
              <w:t>股权激励限售股</w:t>
            </w:r>
            <w:r>
              <w:rPr>
                <w:sz w:val="18"/>
                <w:szCs w:val="18"/>
              </w:rPr>
              <w:t>448,000</w:t>
            </w:r>
            <w:r>
              <w:rPr>
                <w:sz w:val="18"/>
                <w:szCs w:val="18"/>
              </w:rPr>
              <w:t>股。</w:t>
            </w:r>
          </w:p>
        </w:tc>
        <w:tc>
          <w:tcPr>
            <w:tcW w:w="1765"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①</w:t>
            </w:r>
            <w:r>
              <w:rPr>
                <w:sz w:val="18"/>
                <w:szCs w:val="18"/>
              </w:rPr>
              <w:t>高管锁定股：公司董事、高级管理人员在任期间，每年按上年末持有股份数的</w:t>
            </w:r>
            <w:r>
              <w:rPr>
                <w:sz w:val="18"/>
                <w:szCs w:val="18"/>
              </w:rPr>
              <w:t>75%</w:t>
            </w:r>
            <w:r>
              <w:rPr>
                <w:sz w:val="18"/>
                <w:szCs w:val="18"/>
              </w:rPr>
              <w:t>锁定；</w:t>
            </w:r>
            <w:r>
              <w:rPr>
                <w:sz w:val="18"/>
                <w:szCs w:val="18"/>
              </w:rPr>
              <w:t>②</w:t>
            </w:r>
            <w:r>
              <w:rPr>
                <w:sz w:val="18"/>
                <w:szCs w:val="18"/>
              </w:rPr>
              <w:t>股权激励限售股：</w:t>
            </w:r>
            <w:r>
              <w:rPr>
                <w:sz w:val="18"/>
                <w:szCs w:val="18"/>
              </w:rPr>
              <w:t>2025</w:t>
            </w:r>
            <w:r>
              <w:rPr>
                <w:sz w:val="18"/>
                <w:szCs w:val="18"/>
              </w:rPr>
              <w:t>年</w:t>
            </w:r>
            <w:r>
              <w:rPr>
                <w:sz w:val="18"/>
                <w:szCs w:val="18"/>
              </w:rPr>
              <w:t>7</w:t>
            </w:r>
            <w:r>
              <w:rPr>
                <w:sz w:val="18"/>
                <w:szCs w:val="18"/>
              </w:rPr>
              <w:t>月</w:t>
            </w:r>
            <w:r>
              <w:rPr>
                <w:sz w:val="18"/>
                <w:szCs w:val="18"/>
              </w:rPr>
              <w:t>28</w:t>
            </w:r>
            <w:r>
              <w:rPr>
                <w:sz w:val="18"/>
                <w:szCs w:val="18"/>
              </w:rPr>
              <w:t>日，因公司层面业绩指标未达成，由公司回购并注销</w:t>
            </w:r>
            <w:r>
              <w:rPr>
                <w:sz w:val="18"/>
                <w:szCs w:val="18"/>
              </w:rPr>
              <w:t>128,000</w:t>
            </w:r>
            <w:r>
              <w:rPr>
                <w:sz w:val="18"/>
                <w:szCs w:val="18"/>
              </w:rPr>
              <w:t>股；如解锁条件达成，将于</w:t>
            </w:r>
            <w:r>
              <w:rPr>
                <w:sz w:val="18"/>
                <w:szCs w:val="18"/>
              </w:rPr>
              <w:t>2026</w:t>
            </w:r>
            <w:r>
              <w:rPr>
                <w:sz w:val="18"/>
                <w:szCs w:val="18"/>
              </w:rPr>
              <w:t>年</w:t>
            </w:r>
            <w:r>
              <w:rPr>
                <w:sz w:val="18"/>
                <w:szCs w:val="18"/>
              </w:rPr>
              <w:t>9</w:t>
            </w:r>
            <w:r>
              <w:rPr>
                <w:sz w:val="18"/>
                <w:szCs w:val="18"/>
              </w:rPr>
              <w:t>月</w:t>
            </w:r>
            <w:r>
              <w:rPr>
                <w:sz w:val="18"/>
                <w:szCs w:val="18"/>
              </w:rPr>
              <w:t>11</w:t>
            </w:r>
            <w:r>
              <w:rPr>
                <w:sz w:val="18"/>
                <w:szCs w:val="18"/>
              </w:rPr>
              <w:t>日解锁</w:t>
            </w:r>
            <w:r>
              <w:rPr>
                <w:sz w:val="18"/>
                <w:szCs w:val="18"/>
              </w:rPr>
              <w:t>192,000</w:t>
            </w:r>
            <w:r>
              <w:rPr>
                <w:sz w:val="18"/>
                <w:szCs w:val="18"/>
              </w:rPr>
              <w:t>股，于</w:t>
            </w:r>
            <w:r>
              <w:rPr>
                <w:sz w:val="18"/>
                <w:szCs w:val="18"/>
              </w:rPr>
              <w:t>2027</w:t>
            </w:r>
            <w:r>
              <w:rPr>
                <w:sz w:val="18"/>
                <w:szCs w:val="18"/>
              </w:rPr>
              <w:t>年</w:t>
            </w:r>
            <w:r>
              <w:rPr>
                <w:sz w:val="18"/>
                <w:szCs w:val="18"/>
              </w:rPr>
              <w:t>9</w:t>
            </w:r>
            <w:r>
              <w:rPr>
                <w:sz w:val="18"/>
                <w:szCs w:val="18"/>
              </w:rPr>
              <w:t>月</w:t>
            </w:r>
            <w:r>
              <w:rPr>
                <w:sz w:val="18"/>
                <w:szCs w:val="18"/>
              </w:rPr>
              <w:t>11</w:t>
            </w:r>
            <w:r>
              <w:rPr>
                <w:sz w:val="18"/>
                <w:szCs w:val="18"/>
              </w:rPr>
              <w:t>日解锁</w:t>
            </w:r>
            <w:r>
              <w:rPr>
                <w:sz w:val="18"/>
                <w:szCs w:val="18"/>
              </w:rPr>
              <w:t>256,000</w:t>
            </w:r>
            <w:r>
              <w:rPr>
                <w:sz w:val="18"/>
                <w:szCs w:val="18"/>
              </w:rPr>
              <w:t>股。</w:t>
            </w:r>
          </w:p>
        </w:tc>
      </w:tr>
      <w:tr w:rsidR="00E20B54">
        <w:trPr>
          <w:trHeight w:val="240"/>
        </w:trPr>
        <w:tc>
          <w:tcPr>
            <w:tcW w:w="233" w:type="pc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合计</w:t>
            </w:r>
          </w:p>
        </w:tc>
        <w:tc>
          <w:tcPr>
            <w:tcW w:w="637"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23,509,944.00</w:t>
            </w:r>
          </w:p>
        </w:tc>
        <w:tc>
          <w:tcPr>
            <w:tcW w:w="338"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0.00</w:t>
            </w:r>
          </w:p>
        </w:tc>
        <w:tc>
          <w:tcPr>
            <w:tcW w:w="619"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6,133,486.00</w:t>
            </w:r>
          </w:p>
        </w:tc>
        <w:tc>
          <w:tcPr>
            <w:tcW w:w="637"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17,376,458.00</w:t>
            </w:r>
          </w:p>
        </w:tc>
        <w:tc>
          <w:tcPr>
            <w:tcW w:w="767" w:type="pc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w:t>
            </w:r>
          </w:p>
        </w:tc>
        <w:tc>
          <w:tcPr>
            <w:tcW w:w="1765" w:type="pc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w:t>
            </w:r>
          </w:p>
        </w:tc>
      </w:tr>
    </w:tbl>
    <w:p w:rsidR="00E20B54" w:rsidRDefault="00733C9E">
      <w:pPr>
        <w:pStyle w:val="2"/>
        <w:spacing w:before="300" w:after="300" w:line="320" w:lineRule="exact"/>
        <w:rPr>
          <w:b/>
          <w:bCs/>
          <w:sz w:val="24"/>
          <w:szCs w:val="24"/>
        </w:rPr>
      </w:pPr>
      <w:bookmarkStart w:id="134" w:name="_Toc989023"/>
      <w:r>
        <w:rPr>
          <w:b/>
          <w:bCs/>
          <w:sz w:val="24"/>
          <w:szCs w:val="24"/>
        </w:rPr>
        <w:lastRenderedPageBreak/>
        <w:t>二、证券发行与上市情况</w:t>
      </w:r>
      <w:bookmarkEnd w:id="134"/>
    </w:p>
    <w:p w:rsidR="00E20B54" w:rsidRDefault="00733C9E">
      <w:pPr>
        <w:pStyle w:val="3"/>
        <w:spacing w:line="280" w:lineRule="exact"/>
        <w:jc w:val="left"/>
        <w:rPr>
          <w:b/>
          <w:bCs/>
        </w:rPr>
      </w:pPr>
      <w:bookmarkStart w:id="135" w:name="_Toc989024"/>
      <w:r>
        <w:rPr>
          <w:b/>
          <w:bCs/>
        </w:rPr>
        <w:t>1</w:t>
      </w:r>
      <w:r>
        <w:rPr>
          <w:b/>
          <w:bCs/>
        </w:rPr>
        <w:t>、报告期内证券发行（不含优先股）情况</w:t>
      </w:r>
      <w:bookmarkEnd w:id="135"/>
    </w:p>
    <w:p w:rsidR="00E20B54" w:rsidRDefault="00733C9E">
      <w:pPr>
        <w:spacing w:before="40" w:after="40" w:line="240" w:lineRule="exact"/>
        <w:rPr>
          <w:sz w:val="18"/>
          <w:szCs w:val="18"/>
        </w:rPr>
      </w:pPr>
      <w:r>
        <w:rPr>
          <w:sz w:val="18"/>
          <w:szCs w:val="18"/>
        </w:rPr>
        <w:t>□</w:t>
      </w:r>
      <w:r>
        <w:rPr>
          <w:sz w:val="18"/>
          <w:szCs w:val="18"/>
        </w:rPr>
        <w:t>适用</w:t>
      </w:r>
      <w:r>
        <w:rPr>
          <w:sz w:val="18"/>
          <w:szCs w:val="18"/>
        </w:rPr>
        <w:t xml:space="preserve"> </w:t>
      </w:r>
      <w:r>
        <w:rPr>
          <w:sz w:val="18"/>
          <w:szCs w:val="18"/>
        </w:rPr>
        <w:sym w:font="Wingdings 2" w:char="F052"/>
      </w:r>
      <w:r>
        <w:rPr>
          <w:sz w:val="18"/>
          <w:szCs w:val="18"/>
        </w:rPr>
        <w:t>不适用</w:t>
      </w:r>
    </w:p>
    <w:p w:rsidR="00E20B54" w:rsidRDefault="00733C9E">
      <w:pPr>
        <w:pStyle w:val="3"/>
        <w:spacing w:line="280" w:lineRule="exact"/>
        <w:jc w:val="left"/>
        <w:rPr>
          <w:b/>
          <w:bCs/>
        </w:rPr>
      </w:pPr>
      <w:bookmarkStart w:id="136" w:name="_Toc989025"/>
      <w:r>
        <w:rPr>
          <w:b/>
          <w:bCs/>
        </w:rPr>
        <w:t>2</w:t>
      </w:r>
      <w:r>
        <w:rPr>
          <w:b/>
          <w:bCs/>
        </w:rPr>
        <w:t>、公司股份总数及股东结构的变动、公司资产和负债结构的变动情况说明</w:t>
      </w:r>
      <w:bookmarkEnd w:id="136"/>
    </w:p>
    <w:p w:rsidR="00E20B54" w:rsidRDefault="00733C9E">
      <w:pPr>
        <w:spacing w:before="100" w:after="100" w:line="240" w:lineRule="exact"/>
        <w:rPr>
          <w:sz w:val="18"/>
          <w:szCs w:val="18"/>
        </w:rPr>
      </w:pPr>
      <w:r>
        <w:rPr>
          <w:sz w:val="18"/>
          <w:szCs w:val="18"/>
        </w:rPr>
        <w:sym w:font="Wingdings 2" w:char="F052"/>
      </w:r>
      <w:r>
        <w:rPr>
          <w:sz w:val="18"/>
          <w:szCs w:val="18"/>
        </w:rPr>
        <w:t>适用</w:t>
      </w:r>
      <w:r>
        <w:rPr>
          <w:sz w:val="18"/>
          <w:szCs w:val="18"/>
        </w:rPr>
        <w:t xml:space="preserve"> □</w:t>
      </w:r>
      <w:r>
        <w:rPr>
          <w:sz w:val="18"/>
          <w:szCs w:val="18"/>
        </w:rPr>
        <w:t>不适用</w:t>
      </w:r>
    </w:p>
    <w:p w:rsidR="00E20B54" w:rsidRDefault="00733C9E" w:rsidP="00C57489">
      <w:pPr>
        <w:pStyle w:val="a3"/>
        <w:widowControl/>
        <w:spacing w:beforeLines="50" w:before="156" w:beforeAutospacing="0" w:afterLines="50" w:after="156" w:afterAutospacing="0"/>
        <w:ind w:firstLine="363"/>
        <w:jc w:val="both"/>
        <w:rPr>
          <w:color w:val="000000"/>
          <w:sz w:val="21"/>
          <w:szCs w:val="21"/>
        </w:rPr>
      </w:pPr>
      <w:r>
        <w:rPr>
          <w:color w:val="000000"/>
          <w:sz w:val="21"/>
          <w:szCs w:val="21"/>
        </w:rPr>
        <w:t>（一）回购注销限制性股票</w:t>
      </w:r>
    </w:p>
    <w:p w:rsidR="00E20B54" w:rsidRDefault="00733C9E" w:rsidP="00C57489">
      <w:pPr>
        <w:pStyle w:val="a3"/>
        <w:widowControl/>
        <w:spacing w:beforeLines="50" w:before="156" w:beforeAutospacing="0" w:afterLines="50" w:after="156" w:afterAutospacing="0"/>
        <w:ind w:firstLine="363"/>
        <w:jc w:val="both"/>
        <w:rPr>
          <w:color w:val="000000"/>
          <w:sz w:val="21"/>
          <w:szCs w:val="21"/>
        </w:rPr>
      </w:pPr>
      <w:r>
        <w:rPr>
          <w:color w:val="000000"/>
          <w:sz w:val="21"/>
          <w:szCs w:val="21"/>
        </w:rPr>
        <w:t>根据经审计的</w:t>
      </w:r>
      <w:r>
        <w:rPr>
          <w:color w:val="000000"/>
          <w:sz w:val="21"/>
          <w:szCs w:val="21"/>
        </w:rPr>
        <w:t>2024</w:t>
      </w:r>
      <w:r>
        <w:rPr>
          <w:color w:val="000000"/>
          <w:sz w:val="21"/>
          <w:szCs w:val="21"/>
        </w:rPr>
        <w:t>年度财务报告，公司层面</w:t>
      </w:r>
      <w:r>
        <w:rPr>
          <w:color w:val="000000"/>
          <w:sz w:val="21"/>
          <w:szCs w:val="21"/>
        </w:rPr>
        <w:t>2024</w:t>
      </w:r>
      <w:r>
        <w:rPr>
          <w:color w:val="000000"/>
          <w:sz w:val="21"/>
          <w:szCs w:val="21"/>
        </w:rPr>
        <w:t>年业绩考核未达标，按公司《</w:t>
      </w:r>
      <w:r>
        <w:rPr>
          <w:color w:val="000000"/>
          <w:sz w:val="21"/>
          <w:szCs w:val="21"/>
        </w:rPr>
        <w:t>2023</w:t>
      </w:r>
      <w:r>
        <w:rPr>
          <w:color w:val="000000"/>
          <w:sz w:val="21"/>
          <w:szCs w:val="21"/>
        </w:rPr>
        <w:t>年限制性股票激励计划》及《</w:t>
      </w:r>
      <w:r>
        <w:rPr>
          <w:color w:val="000000"/>
          <w:sz w:val="21"/>
          <w:szCs w:val="21"/>
        </w:rPr>
        <w:t>2023</w:t>
      </w:r>
      <w:r>
        <w:rPr>
          <w:color w:val="000000"/>
          <w:sz w:val="21"/>
          <w:szCs w:val="21"/>
        </w:rPr>
        <w:t>年限制性股票激励计划实施考核管理办法（修订稿）》相关规定，公司回购并注销首次授予</w:t>
      </w:r>
      <w:r>
        <w:rPr>
          <w:color w:val="000000"/>
          <w:sz w:val="21"/>
          <w:szCs w:val="21"/>
        </w:rPr>
        <w:t>2</w:t>
      </w:r>
      <w:r>
        <w:rPr>
          <w:color w:val="000000"/>
          <w:sz w:val="21"/>
          <w:szCs w:val="21"/>
        </w:rPr>
        <w:t>名激励对象对应当年已获授但尚未解除限售的第一类限制性股票合计</w:t>
      </w:r>
      <w:r>
        <w:rPr>
          <w:color w:val="000000"/>
          <w:sz w:val="21"/>
          <w:szCs w:val="21"/>
        </w:rPr>
        <w:t>256,000</w:t>
      </w:r>
      <w:r>
        <w:rPr>
          <w:color w:val="000000"/>
          <w:sz w:val="21"/>
          <w:szCs w:val="21"/>
        </w:rPr>
        <w:t>股，占注销前总股本比例为</w:t>
      </w:r>
      <w:r>
        <w:rPr>
          <w:color w:val="000000"/>
          <w:sz w:val="21"/>
          <w:szCs w:val="21"/>
        </w:rPr>
        <w:t>0.38%</w:t>
      </w:r>
      <w:r>
        <w:rPr>
          <w:color w:val="000000"/>
          <w:sz w:val="21"/>
          <w:szCs w:val="21"/>
        </w:rPr>
        <w:t>。该事项经公司第三届董事会第三十次会议、第三届监事会第二十六次会议、</w:t>
      </w:r>
      <w:r>
        <w:rPr>
          <w:color w:val="000000"/>
          <w:sz w:val="21"/>
          <w:szCs w:val="21"/>
        </w:rPr>
        <w:t xml:space="preserve">2024 </w:t>
      </w:r>
      <w:r>
        <w:rPr>
          <w:color w:val="000000"/>
          <w:sz w:val="21"/>
          <w:szCs w:val="21"/>
        </w:rPr>
        <w:t>年年度股东会审议通过。经中国证券登记结算有限责任公司深圳分公司审核确认，公司本次部分限制性股票注销事宜已于</w:t>
      </w:r>
      <w:r>
        <w:rPr>
          <w:color w:val="000000"/>
          <w:sz w:val="21"/>
          <w:szCs w:val="21"/>
        </w:rPr>
        <w:t>2025</w:t>
      </w:r>
      <w:r>
        <w:rPr>
          <w:color w:val="000000"/>
          <w:sz w:val="21"/>
          <w:szCs w:val="21"/>
        </w:rPr>
        <w:t>年</w:t>
      </w:r>
      <w:r>
        <w:rPr>
          <w:color w:val="000000"/>
          <w:sz w:val="21"/>
          <w:szCs w:val="21"/>
        </w:rPr>
        <w:t>7</w:t>
      </w:r>
      <w:r>
        <w:rPr>
          <w:color w:val="000000"/>
          <w:sz w:val="21"/>
          <w:szCs w:val="21"/>
        </w:rPr>
        <w:t>月</w:t>
      </w:r>
      <w:r>
        <w:rPr>
          <w:color w:val="000000"/>
          <w:sz w:val="21"/>
          <w:szCs w:val="21"/>
        </w:rPr>
        <w:t>28</w:t>
      </w:r>
      <w:r>
        <w:rPr>
          <w:color w:val="000000"/>
          <w:sz w:val="21"/>
          <w:szCs w:val="21"/>
        </w:rPr>
        <w:t>日办理完成。本次注销完成后，公司股份总数由</w:t>
      </w:r>
      <w:r>
        <w:rPr>
          <w:color w:val="000000"/>
          <w:sz w:val="21"/>
          <w:szCs w:val="21"/>
        </w:rPr>
        <w:t>67,108,800</w:t>
      </w:r>
      <w:r>
        <w:rPr>
          <w:color w:val="000000"/>
          <w:sz w:val="21"/>
          <w:szCs w:val="21"/>
        </w:rPr>
        <w:t>股减少至</w:t>
      </w:r>
      <w:r>
        <w:rPr>
          <w:color w:val="000000"/>
          <w:sz w:val="21"/>
          <w:szCs w:val="21"/>
        </w:rPr>
        <w:t xml:space="preserve"> 66,852,800</w:t>
      </w:r>
      <w:r>
        <w:rPr>
          <w:color w:val="000000"/>
          <w:sz w:val="21"/>
          <w:szCs w:val="21"/>
        </w:rPr>
        <w:t>股。</w:t>
      </w:r>
    </w:p>
    <w:p w:rsidR="00E20B54" w:rsidRDefault="00733C9E" w:rsidP="00C57489">
      <w:pPr>
        <w:pStyle w:val="a3"/>
        <w:widowControl/>
        <w:spacing w:beforeLines="50" w:before="156" w:beforeAutospacing="0" w:afterLines="50" w:after="156" w:afterAutospacing="0"/>
        <w:ind w:firstLine="363"/>
        <w:jc w:val="both"/>
        <w:rPr>
          <w:color w:val="000000"/>
          <w:sz w:val="21"/>
          <w:szCs w:val="21"/>
        </w:rPr>
      </w:pPr>
      <w:r>
        <w:rPr>
          <w:color w:val="000000"/>
          <w:sz w:val="21"/>
          <w:szCs w:val="21"/>
        </w:rPr>
        <w:t>公司已于</w:t>
      </w:r>
      <w:r>
        <w:rPr>
          <w:color w:val="000000"/>
          <w:sz w:val="21"/>
          <w:szCs w:val="21"/>
        </w:rPr>
        <w:t>2025</w:t>
      </w:r>
      <w:r>
        <w:rPr>
          <w:color w:val="000000"/>
          <w:sz w:val="21"/>
          <w:szCs w:val="21"/>
        </w:rPr>
        <w:t>年</w:t>
      </w:r>
      <w:r>
        <w:rPr>
          <w:color w:val="000000"/>
          <w:sz w:val="21"/>
          <w:szCs w:val="21"/>
        </w:rPr>
        <w:t>8</w:t>
      </w:r>
      <w:r>
        <w:rPr>
          <w:color w:val="000000"/>
          <w:sz w:val="21"/>
          <w:szCs w:val="21"/>
        </w:rPr>
        <w:t>月完成工商变更登记。</w:t>
      </w:r>
    </w:p>
    <w:p w:rsidR="00E20B54" w:rsidRDefault="00733C9E">
      <w:pPr>
        <w:pStyle w:val="3"/>
        <w:spacing w:line="280" w:lineRule="exact"/>
        <w:jc w:val="left"/>
        <w:rPr>
          <w:b/>
          <w:bCs/>
        </w:rPr>
      </w:pPr>
      <w:bookmarkStart w:id="137" w:name="_Toc989026"/>
      <w:r>
        <w:rPr>
          <w:b/>
          <w:bCs/>
        </w:rPr>
        <w:t>3</w:t>
      </w:r>
      <w:r>
        <w:rPr>
          <w:b/>
          <w:bCs/>
        </w:rPr>
        <w:t>、现存的内部职工股情况</w:t>
      </w:r>
      <w:bookmarkEnd w:id="137"/>
    </w:p>
    <w:p w:rsidR="00E20B54" w:rsidRDefault="00733C9E">
      <w:pPr>
        <w:spacing w:before="40" w:after="40" w:line="240" w:lineRule="exact"/>
        <w:rPr>
          <w:sz w:val="18"/>
          <w:szCs w:val="18"/>
        </w:rPr>
      </w:pPr>
      <w:r>
        <w:rPr>
          <w:sz w:val="18"/>
          <w:szCs w:val="18"/>
        </w:rPr>
        <w:t>□</w:t>
      </w:r>
      <w:r>
        <w:rPr>
          <w:sz w:val="18"/>
          <w:szCs w:val="18"/>
        </w:rPr>
        <w:t>适用</w:t>
      </w:r>
      <w:r>
        <w:rPr>
          <w:sz w:val="18"/>
          <w:szCs w:val="18"/>
        </w:rPr>
        <w:t xml:space="preserve"> </w:t>
      </w:r>
      <w:r>
        <w:rPr>
          <w:sz w:val="18"/>
          <w:szCs w:val="18"/>
        </w:rPr>
        <w:sym w:font="Wingdings 2" w:char="F052"/>
      </w:r>
      <w:r>
        <w:rPr>
          <w:sz w:val="18"/>
          <w:szCs w:val="18"/>
        </w:rPr>
        <w:t>不适用</w:t>
      </w:r>
    </w:p>
    <w:p w:rsidR="00E20B54" w:rsidRDefault="00733C9E">
      <w:pPr>
        <w:pStyle w:val="2"/>
        <w:spacing w:before="300" w:after="300" w:line="320" w:lineRule="exact"/>
        <w:rPr>
          <w:b/>
          <w:bCs/>
          <w:sz w:val="24"/>
          <w:szCs w:val="24"/>
        </w:rPr>
      </w:pPr>
      <w:bookmarkStart w:id="138" w:name="_Toc989027"/>
      <w:r>
        <w:rPr>
          <w:b/>
          <w:bCs/>
          <w:sz w:val="24"/>
          <w:szCs w:val="24"/>
        </w:rPr>
        <w:t>三、股东和实际控制人情况</w:t>
      </w:r>
      <w:bookmarkEnd w:id="138"/>
    </w:p>
    <w:p w:rsidR="00E20B54" w:rsidRDefault="00733C9E">
      <w:pPr>
        <w:pStyle w:val="3"/>
        <w:spacing w:line="280" w:lineRule="exact"/>
        <w:jc w:val="left"/>
        <w:rPr>
          <w:b/>
          <w:bCs/>
        </w:rPr>
      </w:pPr>
      <w:bookmarkStart w:id="139" w:name="_Toc989028"/>
      <w:r>
        <w:rPr>
          <w:b/>
          <w:bCs/>
        </w:rPr>
        <w:t>1</w:t>
      </w:r>
      <w:r>
        <w:rPr>
          <w:b/>
          <w:bCs/>
        </w:rPr>
        <w:t>、公司股东数量及持股情况</w:t>
      </w:r>
      <w:bookmarkEnd w:id="139"/>
    </w:p>
    <w:p w:rsidR="00E20B54" w:rsidRDefault="00733C9E">
      <w:pPr>
        <w:spacing w:before="120" w:after="120" w:line="240" w:lineRule="exact"/>
        <w:jc w:val="right"/>
        <w:rPr>
          <w:sz w:val="18"/>
          <w:szCs w:val="18"/>
        </w:rPr>
      </w:pPr>
      <w:r>
        <w:rPr>
          <w:sz w:val="18"/>
          <w:szCs w:val="18"/>
        </w:rPr>
        <w:t>单位：股</w:t>
      </w:r>
    </w:p>
    <w:tbl>
      <w:tblPr>
        <w:tblW w:w="5000" w:type="pct"/>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80"/>
        <w:gridCol w:w="694"/>
        <w:gridCol w:w="910"/>
        <w:gridCol w:w="1269"/>
        <w:gridCol w:w="1178"/>
        <w:gridCol w:w="1305"/>
        <w:gridCol w:w="1427"/>
        <w:gridCol w:w="306"/>
        <w:gridCol w:w="717"/>
        <w:gridCol w:w="1167"/>
      </w:tblGrid>
      <w:tr w:rsidR="00E20B54">
        <w:trPr>
          <w:trHeight w:val="240"/>
        </w:trPr>
        <w:tc>
          <w:tcPr>
            <w:tcW w:w="447" w:type="pc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报告期末普通股股东总数</w:t>
            </w:r>
          </w:p>
        </w:tc>
        <w:tc>
          <w:tcPr>
            <w:tcW w:w="352"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9,412</w:t>
            </w:r>
          </w:p>
        </w:tc>
        <w:tc>
          <w:tcPr>
            <w:tcW w:w="462" w:type="pc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年度报告披露日前上一月末普通股股东总数</w:t>
            </w:r>
          </w:p>
        </w:tc>
        <w:tc>
          <w:tcPr>
            <w:tcW w:w="644"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9,024</w:t>
            </w:r>
          </w:p>
        </w:tc>
        <w:tc>
          <w:tcPr>
            <w:tcW w:w="598" w:type="pc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报告期末表决权恢复的优先股股东总数（如有）（参见注</w:t>
            </w:r>
            <w:r>
              <w:rPr>
                <w:sz w:val="18"/>
                <w:szCs w:val="18"/>
              </w:rPr>
              <w:t>9</w:t>
            </w:r>
            <w:r>
              <w:rPr>
                <w:sz w:val="18"/>
                <w:szCs w:val="18"/>
              </w:rPr>
              <w:t>）</w:t>
            </w:r>
          </w:p>
        </w:tc>
        <w:tc>
          <w:tcPr>
            <w:tcW w:w="662"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w:t>
            </w:r>
          </w:p>
        </w:tc>
        <w:tc>
          <w:tcPr>
            <w:tcW w:w="721" w:type="pc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年度报告披露日前上一月末表决权恢复的优先股股东总数（如有）（参见注</w:t>
            </w:r>
            <w:r>
              <w:rPr>
                <w:sz w:val="18"/>
                <w:szCs w:val="18"/>
              </w:rPr>
              <w:t>9</w:t>
            </w:r>
            <w:r>
              <w:rPr>
                <w:sz w:val="18"/>
                <w:szCs w:val="18"/>
              </w:rPr>
              <w:t>）</w:t>
            </w:r>
          </w:p>
        </w:tc>
        <w:tc>
          <w:tcPr>
            <w:tcW w:w="155"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w:t>
            </w:r>
          </w:p>
        </w:tc>
        <w:tc>
          <w:tcPr>
            <w:tcW w:w="364" w:type="pc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持有特别表决权股份的股东总数（如有）</w:t>
            </w:r>
          </w:p>
        </w:tc>
        <w:tc>
          <w:tcPr>
            <w:tcW w:w="589"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w:t>
            </w:r>
          </w:p>
        </w:tc>
      </w:tr>
      <w:tr w:rsidR="00E20B54">
        <w:trPr>
          <w:trHeight w:val="240"/>
        </w:trPr>
        <w:tc>
          <w:tcPr>
            <w:tcW w:w="5000" w:type="pct"/>
            <w:gridSpan w:val="10"/>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持股</w:t>
            </w:r>
            <w:r>
              <w:rPr>
                <w:sz w:val="18"/>
                <w:szCs w:val="18"/>
              </w:rPr>
              <w:t>5%</w:t>
            </w:r>
            <w:r>
              <w:rPr>
                <w:sz w:val="18"/>
                <w:szCs w:val="18"/>
              </w:rPr>
              <w:t>以上的股东或前</w:t>
            </w:r>
            <w:r>
              <w:rPr>
                <w:sz w:val="18"/>
                <w:szCs w:val="18"/>
              </w:rPr>
              <w:t>10</w:t>
            </w:r>
            <w:r>
              <w:rPr>
                <w:sz w:val="18"/>
                <w:szCs w:val="18"/>
              </w:rPr>
              <w:t>名股东持股情况（不含通过转融通出借股份）</w:t>
            </w:r>
          </w:p>
        </w:tc>
      </w:tr>
      <w:tr w:rsidR="00E20B54">
        <w:trPr>
          <w:trHeight w:val="240"/>
        </w:trPr>
        <w:tc>
          <w:tcPr>
            <w:tcW w:w="447" w:type="pct"/>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股东名称</w:t>
            </w:r>
          </w:p>
        </w:tc>
        <w:tc>
          <w:tcPr>
            <w:tcW w:w="352" w:type="pct"/>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股东性质</w:t>
            </w:r>
          </w:p>
        </w:tc>
        <w:tc>
          <w:tcPr>
            <w:tcW w:w="462" w:type="pct"/>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持股比例</w:t>
            </w:r>
          </w:p>
        </w:tc>
        <w:tc>
          <w:tcPr>
            <w:tcW w:w="644" w:type="pct"/>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报告期末持股数量</w:t>
            </w:r>
          </w:p>
        </w:tc>
        <w:tc>
          <w:tcPr>
            <w:tcW w:w="598" w:type="pct"/>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报告期内增减变动情况</w:t>
            </w:r>
          </w:p>
        </w:tc>
        <w:tc>
          <w:tcPr>
            <w:tcW w:w="662" w:type="pct"/>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持有有限售条件的股份数量</w:t>
            </w:r>
          </w:p>
        </w:tc>
        <w:tc>
          <w:tcPr>
            <w:tcW w:w="721" w:type="pct"/>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持有无限售条件的股份数量</w:t>
            </w:r>
          </w:p>
        </w:tc>
        <w:tc>
          <w:tcPr>
            <w:tcW w:w="1109" w:type="pct"/>
            <w:gridSpan w:val="3"/>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质押、标记或冻结情况</w:t>
            </w:r>
          </w:p>
        </w:tc>
      </w:tr>
      <w:tr w:rsidR="00E20B54">
        <w:trPr>
          <w:trHeight w:val="240"/>
        </w:trPr>
        <w:tc>
          <w:tcPr>
            <w:tcW w:w="447" w:type="pct"/>
            <w:vMerge/>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c>
          <w:tcPr>
            <w:tcW w:w="352" w:type="pct"/>
            <w:vMerge/>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c>
          <w:tcPr>
            <w:tcW w:w="462" w:type="pct"/>
            <w:vMerge/>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c>
          <w:tcPr>
            <w:tcW w:w="644" w:type="pct"/>
            <w:vMerge/>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c>
          <w:tcPr>
            <w:tcW w:w="598" w:type="pct"/>
            <w:vMerge/>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c>
          <w:tcPr>
            <w:tcW w:w="662" w:type="pct"/>
            <w:vMerge/>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c>
          <w:tcPr>
            <w:tcW w:w="721" w:type="pct"/>
            <w:vMerge/>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c>
          <w:tcPr>
            <w:tcW w:w="519" w:type="pct"/>
            <w:gridSpan w:val="2"/>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股份状态</w:t>
            </w:r>
          </w:p>
        </w:tc>
        <w:tc>
          <w:tcPr>
            <w:tcW w:w="589" w:type="pc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数量</w:t>
            </w:r>
          </w:p>
        </w:tc>
      </w:tr>
      <w:tr w:rsidR="00E20B54">
        <w:trPr>
          <w:trHeight w:val="240"/>
        </w:trPr>
        <w:tc>
          <w:tcPr>
            <w:tcW w:w="447"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林明玲</w:t>
            </w:r>
          </w:p>
        </w:tc>
        <w:tc>
          <w:tcPr>
            <w:tcW w:w="352"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境内自然人</w:t>
            </w:r>
          </w:p>
        </w:tc>
        <w:tc>
          <w:tcPr>
            <w:tcW w:w="462"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28.72%</w:t>
            </w:r>
          </w:p>
        </w:tc>
        <w:tc>
          <w:tcPr>
            <w:tcW w:w="644"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19,199,824.00</w:t>
            </w:r>
          </w:p>
        </w:tc>
        <w:tc>
          <w:tcPr>
            <w:tcW w:w="598"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-128000.00</w:t>
            </w:r>
          </w:p>
        </w:tc>
        <w:tc>
          <w:tcPr>
            <w:tcW w:w="662"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14,367,868.00</w:t>
            </w:r>
          </w:p>
        </w:tc>
        <w:tc>
          <w:tcPr>
            <w:tcW w:w="721"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4,831,956.00</w:t>
            </w:r>
          </w:p>
        </w:tc>
        <w:tc>
          <w:tcPr>
            <w:tcW w:w="519" w:type="pct"/>
            <w:gridSpan w:val="2"/>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质押</w:t>
            </w:r>
          </w:p>
        </w:tc>
        <w:tc>
          <w:tcPr>
            <w:tcW w:w="589"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5,535,000.00</w:t>
            </w:r>
          </w:p>
        </w:tc>
      </w:tr>
      <w:tr w:rsidR="00E20B54">
        <w:trPr>
          <w:trHeight w:val="240"/>
        </w:trPr>
        <w:tc>
          <w:tcPr>
            <w:tcW w:w="447"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马学沛</w:t>
            </w:r>
          </w:p>
        </w:tc>
        <w:tc>
          <w:tcPr>
            <w:tcW w:w="352"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境内自然人</w:t>
            </w:r>
          </w:p>
        </w:tc>
        <w:tc>
          <w:tcPr>
            <w:tcW w:w="462"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6.06%</w:t>
            </w:r>
          </w:p>
        </w:tc>
        <w:tc>
          <w:tcPr>
            <w:tcW w:w="644"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4,054,120.00</w:t>
            </w:r>
          </w:p>
        </w:tc>
        <w:tc>
          <w:tcPr>
            <w:tcW w:w="598"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-128000.00</w:t>
            </w:r>
          </w:p>
        </w:tc>
        <w:tc>
          <w:tcPr>
            <w:tcW w:w="662"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3,008,590.00</w:t>
            </w:r>
          </w:p>
        </w:tc>
        <w:tc>
          <w:tcPr>
            <w:tcW w:w="721"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1,045,530.00</w:t>
            </w:r>
          </w:p>
        </w:tc>
        <w:tc>
          <w:tcPr>
            <w:tcW w:w="519" w:type="pct"/>
            <w:gridSpan w:val="2"/>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质押</w:t>
            </w:r>
          </w:p>
        </w:tc>
        <w:tc>
          <w:tcPr>
            <w:tcW w:w="589"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1,850,000.00</w:t>
            </w:r>
          </w:p>
        </w:tc>
      </w:tr>
      <w:tr w:rsidR="00E20B54">
        <w:trPr>
          <w:trHeight w:val="240"/>
        </w:trPr>
        <w:tc>
          <w:tcPr>
            <w:tcW w:w="447"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南京优</w:t>
            </w:r>
            <w:r>
              <w:rPr>
                <w:sz w:val="18"/>
                <w:szCs w:val="18"/>
              </w:rPr>
              <w:lastRenderedPageBreak/>
              <w:t>志投资管理合伙企业（有限合伙）</w:t>
            </w:r>
          </w:p>
        </w:tc>
        <w:tc>
          <w:tcPr>
            <w:tcW w:w="352"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lastRenderedPageBreak/>
              <w:t>境内</w:t>
            </w:r>
            <w:r>
              <w:rPr>
                <w:sz w:val="18"/>
                <w:szCs w:val="18"/>
              </w:rPr>
              <w:lastRenderedPageBreak/>
              <w:t>非国有法人</w:t>
            </w:r>
          </w:p>
        </w:tc>
        <w:tc>
          <w:tcPr>
            <w:tcW w:w="462"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lastRenderedPageBreak/>
              <w:t>3.02%</w:t>
            </w:r>
          </w:p>
        </w:tc>
        <w:tc>
          <w:tcPr>
            <w:tcW w:w="644"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2,017,000.00</w:t>
            </w:r>
          </w:p>
        </w:tc>
        <w:tc>
          <w:tcPr>
            <w:tcW w:w="598"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-858000.00</w:t>
            </w:r>
          </w:p>
        </w:tc>
        <w:tc>
          <w:tcPr>
            <w:tcW w:w="662"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0.00</w:t>
            </w:r>
          </w:p>
        </w:tc>
        <w:tc>
          <w:tcPr>
            <w:tcW w:w="721"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2,017,000.00</w:t>
            </w:r>
          </w:p>
        </w:tc>
        <w:tc>
          <w:tcPr>
            <w:tcW w:w="519" w:type="pct"/>
            <w:gridSpan w:val="2"/>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质押</w:t>
            </w:r>
          </w:p>
        </w:tc>
        <w:tc>
          <w:tcPr>
            <w:tcW w:w="589"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1,500,000.00</w:t>
            </w:r>
          </w:p>
        </w:tc>
      </w:tr>
      <w:tr w:rsidR="00E20B54">
        <w:trPr>
          <w:trHeight w:val="240"/>
        </w:trPr>
        <w:tc>
          <w:tcPr>
            <w:tcW w:w="447"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lastRenderedPageBreak/>
              <w:t>陈前平</w:t>
            </w:r>
          </w:p>
        </w:tc>
        <w:tc>
          <w:tcPr>
            <w:tcW w:w="352"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境内自然人</w:t>
            </w:r>
          </w:p>
        </w:tc>
        <w:tc>
          <w:tcPr>
            <w:tcW w:w="462"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1.20%</w:t>
            </w:r>
          </w:p>
        </w:tc>
        <w:tc>
          <w:tcPr>
            <w:tcW w:w="644"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800,000.00</w:t>
            </w:r>
          </w:p>
        </w:tc>
        <w:tc>
          <w:tcPr>
            <w:tcW w:w="598"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w:t>
            </w:r>
          </w:p>
        </w:tc>
        <w:tc>
          <w:tcPr>
            <w:tcW w:w="662"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0.00</w:t>
            </w:r>
          </w:p>
        </w:tc>
        <w:tc>
          <w:tcPr>
            <w:tcW w:w="721"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800,000.00</w:t>
            </w:r>
          </w:p>
        </w:tc>
        <w:tc>
          <w:tcPr>
            <w:tcW w:w="519" w:type="pct"/>
            <w:gridSpan w:val="2"/>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不适用</w:t>
            </w:r>
          </w:p>
        </w:tc>
        <w:tc>
          <w:tcPr>
            <w:tcW w:w="589"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w:t>
            </w:r>
          </w:p>
        </w:tc>
      </w:tr>
      <w:tr w:rsidR="00E20B54">
        <w:trPr>
          <w:trHeight w:val="240"/>
        </w:trPr>
        <w:tc>
          <w:tcPr>
            <w:tcW w:w="447"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王松</w:t>
            </w:r>
          </w:p>
        </w:tc>
        <w:tc>
          <w:tcPr>
            <w:tcW w:w="352"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境内自然人</w:t>
            </w:r>
          </w:p>
        </w:tc>
        <w:tc>
          <w:tcPr>
            <w:tcW w:w="462"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0.94%</w:t>
            </w:r>
          </w:p>
        </w:tc>
        <w:tc>
          <w:tcPr>
            <w:tcW w:w="644"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627,621.00</w:t>
            </w:r>
          </w:p>
        </w:tc>
        <w:tc>
          <w:tcPr>
            <w:tcW w:w="598"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w:t>
            </w:r>
          </w:p>
        </w:tc>
        <w:tc>
          <w:tcPr>
            <w:tcW w:w="662"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0.00</w:t>
            </w:r>
          </w:p>
        </w:tc>
        <w:tc>
          <w:tcPr>
            <w:tcW w:w="721"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627,621.00</w:t>
            </w:r>
          </w:p>
        </w:tc>
        <w:tc>
          <w:tcPr>
            <w:tcW w:w="519" w:type="pct"/>
            <w:gridSpan w:val="2"/>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不适用</w:t>
            </w:r>
          </w:p>
        </w:tc>
        <w:tc>
          <w:tcPr>
            <w:tcW w:w="589"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w:t>
            </w:r>
          </w:p>
        </w:tc>
      </w:tr>
      <w:tr w:rsidR="00E20B54">
        <w:trPr>
          <w:trHeight w:val="240"/>
        </w:trPr>
        <w:tc>
          <w:tcPr>
            <w:tcW w:w="447"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广东天亿马信息产业股份有限公司－</w:t>
            </w:r>
            <w:r>
              <w:rPr>
                <w:sz w:val="18"/>
                <w:szCs w:val="18"/>
              </w:rPr>
              <w:t>2023</w:t>
            </w:r>
            <w:r>
              <w:rPr>
                <w:sz w:val="18"/>
                <w:szCs w:val="18"/>
              </w:rPr>
              <w:t>年员工持股计划</w:t>
            </w:r>
          </w:p>
        </w:tc>
        <w:tc>
          <w:tcPr>
            <w:tcW w:w="352"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其他</w:t>
            </w:r>
          </w:p>
        </w:tc>
        <w:tc>
          <w:tcPr>
            <w:tcW w:w="462"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0.71%</w:t>
            </w:r>
          </w:p>
        </w:tc>
        <w:tc>
          <w:tcPr>
            <w:tcW w:w="644"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472,400.00</w:t>
            </w:r>
          </w:p>
        </w:tc>
        <w:tc>
          <w:tcPr>
            <w:tcW w:w="598"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w:t>
            </w:r>
          </w:p>
        </w:tc>
        <w:tc>
          <w:tcPr>
            <w:tcW w:w="662"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0.00</w:t>
            </w:r>
          </w:p>
        </w:tc>
        <w:tc>
          <w:tcPr>
            <w:tcW w:w="721"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472,400.00</w:t>
            </w:r>
          </w:p>
        </w:tc>
        <w:tc>
          <w:tcPr>
            <w:tcW w:w="519" w:type="pct"/>
            <w:gridSpan w:val="2"/>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不适用</w:t>
            </w:r>
          </w:p>
        </w:tc>
        <w:tc>
          <w:tcPr>
            <w:tcW w:w="589"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w:t>
            </w:r>
          </w:p>
        </w:tc>
      </w:tr>
      <w:tr w:rsidR="00E20B54">
        <w:trPr>
          <w:trHeight w:val="240"/>
        </w:trPr>
        <w:tc>
          <w:tcPr>
            <w:tcW w:w="447"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徐静娴</w:t>
            </w:r>
          </w:p>
        </w:tc>
        <w:tc>
          <w:tcPr>
            <w:tcW w:w="352"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境内自然人</w:t>
            </w:r>
          </w:p>
        </w:tc>
        <w:tc>
          <w:tcPr>
            <w:tcW w:w="462"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0.68%</w:t>
            </w:r>
          </w:p>
        </w:tc>
        <w:tc>
          <w:tcPr>
            <w:tcW w:w="644"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457,500.00</w:t>
            </w:r>
          </w:p>
        </w:tc>
        <w:tc>
          <w:tcPr>
            <w:tcW w:w="598"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w:t>
            </w:r>
          </w:p>
        </w:tc>
        <w:tc>
          <w:tcPr>
            <w:tcW w:w="662"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0.00</w:t>
            </w:r>
          </w:p>
        </w:tc>
        <w:tc>
          <w:tcPr>
            <w:tcW w:w="721"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457,500.00</w:t>
            </w:r>
          </w:p>
        </w:tc>
        <w:tc>
          <w:tcPr>
            <w:tcW w:w="519" w:type="pct"/>
            <w:gridSpan w:val="2"/>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不适用</w:t>
            </w:r>
          </w:p>
        </w:tc>
        <w:tc>
          <w:tcPr>
            <w:tcW w:w="589"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w:t>
            </w:r>
          </w:p>
        </w:tc>
      </w:tr>
      <w:tr w:rsidR="00E20B54">
        <w:trPr>
          <w:trHeight w:val="240"/>
        </w:trPr>
        <w:tc>
          <w:tcPr>
            <w:tcW w:w="447"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谢亮</w:t>
            </w:r>
          </w:p>
        </w:tc>
        <w:tc>
          <w:tcPr>
            <w:tcW w:w="352"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境内自然人</w:t>
            </w:r>
          </w:p>
        </w:tc>
        <w:tc>
          <w:tcPr>
            <w:tcW w:w="462"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0.57%</w:t>
            </w:r>
          </w:p>
        </w:tc>
        <w:tc>
          <w:tcPr>
            <w:tcW w:w="644"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383,000.00</w:t>
            </w:r>
          </w:p>
        </w:tc>
        <w:tc>
          <w:tcPr>
            <w:tcW w:w="598"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w:t>
            </w:r>
          </w:p>
        </w:tc>
        <w:tc>
          <w:tcPr>
            <w:tcW w:w="662"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0.00</w:t>
            </w:r>
          </w:p>
        </w:tc>
        <w:tc>
          <w:tcPr>
            <w:tcW w:w="721"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383,000.00</w:t>
            </w:r>
          </w:p>
        </w:tc>
        <w:tc>
          <w:tcPr>
            <w:tcW w:w="519" w:type="pct"/>
            <w:gridSpan w:val="2"/>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不适用</w:t>
            </w:r>
          </w:p>
        </w:tc>
        <w:tc>
          <w:tcPr>
            <w:tcW w:w="589"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w:t>
            </w:r>
          </w:p>
        </w:tc>
      </w:tr>
      <w:tr w:rsidR="00E20B54">
        <w:trPr>
          <w:trHeight w:val="240"/>
        </w:trPr>
        <w:tc>
          <w:tcPr>
            <w:tcW w:w="447"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戈长弓</w:t>
            </w:r>
          </w:p>
        </w:tc>
        <w:tc>
          <w:tcPr>
            <w:tcW w:w="352"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境内自然人</w:t>
            </w:r>
          </w:p>
        </w:tc>
        <w:tc>
          <w:tcPr>
            <w:tcW w:w="462"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0.56%</w:t>
            </w:r>
          </w:p>
        </w:tc>
        <w:tc>
          <w:tcPr>
            <w:tcW w:w="644"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373,000.00</w:t>
            </w:r>
          </w:p>
        </w:tc>
        <w:tc>
          <w:tcPr>
            <w:tcW w:w="598"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w:t>
            </w:r>
          </w:p>
        </w:tc>
        <w:tc>
          <w:tcPr>
            <w:tcW w:w="662"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0.00</w:t>
            </w:r>
          </w:p>
        </w:tc>
        <w:tc>
          <w:tcPr>
            <w:tcW w:w="721"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373,000.00</w:t>
            </w:r>
          </w:p>
        </w:tc>
        <w:tc>
          <w:tcPr>
            <w:tcW w:w="519" w:type="pct"/>
            <w:gridSpan w:val="2"/>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不适用</w:t>
            </w:r>
          </w:p>
        </w:tc>
        <w:tc>
          <w:tcPr>
            <w:tcW w:w="589"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w:t>
            </w:r>
          </w:p>
        </w:tc>
      </w:tr>
      <w:tr w:rsidR="00E20B54">
        <w:trPr>
          <w:trHeight w:val="240"/>
        </w:trPr>
        <w:tc>
          <w:tcPr>
            <w:tcW w:w="447"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薛皓月</w:t>
            </w:r>
          </w:p>
        </w:tc>
        <w:tc>
          <w:tcPr>
            <w:tcW w:w="352"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境内自然人</w:t>
            </w:r>
          </w:p>
        </w:tc>
        <w:tc>
          <w:tcPr>
            <w:tcW w:w="462"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0.50%</w:t>
            </w:r>
          </w:p>
        </w:tc>
        <w:tc>
          <w:tcPr>
            <w:tcW w:w="644"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334,400.00</w:t>
            </w:r>
          </w:p>
        </w:tc>
        <w:tc>
          <w:tcPr>
            <w:tcW w:w="598"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w:t>
            </w:r>
          </w:p>
        </w:tc>
        <w:tc>
          <w:tcPr>
            <w:tcW w:w="662"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0.00</w:t>
            </w:r>
          </w:p>
        </w:tc>
        <w:tc>
          <w:tcPr>
            <w:tcW w:w="721"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334,400.00</w:t>
            </w:r>
          </w:p>
        </w:tc>
        <w:tc>
          <w:tcPr>
            <w:tcW w:w="519" w:type="pct"/>
            <w:gridSpan w:val="2"/>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不适用</w:t>
            </w:r>
          </w:p>
        </w:tc>
        <w:tc>
          <w:tcPr>
            <w:tcW w:w="589"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w:t>
            </w:r>
          </w:p>
        </w:tc>
      </w:tr>
      <w:tr w:rsidR="00E20B54">
        <w:trPr>
          <w:trHeight w:val="240"/>
        </w:trPr>
        <w:tc>
          <w:tcPr>
            <w:tcW w:w="799" w:type="pct"/>
            <w:gridSpan w:val="2"/>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战略投资者或一般法人因配售新股成为前</w:t>
            </w:r>
            <w:r>
              <w:rPr>
                <w:sz w:val="18"/>
                <w:szCs w:val="18"/>
              </w:rPr>
              <w:t>10</w:t>
            </w:r>
            <w:r>
              <w:rPr>
                <w:sz w:val="18"/>
                <w:szCs w:val="18"/>
              </w:rPr>
              <w:t>名股东的情况（如有）（参见注</w:t>
            </w:r>
            <w:r>
              <w:rPr>
                <w:sz w:val="18"/>
                <w:szCs w:val="18"/>
              </w:rPr>
              <w:t>4</w:t>
            </w:r>
            <w:r>
              <w:rPr>
                <w:sz w:val="18"/>
                <w:szCs w:val="18"/>
              </w:rPr>
              <w:t>）</w:t>
            </w:r>
          </w:p>
        </w:tc>
        <w:tc>
          <w:tcPr>
            <w:tcW w:w="4200" w:type="pct"/>
            <w:gridSpan w:val="8"/>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无</w:t>
            </w:r>
          </w:p>
        </w:tc>
      </w:tr>
      <w:tr w:rsidR="00E20B54">
        <w:trPr>
          <w:trHeight w:val="240"/>
        </w:trPr>
        <w:tc>
          <w:tcPr>
            <w:tcW w:w="799" w:type="pct"/>
            <w:gridSpan w:val="2"/>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上述股东关联关系或一致行动的说明</w:t>
            </w:r>
          </w:p>
        </w:tc>
        <w:tc>
          <w:tcPr>
            <w:tcW w:w="4200" w:type="pct"/>
            <w:gridSpan w:val="8"/>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上述股东之间，马学沛与林明玲系夫妻关系，马学沛为南京优志投资管理合伙企业（有限合伙）有限合伙人。此外，公司未知上述其他股东之间是否存在关联关系或属于一致行动人。</w:t>
            </w:r>
          </w:p>
        </w:tc>
      </w:tr>
      <w:tr w:rsidR="00E20B54">
        <w:trPr>
          <w:trHeight w:val="240"/>
        </w:trPr>
        <w:tc>
          <w:tcPr>
            <w:tcW w:w="799" w:type="pct"/>
            <w:gridSpan w:val="2"/>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上述股东涉及委托</w:t>
            </w:r>
            <w:r>
              <w:rPr>
                <w:sz w:val="18"/>
                <w:szCs w:val="18"/>
              </w:rPr>
              <w:t>/</w:t>
            </w:r>
            <w:r>
              <w:rPr>
                <w:sz w:val="18"/>
                <w:szCs w:val="18"/>
              </w:rPr>
              <w:t>受托表决权、放弃表决权情况的说明</w:t>
            </w:r>
          </w:p>
        </w:tc>
        <w:tc>
          <w:tcPr>
            <w:tcW w:w="4200" w:type="pct"/>
            <w:gridSpan w:val="8"/>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无</w:t>
            </w:r>
          </w:p>
        </w:tc>
      </w:tr>
      <w:tr w:rsidR="00E20B54">
        <w:trPr>
          <w:trHeight w:val="240"/>
        </w:trPr>
        <w:tc>
          <w:tcPr>
            <w:tcW w:w="799" w:type="pct"/>
            <w:gridSpan w:val="2"/>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前</w:t>
            </w:r>
            <w:r>
              <w:rPr>
                <w:sz w:val="18"/>
                <w:szCs w:val="18"/>
              </w:rPr>
              <w:t>10</w:t>
            </w:r>
            <w:r>
              <w:rPr>
                <w:sz w:val="18"/>
                <w:szCs w:val="18"/>
              </w:rPr>
              <w:t>名股东中存在回购专户的特别说明（如有）（参见注</w:t>
            </w:r>
            <w:r>
              <w:rPr>
                <w:sz w:val="18"/>
                <w:szCs w:val="18"/>
              </w:rPr>
              <w:t>10</w:t>
            </w:r>
            <w:r>
              <w:rPr>
                <w:sz w:val="18"/>
                <w:szCs w:val="18"/>
              </w:rPr>
              <w:t>）</w:t>
            </w:r>
          </w:p>
        </w:tc>
        <w:tc>
          <w:tcPr>
            <w:tcW w:w="4200" w:type="pct"/>
            <w:gridSpan w:val="8"/>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报告期末，公司回购专户</w:t>
            </w:r>
            <w:r>
              <w:rPr>
                <w:sz w:val="18"/>
                <w:szCs w:val="18"/>
              </w:rPr>
              <w:t>“</w:t>
            </w:r>
            <w:r>
              <w:rPr>
                <w:sz w:val="18"/>
                <w:szCs w:val="18"/>
              </w:rPr>
              <w:t>广东天亿马信息产业股份有限公司回购专用证券账户</w:t>
            </w:r>
            <w:r>
              <w:rPr>
                <w:sz w:val="18"/>
                <w:szCs w:val="18"/>
              </w:rPr>
              <w:t>”</w:t>
            </w:r>
            <w:r>
              <w:rPr>
                <w:sz w:val="18"/>
                <w:szCs w:val="18"/>
              </w:rPr>
              <w:t>持有公司股票</w:t>
            </w:r>
            <w:r>
              <w:rPr>
                <w:sz w:val="18"/>
                <w:szCs w:val="18"/>
              </w:rPr>
              <w:t>1,224,140</w:t>
            </w:r>
            <w:r>
              <w:rPr>
                <w:sz w:val="18"/>
                <w:szCs w:val="18"/>
              </w:rPr>
              <w:t>股，占公司报告期末总股本的</w:t>
            </w:r>
            <w:r>
              <w:rPr>
                <w:sz w:val="18"/>
                <w:szCs w:val="18"/>
              </w:rPr>
              <w:t>1.83%</w:t>
            </w:r>
            <w:r>
              <w:rPr>
                <w:sz w:val="18"/>
                <w:szCs w:val="18"/>
              </w:rPr>
              <w:t>。</w:t>
            </w:r>
          </w:p>
        </w:tc>
      </w:tr>
      <w:tr w:rsidR="00E20B54">
        <w:trPr>
          <w:trHeight w:val="240"/>
        </w:trPr>
        <w:tc>
          <w:tcPr>
            <w:tcW w:w="5000" w:type="pct"/>
            <w:gridSpan w:val="10"/>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前</w:t>
            </w:r>
            <w:r>
              <w:rPr>
                <w:sz w:val="18"/>
                <w:szCs w:val="18"/>
              </w:rPr>
              <w:t>10</w:t>
            </w:r>
            <w:r>
              <w:rPr>
                <w:sz w:val="18"/>
                <w:szCs w:val="18"/>
              </w:rPr>
              <w:t>名无限售条件股东持股情况（不含通过转融通出借股份、高管锁定股）</w:t>
            </w:r>
          </w:p>
        </w:tc>
      </w:tr>
      <w:tr w:rsidR="00E20B54">
        <w:trPr>
          <w:trHeight w:val="240"/>
        </w:trPr>
        <w:tc>
          <w:tcPr>
            <w:tcW w:w="799" w:type="pct"/>
            <w:gridSpan w:val="2"/>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股东名称</w:t>
            </w:r>
          </w:p>
        </w:tc>
        <w:tc>
          <w:tcPr>
            <w:tcW w:w="3090" w:type="pct"/>
            <w:gridSpan w:val="5"/>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报告期末持有无限售条件股份数量</w:t>
            </w:r>
          </w:p>
        </w:tc>
        <w:tc>
          <w:tcPr>
            <w:tcW w:w="1109" w:type="pct"/>
            <w:gridSpan w:val="3"/>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股份种类</w:t>
            </w:r>
          </w:p>
        </w:tc>
      </w:tr>
      <w:tr w:rsidR="00E20B54">
        <w:trPr>
          <w:trHeight w:val="240"/>
        </w:trPr>
        <w:tc>
          <w:tcPr>
            <w:tcW w:w="799" w:type="pct"/>
            <w:gridSpan w:val="2"/>
            <w:vMerge/>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c>
          <w:tcPr>
            <w:tcW w:w="3090" w:type="pct"/>
            <w:gridSpan w:val="5"/>
            <w:vMerge/>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c>
          <w:tcPr>
            <w:tcW w:w="519" w:type="pct"/>
            <w:gridSpan w:val="2"/>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股份种类</w:t>
            </w:r>
          </w:p>
        </w:tc>
        <w:tc>
          <w:tcPr>
            <w:tcW w:w="589" w:type="pc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数量</w:t>
            </w:r>
          </w:p>
        </w:tc>
      </w:tr>
      <w:tr w:rsidR="00E20B54">
        <w:trPr>
          <w:trHeight w:val="240"/>
        </w:trPr>
        <w:tc>
          <w:tcPr>
            <w:tcW w:w="799" w:type="pct"/>
            <w:gridSpan w:val="2"/>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林明玲</w:t>
            </w:r>
          </w:p>
        </w:tc>
        <w:tc>
          <w:tcPr>
            <w:tcW w:w="3090" w:type="pct"/>
            <w:gridSpan w:val="5"/>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4,831,956.00</w:t>
            </w:r>
          </w:p>
        </w:tc>
        <w:tc>
          <w:tcPr>
            <w:tcW w:w="519" w:type="pct"/>
            <w:gridSpan w:val="2"/>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人民币普通股</w:t>
            </w:r>
          </w:p>
        </w:tc>
        <w:tc>
          <w:tcPr>
            <w:tcW w:w="589"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4,831,956.00</w:t>
            </w:r>
          </w:p>
        </w:tc>
      </w:tr>
      <w:tr w:rsidR="00E20B54">
        <w:trPr>
          <w:trHeight w:val="240"/>
        </w:trPr>
        <w:tc>
          <w:tcPr>
            <w:tcW w:w="799" w:type="pct"/>
            <w:gridSpan w:val="2"/>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南京优志投资管</w:t>
            </w:r>
            <w:r>
              <w:rPr>
                <w:sz w:val="18"/>
                <w:szCs w:val="18"/>
              </w:rPr>
              <w:lastRenderedPageBreak/>
              <w:t>理合伙企业（有限合伙）</w:t>
            </w:r>
          </w:p>
        </w:tc>
        <w:tc>
          <w:tcPr>
            <w:tcW w:w="3090" w:type="pct"/>
            <w:gridSpan w:val="5"/>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lastRenderedPageBreak/>
              <w:t>2,017,000.00</w:t>
            </w:r>
          </w:p>
        </w:tc>
        <w:tc>
          <w:tcPr>
            <w:tcW w:w="519" w:type="pct"/>
            <w:gridSpan w:val="2"/>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人民币普</w:t>
            </w:r>
            <w:r>
              <w:rPr>
                <w:sz w:val="18"/>
                <w:szCs w:val="18"/>
              </w:rPr>
              <w:lastRenderedPageBreak/>
              <w:t>通股</w:t>
            </w:r>
          </w:p>
        </w:tc>
        <w:tc>
          <w:tcPr>
            <w:tcW w:w="589"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lastRenderedPageBreak/>
              <w:t>2,017,000.00</w:t>
            </w:r>
          </w:p>
        </w:tc>
      </w:tr>
      <w:tr w:rsidR="00E20B54">
        <w:trPr>
          <w:trHeight w:val="240"/>
        </w:trPr>
        <w:tc>
          <w:tcPr>
            <w:tcW w:w="799" w:type="pct"/>
            <w:gridSpan w:val="2"/>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lastRenderedPageBreak/>
              <w:t>马学沛</w:t>
            </w:r>
          </w:p>
        </w:tc>
        <w:tc>
          <w:tcPr>
            <w:tcW w:w="3090" w:type="pct"/>
            <w:gridSpan w:val="5"/>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1,045,530.00</w:t>
            </w:r>
          </w:p>
        </w:tc>
        <w:tc>
          <w:tcPr>
            <w:tcW w:w="519" w:type="pct"/>
            <w:gridSpan w:val="2"/>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人民币普通股</w:t>
            </w:r>
          </w:p>
        </w:tc>
        <w:tc>
          <w:tcPr>
            <w:tcW w:w="589"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1,045,530.00</w:t>
            </w:r>
          </w:p>
        </w:tc>
      </w:tr>
      <w:tr w:rsidR="00E20B54">
        <w:trPr>
          <w:trHeight w:val="240"/>
        </w:trPr>
        <w:tc>
          <w:tcPr>
            <w:tcW w:w="799" w:type="pct"/>
            <w:gridSpan w:val="2"/>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陈前平</w:t>
            </w:r>
          </w:p>
        </w:tc>
        <w:tc>
          <w:tcPr>
            <w:tcW w:w="3090" w:type="pct"/>
            <w:gridSpan w:val="5"/>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800,000.00</w:t>
            </w:r>
          </w:p>
        </w:tc>
        <w:tc>
          <w:tcPr>
            <w:tcW w:w="519" w:type="pct"/>
            <w:gridSpan w:val="2"/>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人民币普通股</w:t>
            </w:r>
          </w:p>
        </w:tc>
        <w:tc>
          <w:tcPr>
            <w:tcW w:w="589"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800,000.00</w:t>
            </w:r>
          </w:p>
        </w:tc>
      </w:tr>
      <w:tr w:rsidR="00E20B54">
        <w:trPr>
          <w:trHeight w:val="240"/>
        </w:trPr>
        <w:tc>
          <w:tcPr>
            <w:tcW w:w="799" w:type="pct"/>
            <w:gridSpan w:val="2"/>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王松</w:t>
            </w:r>
          </w:p>
        </w:tc>
        <w:tc>
          <w:tcPr>
            <w:tcW w:w="3090" w:type="pct"/>
            <w:gridSpan w:val="5"/>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627,621.00</w:t>
            </w:r>
          </w:p>
        </w:tc>
        <w:tc>
          <w:tcPr>
            <w:tcW w:w="519" w:type="pct"/>
            <w:gridSpan w:val="2"/>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人民币普通股</w:t>
            </w:r>
          </w:p>
        </w:tc>
        <w:tc>
          <w:tcPr>
            <w:tcW w:w="589"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627,621.00</w:t>
            </w:r>
          </w:p>
        </w:tc>
      </w:tr>
      <w:tr w:rsidR="00E20B54">
        <w:trPr>
          <w:trHeight w:val="240"/>
        </w:trPr>
        <w:tc>
          <w:tcPr>
            <w:tcW w:w="799" w:type="pct"/>
            <w:gridSpan w:val="2"/>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广东天亿马信息产业股份有限公司－</w:t>
            </w:r>
            <w:r>
              <w:rPr>
                <w:sz w:val="18"/>
                <w:szCs w:val="18"/>
              </w:rPr>
              <w:t>2023</w:t>
            </w:r>
            <w:r>
              <w:rPr>
                <w:sz w:val="18"/>
                <w:szCs w:val="18"/>
              </w:rPr>
              <w:t>年员工持股计划</w:t>
            </w:r>
          </w:p>
        </w:tc>
        <w:tc>
          <w:tcPr>
            <w:tcW w:w="3090" w:type="pct"/>
            <w:gridSpan w:val="5"/>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472,400.00</w:t>
            </w:r>
          </w:p>
        </w:tc>
        <w:tc>
          <w:tcPr>
            <w:tcW w:w="519" w:type="pct"/>
            <w:gridSpan w:val="2"/>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人民币普通股</w:t>
            </w:r>
          </w:p>
        </w:tc>
        <w:tc>
          <w:tcPr>
            <w:tcW w:w="589"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472,400.00</w:t>
            </w:r>
          </w:p>
        </w:tc>
      </w:tr>
      <w:tr w:rsidR="00E20B54">
        <w:trPr>
          <w:trHeight w:val="240"/>
        </w:trPr>
        <w:tc>
          <w:tcPr>
            <w:tcW w:w="799" w:type="pct"/>
            <w:gridSpan w:val="2"/>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徐静娴</w:t>
            </w:r>
          </w:p>
        </w:tc>
        <w:tc>
          <w:tcPr>
            <w:tcW w:w="3090" w:type="pct"/>
            <w:gridSpan w:val="5"/>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457,500.00</w:t>
            </w:r>
          </w:p>
        </w:tc>
        <w:tc>
          <w:tcPr>
            <w:tcW w:w="519" w:type="pct"/>
            <w:gridSpan w:val="2"/>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人民币普通股</w:t>
            </w:r>
          </w:p>
        </w:tc>
        <w:tc>
          <w:tcPr>
            <w:tcW w:w="589"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457,500.00</w:t>
            </w:r>
          </w:p>
        </w:tc>
      </w:tr>
      <w:tr w:rsidR="00E20B54">
        <w:trPr>
          <w:trHeight w:val="240"/>
        </w:trPr>
        <w:tc>
          <w:tcPr>
            <w:tcW w:w="799" w:type="pct"/>
            <w:gridSpan w:val="2"/>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谢亮</w:t>
            </w:r>
          </w:p>
        </w:tc>
        <w:tc>
          <w:tcPr>
            <w:tcW w:w="3090" w:type="pct"/>
            <w:gridSpan w:val="5"/>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383,000.00</w:t>
            </w:r>
          </w:p>
        </w:tc>
        <w:tc>
          <w:tcPr>
            <w:tcW w:w="519" w:type="pct"/>
            <w:gridSpan w:val="2"/>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人民币普通股</w:t>
            </w:r>
          </w:p>
        </w:tc>
        <w:tc>
          <w:tcPr>
            <w:tcW w:w="589"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383,000.00</w:t>
            </w:r>
          </w:p>
        </w:tc>
      </w:tr>
      <w:tr w:rsidR="00E20B54">
        <w:trPr>
          <w:trHeight w:val="240"/>
        </w:trPr>
        <w:tc>
          <w:tcPr>
            <w:tcW w:w="799" w:type="pct"/>
            <w:gridSpan w:val="2"/>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戈长弓</w:t>
            </w:r>
          </w:p>
        </w:tc>
        <w:tc>
          <w:tcPr>
            <w:tcW w:w="3090" w:type="pct"/>
            <w:gridSpan w:val="5"/>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373,000.00</w:t>
            </w:r>
          </w:p>
        </w:tc>
        <w:tc>
          <w:tcPr>
            <w:tcW w:w="519" w:type="pct"/>
            <w:gridSpan w:val="2"/>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人民币普通股</w:t>
            </w:r>
          </w:p>
        </w:tc>
        <w:tc>
          <w:tcPr>
            <w:tcW w:w="589"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373,000.00</w:t>
            </w:r>
          </w:p>
        </w:tc>
      </w:tr>
      <w:tr w:rsidR="00E20B54">
        <w:trPr>
          <w:trHeight w:val="240"/>
        </w:trPr>
        <w:tc>
          <w:tcPr>
            <w:tcW w:w="799" w:type="pct"/>
            <w:gridSpan w:val="2"/>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薛皓月</w:t>
            </w:r>
          </w:p>
        </w:tc>
        <w:tc>
          <w:tcPr>
            <w:tcW w:w="3090" w:type="pct"/>
            <w:gridSpan w:val="5"/>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334,400.00</w:t>
            </w:r>
          </w:p>
        </w:tc>
        <w:tc>
          <w:tcPr>
            <w:tcW w:w="519" w:type="pct"/>
            <w:gridSpan w:val="2"/>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人民币普通股</w:t>
            </w:r>
          </w:p>
        </w:tc>
        <w:tc>
          <w:tcPr>
            <w:tcW w:w="589"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334,400.00</w:t>
            </w:r>
          </w:p>
        </w:tc>
      </w:tr>
      <w:tr w:rsidR="00E20B54">
        <w:trPr>
          <w:trHeight w:val="240"/>
        </w:trPr>
        <w:tc>
          <w:tcPr>
            <w:tcW w:w="799" w:type="pct"/>
            <w:gridSpan w:val="2"/>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前</w:t>
            </w:r>
            <w:r>
              <w:rPr>
                <w:sz w:val="18"/>
                <w:szCs w:val="18"/>
              </w:rPr>
              <w:t>10</w:t>
            </w:r>
            <w:r>
              <w:rPr>
                <w:sz w:val="18"/>
                <w:szCs w:val="18"/>
              </w:rPr>
              <w:t>名无限售流通股股东之间，以及前</w:t>
            </w:r>
            <w:r>
              <w:rPr>
                <w:sz w:val="18"/>
                <w:szCs w:val="18"/>
              </w:rPr>
              <w:t>10</w:t>
            </w:r>
            <w:r>
              <w:rPr>
                <w:sz w:val="18"/>
                <w:szCs w:val="18"/>
              </w:rPr>
              <w:t>名无限售流通股股东和前</w:t>
            </w:r>
            <w:r>
              <w:rPr>
                <w:sz w:val="18"/>
                <w:szCs w:val="18"/>
              </w:rPr>
              <w:t>10</w:t>
            </w:r>
            <w:r>
              <w:rPr>
                <w:sz w:val="18"/>
                <w:szCs w:val="18"/>
              </w:rPr>
              <w:t>名股东之间关联关系或一致行动的说明</w:t>
            </w:r>
          </w:p>
        </w:tc>
        <w:tc>
          <w:tcPr>
            <w:tcW w:w="4200" w:type="pct"/>
            <w:gridSpan w:val="8"/>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上述股东之间，马学沛与林明玲系夫妻关系，马学沛为南京优志投资管理合伙企业（有限合伙）有限合伙人。此外，公司未知上述其他股东之间是否存在关联关系或属于一致行动人。</w:t>
            </w:r>
          </w:p>
        </w:tc>
      </w:tr>
      <w:tr w:rsidR="00E20B54">
        <w:trPr>
          <w:trHeight w:val="240"/>
        </w:trPr>
        <w:tc>
          <w:tcPr>
            <w:tcW w:w="799" w:type="pct"/>
            <w:gridSpan w:val="2"/>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参与融资融券业务股东情况说明（如有）（参见注</w:t>
            </w:r>
            <w:r>
              <w:rPr>
                <w:sz w:val="18"/>
                <w:szCs w:val="18"/>
              </w:rPr>
              <w:t>5</w:t>
            </w:r>
            <w:r>
              <w:rPr>
                <w:sz w:val="18"/>
                <w:szCs w:val="18"/>
              </w:rPr>
              <w:t>）</w:t>
            </w:r>
          </w:p>
        </w:tc>
        <w:tc>
          <w:tcPr>
            <w:tcW w:w="4200" w:type="pct"/>
            <w:gridSpan w:val="8"/>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①</w:t>
            </w:r>
            <w:r>
              <w:rPr>
                <w:sz w:val="18"/>
                <w:szCs w:val="18"/>
              </w:rPr>
              <w:t>陈前平通过普通证券账户持有公司股份</w:t>
            </w:r>
            <w:r>
              <w:rPr>
                <w:sz w:val="18"/>
                <w:szCs w:val="18"/>
              </w:rPr>
              <w:t>0</w:t>
            </w:r>
            <w:r>
              <w:rPr>
                <w:sz w:val="18"/>
                <w:szCs w:val="18"/>
              </w:rPr>
              <w:t>股，通过投资者信用证券账户持有公司股份</w:t>
            </w:r>
            <w:r>
              <w:rPr>
                <w:sz w:val="18"/>
                <w:szCs w:val="18"/>
              </w:rPr>
              <w:t>800,000</w:t>
            </w:r>
            <w:r>
              <w:rPr>
                <w:sz w:val="18"/>
                <w:szCs w:val="18"/>
              </w:rPr>
              <w:t>股，合计持有公司股份</w:t>
            </w:r>
            <w:r>
              <w:rPr>
                <w:sz w:val="18"/>
                <w:szCs w:val="18"/>
              </w:rPr>
              <w:t>800,000</w:t>
            </w:r>
            <w:r>
              <w:rPr>
                <w:sz w:val="18"/>
                <w:szCs w:val="18"/>
              </w:rPr>
              <w:t>股；</w:t>
            </w:r>
          </w:p>
          <w:p w:rsidR="00E20B54" w:rsidRDefault="00733C9E">
            <w:pPr>
              <w:spacing w:line="240" w:lineRule="exact"/>
              <w:rPr>
                <w:sz w:val="18"/>
                <w:szCs w:val="18"/>
              </w:rPr>
            </w:pPr>
            <w:r>
              <w:rPr>
                <w:sz w:val="18"/>
                <w:szCs w:val="18"/>
              </w:rPr>
              <w:t>②</w:t>
            </w:r>
            <w:r>
              <w:rPr>
                <w:sz w:val="18"/>
                <w:szCs w:val="18"/>
              </w:rPr>
              <w:t>王松通过普通证券账户持有公司股份</w:t>
            </w:r>
            <w:r>
              <w:rPr>
                <w:sz w:val="18"/>
                <w:szCs w:val="18"/>
              </w:rPr>
              <w:t>17,900</w:t>
            </w:r>
            <w:r>
              <w:rPr>
                <w:sz w:val="18"/>
                <w:szCs w:val="18"/>
              </w:rPr>
              <w:t>股，通过投资者信用证券账户持有公司股份</w:t>
            </w:r>
            <w:r>
              <w:rPr>
                <w:sz w:val="18"/>
                <w:szCs w:val="18"/>
              </w:rPr>
              <w:t>609,721</w:t>
            </w:r>
            <w:r>
              <w:rPr>
                <w:sz w:val="18"/>
                <w:szCs w:val="18"/>
              </w:rPr>
              <w:t>股，合计持有公司股份</w:t>
            </w:r>
            <w:r>
              <w:rPr>
                <w:sz w:val="18"/>
                <w:szCs w:val="18"/>
              </w:rPr>
              <w:t>627,621</w:t>
            </w:r>
            <w:r>
              <w:rPr>
                <w:sz w:val="18"/>
                <w:szCs w:val="18"/>
              </w:rPr>
              <w:t>股；</w:t>
            </w:r>
          </w:p>
          <w:p w:rsidR="00E20B54" w:rsidRDefault="00733C9E">
            <w:pPr>
              <w:spacing w:line="240" w:lineRule="exact"/>
              <w:rPr>
                <w:sz w:val="18"/>
                <w:szCs w:val="18"/>
              </w:rPr>
            </w:pPr>
            <w:r>
              <w:rPr>
                <w:sz w:val="18"/>
                <w:szCs w:val="18"/>
              </w:rPr>
              <w:t>③</w:t>
            </w:r>
            <w:r>
              <w:rPr>
                <w:sz w:val="18"/>
                <w:szCs w:val="18"/>
              </w:rPr>
              <w:t>谢亮通过普通证券账户持有公司股份</w:t>
            </w:r>
            <w:r>
              <w:rPr>
                <w:sz w:val="18"/>
                <w:szCs w:val="18"/>
              </w:rPr>
              <w:t>0</w:t>
            </w:r>
            <w:r>
              <w:rPr>
                <w:sz w:val="18"/>
                <w:szCs w:val="18"/>
              </w:rPr>
              <w:t>股，通过投资者信用证券账户持有公司股份</w:t>
            </w:r>
            <w:r>
              <w:rPr>
                <w:sz w:val="18"/>
                <w:szCs w:val="18"/>
              </w:rPr>
              <w:t>383,000</w:t>
            </w:r>
            <w:r>
              <w:rPr>
                <w:sz w:val="18"/>
                <w:szCs w:val="18"/>
              </w:rPr>
              <w:t>股，合计持有公司股份</w:t>
            </w:r>
            <w:r>
              <w:rPr>
                <w:sz w:val="18"/>
                <w:szCs w:val="18"/>
              </w:rPr>
              <w:t>383,000</w:t>
            </w:r>
            <w:r>
              <w:rPr>
                <w:sz w:val="18"/>
                <w:szCs w:val="18"/>
              </w:rPr>
              <w:t>股；</w:t>
            </w:r>
          </w:p>
          <w:p w:rsidR="00E20B54" w:rsidRDefault="00733C9E">
            <w:pPr>
              <w:spacing w:line="240" w:lineRule="exact"/>
              <w:rPr>
                <w:sz w:val="18"/>
                <w:szCs w:val="18"/>
              </w:rPr>
            </w:pPr>
            <w:r>
              <w:rPr>
                <w:sz w:val="18"/>
                <w:szCs w:val="18"/>
              </w:rPr>
              <w:t>④</w:t>
            </w:r>
            <w:r>
              <w:rPr>
                <w:sz w:val="18"/>
                <w:szCs w:val="18"/>
              </w:rPr>
              <w:t>薛皓月通过普通证券账户持有公司股份</w:t>
            </w:r>
            <w:r>
              <w:rPr>
                <w:sz w:val="18"/>
                <w:szCs w:val="18"/>
              </w:rPr>
              <w:t>0</w:t>
            </w:r>
            <w:r>
              <w:rPr>
                <w:sz w:val="18"/>
                <w:szCs w:val="18"/>
              </w:rPr>
              <w:t>股，通过投资者信用证券账户持有公司股份</w:t>
            </w:r>
            <w:r>
              <w:rPr>
                <w:sz w:val="18"/>
                <w:szCs w:val="18"/>
              </w:rPr>
              <w:t>334,400</w:t>
            </w:r>
            <w:r>
              <w:rPr>
                <w:sz w:val="18"/>
                <w:szCs w:val="18"/>
              </w:rPr>
              <w:t>股，合计持有公司股份</w:t>
            </w:r>
            <w:r>
              <w:rPr>
                <w:sz w:val="18"/>
                <w:szCs w:val="18"/>
              </w:rPr>
              <w:t>334,400</w:t>
            </w:r>
            <w:r>
              <w:rPr>
                <w:sz w:val="18"/>
                <w:szCs w:val="18"/>
              </w:rPr>
              <w:t>股。</w:t>
            </w:r>
          </w:p>
        </w:tc>
      </w:tr>
    </w:tbl>
    <w:p w:rsidR="00E20B54" w:rsidRDefault="00733C9E">
      <w:pPr>
        <w:spacing w:before="100" w:after="100" w:line="240" w:lineRule="exact"/>
        <w:rPr>
          <w:sz w:val="18"/>
          <w:szCs w:val="18"/>
        </w:rPr>
      </w:pPr>
      <w:r>
        <w:rPr>
          <w:sz w:val="18"/>
          <w:szCs w:val="18"/>
        </w:rPr>
        <w:t>持股</w:t>
      </w:r>
      <w:r>
        <w:rPr>
          <w:sz w:val="18"/>
          <w:szCs w:val="18"/>
        </w:rPr>
        <w:t>5%</w:t>
      </w:r>
      <w:r>
        <w:rPr>
          <w:sz w:val="18"/>
          <w:szCs w:val="18"/>
        </w:rPr>
        <w:t>以上股东、前</w:t>
      </w:r>
      <w:r>
        <w:rPr>
          <w:sz w:val="18"/>
          <w:szCs w:val="18"/>
        </w:rPr>
        <w:t>10</w:t>
      </w:r>
      <w:r>
        <w:rPr>
          <w:sz w:val="18"/>
          <w:szCs w:val="18"/>
        </w:rPr>
        <w:t>名股东及前</w:t>
      </w:r>
      <w:r>
        <w:rPr>
          <w:sz w:val="18"/>
          <w:szCs w:val="18"/>
        </w:rPr>
        <w:t>10</w:t>
      </w:r>
      <w:r>
        <w:rPr>
          <w:sz w:val="18"/>
          <w:szCs w:val="18"/>
        </w:rPr>
        <w:t>名无限售流通股股东参与转融通业务出借股份情况</w:t>
      </w:r>
    </w:p>
    <w:p w:rsidR="00E20B54" w:rsidRDefault="00733C9E">
      <w:pPr>
        <w:spacing w:line="240" w:lineRule="exact"/>
        <w:rPr>
          <w:sz w:val="18"/>
          <w:szCs w:val="18"/>
        </w:rPr>
      </w:pPr>
      <w:r>
        <w:rPr>
          <w:sz w:val="18"/>
          <w:szCs w:val="18"/>
        </w:rPr>
        <w:t>□</w:t>
      </w:r>
      <w:r>
        <w:rPr>
          <w:sz w:val="18"/>
          <w:szCs w:val="18"/>
        </w:rPr>
        <w:t>适用</w:t>
      </w:r>
      <w:r>
        <w:rPr>
          <w:sz w:val="18"/>
          <w:szCs w:val="18"/>
        </w:rPr>
        <w:t xml:space="preserve"> </w:t>
      </w:r>
      <w:r>
        <w:rPr>
          <w:sz w:val="18"/>
          <w:szCs w:val="18"/>
        </w:rPr>
        <w:sym w:font="Wingdings 2" w:char="F052"/>
      </w:r>
      <w:r>
        <w:rPr>
          <w:sz w:val="18"/>
          <w:szCs w:val="18"/>
        </w:rPr>
        <w:t>不适用</w:t>
      </w:r>
    </w:p>
    <w:p w:rsidR="00E20B54" w:rsidRDefault="00733C9E">
      <w:pPr>
        <w:spacing w:before="100" w:after="100" w:line="240" w:lineRule="exact"/>
        <w:rPr>
          <w:sz w:val="18"/>
          <w:szCs w:val="18"/>
        </w:rPr>
      </w:pPr>
      <w:r>
        <w:rPr>
          <w:sz w:val="18"/>
          <w:szCs w:val="18"/>
        </w:rPr>
        <w:t>前</w:t>
      </w:r>
      <w:r>
        <w:rPr>
          <w:sz w:val="18"/>
          <w:szCs w:val="18"/>
        </w:rPr>
        <w:t>10</w:t>
      </w:r>
      <w:r>
        <w:rPr>
          <w:sz w:val="18"/>
          <w:szCs w:val="18"/>
        </w:rPr>
        <w:t>名股东及前</w:t>
      </w:r>
      <w:r>
        <w:rPr>
          <w:sz w:val="18"/>
          <w:szCs w:val="18"/>
        </w:rPr>
        <w:t>10</w:t>
      </w:r>
      <w:r>
        <w:rPr>
          <w:sz w:val="18"/>
          <w:szCs w:val="18"/>
        </w:rPr>
        <w:t>名无限售流通股股东因转融通出借</w:t>
      </w:r>
      <w:r>
        <w:rPr>
          <w:sz w:val="18"/>
          <w:szCs w:val="18"/>
        </w:rPr>
        <w:t>/</w:t>
      </w:r>
      <w:r>
        <w:rPr>
          <w:sz w:val="18"/>
          <w:szCs w:val="18"/>
        </w:rPr>
        <w:t>归还原因导致较上期发生变化</w:t>
      </w:r>
    </w:p>
    <w:p w:rsidR="00E20B54" w:rsidRDefault="00733C9E">
      <w:pPr>
        <w:spacing w:line="240" w:lineRule="exact"/>
        <w:rPr>
          <w:sz w:val="18"/>
          <w:szCs w:val="18"/>
        </w:rPr>
      </w:pPr>
      <w:r>
        <w:rPr>
          <w:sz w:val="18"/>
          <w:szCs w:val="18"/>
        </w:rPr>
        <w:t>□</w:t>
      </w:r>
      <w:r>
        <w:rPr>
          <w:sz w:val="18"/>
          <w:szCs w:val="18"/>
        </w:rPr>
        <w:t>适用</w:t>
      </w:r>
      <w:r>
        <w:rPr>
          <w:sz w:val="18"/>
          <w:szCs w:val="18"/>
        </w:rPr>
        <w:t xml:space="preserve"> </w:t>
      </w:r>
      <w:r>
        <w:rPr>
          <w:sz w:val="18"/>
          <w:szCs w:val="18"/>
        </w:rPr>
        <w:sym w:font="Wingdings 2" w:char="F052"/>
      </w:r>
      <w:r>
        <w:rPr>
          <w:sz w:val="18"/>
          <w:szCs w:val="18"/>
        </w:rPr>
        <w:t>不适用</w:t>
      </w:r>
    </w:p>
    <w:p w:rsidR="00E20B54" w:rsidRDefault="00733C9E">
      <w:pPr>
        <w:spacing w:before="100" w:after="100" w:line="240" w:lineRule="exact"/>
        <w:rPr>
          <w:sz w:val="18"/>
          <w:szCs w:val="18"/>
        </w:rPr>
      </w:pPr>
      <w:r>
        <w:rPr>
          <w:sz w:val="18"/>
          <w:szCs w:val="18"/>
        </w:rPr>
        <w:t>公司是否具有表决权差异安排</w:t>
      </w:r>
    </w:p>
    <w:p w:rsidR="00E20B54" w:rsidRDefault="00733C9E">
      <w:pPr>
        <w:spacing w:line="240" w:lineRule="exact"/>
        <w:rPr>
          <w:sz w:val="18"/>
          <w:szCs w:val="18"/>
        </w:rPr>
      </w:pPr>
      <w:r>
        <w:rPr>
          <w:sz w:val="18"/>
          <w:szCs w:val="18"/>
        </w:rPr>
        <w:t>□</w:t>
      </w:r>
      <w:r>
        <w:rPr>
          <w:sz w:val="18"/>
          <w:szCs w:val="18"/>
        </w:rPr>
        <w:t>适用</w:t>
      </w:r>
      <w:r>
        <w:rPr>
          <w:sz w:val="18"/>
          <w:szCs w:val="18"/>
        </w:rPr>
        <w:t xml:space="preserve"> </w:t>
      </w:r>
      <w:r>
        <w:rPr>
          <w:sz w:val="18"/>
          <w:szCs w:val="18"/>
        </w:rPr>
        <w:sym w:font="Wingdings 2" w:char="F052"/>
      </w:r>
      <w:r>
        <w:rPr>
          <w:sz w:val="18"/>
          <w:szCs w:val="18"/>
        </w:rPr>
        <w:t>不适用</w:t>
      </w:r>
    </w:p>
    <w:p w:rsidR="00E20B54" w:rsidRDefault="00733C9E">
      <w:pPr>
        <w:spacing w:before="100" w:after="100" w:line="240" w:lineRule="exact"/>
        <w:rPr>
          <w:sz w:val="18"/>
          <w:szCs w:val="18"/>
        </w:rPr>
      </w:pPr>
      <w:r>
        <w:rPr>
          <w:sz w:val="18"/>
          <w:szCs w:val="18"/>
        </w:rPr>
        <w:t>公司前</w:t>
      </w:r>
      <w:r>
        <w:rPr>
          <w:sz w:val="18"/>
          <w:szCs w:val="18"/>
        </w:rPr>
        <w:t>10</w:t>
      </w:r>
      <w:r>
        <w:rPr>
          <w:sz w:val="18"/>
          <w:szCs w:val="18"/>
        </w:rPr>
        <w:t>名普通股股东、前</w:t>
      </w:r>
      <w:r>
        <w:rPr>
          <w:sz w:val="18"/>
          <w:szCs w:val="18"/>
        </w:rPr>
        <w:t>10</w:t>
      </w:r>
      <w:r>
        <w:rPr>
          <w:sz w:val="18"/>
          <w:szCs w:val="18"/>
        </w:rPr>
        <w:t>名无限售条件普通股股东在报告期内是否进行约定购回交易</w:t>
      </w:r>
    </w:p>
    <w:p w:rsidR="00E20B54" w:rsidRDefault="00733C9E">
      <w:pPr>
        <w:spacing w:before="100" w:after="100" w:line="240" w:lineRule="exact"/>
        <w:rPr>
          <w:sz w:val="18"/>
          <w:szCs w:val="18"/>
        </w:rPr>
      </w:pPr>
      <w:r>
        <w:rPr>
          <w:sz w:val="18"/>
          <w:szCs w:val="18"/>
        </w:rPr>
        <w:t>□</w:t>
      </w:r>
      <w:r>
        <w:rPr>
          <w:sz w:val="18"/>
          <w:szCs w:val="18"/>
        </w:rPr>
        <w:t>是</w:t>
      </w:r>
      <w:r>
        <w:rPr>
          <w:sz w:val="18"/>
          <w:szCs w:val="18"/>
        </w:rPr>
        <w:t xml:space="preserve"> </w:t>
      </w:r>
      <w:r>
        <w:rPr>
          <w:sz w:val="18"/>
          <w:szCs w:val="18"/>
        </w:rPr>
        <w:sym w:font="Wingdings 2" w:char="F052"/>
      </w:r>
      <w:r>
        <w:rPr>
          <w:sz w:val="18"/>
          <w:szCs w:val="18"/>
        </w:rPr>
        <w:t>否</w:t>
      </w:r>
    </w:p>
    <w:p w:rsidR="00E20B54" w:rsidRDefault="00733C9E">
      <w:pPr>
        <w:spacing w:before="40" w:after="40" w:line="240" w:lineRule="exact"/>
        <w:rPr>
          <w:sz w:val="18"/>
          <w:szCs w:val="18"/>
        </w:rPr>
      </w:pPr>
      <w:r>
        <w:rPr>
          <w:sz w:val="18"/>
          <w:szCs w:val="18"/>
        </w:rPr>
        <w:t>公司前</w:t>
      </w:r>
      <w:r>
        <w:rPr>
          <w:sz w:val="18"/>
          <w:szCs w:val="18"/>
        </w:rPr>
        <w:t>10</w:t>
      </w:r>
      <w:r>
        <w:rPr>
          <w:sz w:val="18"/>
          <w:szCs w:val="18"/>
        </w:rPr>
        <w:t>名普通股股东、前</w:t>
      </w:r>
      <w:r>
        <w:rPr>
          <w:sz w:val="18"/>
          <w:szCs w:val="18"/>
        </w:rPr>
        <w:t>10</w:t>
      </w:r>
      <w:r>
        <w:rPr>
          <w:sz w:val="18"/>
          <w:szCs w:val="18"/>
        </w:rPr>
        <w:t>名无限售条件普通股股东在报告期内未进行约定购回交易。</w:t>
      </w:r>
    </w:p>
    <w:p w:rsidR="00E20B54" w:rsidRDefault="00733C9E">
      <w:pPr>
        <w:pStyle w:val="3"/>
        <w:spacing w:line="280" w:lineRule="exact"/>
        <w:jc w:val="left"/>
        <w:rPr>
          <w:b/>
          <w:bCs/>
        </w:rPr>
      </w:pPr>
      <w:bookmarkStart w:id="140" w:name="_Toc989029"/>
      <w:r>
        <w:rPr>
          <w:b/>
          <w:bCs/>
        </w:rPr>
        <w:t>2</w:t>
      </w:r>
      <w:r>
        <w:rPr>
          <w:b/>
          <w:bCs/>
        </w:rPr>
        <w:t>、公司控股股东情况</w:t>
      </w:r>
      <w:bookmarkEnd w:id="140"/>
    </w:p>
    <w:p w:rsidR="00E20B54" w:rsidRDefault="00733C9E">
      <w:pPr>
        <w:spacing w:before="40" w:after="40" w:line="240" w:lineRule="exact"/>
        <w:rPr>
          <w:sz w:val="18"/>
          <w:szCs w:val="18"/>
        </w:rPr>
      </w:pPr>
      <w:r>
        <w:rPr>
          <w:sz w:val="18"/>
          <w:szCs w:val="18"/>
        </w:rPr>
        <w:t>控股股东性质：自然人控股</w:t>
      </w:r>
    </w:p>
    <w:p w:rsidR="00E20B54" w:rsidRDefault="00733C9E">
      <w:pPr>
        <w:spacing w:before="40" w:after="40" w:line="240" w:lineRule="exact"/>
        <w:rPr>
          <w:sz w:val="18"/>
          <w:szCs w:val="18"/>
        </w:rPr>
      </w:pPr>
      <w:r>
        <w:rPr>
          <w:sz w:val="18"/>
          <w:szCs w:val="18"/>
        </w:rPr>
        <w:t>控股股东类型：自然人</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控股股东姓名</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国籍</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是否取得其他国家或地区居留权</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林明玲</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中国</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否</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主要职业及职务</w:t>
            </w:r>
          </w:p>
        </w:tc>
        <w:tc>
          <w:tcPr>
            <w:tcW w:w="6426" w:type="dxa"/>
            <w:gridSpan w:val="2"/>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详见本报告第四节</w:t>
            </w:r>
            <w:r>
              <w:rPr>
                <w:sz w:val="18"/>
                <w:szCs w:val="18"/>
              </w:rPr>
              <w:t xml:space="preserve"> </w:t>
            </w:r>
            <w:r>
              <w:rPr>
                <w:sz w:val="18"/>
                <w:szCs w:val="18"/>
              </w:rPr>
              <w:t>公司治理</w:t>
            </w:r>
            <w:r>
              <w:rPr>
                <w:sz w:val="18"/>
                <w:szCs w:val="18"/>
              </w:rPr>
              <w:t xml:space="preserve"> </w:t>
            </w:r>
            <w:r>
              <w:rPr>
                <w:sz w:val="18"/>
                <w:szCs w:val="18"/>
              </w:rPr>
              <w:t>六、董事和高级管理人员情况</w:t>
            </w:r>
            <w:r>
              <w:rPr>
                <w:sz w:val="18"/>
                <w:szCs w:val="18"/>
              </w:rPr>
              <w:t xml:space="preserve"> 2</w:t>
            </w:r>
            <w:r>
              <w:rPr>
                <w:sz w:val="18"/>
                <w:szCs w:val="18"/>
              </w:rPr>
              <w:t>、任职情况。</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lastRenderedPageBreak/>
              <w:t>报告期内控股和参股的其他境内外上市公司的股权情况</w:t>
            </w:r>
          </w:p>
        </w:tc>
        <w:tc>
          <w:tcPr>
            <w:tcW w:w="6426" w:type="dxa"/>
            <w:gridSpan w:val="2"/>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无</w:t>
            </w:r>
          </w:p>
        </w:tc>
      </w:tr>
    </w:tbl>
    <w:p w:rsidR="00E20B54" w:rsidRDefault="00733C9E">
      <w:pPr>
        <w:spacing w:before="100" w:after="100" w:line="240" w:lineRule="exact"/>
        <w:rPr>
          <w:sz w:val="18"/>
          <w:szCs w:val="18"/>
        </w:rPr>
      </w:pPr>
      <w:r>
        <w:rPr>
          <w:sz w:val="18"/>
          <w:szCs w:val="18"/>
        </w:rPr>
        <w:t>控股股东报告期内变更</w:t>
      </w:r>
    </w:p>
    <w:p w:rsidR="00E20B54" w:rsidRDefault="00733C9E">
      <w:pPr>
        <w:spacing w:before="100" w:after="100" w:line="240" w:lineRule="exact"/>
        <w:rPr>
          <w:sz w:val="18"/>
          <w:szCs w:val="18"/>
        </w:rPr>
      </w:pPr>
      <w:r>
        <w:rPr>
          <w:sz w:val="18"/>
          <w:szCs w:val="18"/>
        </w:rPr>
        <w:t>□</w:t>
      </w:r>
      <w:r>
        <w:rPr>
          <w:sz w:val="18"/>
          <w:szCs w:val="18"/>
        </w:rPr>
        <w:t>适用</w:t>
      </w:r>
      <w:r>
        <w:rPr>
          <w:sz w:val="18"/>
          <w:szCs w:val="18"/>
        </w:rPr>
        <w:t xml:space="preserve"> </w:t>
      </w:r>
      <w:r>
        <w:rPr>
          <w:sz w:val="18"/>
          <w:szCs w:val="18"/>
        </w:rPr>
        <w:sym w:font="Wingdings 2" w:char="F052"/>
      </w:r>
      <w:r>
        <w:rPr>
          <w:sz w:val="18"/>
          <w:szCs w:val="18"/>
        </w:rPr>
        <w:t>不适用</w:t>
      </w:r>
    </w:p>
    <w:p w:rsidR="00E20B54" w:rsidRDefault="00733C9E">
      <w:pPr>
        <w:spacing w:before="40" w:after="40" w:line="240" w:lineRule="exact"/>
        <w:rPr>
          <w:sz w:val="18"/>
          <w:szCs w:val="18"/>
        </w:rPr>
      </w:pPr>
      <w:r>
        <w:rPr>
          <w:sz w:val="18"/>
          <w:szCs w:val="18"/>
        </w:rPr>
        <w:t>公司报告期控股股东未发生变更。</w:t>
      </w:r>
    </w:p>
    <w:p w:rsidR="00E20B54" w:rsidRDefault="00733C9E">
      <w:pPr>
        <w:pStyle w:val="3"/>
        <w:spacing w:line="280" w:lineRule="exact"/>
        <w:jc w:val="left"/>
        <w:rPr>
          <w:b/>
          <w:bCs/>
        </w:rPr>
      </w:pPr>
      <w:bookmarkStart w:id="141" w:name="_Toc989030"/>
      <w:r>
        <w:rPr>
          <w:b/>
          <w:bCs/>
        </w:rPr>
        <w:t>3</w:t>
      </w:r>
      <w:r>
        <w:rPr>
          <w:b/>
          <w:bCs/>
        </w:rPr>
        <w:t>、公司实际控制人及其一致行动人</w:t>
      </w:r>
      <w:bookmarkEnd w:id="141"/>
    </w:p>
    <w:p w:rsidR="00E20B54" w:rsidRDefault="00733C9E">
      <w:pPr>
        <w:spacing w:before="40" w:after="40" w:line="240" w:lineRule="exact"/>
        <w:rPr>
          <w:sz w:val="18"/>
          <w:szCs w:val="18"/>
        </w:rPr>
      </w:pPr>
      <w:r>
        <w:rPr>
          <w:sz w:val="18"/>
          <w:szCs w:val="18"/>
        </w:rPr>
        <w:t>实际控制人性质：境内自然人</w:t>
      </w:r>
    </w:p>
    <w:p w:rsidR="00E20B54" w:rsidRDefault="00733C9E">
      <w:pPr>
        <w:spacing w:before="40" w:after="40" w:line="240" w:lineRule="exact"/>
        <w:rPr>
          <w:sz w:val="18"/>
          <w:szCs w:val="18"/>
        </w:rPr>
      </w:pPr>
      <w:r>
        <w:rPr>
          <w:sz w:val="18"/>
          <w:szCs w:val="18"/>
        </w:rPr>
        <w:t>实际控制人类型：自然人</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2409"/>
        <w:gridCol w:w="2410"/>
        <w:gridCol w:w="2410"/>
        <w:gridCol w:w="2410"/>
      </w:tblGrid>
      <w:tr w:rsidR="00E20B54">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实际控制人姓名</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与实际控制人关系</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国籍</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是否取得其他国家或地区居留权</w:t>
            </w:r>
          </w:p>
        </w:tc>
      </w:tr>
      <w:tr w:rsidR="00E20B54">
        <w:trPr>
          <w:trHeight w:val="240"/>
        </w:trPr>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林明玲</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本人</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中国</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否</w:t>
            </w:r>
          </w:p>
        </w:tc>
      </w:tr>
      <w:tr w:rsidR="00E20B54">
        <w:trPr>
          <w:trHeight w:val="240"/>
        </w:trPr>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马学沛</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本人</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中国</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否</w:t>
            </w:r>
          </w:p>
        </w:tc>
      </w:tr>
      <w:tr w:rsidR="00E20B54">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主要职业及职务</w:t>
            </w:r>
          </w:p>
        </w:tc>
        <w:tc>
          <w:tcPr>
            <w:tcW w:w="7229" w:type="dxa"/>
            <w:gridSpan w:val="3"/>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详见本报告第四节</w:t>
            </w:r>
            <w:r>
              <w:rPr>
                <w:sz w:val="18"/>
                <w:szCs w:val="18"/>
              </w:rPr>
              <w:t xml:space="preserve"> </w:t>
            </w:r>
            <w:r>
              <w:rPr>
                <w:sz w:val="18"/>
                <w:szCs w:val="18"/>
              </w:rPr>
              <w:t>公司治理</w:t>
            </w:r>
            <w:r>
              <w:rPr>
                <w:sz w:val="18"/>
                <w:szCs w:val="18"/>
              </w:rPr>
              <w:t xml:space="preserve"> </w:t>
            </w:r>
            <w:r>
              <w:rPr>
                <w:sz w:val="18"/>
                <w:szCs w:val="18"/>
              </w:rPr>
              <w:t>六、董事和高级管理人员情况</w:t>
            </w:r>
            <w:r>
              <w:rPr>
                <w:sz w:val="18"/>
                <w:szCs w:val="18"/>
              </w:rPr>
              <w:t xml:space="preserve"> 2</w:t>
            </w:r>
            <w:r>
              <w:rPr>
                <w:sz w:val="18"/>
                <w:szCs w:val="18"/>
              </w:rPr>
              <w:t>、任职情况</w:t>
            </w:r>
          </w:p>
        </w:tc>
      </w:tr>
      <w:tr w:rsidR="00E20B54">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过去</w:t>
            </w:r>
            <w:r>
              <w:rPr>
                <w:sz w:val="18"/>
                <w:szCs w:val="18"/>
              </w:rPr>
              <w:t>10</w:t>
            </w:r>
            <w:r>
              <w:rPr>
                <w:sz w:val="18"/>
                <w:szCs w:val="18"/>
              </w:rPr>
              <w:t>年曾控股的境内外上市公司情况</w:t>
            </w:r>
          </w:p>
        </w:tc>
        <w:tc>
          <w:tcPr>
            <w:tcW w:w="7229" w:type="dxa"/>
            <w:gridSpan w:val="3"/>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无</w:t>
            </w:r>
          </w:p>
        </w:tc>
      </w:tr>
    </w:tbl>
    <w:p w:rsidR="00E20B54" w:rsidRDefault="00733C9E">
      <w:pPr>
        <w:spacing w:before="100" w:after="100" w:line="240" w:lineRule="exact"/>
        <w:rPr>
          <w:sz w:val="18"/>
          <w:szCs w:val="18"/>
        </w:rPr>
      </w:pPr>
      <w:r>
        <w:rPr>
          <w:sz w:val="18"/>
          <w:szCs w:val="18"/>
        </w:rPr>
        <w:t>实际控制人报告期内变更</w:t>
      </w:r>
    </w:p>
    <w:p w:rsidR="00E20B54" w:rsidRDefault="00733C9E">
      <w:pPr>
        <w:spacing w:before="100" w:after="100" w:line="240" w:lineRule="exact"/>
        <w:rPr>
          <w:sz w:val="18"/>
          <w:szCs w:val="18"/>
        </w:rPr>
      </w:pPr>
      <w:r>
        <w:rPr>
          <w:sz w:val="18"/>
          <w:szCs w:val="18"/>
        </w:rPr>
        <w:t>□</w:t>
      </w:r>
      <w:r>
        <w:rPr>
          <w:sz w:val="18"/>
          <w:szCs w:val="18"/>
        </w:rPr>
        <w:t>适用</w:t>
      </w:r>
      <w:r>
        <w:rPr>
          <w:sz w:val="18"/>
          <w:szCs w:val="18"/>
        </w:rPr>
        <w:t xml:space="preserve"> </w:t>
      </w:r>
      <w:r>
        <w:rPr>
          <w:sz w:val="18"/>
          <w:szCs w:val="18"/>
        </w:rPr>
        <w:sym w:font="Wingdings 2" w:char="F052"/>
      </w:r>
      <w:r>
        <w:rPr>
          <w:sz w:val="18"/>
          <w:szCs w:val="18"/>
        </w:rPr>
        <w:t>不适用</w:t>
      </w:r>
    </w:p>
    <w:p w:rsidR="00E20B54" w:rsidRDefault="00733C9E">
      <w:pPr>
        <w:spacing w:before="100" w:after="100" w:line="240" w:lineRule="exact"/>
        <w:rPr>
          <w:sz w:val="18"/>
          <w:szCs w:val="18"/>
        </w:rPr>
      </w:pPr>
      <w:r>
        <w:rPr>
          <w:sz w:val="18"/>
          <w:szCs w:val="18"/>
        </w:rPr>
        <w:t>公司报告期实际控制人未发生变更。</w:t>
      </w:r>
    </w:p>
    <w:p w:rsidR="00E20B54" w:rsidRDefault="00733C9E">
      <w:pPr>
        <w:spacing w:before="100" w:after="100" w:line="240" w:lineRule="exact"/>
        <w:rPr>
          <w:sz w:val="18"/>
          <w:szCs w:val="18"/>
        </w:rPr>
      </w:pPr>
      <w:r>
        <w:rPr>
          <w:sz w:val="18"/>
          <w:szCs w:val="18"/>
        </w:rPr>
        <w:t>公司与实际控制人之间的产权及控制关系的方框图</w:t>
      </w:r>
    </w:p>
    <w:p w:rsidR="00E20B54" w:rsidRDefault="00733C9E">
      <w:pPr>
        <w:spacing w:before="40" w:after="40" w:line="0" w:lineRule="atLeast"/>
        <w:jc w:val="center"/>
      </w:pPr>
      <w:r>
        <w:rPr>
          <w:noProof/>
        </w:rPr>
        <w:drawing>
          <wp:inline distT="0" distB="0" distL="0" distR="0">
            <wp:extent cx="4424045" cy="266192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a:picLocks noChangeAspect="1"/>
                    </pic:cNvPicPr>
                  </pic:nvPicPr>
                  <pic:blipFill>
                    <a:blip r:embed="rId11" cstate="print"/>
                    <a:stretch>
                      <a:fillRect/>
                    </a:stretch>
                  </pic:blipFill>
                  <pic:spPr>
                    <a:xfrm>
                      <a:off x="0" y="0"/>
                      <a:ext cx="4424362" cy="2662237"/>
                    </a:xfrm>
                    <a:prstGeom prst="rect">
                      <a:avLst/>
                    </a:prstGeom>
                  </pic:spPr>
                </pic:pic>
              </a:graphicData>
            </a:graphic>
          </wp:inline>
        </w:drawing>
      </w:r>
    </w:p>
    <w:p w:rsidR="00E20B54" w:rsidRDefault="00733C9E">
      <w:pPr>
        <w:spacing w:before="100" w:after="100" w:line="240" w:lineRule="exact"/>
        <w:rPr>
          <w:sz w:val="18"/>
          <w:szCs w:val="18"/>
        </w:rPr>
      </w:pPr>
      <w:r>
        <w:rPr>
          <w:sz w:val="18"/>
          <w:szCs w:val="18"/>
        </w:rPr>
        <w:t>实际控制人通过信托或其他资产管理方式控制公司</w:t>
      </w:r>
    </w:p>
    <w:p w:rsidR="00E20B54" w:rsidRDefault="00733C9E">
      <w:pPr>
        <w:spacing w:before="100" w:after="100" w:line="240" w:lineRule="exact"/>
        <w:rPr>
          <w:sz w:val="18"/>
          <w:szCs w:val="18"/>
        </w:rPr>
      </w:pPr>
      <w:r>
        <w:rPr>
          <w:sz w:val="18"/>
          <w:szCs w:val="18"/>
        </w:rPr>
        <w:t>□</w:t>
      </w:r>
      <w:r>
        <w:rPr>
          <w:sz w:val="18"/>
          <w:szCs w:val="18"/>
        </w:rPr>
        <w:t>适用</w:t>
      </w:r>
      <w:r>
        <w:rPr>
          <w:sz w:val="18"/>
          <w:szCs w:val="18"/>
        </w:rPr>
        <w:t xml:space="preserve"> </w:t>
      </w:r>
      <w:r>
        <w:rPr>
          <w:sz w:val="18"/>
          <w:szCs w:val="18"/>
        </w:rPr>
        <w:sym w:font="Wingdings 2" w:char="F052"/>
      </w:r>
      <w:r>
        <w:rPr>
          <w:sz w:val="18"/>
          <w:szCs w:val="18"/>
        </w:rPr>
        <w:t>不适用</w:t>
      </w:r>
    </w:p>
    <w:p w:rsidR="00E20B54" w:rsidRDefault="00733C9E">
      <w:pPr>
        <w:pStyle w:val="3"/>
        <w:spacing w:line="280" w:lineRule="exact"/>
        <w:jc w:val="left"/>
        <w:rPr>
          <w:b/>
          <w:bCs/>
        </w:rPr>
      </w:pPr>
      <w:bookmarkStart w:id="142" w:name="_Toc989031"/>
      <w:r>
        <w:rPr>
          <w:b/>
          <w:bCs/>
        </w:rPr>
        <w:t>4</w:t>
      </w:r>
      <w:r>
        <w:rPr>
          <w:b/>
          <w:bCs/>
        </w:rPr>
        <w:t>、公司控股股东或第一大股东及其一致行动人累计质押股份数量占其所持公司股份数量比例达到</w:t>
      </w:r>
      <w:r>
        <w:rPr>
          <w:b/>
          <w:bCs/>
        </w:rPr>
        <w:t>80%</w:t>
      </w:r>
      <w:bookmarkEnd w:id="142"/>
    </w:p>
    <w:p w:rsidR="00E20B54" w:rsidRDefault="00733C9E">
      <w:pPr>
        <w:spacing w:before="40" w:after="40" w:line="240" w:lineRule="exact"/>
        <w:rPr>
          <w:sz w:val="18"/>
          <w:szCs w:val="18"/>
        </w:rPr>
      </w:pPr>
      <w:r>
        <w:rPr>
          <w:sz w:val="18"/>
          <w:szCs w:val="18"/>
        </w:rPr>
        <w:t>□</w:t>
      </w:r>
      <w:r>
        <w:rPr>
          <w:sz w:val="18"/>
          <w:szCs w:val="18"/>
        </w:rPr>
        <w:t>适用</w:t>
      </w:r>
      <w:r>
        <w:rPr>
          <w:sz w:val="18"/>
          <w:szCs w:val="18"/>
        </w:rPr>
        <w:t xml:space="preserve"> </w:t>
      </w:r>
      <w:r>
        <w:rPr>
          <w:sz w:val="18"/>
          <w:szCs w:val="18"/>
        </w:rPr>
        <w:sym w:font="Wingdings 2" w:char="F052"/>
      </w:r>
      <w:r>
        <w:rPr>
          <w:sz w:val="18"/>
          <w:szCs w:val="18"/>
        </w:rPr>
        <w:t>不适用</w:t>
      </w:r>
    </w:p>
    <w:p w:rsidR="00E20B54" w:rsidRDefault="00733C9E">
      <w:pPr>
        <w:pStyle w:val="3"/>
        <w:spacing w:line="280" w:lineRule="exact"/>
        <w:jc w:val="left"/>
        <w:rPr>
          <w:b/>
          <w:bCs/>
        </w:rPr>
      </w:pPr>
      <w:bookmarkStart w:id="143" w:name="_Toc989032"/>
      <w:r>
        <w:rPr>
          <w:b/>
          <w:bCs/>
        </w:rPr>
        <w:t>5</w:t>
      </w:r>
      <w:r>
        <w:rPr>
          <w:b/>
          <w:bCs/>
        </w:rPr>
        <w:t>、其他持股在</w:t>
      </w:r>
      <w:r>
        <w:rPr>
          <w:b/>
          <w:bCs/>
        </w:rPr>
        <w:t>10%</w:t>
      </w:r>
      <w:r>
        <w:rPr>
          <w:b/>
          <w:bCs/>
        </w:rPr>
        <w:t>以上的法人股东</w:t>
      </w:r>
      <w:bookmarkEnd w:id="143"/>
    </w:p>
    <w:p w:rsidR="00E20B54" w:rsidRDefault="00733C9E">
      <w:pPr>
        <w:spacing w:before="40" w:after="40" w:line="240" w:lineRule="exact"/>
        <w:rPr>
          <w:sz w:val="18"/>
          <w:szCs w:val="18"/>
        </w:rPr>
      </w:pPr>
      <w:r>
        <w:rPr>
          <w:sz w:val="18"/>
          <w:szCs w:val="18"/>
        </w:rPr>
        <w:t>□</w:t>
      </w:r>
      <w:r>
        <w:rPr>
          <w:sz w:val="18"/>
          <w:szCs w:val="18"/>
        </w:rPr>
        <w:t>适用</w:t>
      </w:r>
      <w:r>
        <w:rPr>
          <w:sz w:val="18"/>
          <w:szCs w:val="18"/>
        </w:rPr>
        <w:t xml:space="preserve"> </w:t>
      </w:r>
      <w:r>
        <w:rPr>
          <w:sz w:val="18"/>
          <w:szCs w:val="18"/>
        </w:rPr>
        <w:sym w:font="Wingdings 2" w:char="F052"/>
      </w:r>
      <w:r>
        <w:rPr>
          <w:sz w:val="18"/>
          <w:szCs w:val="18"/>
        </w:rPr>
        <w:t>不适用</w:t>
      </w:r>
    </w:p>
    <w:p w:rsidR="00E20B54" w:rsidRDefault="00733C9E">
      <w:pPr>
        <w:pStyle w:val="3"/>
        <w:spacing w:line="280" w:lineRule="exact"/>
        <w:jc w:val="left"/>
        <w:rPr>
          <w:b/>
          <w:bCs/>
        </w:rPr>
      </w:pPr>
      <w:bookmarkStart w:id="144" w:name="_Toc989033"/>
      <w:r>
        <w:rPr>
          <w:b/>
          <w:bCs/>
        </w:rPr>
        <w:lastRenderedPageBreak/>
        <w:t>6</w:t>
      </w:r>
      <w:r>
        <w:rPr>
          <w:b/>
          <w:bCs/>
        </w:rPr>
        <w:t>、控股股东、实际控制人、重组方及其他承诺主体股份限制减持情况</w:t>
      </w:r>
      <w:bookmarkEnd w:id="144"/>
    </w:p>
    <w:p w:rsidR="00E20B54" w:rsidRDefault="00733C9E">
      <w:pPr>
        <w:spacing w:before="40" w:after="40" w:line="240" w:lineRule="exact"/>
        <w:rPr>
          <w:sz w:val="18"/>
          <w:szCs w:val="18"/>
        </w:rPr>
      </w:pPr>
      <w:r>
        <w:rPr>
          <w:sz w:val="18"/>
          <w:szCs w:val="18"/>
        </w:rPr>
        <w:t>□</w:t>
      </w:r>
      <w:r>
        <w:rPr>
          <w:sz w:val="18"/>
          <w:szCs w:val="18"/>
        </w:rPr>
        <w:t>适用</w:t>
      </w:r>
      <w:r>
        <w:rPr>
          <w:sz w:val="18"/>
          <w:szCs w:val="18"/>
        </w:rPr>
        <w:t xml:space="preserve"> </w:t>
      </w:r>
      <w:r>
        <w:rPr>
          <w:sz w:val="18"/>
          <w:szCs w:val="18"/>
        </w:rPr>
        <w:sym w:font="Wingdings 2" w:char="F052"/>
      </w:r>
      <w:r>
        <w:rPr>
          <w:sz w:val="18"/>
          <w:szCs w:val="18"/>
        </w:rPr>
        <w:t>不适用</w:t>
      </w:r>
    </w:p>
    <w:p w:rsidR="00E20B54" w:rsidRDefault="00733C9E">
      <w:pPr>
        <w:pStyle w:val="2"/>
        <w:spacing w:before="300" w:after="300" w:line="320" w:lineRule="exact"/>
        <w:rPr>
          <w:b/>
          <w:bCs/>
          <w:sz w:val="24"/>
          <w:szCs w:val="24"/>
        </w:rPr>
      </w:pPr>
      <w:bookmarkStart w:id="145" w:name="_Toc989034"/>
      <w:r>
        <w:rPr>
          <w:b/>
          <w:bCs/>
          <w:sz w:val="24"/>
          <w:szCs w:val="24"/>
        </w:rPr>
        <w:t>四、股份回购在报告期的具体实施情况</w:t>
      </w:r>
      <w:bookmarkEnd w:id="145"/>
    </w:p>
    <w:p w:rsidR="00E20B54" w:rsidRDefault="00733C9E">
      <w:pPr>
        <w:spacing w:before="100" w:after="100" w:line="240" w:lineRule="exact"/>
        <w:rPr>
          <w:sz w:val="18"/>
          <w:szCs w:val="18"/>
        </w:rPr>
      </w:pPr>
      <w:r>
        <w:rPr>
          <w:sz w:val="18"/>
          <w:szCs w:val="18"/>
        </w:rPr>
        <w:t>股份回购的实施进展情况</w:t>
      </w:r>
    </w:p>
    <w:p w:rsidR="00E20B54" w:rsidRDefault="00733C9E">
      <w:pPr>
        <w:spacing w:before="100" w:after="100" w:line="240" w:lineRule="exact"/>
        <w:rPr>
          <w:sz w:val="18"/>
          <w:szCs w:val="18"/>
        </w:rPr>
      </w:pPr>
      <w:r>
        <w:rPr>
          <w:sz w:val="18"/>
          <w:szCs w:val="18"/>
        </w:rPr>
        <w:t>□</w:t>
      </w:r>
      <w:r>
        <w:rPr>
          <w:sz w:val="18"/>
          <w:szCs w:val="18"/>
        </w:rPr>
        <w:t>适用</w:t>
      </w:r>
      <w:r>
        <w:rPr>
          <w:sz w:val="18"/>
          <w:szCs w:val="18"/>
        </w:rPr>
        <w:t xml:space="preserve"> </w:t>
      </w:r>
      <w:r>
        <w:rPr>
          <w:sz w:val="18"/>
          <w:szCs w:val="18"/>
        </w:rPr>
        <w:sym w:font="Wingdings 2" w:char="F052"/>
      </w:r>
      <w:r>
        <w:rPr>
          <w:sz w:val="18"/>
          <w:szCs w:val="18"/>
        </w:rPr>
        <w:t>不适用</w:t>
      </w:r>
    </w:p>
    <w:p w:rsidR="00E20B54" w:rsidRDefault="00733C9E">
      <w:pPr>
        <w:spacing w:before="100" w:after="100" w:line="240" w:lineRule="exact"/>
        <w:rPr>
          <w:sz w:val="18"/>
          <w:szCs w:val="18"/>
        </w:rPr>
      </w:pPr>
      <w:r>
        <w:rPr>
          <w:sz w:val="18"/>
          <w:szCs w:val="18"/>
        </w:rPr>
        <w:t>采用集中竞价交易方式减持回购股份的实施进展情况</w:t>
      </w:r>
    </w:p>
    <w:p w:rsidR="00E20B54" w:rsidRDefault="00733C9E">
      <w:pPr>
        <w:spacing w:before="100" w:after="100" w:line="240" w:lineRule="exact"/>
        <w:rPr>
          <w:sz w:val="18"/>
          <w:szCs w:val="18"/>
        </w:rPr>
      </w:pPr>
      <w:r>
        <w:rPr>
          <w:sz w:val="18"/>
          <w:szCs w:val="18"/>
        </w:rPr>
        <w:t>□</w:t>
      </w:r>
      <w:r>
        <w:rPr>
          <w:sz w:val="18"/>
          <w:szCs w:val="18"/>
        </w:rPr>
        <w:t>适用</w:t>
      </w:r>
      <w:r>
        <w:rPr>
          <w:sz w:val="18"/>
          <w:szCs w:val="18"/>
        </w:rPr>
        <w:t xml:space="preserve"> </w:t>
      </w:r>
      <w:r>
        <w:rPr>
          <w:sz w:val="18"/>
          <w:szCs w:val="18"/>
        </w:rPr>
        <w:sym w:font="Wingdings 2" w:char="F052"/>
      </w:r>
      <w:r>
        <w:rPr>
          <w:sz w:val="18"/>
          <w:szCs w:val="18"/>
        </w:rPr>
        <w:t>不适用</w:t>
      </w:r>
    </w:p>
    <w:p w:rsidR="00E20B54" w:rsidRDefault="00733C9E">
      <w:pPr>
        <w:pStyle w:val="2"/>
        <w:spacing w:before="300" w:after="300" w:line="320" w:lineRule="exact"/>
        <w:rPr>
          <w:b/>
          <w:bCs/>
          <w:sz w:val="24"/>
          <w:szCs w:val="24"/>
        </w:rPr>
      </w:pPr>
      <w:bookmarkStart w:id="146" w:name="_Toc989035"/>
      <w:r>
        <w:rPr>
          <w:b/>
          <w:bCs/>
          <w:sz w:val="24"/>
          <w:szCs w:val="24"/>
        </w:rPr>
        <w:t>五、优先股相关情况</w:t>
      </w:r>
      <w:bookmarkEnd w:id="146"/>
    </w:p>
    <w:p w:rsidR="00E20B54" w:rsidRDefault="00733C9E">
      <w:pPr>
        <w:spacing w:before="40" w:after="40" w:line="240" w:lineRule="exact"/>
        <w:rPr>
          <w:sz w:val="18"/>
          <w:szCs w:val="18"/>
        </w:rPr>
      </w:pPr>
      <w:r>
        <w:rPr>
          <w:sz w:val="18"/>
          <w:szCs w:val="18"/>
        </w:rPr>
        <w:t>□</w:t>
      </w:r>
      <w:r>
        <w:rPr>
          <w:sz w:val="18"/>
          <w:szCs w:val="18"/>
        </w:rPr>
        <w:t>适用</w:t>
      </w:r>
      <w:r>
        <w:rPr>
          <w:sz w:val="18"/>
          <w:szCs w:val="18"/>
        </w:rPr>
        <w:t xml:space="preserve"> </w:t>
      </w:r>
      <w:r>
        <w:rPr>
          <w:sz w:val="18"/>
          <w:szCs w:val="18"/>
        </w:rPr>
        <w:sym w:font="Wingdings 2" w:char="F052"/>
      </w:r>
      <w:r>
        <w:rPr>
          <w:sz w:val="18"/>
          <w:szCs w:val="18"/>
        </w:rPr>
        <w:t>不适用</w:t>
      </w:r>
    </w:p>
    <w:p w:rsidR="00E20B54" w:rsidRDefault="00733C9E">
      <w:pPr>
        <w:spacing w:before="100" w:after="100" w:line="240" w:lineRule="exact"/>
        <w:rPr>
          <w:sz w:val="18"/>
          <w:szCs w:val="18"/>
        </w:rPr>
      </w:pPr>
      <w:r>
        <w:rPr>
          <w:sz w:val="18"/>
          <w:szCs w:val="18"/>
        </w:rPr>
        <w:t>报告期公司不存在优先股。</w:t>
      </w:r>
    </w:p>
    <w:p w:rsidR="00E20B54" w:rsidRDefault="00733C9E">
      <w:r>
        <w:br w:type="page"/>
      </w:r>
    </w:p>
    <w:p w:rsidR="00E20B54" w:rsidRDefault="00733C9E">
      <w:pPr>
        <w:pStyle w:val="headingh1"/>
        <w:spacing w:before="340" w:after="330" w:line="773" w:lineRule="exact"/>
        <w:jc w:val="center"/>
        <w:rPr>
          <w:b/>
          <w:bCs/>
          <w:sz w:val="32"/>
          <w:szCs w:val="32"/>
        </w:rPr>
      </w:pPr>
      <w:bookmarkStart w:id="147" w:name="_Toc989036"/>
      <w:r>
        <w:rPr>
          <w:b/>
          <w:bCs/>
          <w:sz w:val="32"/>
          <w:szCs w:val="32"/>
        </w:rPr>
        <w:lastRenderedPageBreak/>
        <w:t>第七节</w:t>
      </w:r>
      <w:r>
        <w:rPr>
          <w:b/>
          <w:bCs/>
          <w:sz w:val="32"/>
          <w:szCs w:val="32"/>
        </w:rPr>
        <w:t xml:space="preserve"> </w:t>
      </w:r>
      <w:r>
        <w:rPr>
          <w:b/>
          <w:bCs/>
          <w:sz w:val="32"/>
          <w:szCs w:val="32"/>
        </w:rPr>
        <w:t>债券相关情况</w:t>
      </w:r>
      <w:bookmarkEnd w:id="147"/>
    </w:p>
    <w:p w:rsidR="00E20B54" w:rsidRDefault="00733C9E">
      <w:pPr>
        <w:spacing w:before="40" w:after="40" w:line="240" w:lineRule="exact"/>
        <w:rPr>
          <w:sz w:val="18"/>
          <w:szCs w:val="18"/>
        </w:rPr>
      </w:pPr>
      <w:r>
        <w:rPr>
          <w:sz w:val="18"/>
          <w:szCs w:val="18"/>
        </w:rPr>
        <w:t>□</w:t>
      </w:r>
      <w:r>
        <w:rPr>
          <w:sz w:val="18"/>
          <w:szCs w:val="18"/>
        </w:rPr>
        <w:t>适用</w:t>
      </w:r>
      <w:r>
        <w:rPr>
          <w:sz w:val="18"/>
          <w:szCs w:val="18"/>
        </w:rPr>
        <w:t xml:space="preserve"> </w:t>
      </w:r>
      <w:r>
        <w:rPr>
          <w:sz w:val="18"/>
          <w:szCs w:val="18"/>
        </w:rPr>
        <w:sym w:font="Wingdings 2" w:char="F052"/>
      </w:r>
      <w:r>
        <w:rPr>
          <w:sz w:val="18"/>
          <w:szCs w:val="18"/>
        </w:rPr>
        <w:t>不适用</w:t>
      </w:r>
    </w:p>
    <w:p w:rsidR="00E20B54" w:rsidRDefault="00733C9E">
      <w:r>
        <w:br w:type="page"/>
      </w:r>
    </w:p>
    <w:p w:rsidR="00E20B54" w:rsidRDefault="00733C9E">
      <w:pPr>
        <w:pStyle w:val="headingh1"/>
        <w:spacing w:before="340" w:after="330" w:line="773" w:lineRule="exact"/>
        <w:jc w:val="center"/>
        <w:rPr>
          <w:b/>
          <w:bCs/>
          <w:sz w:val="32"/>
          <w:szCs w:val="32"/>
        </w:rPr>
      </w:pPr>
      <w:bookmarkStart w:id="148" w:name="_Toc989037"/>
      <w:r>
        <w:rPr>
          <w:b/>
          <w:bCs/>
          <w:sz w:val="32"/>
          <w:szCs w:val="32"/>
        </w:rPr>
        <w:lastRenderedPageBreak/>
        <w:t>第八节</w:t>
      </w:r>
      <w:r>
        <w:rPr>
          <w:b/>
          <w:bCs/>
          <w:sz w:val="32"/>
          <w:szCs w:val="32"/>
        </w:rPr>
        <w:t xml:space="preserve"> </w:t>
      </w:r>
      <w:r>
        <w:rPr>
          <w:b/>
          <w:bCs/>
          <w:sz w:val="32"/>
          <w:szCs w:val="32"/>
        </w:rPr>
        <w:t>财务报告</w:t>
      </w:r>
      <w:bookmarkEnd w:id="148"/>
    </w:p>
    <w:p w:rsidR="00E20B54" w:rsidRDefault="00733C9E">
      <w:pPr>
        <w:pStyle w:val="2"/>
        <w:spacing w:before="300" w:after="300" w:line="320" w:lineRule="exact"/>
        <w:rPr>
          <w:b/>
          <w:bCs/>
          <w:sz w:val="24"/>
          <w:szCs w:val="24"/>
        </w:rPr>
      </w:pPr>
      <w:bookmarkStart w:id="149" w:name="_Toc989038"/>
      <w:r>
        <w:rPr>
          <w:b/>
          <w:bCs/>
          <w:sz w:val="24"/>
          <w:szCs w:val="24"/>
        </w:rPr>
        <w:t>一、审计报告</w:t>
      </w:r>
      <w:bookmarkEnd w:id="149"/>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4820"/>
        <w:gridCol w:w="4819"/>
      </w:tblGrid>
      <w:tr w:rsidR="00E20B54">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审计意见类型</w:t>
            </w:r>
          </w:p>
        </w:tc>
        <w:tc>
          <w:tcPr>
            <w:tcW w:w="482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标准的无保留意见</w:t>
            </w:r>
          </w:p>
        </w:tc>
      </w:tr>
      <w:tr w:rsidR="00E20B54">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审计报告签署日期</w:t>
            </w:r>
          </w:p>
        </w:tc>
        <w:tc>
          <w:tcPr>
            <w:tcW w:w="482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2026</w:t>
            </w:r>
            <w:r>
              <w:rPr>
                <w:sz w:val="18"/>
                <w:szCs w:val="18"/>
              </w:rPr>
              <w:t>年</w:t>
            </w:r>
            <w:r>
              <w:rPr>
                <w:sz w:val="18"/>
                <w:szCs w:val="18"/>
              </w:rPr>
              <w:t>03</w:t>
            </w:r>
            <w:r>
              <w:rPr>
                <w:sz w:val="18"/>
                <w:szCs w:val="18"/>
              </w:rPr>
              <w:t>月</w:t>
            </w:r>
            <w:r>
              <w:rPr>
                <w:sz w:val="18"/>
                <w:szCs w:val="18"/>
              </w:rPr>
              <w:t>30</w:t>
            </w:r>
            <w:r>
              <w:rPr>
                <w:sz w:val="18"/>
                <w:szCs w:val="18"/>
              </w:rPr>
              <w:t>日</w:t>
            </w:r>
          </w:p>
        </w:tc>
      </w:tr>
      <w:tr w:rsidR="00E20B54">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审计机构名称</w:t>
            </w:r>
          </w:p>
        </w:tc>
        <w:tc>
          <w:tcPr>
            <w:tcW w:w="482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中审亚太会计师事务所（特殊普通合伙）</w:t>
            </w:r>
          </w:p>
        </w:tc>
      </w:tr>
      <w:tr w:rsidR="00E20B54">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审计报告文号</w:t>
            </w:r>
          </w:p>
        </w:tc>
        <w:tc>
          <w:tcPr>
            <w:tcW w:w="482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中审亚太审字（</w:t>
            </w:r>
            <w:r>
              <w:rPr>
                <w:sz w:val="18"/>
                <w:szCs w:val="18"/>
              </w:rPr>
              <w:t>2026</w:t>
            </w:r>
            <w:r>
              <w:rPr>
                <w:sz w:val="18"/>
                <w:szCs w:val="18"/>
              </w:rPr>
              <w:t>）</w:t>
            </w:r>
            <w:r>
              <w:rPr>
                <w:sz w:val="18"/>
                <w:szCs w:val="18"/>
              </w:rPr>
              <w:t>002364</w:t>
            </w:r>
            <w:r>
              <w:rPr>
                <w:sz w:val="18"/>
                <w:szCs w:val="18"/>
              </w:rPr>
              <w:t>号</w:t>
            </w:r>
          </w:p>
        </w:tc>
      </w:tr>
      <w:tr w:rsidR="00E20B54">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注册会计师姓名</w:t>
            </w:r>
          </w:p>
        </w:tc>
        <w:tc>
          <w:tcPr>
            <w:tcW w:w="482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肖建鑫、王骏</w:t>
            </w:r>
          </w:p>
        </w:tc>
      </w:tr>
    </w:tbl>
    <w:p w:rsidR="00E20B54" w:rsidRDefault="00733C9E">
      <w:pPr>
        <w:spacing w:before="100" w:after="100" w:line="240" w:lineRule="exact"/>
        <w:jc w:val="center"/>
        <w:rPr>
          <w:sz w:val="18"/>
          <w:szCs w:val="18"/>
        </w:rPr>
      </w:pPr>
      <w:r>
        <w:rPr>
          <w:sz w:val="18"/>
          <w:szCs w:val="18"/>
        </w:rPr>
        <w:t>审计报告正文</w:t>
      </w:r>
    </w:p>
    <w:p w:rsidR="00E20B54" w:rsidRDefault="00733C9E">
      <w:pPr>
        <w:pStyle w:val="a3"/>
        <w:widowControl/>
        <w:spacing w:before="156" w:beforeAutospacing="0" w:after="156" w:afterAutospacing="0" w:line="360" w:lineRule="auto"/>
        <w:ind w:right="25"/>
        <w:jc w:val="both"/>
        <w:rPr>
          <w:sz w:val="21"/>
          <w:szCs w:val="21"/>
        </w:rPr>
      </w:pPr>
      <w:r>
        <w:rPr>
          <w:rStyle w:val="a4"/>
          <w:szCs w:val="24"/>
        </w:rPr>
        <w:t>广东天亿马信息产业股份有限公司全体股东：</w:t>
      </w:r>
    </w:p>
    <w:p w:rsidR="00E20B54" w:rsidRDefault="00733C9E">
      <w:pPr>
        <w:pStyle w:val="a3"/>
        <w:widowControl/>
        <w:spacing w:before="156" w:beforeAutospacing="0" w:after="156" w:afterAutospacing="0" w:line="360" w:lineRule="auto"/>
        <w:ind w:firstLine="482"/>
        <w:jc w:val="both"/>
        <w:rPr>
          <w:sz w:val="21"/>
          <w:szCs w:val="21"/>
        </w:rPr>
      </w:pPr>
      <w:r>
        <w:rPr>
          <w:rStyle w:val="a4"/>
          <w:szCs w:val="24"/>
        </w:rPr>
        <w:t>一、审计意见</w:t>
      </w:r>
    </w:p>
    <w:p w:rsidR="00E20B54" w:rsidRDefault="00733C9E">
      <w:pPr>
        <w:pStyle w:val="a3"/>
        <w:widowControl/>
        <w:spacing w:beforeAutospacing="0" w:afterAutospacing="0" w:line="360" w:lineRule="auto"/>
        <w:ind w:firstLine="480"/>
        <w:jc w:val="both"/>
        <w:rPr>
          <w:sz w:val="21"/>
          <w:szCs w:val="21"/>
        </w:rPr>
      </w:pPr>
      <w:r>
        <w:rPr>
          <w:szCs w:val="24"/>
        </w:rPr>
        <w:t>我们审计了广东天亿马信息产业股份有限公司（以下简称</w:t>
      </w:r>
      <w:r>
        <w:rPr>
          <w:szCs w:val="24"/>
        </w:rPr>
        <w:t>“</w:t>
      </w:r>
      <w:r>
        <w:rPr>
          <w:szCs w:val="24"/>
        </w:rPr>
        <w:t>天亿马公司</w:t>
      </w:r>
      <w:r>
        <w:rPr>
          <w:szCs w:val="24"/>
        </w:rPr>
        <w:t>”</w:t>
      </w:r>
      <w:r>
        <w:rPr>
          <w:szCs w:val="24"/>
        </w:rPr>
        <w:t>）财务报表，包括</w:t>
      </w:r>
      <w:r>
        <w:rPr>
          <w:szCs w:val="24"/>
        </w:rPr>
        <w:t>2025</w:t>
      </w:r>
      <w:r>
        <w:rPr>
          <w:szCs w:val="24"/>
        </w:rPr>
        <w:t>年</w:t>
      </w:r>
      <w:r>
        <w:rPr>
          <w:szCs w:val="24"/>
        </w:rPr>
        <w:t>12</w:t>
      </w:r>
      <w:r>
        <w:rPr>
          <w:szCs w:val="24"/>
        </w:rPr>
        <w:t>月</w:t>
      </w:r>
      <w:r>
        <w:rPr>
          <w:szCs w:val="24"/>
        </w:rPr>
        <w:t>31</w:t>
      </w:r>
      <w:r>
        <w:rPr>
          <w:szCs w:val="24"/>
        </w:rPr>
        <w:t>日的合并及公司资产负债表，</w:t>
      </w:r>
      <w:r>
        <w:rPr>
          <w:szCs w:val="24"/>
        </w:rPr>
        <w:t>2025</w:t>
      </w:r>
      <w:r>
        <w:rPr>
          <w:szCs w:val="24"/>
        </w:rPr>
        <w:t>年度的合并及公司利润表、合并及公司现金流量表、合并及公司股东权益变动表以及相关财务报表附注。</w:t>
      </w:r>
    </w:p>
    <w:p w:rsidR="00E20B54" w:rsidRDefault="00733C9E">
      <w:pPr>
        <w:pStyle w:val="a3"/>
        <w:widowControl/>
        <w:spacing w:beforeAutospacing="0" w:afterAutospacing="0" w:line="360" w:lineRule="auto"/>
        <w:ind w:firstLine="480"/>
        <w:jc w:val="both"/>
        <w:rPr>
          <w:sz w:val="21"/>
          <w:szCs w:val="21"/>
        </w:rPr>
      </w:pPr>
      <w:r>
        <w:rPr>
          <w:szCs w:val="24"/>
        </w:rPr>
        <w:t>我们认为，后附的财务报表在所有重大方面按照企业会计准则的规定编制，公允反映了天亿马公司</w:t>
      </w:r>
      <w:r>
        <w:rPr>
          <w:szCs w:val="24"/>
        </w:rPr>
        <w:t>2025</w:t>
      </w:r>
      <w:r>
        <w:rPr>
          <w:szCs w:val="24"/>
        </w:rPr>
        <w:t>年</w:t>
      </w:r>
      <w:r>
        <w:rPr>
          <w:szCs w:val="24"/>
        </w:rPr>
        <w:t>12</w:t>
      </w:r>
      <w:r>
        <w:rPr>
          <w:szCs w:val="24"/>
        </w:rPr>
        <w:t>月</w:t>
      </w:r>
      <w:r>
        <w:rPr>
          <w:szCs w:val="24"/>
        </w:rPr>
        <w:t>31</w:t>
      </w:r>
      <w:r>
        <w:rPr>
          <w:szCs w:val="24"/>
        </w:rPr>
        <w:t>日合并及公司的财务状况以及</w:t>
      </w:r>
      <w:r>
        <w:rPr>
          <w:szCs w:val="24"/>
        </w:rPr>
        <w:t>2025</w:t>
      </w:r>
      <w:r>
        <w:rPr>
          <w:szCs w:val="24"/>
        </w:rPr>
        <w:t>年度合并及公司的经营成果和现金流量。</w:t>
      </w:r>
    </w:p>
    <w:p w:rsidR="00E20B54" w:rsidRDefault="00733C9E">
      <w:pPr>
        <w:pStyle w:val="a3"/>
        <w:widowControl/>
        <w:spacing w:before="156" w:beforeAutospacing="0" w:after="156" w:afterAutospacing="0" w:line="360" w:lineRule="auto"/>
        <w:ind w:firstLine="482"/>
        <w:jc w:val="both"/>
        <w:rPr>
          <w:sz w:val="21"/>
          <w:szCs w:val="21"/>
        </w:rPr>
      </w:pPr>
      <w:r>
        <w:rPr>
          <w:rStyle w:val="a4"/>
          <w:szCs w:val="24"/>
        </w:rPr>
        <w:t>二、形成审计意见的基础</w:t>
      </w:r>
    </w:p>
    <w:p w:rsidR="00E20B54" w:rsidRDefault="00733C9E">
      <w:pPr>
        <w:pStyle w:val="a3"/>
        <w:widowControl/>
        <w:spacing w:beforeAutospacing="0" w:afterAutospacing="0" w:line="360" w:lineRule="auto"/>
        <w:ind w:firstLine="480"/>
        <w:jc w:val="both"/>
        <w:rPr>
          <w:sz w:val="21"/>
          <w:szCs w:val="21"/>
        </w:rPr>
      </w:pPr>
      <w:r>
        <w:rPr>
          <w:szCs w:val="24"/>
        </w:rPr>
        <w:t>我们按照中国注册会计师审计准则的规定执行了审计工作。审计报告的</w:t>
      </w:r>
      <w:r>
        <w:rPr>
          <w:szCs w:val="24"/>
        </w:rPr>
        <w:t>“</w:t>
      </w:r>
      <w:r>
        <w:rPr>
          <w:szCs w:val="24"/>
        </w:rPr>
        <w:t>注册会计师对财务报表审计的责任</w:t>
      </w:r>
      <w:r>
        <w:rPr>
          <w:szCs w:val="24"/>
        </w:rPr>
        <w:t>”</w:t>
      </w:r>
      <w:r>
        <w:rPr>
          <w:szCs w:val="24"/>
        </w:rPr>
        <w:t>部分进一步阐述了我们在这些准则下的责任。按照中国注册会计师职业道德守则和中国注册会计师独立性准则有关公众利益实体的独立性要求，我们独立于天亿马公司，并履行了职业道德方面的其他责任。我们相信，我们获取的审计证据是充分、适当的，为发表审计意见提供了基础。</w:t>
      </w:r>
    </w:p>
    <w:p w:rsidR="00E20B54" w:rsidRDefault="00733C9E">
      <w:pPr>
        <w:pStyle w:val="a3"/>
        <w:widowControl/>
        <w:spacing w:before="156" w:beforeAutospacing="0" w:after="156" w:afterAutospacing="0" w:line="360" w:lineRule="auto"/>
        <w:ind w:firstLine="482"/>
        <w:jc w:val="both"/>
        <w:rPr>
          <w:sz w:val="21"/>
          <w:szCs w:val="21"/>
        </w:rPr>
      </w:pPr>
      <w:r>
        <w:rPr>
          <w:rStyle w:val="a4"/>
          <w:bCs/>
          <w:szCs w:val="24"/>
        </w:rPr>
        <w:t>三、关键审计事项</w:t>
      </w:r>
    </w:p>
    <w:p w:rsidR="00E20B54" w:rsidRDefault="00733C9E">
      <w:pPr>
        <w:pStyle w:val="a3"/>
        <w:widowControl/>
        <w:spacing w:beforeAutospacing="0" w:afterAutospacing="0" w:line="360" w:lineRule="auto"/>
        <w:ind w:firstLine="480"/>
        <w:jc w:val="both"/>
        <w:rPr>
          <w:sz w:val="21"/>
          <w:szCs w:val="21"/>
        </w:rPr>
      </w:pPr>
      <w:r>
        <w:rPr>
          <w:szCs w:val="24"/>
        </w:rPr>
        <w:t>关键审计事项是我们根据职业判断，认为对本期财务报表审计最为重要的事项。这些事项的应对以对财务报表整体进行审计并形成审计意见为背景，我们不对这些事项单独发表意见。我们确定下列事项是需要在审计报告中沟通的关键审计事项。</w:t>
      </w:r>
    </w:p>
    <w:p w:rsidR="00E20B54" w:rsidRDefault="00733C9E">
      <w:pPr>
        <w:pStyle w:val="a3"/>
        <w:widowControl/>
        <w:spacing w:beforeAutospacing="0" w:afterAutospacing="0" w:line="360" w:lineRule="auto"/>
        <w:ind w:firstLine="482"/>
        <w:jc w:val="both"/>
        <w:rPr>
          <w:sz w:val="21"/>
          <w:szCs w:val="21"/>
        </w:rPr>
      </w:pPr>
      <w:r>
        <w:rPr>
          <w:rStyle w:val="a4"/>
          <w:szCs w:val="24"/>
        </w:rPr>
        <w:t>收入确认</w:t>
      </w:r>
    </w:p>
    <w:p w:rsidR="00E20B54" w:rsidRDefault="00733C9E">
      <w:pPr>
        <w:pStyle w:val="a3"/>
        <w:widowControl/>
        <w:spacing w:beforeAutospacing="0" w:afterAutospacing="0" w:line="360" w:lineRule="auto"/>
        <w:ind w:firstLine="482"/>
        <w:jc w:val="both"/>
        <w:rPr>
          <w:sz w:val="21"/>
          <w:szCs w:val="21"/>
        </w:rPr>
      </w:pPr>
      <w:r>
        <w:rPr>
          <w:rStyle w:val="a4"/>
          <w:szCs w:val="24"/>
        </w:rPr>
        <w:lastRenderedPageBreak/>
        <w:t>1</w:t>
      </w:r>
      <w:r>
        <w:rPr>
          <w:rStyle w:val="a4"/>
          <w:szCs w:val="24"/>
        </w:rPr>
        <w:t>、事项描述</w:t>
      </w:r>
    </w:p>
    <w:p w:rsidR="00E20B54" w:rsidRDefault="00733C9E">
      <w:pPr>
        <w:pStyle w:val="a3"/>
        <w:widowControl/>
        <w:spacing w:beforeAutospacing="0" w:afterAutospacing="0" w:line="360" w:lineRule="auto"/>
        <w:ind w:firstLine="480"/>
        <w:jc w:val="both"/>
        <w:rPr>
          <w:sz w:val="21"/>
          <w:szCs w:val="21"/>
        </w:rPr>
      </w:pPr>
      <w:r>
        <w:rPr>
          <w:szCs w:val="24"/>
        </w:rPr>
        <w:t>天亿马公司</w:t>
      </w:r>
      <w:r>
        <w:rPr>
          <w:szCs w:val="24"/>
        </w:rPr>
        <w:t>2025</w:t>
      </w:r>
      <w:r>
        <w:rPr>
          <w:szCs w:val="24"/>
        </w:rPr>
        <w:t>年度营业收入</w:t>
      </w:r>
      <w:r>
        <w:rPr>
          <w:szCs w:val="24"/>
        </w:rPr>
        <w:t>47,699.30</w:t>
      </w:r>
      <w:r>
        <w:rPr>
          <w:szCs w:val="24"/>
        </w:rPr>
        <w:t>万元，收入系软件和信息技术服务行业收入。由于收入是天亿马公司的关键业绩指标之一，可能存在管理层为了达到特定目标而操纵收入确认的风险，因此我们将收入确认识别为关键审计事项。</w:t>
      </w:r>
    </w:p>
    <w:p w:rsidR="00E20B54" w:rsidRDefault="00733C9E">
      <w:pPr>
        <w:pStyle w:val="a3"/>
        <w:widowControl/>
        <w:spacing w:beforeAutospacing="0" w:afterAutospacing="0" w:line="360" w:lineRule="auto"/>
        <w:ind w:firstLine="482"/>
        <w:jc w:val="both"/>
        <w:rPr>
          <w:sz w:val="21"/>
          <w:szCs w:val="21"/>
        </w:rPr>
      </w:pPr>
      <w:r>
        <w:rPr>
          <w:rStyle w:val="a4"/>
          <w:szCs w:val="24"/>
        </w:rPr>
        <w:t>2</w:t>
      </w:r>
      <w:r>
        <w:rPr>
          <w:rStyle w:val="a4"/>
          <w:szCs w:val="24"/>
        </w:rPr>
        <w:t>、审计应对</w:t>
      </w:r>
    </w:p>
    <w:p w:rsidR="00E20B54" w:rsidRDefault="00733C9E">
      <w:pPr>
        <w:pStyle w:val="a3"/>
        <w:widowControl/>
        <w:spacing w:beforeAutospacing="0" w:afterAutospacing="0" w:line="360" w:lineRule="auto"/>
        <w:ind w:firstLine="480"/>
        <w:jc w:val="both"/>
        <w:rPr>
          <w:sz w:val="21"/>
          <w:szCs w:val="21"/>
        </w:rPr>
      </w:pPr>
      <w:r>
        <w:rPr>
          <w:szCs w:val="24"/>
        </w:rPr>
        <w:t>在审计过程中，我们针对收入确认这一关键审计事项实施了以下重点审计程序，以应对管理层可能通过不当收入确认实现特定目标的风险：</w:t>
      </w:r>
    </w:p>
    <w:p w:rsidR="00E20B54" w:rsidRDefault="00733C9E">
      <w:pPr>
        <w:pStyle w:val="a3"/>
        <w:widowControl/>
        <w:spacing w:beforeAutospacing="0" w:afterAutospacing="0" w:line="360" w:lineRule="auto"/>
        <w:ind w:firstLine="480"/>
        <w:jc w:val="both"/>
        <w:rPr>
          <w:sz w:val="21"/>
          <w:szCs w:val="21"/>
        </w:rPr>
      </w:pPr>
      <w:r>
        <w:rPr>
          <w:szCs w:val="24"/>
        </w:rPr>
        <w:t>（</w:t>
      </w:r>
      <w:r>
        <w:rPr>
          <w:szCs w:val="24"/>
        </w:rPr>
        <w:t>1</w:t>
      </w:r>
      <w:r>
        <w:rPr>
          <w:szCs w:val="24"/>
        </w:rPr>
        <w:t>）内部控制评估与测试</w:t>
      </w:r>
    </w:p>
    <w:p w:rsidR="00E20B54" w:rsidRDefault="00733C9E">
      <w:pPr>
        <w:pStyle w:val="a3"/>
        <w:widowControl/>
        <w:spacing w:beforeAutospacing="0" w:afterAutospacing="0" w:line="360" w:lineRule="auto"/>
        <w:ind w:firstLine="480"/>
        <w:jc w:val="both"/>
        <w:rPr>
          <w:sz w:val="21"/>
          <w:szCs w:val="21"/>
        </w:rPr>
      </w:pPr>
      <w:r>
        <w:rPr>
          <w:szCs w:val="24"/>
        </w:rPr>
        <w:t>全面复核公司收入确认相关内部控制制度的设计有效性，重点关注合同审批、履约进度确认、客户验收及对账等关键控制节点。</w:t>
      </w:r>
    </w:p>
    <w:p w:rsidR="00E20B54" w:rsidRDefault="00733C9E">
      <w:pPr>
        <w:pStyle w:val="a3"/>
        <w:widowControl/>
        <w:spacing w:beforeAutospacing="0" w:afterAutospacing="0" w:line="360" w:lineRule="auto"/>
        <w:ind w:firstLine="480"/>
        <w:jc w:val="both"/>
        <w:rPr>
          <w:sz w:val="21"/>
          <w:szCs w:val="21"/>
        </w:rPr>
      </w:pPr>
      <w:r>
        <w:rPr>
          <w:szCs w:val="24"/>
        </w:rPr>
        <w:t>（</w:t>
      </w:r>
      <w:r>
        <w:rPr>
          <w:szCs w:val="24"/>
        </w:rPr>
        <w:t>2</w:t>
      </w:r>
      <w:r>
        <w:rPr>
          <w:szCs w:val="24"/>
        </w:rPr>
        <w:t>）重大合同实质性核查</w:t>
      </w:r>
    </w:p>
    <w:p w:rsidR="00E20B54" w:rsidRDefault="00733C9E">
      <w:pPr>
        <w:pStyle w:val="a3"/>
        <w:widowControl/>
        <w:spacing w:beforeAutospacing="0" w:afterAutospacing="0" w:line="360" w:lineRule="auto"/>
        <w:ind w:firstLine="480"/>
        <w:jc w:val="both"/>
        <w:rPr>
          <w:sz w:val="21"/>
          <w:szCs w:val="21"/>
        </w:rPr>
      </w:pPr>
      <w:r>
        <w:rPr>
          <w:szCs w:val="24"/>
        </w:rPr>
        <w:t>检查金额占比重大合同，核对合同条款与收入确认政策的一致性，重点关注多元素履约义务的分拆、可变对价计量等条款；验证服务完成证明文件的真实性和完整性，包括客户签收单、系统验收报告及第三方监理文件；执行截止性测试，检查资产负债表日前后的收入确认跨期情况。</w:t>
      </w:r>
    </w:p>
    <w:p w:rsidR="00E20B54" w:rsidRDefault="00733C9E">
      <w:pPr>
        <w:pStyle w:val="a3"/>
        <w:widowControl/>
        <w:spacing w:beforeAutospacing="0" w:afterAutospacing="0" w:line="360" w:lineRule="auto"/>
        <w:ind w:firstLine="480"/>
        <w:jc w:val="both"/>
        <w:rPr>
          <w:sz w:val="21"/>
          <w:szCs w:val="21"/>
        </w:rPr>
      </w:pPr>
      <w:r>
        <w:rPr>
          <w:szCs w:val="24"/>
        </w:rPr>
        <w:t>（</w:t>
      </w:r>
      <w:r>
        <w:rPr>
          <w:szCs w:val="24"/>
        </w:rPr>
        <w:t>3</w:t>
      </w:r>
      <w:r>
        <w:rPr>
          <w:szCs w:val="24"/>
        </w:rPr>
        <w:t>）财务数据分析与复核</w:t>
      </w:r>
    </w:p>
    <w:p w:rsidR="00E20B54" w:rsidRDefault="00733C9E">
      <w:pPr>
        <w:pStyle w:val="a3"/>
        <w:widowControl/>
        <w:spacing w:beforeAutospacing="0" w:afterAutospacing="0" w:line="360" w:lineRule="auto"/>
        <w:ind w:firstLine="480"/>
        <w:jc w:val="both"/>
        <w:rPr>
          <w:sz w:val="21"/>
          <w:szCs w:val="21"/>
        </w:rPr>
      </w:pPr>
      <w:r>
        <w:rPr>
          <w:szCs w:val="24"/>
        </w:rPr>
        <w:t>对收入和成本执行分析程序，包括按照项目、客户和服务类别对报告期收入、成本、毛利率波动分析，就报告期的销售收入，选取样本，检查其销售合同、入账记录及客户验收记录，以评价收入确认是否与天亿马公司的收入确认政策相符。</w:t>
      </w:r>
    </w:p>
    <w:p w:rsidR="00E20B54" w:rsidRDefault="00733C9E">
      <w:pPr>
        <w:pStyle w:val="a3"/>
        <w:widowControl/>
        <w:spacing w:beforeAutospacing="0" w:afterAutospacing="0" w:line="360" w:lineRule="auto"/>
        <w:ind w:firstLine="480"/>
        <w:jc w:val="both"/>
        <w:rPr>
          <w:sz w:val="21"/>
          <w:szCs w:val="21"/>
        </w:rPr>
      </w:pPr>
      <w:r>
        <w:rPr>
          <w:szCs w:val="24"/>
        </w:rPr>
        <w:t>就资产负债表日前后确认的收入，选取样本，检查其销售合同、入账记录及客户验收记录，以评价相关收入是否记录在正确的会计期间。</w:t>
      </w:r>
    </w:p>
    <w:p w:rsidR="00E20B54" w:rsidRDefault="00733C9E">
      <w:pPr>
        <w:pStyle w:val="a3"/>
        <w:widowControl/>
        <w:spacing w:beforeAutospacing="0" w:afterAutospacing="0" w:line="360" w:lineRule="auto"/>
        <w:ind w:firstLine="480"/>
        <w:jc w:val="both"/>
        <w:rPr>
          <w:sz w:val="21"/>
          <w:szCs w:val="21"/>
        </w:rPr>
      </w:pPr>
      <w:r>
        <w:rPr>
          <w:szCs w:val="24"/>
        </w:rPr>
        <w:t>检查在财务报表中有关收入确认的披露是否符合企业会计准则的要求。</w:t>
      </w:r>
    </w:p>
    <w:p w:rsidR="00E20B54" w:rsidRDefault="00733C9E">
      <w:pPr>
        <w:pStyle w:val="a3"/>
        <w:widowControl/>
        <w:spacing w:beforeAutospacing="0" w:afterAutospacing="0" w:line="360" w:lineRule="auto"/>
        <w:ind w:firstLine="480"/>
        <w:jc w:val="both"/>
        <w:rPr>
          <w:sz w:val="21"/>
          <w:szCs w:val="21"/>
        </w:rPr>
      </w:pPr>
      <w:r>
        <w:rPr>
          <w:szCs w:val="24"/>
        </w:rPr>
        <w:t>（</w:t>
      </w:r>
      <w:r>
        <w:rPr>
          <w:szCs w:val="24"/>
        </w:rPr>
        <w:t>4</w:t>
      </w:r>
      <w:r>
        <w:rPr>
          <w:szCs w:val="24"/>
        </w:rPr>
        <w:t>）管理层声明与第三方证据</w:t>
      </w:r>
    </w:p>
    <w:p w:rsidR="00E20B54" w:rsidRDefault="00733C9E">
      <w:pPr>
        <w:pStyle w:val="a3"/>
        <w:widowControl/>
        <w:spacing w:beforeAutospacing="0" w:afterAutospacing="0" w:line="360" w:lineRule="auto"/>
        <w:ind w:firstLine="480"/>
        <w:jc w:val="both"/>
        <w:rPr>
          <w:sz w:val="21"/>
          <w:szCs w:val="21"/>
        </w:rPr>
      </w:pPr>
      <w:r>
        <w:rPr>
          <w:szCs w:val="24"/>
        </w:rPr>
        <w:t>就重大以及新增客户发送询证函，函证内容涵盖合同金额、履约进度、开票及付款情况。</w:t>
      </w:r>
    </w:p>
    <w:p w:rsidR="00E20B54" w:rsidRDefault="00733C9E">
      <w:pPr>
        <w:pStyle w:val="a3"/>
        <w:widowControl/>
        <w:spacing w:beforeAutospacing="0" w:afterAutospacing="0" w:line="360" w:lineRule="auto"/>
        <w:ind w:firstLine="480"/>
        <w:jc w:val="both"/>
        <w:rPr>
          <w:sz w:val="21"/>
          <w:szCs w:val="21"/>
        </w:rPr>
      </w:pPr>
      <w:r>
        <w:rPr>
          <w:szCs w:val="24"/>
        </w:rPr>
        <w:t>选取本期重大客户实施现场访谈和网络背景调查程序，核查与客户交易的真实性和准确性。</w:t>
      </w:r>
    </w:p>
    <w:p w:rsidR="00E20B54" w:rsidRDefault="00733C9E">
      <w:pPr>
        <w:pStyle w:val="a3"/>
        <w:widowControl/>
        <w:spacing w:beforeAutospacing="0" w:afterAutospacing="0" w:line="360" w:lineRule="auto"/>
        <w:ind w:firstLine="480"/>
        <w:jc w:val="both"/>
        <w:rPr>
          <w:sz w:val="21"/>
          <w:szCs w:val="21"/>
        </w:rPr>
      </w:pPr>
      <w:r>
        <w:rPr>
          <w:szCs w:val="24"/>
        </w:rPr>
        <w:t>与销售总监、财务总监进行专项访谈，记录其对收入波动的解释并验证支持性证据。</w:t>
      </w:r>
    </w:p>
    <w:p w:rsidR="00E20B54" w:rsidRDefault="00733C9E">
      <w:pPr>
        <w:pStyle w:val="a3"/>
        <w:widowControl/>
        <w:spacing w:before="156" w:beforeAutospacing="0" w:after="156" w:afterAutospacing="0" w:line="360" w:lineRule="auto"/>
        <w:ind w:firstLine="482"/>
        <w:jc w:val="both"/>
        <w:rPr>
          <w:sz w:val="21"/>
          <w:szCs w:val="21"/>
        </w:rPr>
      </w:pPr>
      <w:r>
        <w:rPr>
          <w:rStyle w:val="a4"/>
          <w:bCs/>
          <w:szCs w:val="24"/>
        </w:rPr>
        <w:t>四、其他信息</w:t>
      </w:r>
    </w:p>
    <w:p w:rsidR="00E20B54" w:rsidRDefault="00733C9E">
      <w:pPr>
        <w:pStyle w:val="a3"/>
        <w:widowControl/>
        <w:spacing w:beforeAutospacing="0" w:afterAutospacing="0" w:line="360" w:lineRule="auto"/>
        <w:ind w:firstLine="480"/>
        <w:jc w:val="both"/>
        <w:rPr>
          <w:sz w:val="21"/>
          <w:szCs w:val="21"/>
        </w:rPr>
      </w:pPr>
      <w:r>
        <w:rPr>
          <w:szCs w:val="24"/>
        </w:rPr>
        <w:lastRenderedPageBreak/>
        <w:t>天亿马公司管理层对其他信息负责。其他信息包括</w:t>
      </w:r>
      <w:r>
        <w:rPr>
          <w:szCs w:val="24"/>
        </w:rPr>
        <w:t>2025</w:t>
      </w:r>
      <w:r>
        <w:rPr>
          <w:szCs w:val="24"/>
        </w:rPr>
        <w:t>年度报告中涵盖的信息，但不包括财务报表和我们的审计报告。</w:t>
      </w:r>
    </w:p>
    <w:p w:rsidR="00E20B54" w:rsidRDefault="00733C9E">
      <w:pPr>
        <w:pStyle w:val="a3"/>
        <w:widowControl/>
        <w:spacing w:beforeAutospacing="0" w:afterAutospacing="0" w:line="360" w:lineRule="auto"/>
        <w:ind w:firstLine="480"/>
        <w:jc w:val="both"/>
        <w:rPr>
          <w:sz w:val="21"/>
          <w:szCs w:val="21"/>
        </w:rPr>
      </w:pPr>
      <w:r>
        <w:rPr>
          <w:szCs w:val="24"/>
        </w:rPr>
        <w:t>我们对财务报表发表的审计意见不涵盖其他信息，我们也不对其他信息发表任何形式的鉴证结论。</w:t>
      </w:r>
    </w:p>
    <w:p w:rsidR="00E20B54" w:rsidRDefault="00733C9E">
      <w:pPr>
        <w:pStyle w:val="a3"/>
        <w:widowControl/>
        <w:spacing w:beforeAutospacing="0" w:afterAutospacing="0" w:line="360" w:lineRule="auto"/>
        <w:ind w:firstLine="480"/>
        <w:jc w:val="both"/>
        <w:rPr>
          <w:sz w:val="21"/>
          <w:szCs w:val="21"/>
        </w:rPr>
      </w:pPr>
      <w:r>
        <w:rPr>
          <w:szCs w:val="24"/>
        </w:rPr>
        <w:t>结合我们对财务报表的审计，我们的责任是阅读其他信息，在此过程中，考虑其他信息是否与财务报表或我们在审计过程中了解到的情况存在重大不一致或者似乎存在重大错报。</w:t>
      </w:r>
    </w:p>
    <w:p w:rsidR="00E20B54" w:rsidRDefault="00733C9E">
      <w:pPr>
        <w:pStyle w:val="a3"/>
        <w:widowControl/>
        <w:spacing w:beforeAutospacing="0" w:afterAutospacing="0" w:line="360" w:lineRule="auto"/>
        <w:ind w:firstLine="480"/>
        <w:jc w:val="both"/>
        <w:rPr>
          <w:sz w:val="21"/>
          <w:szCs w:val="21"/>
        </w:rPr>
      </w:pPr>
      <w:r>
        <w:rPr>
          <w:szCs w:val="24"/>
        </w:rPr>
        <w:t>基于我们已执行的工作，如果我们确定其他信息存在重大错报，我们应当报告该事实。在这方面，我们无任何事项需要报告。</w:t>
      </w:r>
    </w:p>
    <w:p w:rsidR="00E20B54" w:rsidRDefault="00733C9E">
      <w:pPr>
        <w:pStyle w:val="a3"/>
        <w:widowControl/>
        <w:spacing w:before="156" w:beforeAutospacing="0" w:after="156" w:afterAutospacing="0" w:line="360" w:lineRule="auto"/>
        <w:ind w:firstLine="482"/>
        <w:jc w:val="both"/>
        <w:rPr>
          <w:sz w:val="21"/>
          <w:szCs w:val="21"/>
        </w:rPr>
      </w:pPr>
      <w:r>
        <w:rPr>
          <w:rStyle w:val="a4"/>
          <w:bCs/>
          <w:szCs w:val="24"/>
        </w:rPr>
        <w:t>五、管理层和治理层对财务报表的责任</w:t>
      </w:r>
    </w:p>
    <w:p w:rsidR="00E20B54" w:rsidRDefault="00733C9E">
      <w:pPr>
        <w:pStyle w:val="a3"/>
        <w:widowControl/>
        <w:spacing w:beforeAutospacing="0" w:afterAutospacing="0" w:line="360" w:lineRule="auto"/>
        <w:ind w:firstLine="480"/>
        <w:jc w:val="both"/>
        <w:rPr>
          <w:sz w:val="21"/>
          <w:szCs w:val="21"/>
        </w:rPr>
      </w:pPr>
      <w:r>
        <w:rPr>
          <w:szCs w:val="24"/>
        </w:rPr>
        <w:t>天亿马公司管理层（以下简称管理层）负责按照企业会计准则的规定编制财务报表，使其实现公允反映，并设计、执行和维护必要的内部控制，以使财务报表不存在由于舞弊或错误导致的重大错报。</w:t>
      </w:r>
    </w:p>
    <w:p w:rsidR="00E20B54" w:rsidRDefault="00733C9E">
      <w:pPr>
        <w:pStyle w:val="a3"/>
        <w:widowControl/>
        <w:spacing w:beforeAutospacing="0" w:afterAutospacing="0" w:line="360" w:lineRule="auto"/>
        <w:ind w:firstLine="480"/>
        <w:jc w:val="both"/>
        <w:rPr>
          <w:sz w:val="21"/>
          <w:szCs w:val="21"/>
        </w:rPr>
      </w:pPr>
      <w:r>
        <w:rPr>
          <w:szCs w:val="24"/>
        </w:rPr>
        <w:t>在编制财务报表时，管理层负责评估天亿马公司的持续经营能力，披露与持续经营相关的事项（如适用），并运用持续经营假设，除非管理层计划清算天亿马公司、终止运营或别无其他现实的选择。</w:t>
      </w:r>
    </w:p>
    <w:p w:rsidR="00E20B54" w:rsidRDefault="00733C9E">
      <w:pPr>
        <w:pStyle w:val="a3"/>
        <w:widowControl/>
        <w:spacing w:beforeAutospacing="0" w:afterAutospacing="0" w:line="360" w:lineRule="auto"/>
        <w:ind w:firstLine="480"/>
        <w:jc w:val="both"/>
        <w:rPr>
          <w:sz w:val="21"/>
          <w:szCs w:val="21"/>
        </w:rPr>
      </w:pPr>
      <w:r>
        <w:rPr>
          <w:szCs w:val="24"/>
        </w:rPr>
        <w:t>治理层负责监督天亿马公司的财务报告过程。</w:t>
      </w:r>
    </w:p>
    <w:p w:rsidR="00E20B54" w:rsidRDefault="00733C9E">
      <w:pPr>
        <w:pStyle w:val="a3"/>
        <w:widowControl/>
        <w:spacing w:before="156" w:beforeAutospacing="0" w:after="156" w:afterAutospacing="0" w:line="360" w:lineRule="auto"/>
        <w:ind w:firstLine="482"/>
        <w:jc w:val="both"/>
        <w:rPr>
          <w:sz w:val="21"/>
          <w:szCs w:val="21"/>
        </w:rPr>
      </w:pPr>
      <w:r>
        <w:rPr>
          <w:rStyle w:val="a4"/>
          <w:bCs/>
          <w:szCs w:val="24"/>
        </w:rPr>
        <w:t>六、注册会计师对财务报表审计的责任</w:t>
      </w:r>
    </w:p>
    <w:p w:rsidR="00E20B54" w:rsidRDefault="00733C9E">
      <w:pPr>
        <w:pStyle w:val="a3"/>
        <w:widowControl/>
        <w:spacing w:beforeAutospacing="0" w:afterAutospacing="0" w:line="360" w:lineRule="auto"/>
        <w:ind w:firstLine="480"/>
        <w:jc w:val="both"/>
        <w:rPr>
          <w:sz w:val="21"/>
          <w:szCs w:val="21"/>
        </w:rPr>
      </w:pPr>
      <w:r>
        <w:rPr>
          <w:szCs w:val="24"/>
        </w:rPr>
        <w:t>我们的目标是对财务报表整体是否不存在由于舞弊或错误导致的重大错报获取合理保证，并出具包含审计意见的审计报告。合理保证是高水平的保证，但并不能保证按照审计准则执行的审计在某一重大错报存在时总能发现。错报可能由于舞弊或错误所导致，如果合理预期错报单独或汇总起来可能影响财务报表使用者依据财务报表作出的经济决策，则通常认为错报是重大的。</w:t>
      </w:r>
    </w:p>
    <w:p w:rsidR="00E20B54" w:rsidRDefault="00733C9E">
      <w:pPr>
        <w:pStyle w:val="a3"/>
        <w:widowControl/>
        <w:spacing w:beforeAutospacing="0" w:afterAutospacing="0" w:line="360" w:lineRule="auto"/>
        <w:ind w:firstLine="480"/>
        <w:jc w:val="both"/>
        <w:rPr>
          <w:sz w:val="21"/>
          <w:szCs w:val="21"/>
        </w:rPr>
      </w:pPr>
      <w:r>
        <w:rPr>
          <w:szCs w:val="24"/>
        </w:rPr>
        <w:t>在按照审计准则执行审计的过程中，我们运用职业判断，并保持职业怀疑。同时，我们也执行以下工作：</w:t>
      </w:r>
    </w:p>
    <w:p w:rsidR="00E20B54" w:rsidRDefault="00733C9E">
      <w:pPr>
        <w:pStyle w:val="a3"/>
        <w:widowControl/>
        <w:spacing w:beforeAutospacing="0" w:afterAutospacing="0" w:line="360" w:lineRule="auto"/>
        <w:ind w:firstLine="480"/>
        <w:jc w:val="both"/>
        <w:rPr>
          <w:sz w:val="21"/>
          <w:szCs w:val="21"/>
        </w:rPr>
      </w:pPr>
      <w:r>
        <w:rPr>
          <w:szCs w:val="24"/>
        </w:rPr>
        <w:t>（一）识别和评估由于舞弊或错误导致的财务报表重大错报风险，设计和实施审计程序以应对这些风险，并获取充分、适当的审计证据，作为发表审计意见的基础。由于舞弊</w:t>
      </w:r>
      <w:r>
        <w:rPr>
          <w:szCs w:val="24"/>
        </w:rPr>
        <w:lastRenderedPageBreak/>
        <w:t>可能涉及串通、伪造、故意遗漏、虚假陈述或凌驾于内部控制之上，未能发现由于舞弊导致的重大错报的风险高于未能发现由于错误导致的重大错报的风险。</w:t>
      </w:r>
    </w:p>
    <w:p w:rsidR="00E20B54" w:rsidRDefault="00733C9E">
      <w:pPr>
        <w:pStyle w:val="a3"/>
        <w:widowControl/>
        <w:spacing w:beforeAutospacing="0" w:afterAutospacing="0" w:line="360" w:lineRule="auto"/>
        <w:ind w:firstLine="480"/>
        <w:jc w:val="both"/>
        <w:rPr>
          <w:sz w:val="21"/>
          <w:szCs w:val="21"/>
        </w:rPr>
      </w:pPr>
      <w:r>
        <w:rPr>
          <w:szCs w:val="24"/>
        </w:rPr>
        <w:t>（二）了解与审计相关的内部控制，以设计恰当的审计程序。</w:t>
      </w:r>
    </w:p>
    <w:p w:rsidR="00E20B54" w:rsidRDefault="00733C9E">
      <w:pPr>
        <w:pStyle w:val="a3"/>
        <w:widowControl/>
        <w:spacing w:beforeAutospacing="0" w:afterAutospacing="0" w:line="360" w:lineRule="auto"/>
        <w:ind w:firstLine="480"/>
        <w:jc w:val="both"/>
        <w:rPr>
          <w:sz w:val="21"/>
          <w:szCs w:val="21"/>
        </w:rPr>
      </w:pPr>
      <w:r>
        <w:rPr>
          <w:szCs w:val="24"/>
        </w:rPr>
        <w:t>（三）评价管理层选用会计政策的恰当性和作出会计估计及相关披露的合理性。</w:t>
      </w:r>
    </w:p>
    <w:p w:rsidR="00E20B54" w:rsidRDefault="00733C9E">
      <w:pPr>
        <w:pStyle w:val="a3"/>
        <w:widowControl/>
        <w:spacing w:beforeAutospacing="0" w:afterAutospacing="0" w:line="360" w:lineRule="auto"/>
        <w:ind w:firstLine="480"/>
        <w:jc w:val="both"/>
        <w:rPr>
          <w:sz w:val="21"/>
          <w:szCs w:val="21"/>
        </w:rPr>
      </w:pPr>
      <w:r>
        <w:rPr>
          <w:szCs w:val="24"/>
        </w:rPr>
        <w:t>（四）对管理层使用持续经营假设的恰当性得出结论。同时，根据获取的审计证据，就可能导致对天亿马公司持续经营能力产生重大疑虑的事项或情况是否存在重大不确定性得出结论。如果我们得出结论认为存在重大不确定性，审计准则要求我们在审计报告中提请报表使用者注意财务报表中的相关披露；如果披露不充分，我们应当发表非无保留意见。我们的结论基于截至审计报告日可获得的信息。然而，未来的事项或情况可能导致天亿马公司不能持续经营。</w:t>
      </w:r>
    </w:p>
    <w:p w:rsidR="00E20B54" w:rsidRDefault="00733C9E">
      <w:pPr>
        <w:pStyle w:val="a3"/>
        <w:widowControl/>
        <w:spacing w:beforeAutospacing="0" w:afterAutospacing="0" w:line="360" w:lineRule="auto"/>
        <w:ind w:firstLine="480"/>
        <w:jc w:val="both"/>
        <w:rPr>
          <w:sz w:val="21"/>
          <w:szCs w:val="21"/>
        </w:rPr>
      </w:pPr>
      <w:r>
        <w:rPr>
          <w:szCs w:val="24"/>
        </w:rPr>
        <w:t>（五）评价财务报表的总体列报、结构和内容，并评价财务报表是否公允反映相关交易和事项。</w:t>
      </w:r>
    </w:p>
    <w:p w:rsidR="00E20B54" w:rsidRDefault="00733C9E">
      <w:pPr>
        <w:pStyle w:val="a3"/>
        <w:widowControl/>
        <w:spacing w:beforeAutospacing="0" w:afterAutospacing="0" w:line="360" w:lineRule="auto"/>
        <w:ind w:firstLine="480"/>
        <w:jc w:val="both"/>
        <w:rPr>
          <w:sz w:val="21"/>
          <w:szCs w:val="21"/>
        </w:rPr>
      </w:pPr>
      <w:r>
        <w:rPr>
          <w:szCs w:val="24"/>
        </w:rPr>
        <w:t>（六）就天亿马公司中实体或业务活动的财务信息获取充分、适当的审计证据，以对合并财务报表发表审计意见。我们负责指导、监督和执行集团审计，并对审计意见承担全部责任。</w:t>
      </w:r>
    </w:p>
    <w:p w:rsidR="00E20B54" w:rsidRDefault="00733C9E">
      <w:pPr>
        <w:pStyle w:val="a3"/>
        <w:widowControl/>
        <w:spacing w:beforeAutospacing="0" w:afterAutospacing="0" w:line="360" w:lineRule="auto"/>
        <w:ind w:firstLine="480"/>
        <w:jc w:val="both"/>
        <w:rPr>
          <w:sz w:val="21"/>
          <w:szCs w:val="21"/>
        </w:rPr>
      </w:pPr>
      <w:r>
        <w:rPr>
          <w:szCs w:val="24"/>
        </w:rPr>
        <w:t>我们与治理层就计划的审计范围、时间安排和重大审计发现等事项进行沟通，包括沟通我们在审计中识别出的值得关注的内部控制缺陷。</w:t>
      </w:r>
    </w:p>
    <w:p w:rsidR="00E20B54" w:rsidRDefault="00733C9E">
      <w:pPr>
        <w:pStyle w:val="a3"/>
        <w:widowControl/>
        <w:spacing w:beforeAutospacing="0" w:afterAutospacing="0" w:line="360" w:lineRule="auto"/>
        <w:ind w:firstLine="480"/>
        <w:jc w:val="both"/>
        <w:rPr>
          <w:sz w:val="21"/>
          <w:szCs w:val="21"/>
        </w:rPr>
      </w:pPr>
      <w:r>
        <w:rPr>
          <w:szCs w:val="24"/>
        </w:rPr>
        <w:t>我们还就已遵守与独立性相关的职业道德要求向治理层提供声明，并与治理层沟通可能被合理认为影响我们独立性的所有关系和其他事项，以及相关的防范措施。</w:t>
      </w:r>
    </w:p>
    <w:p w:rsidR="00E20B54" w:rsidRDefault="00733C9E">
      <w:pPr>
        <w:pStyle w:val="a3"/>
        <w:widowControl/>
        <w:spacing w:beforeAutospacing="0" w:afterAutospacing="0" w:line="360" w:lineRule="auto"/>
        <w:ind w:firstLine="480"/>
        <w:jc w:val="both"/>
        <w:rPr>
          <w:sz w:val="21"/>
          <w:szCs w:val="21"/>
        </w:rPr>
      </w:pPr>
      <w:r>
        <w:rPr>
          <w:szCs w:val="24"/>
        </w:rPr>
        <w:t>从与治理层沟通过的事项中，我们确定哪些事项对本期财务报表审计最为重要，因而构成关键审计事项。我们在审计报告中描述这些事项，除非法律法规禁止公开披露这些事项，或在极少数情形下，如果合理预期在审计报告中沟通某事项造成的负面后果超过在公众利益方面产生的益处，我们确定不应在审计报告中沟通该事项。</w:t>
      </w:r>
    </w:p>
    <w:p w:rsidR="00E20B54" w:rsidRDefault="00733C9E">
      <w:pPr>
        <w:pStyle w:val="2"/>
        <w:spacing w:before="300" w:after="300" w:line="320" w:lineRule="exact"/>
        <w:rPr>
          <w:b/>
          <w:bCs/>
          <w:sz w:val="24"/>
          <w:szCs w:val="24"/>
        </w:rPr>
      </w:pPr>
      <w:bookmarkStart w:id="150" w:name="_Toc989039"/>
      <w:r>
        <w:rPr>
          <w:b/>
          <w:bCs/>
          <w:sz w:val="24"/>
          <w:szCs w:val="24"/>
        </w:rPr>
        <w:t>二、财务报表</w:t>
      </w:r>
      <w:bookmarkEnd w:id="150"/>
    </w:p>
    <w:p w:rsidR="00E20B54" w:rsidRDefault="00733C9E">
      <w:pPr>
        <w:spacing w:before="40" w:after="40" w:line="240" w:lineRule="exact"/>
        <w:rPr>
          <w:sz w:val="18"/>
          <w:szCs w:val="18"/>
        </w:rPr>
      </w:pPr>
      <w:r>
        <w:rPr>
          <w:sz w:val="18"/>
          <w:szCs w:val="18"/>
        </w:rPr>
        <w:t>财务附注中报表的单位为：元</w:t>
      </w:r>
    </w:p>
    <w:p w:rsidR="00E20B54" w:rsidRDefault="00733C9E">
      <w:pPr>
        <w:pStyle w:val="3"/>
        <w:spacing w:line="280" w:lineRule="exact"/>
        <w:jc w:val="left"/>
        <w:rPr>
          <w:b/>
          <w:bCs/>
        </w:rPr>
      </w:pPr>
      <w:bookmarkStart w:id="151" w:name="_Toc989040"/>
      <w:r>
        <w:rPr>
          <w:b/>
          <w:bCs/>
        </w:rPr>
        <w:t>1</w:t>
      </w:r>
      <w:r>
        <w:rPr>
          <w:b/>
          <w:bCs/>
        </w:rPr>
        <w:t>、合并资产负债表</w:t>
      </w:r>
      <w:bookmarkEnd w:id="151"/>
    </w:p>
    <w:p w:rsidR="00E20B54" w:rsidRDefault="00733C9E">
      <w:pPr>
        <w:spacing w:line="240" w:lineRule="exact"/>
        <w:rPr>
          <w:sz w:val="18"/>
          <w:szCs w:val="18"/>
        </w:rPr>
      </w:pPr>
      <w:r>
        <w:rPr>
          <w:sz w:val="18"/>
          <w:szCs w:val="18"/>
        </w:rPr>
        <w:t>编制单位：广东天亿马信息产业股份有限公司</w:t>
      </w:r>
    </w:p>
    <w:p w:rsidR="00E20B54" w:rsidRDefault="00733C9E">
      <w:pPr>
        <w:spacing w:line="240" w:lineRule="exact"/>
        <w:jc w:val="center"/>
        <w:rPr>
          <w:sz w:val="18"/>
          <w:szCs w:val="18"/>
        </w:rPr>
      </w:pPr>
      <w:r>
        <w:rPr>
          <w:sz w:val="18"/>
          <w:szCs w:val="18"/>
        </w:rPr>
        <w:t>2025</w:t>
      </w:r>
      <w:r>
        <w:rPr>
          <w:sz w:val="18"/>
          <w:szCs w:val="18"/>
        </w:rPr>
        <w:t>年</w:t>
      </w:r>
      <w:r>
        <w:rPr>
          <w:sz w:val="18"/>
          <w:szCs w:val="18"/>
        </w:rPr>
        <w:t>12</w:t>
      </w:r>
      <w:r>
        <w:rPr>
          <w:sz w:val="18"/>
          <w:szCs w:val="18"/>
        </w:rPr>
        <w:t>月</w:t>
      </w:r>
      <w:r>
        <w:rPr>
          <w:sz w:val="18"/>
          <w:szCs w:val="18"/>
        </w:rPr>
        <w:t>31</w:t>
      </w:r>
      <w:r>
        <w:rPr>
          <w:sz w:val="18"/>
          <w:szCs w:val="18"/>
        </w:rPr>
        <w:t>日</w:t>
      </w:r>
    </w:p>
    <w:p w:rsidR="00E20B54" w:rsidRDefault="00733C9E">
      <w:pPr>
        <w:spacing w:line="240" w:lineRule="exact"/>
        <w:jc w:val="right"/>
        <w:rPr>
          <w:sz w:val="18"/>
          <w:szCs w:val="18"/>
        </w:rPr>
      </w:pPr>
      <w:r>
        <w:rPr>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E20B54">
        <w:trPr>
          <w:trHeight w:val="240"/>
          <w:tblHeader/>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项目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期末余额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期初余额</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lastRenderedPageBreak/>
              <w:t>流动资产：</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100" w:firstLine="180"/>
              <w:rPr>
                <w:sz w:val="18"/>
                <w:szCs w:val="18"/>
              </w:rPr>
            </w:pPr>
            <w:r>
              <w:rPr>
                <w:sz w:val="18"/>
                <w:szCs w:val="18"/>
              </w:rPr>
              <w:t>货币资金</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307,384,611.49</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334,623,835.24</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100" w:firstLine="180"/>
              <w:rPr>
                <w:sz w:val="18"/>
                <w:szCs w:val="18"/>
              </w:rPr>
            </w:pPr>
            <w:r>
              <w:rPr>
                <w:sz w:val="18"/>
                <w:szCs w:val="18"/>
              </w:rPr>
              <w:t>结算备付金</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100" w:firstLine="180"/>
              <w:rPr>
                <w:sz w:val="18"/>
                <w:szCs w:val="18"/>
              </w:rPr>
            </w:pPr>
            <w:r>
              <w:rPr>
                <w:sz w:val="18"/>
                <w:szCs w:val="18"/>
              </w:rPr>
              <w:t>拆出资金</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100" w:firstLine="180"/>
              <w:rPr>
                <w:sz w:val="18"/>
                <w:szCs w:val="18"/>
              </w:rPr>
            </w:pPr>
            <w:r>
              <w:rPr>
                <w:sz w:val="18"/>
                <w:szCs w:val="18"/>
              </w:rPr>
              <w:t>交易性金融资产</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100" w:firstLine="180"/>
              <w:rPr>
                <w:sz w:val="18"/>
                <w:szCs w:val="18"/>
              </w:rPr>
            </w:pPr>
            <w:r>
              <w:rPr>
                <w:sz w:val="18"/>
                <w:szCs w:val="18"/>
              </w:rPr>
              <w:t>衍生金融资产</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100" w:firstLine="180"/>
              <w:rPr>
                <w:sz w:val="18"/>
                <w:szCs w:val="18"/>
              </w:rPr>
            </w:pPr>
            <w:r>
              <w:rPr>
                <w:sz w:val="18"/>
                <w:szCs w:val="18"/>
              </w:rPr>
              <w:t>应收票据</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324,000.00</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2,570,000.00</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100" w:firstLine="180"/>
              <w:rPr>
                <w:sz w:val="18"/>
                <w:szCs w:val="18"/>
              </w:rPr>
            </w:pPr>
            <w:r>
              <w:rPr>
                <w:sz w:val="18"/>
                <w:szCs w:val="18"/>
              </w:rPr>
              <w:t>应收账款</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289,612,998.20</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274,869,881.73</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100" w:firstLine="180"/>
              <w:rPr>
                <w:sz w:val="18"/>
                <w:szCs w:val="18"/>
              </w:rPr>
            </w:pPr>
            <w:r>
              <w:rPr>
                <w:sz w:val="18"/>
                <w:szCs w:val="18"/>
              </w:rPr>
              <w:t>应收款项融资</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100" w:firstLine="180"/>
              <w:rPr>
                <w:sz w:val="18"/>
                <w:szCs w:val="18"/>
              </w:rPr>
            </w:pPr>
            <w:r>
              <w:rPr>
                <w:sz w:val="18"/>
                <w:szCs w:val="18"/>
              </w:rPr>
              <w:t>预付款项</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6,987,182.86</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17,067,136.59</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100" w:firstLine="180"/>
              <w:rPr>
                <w:sz w:val="18"/>
                <w:szCs w:val="18"/>
              </w:rPr>
            </w:pPr>
            <w:r>
              <w:rPr>
                <w:sz w:val="18"/>
                <w:szCs w:val="18"/>
              </w:rPr>
              <w:t>应收保费</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100" w:firstLine="180"/>
              <w:rPr>
                <w:sz w:val="18"/>
                <w:szCs w:val="18"/>
              </w:rPr>
            </w:pPr>
            <w:r>
              <w:rPr>
                <w:sz w:val="18"/>
                <w:szCs w:val="18"/>
              </w:rPr>
              <w:t>应收分保账款</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100" w:firstLine="180"/>
              <w:rPr>
                <w:sz w:val="18"/>
                <w:szCs w:val="18"/>
              </w:rPr>
            </w:pPr>
            <w:r>
              <w:rPr>
                <w:sz w:val="18"/>
                <w:szCs w:val="18"/>
              </w:rPr>
              <w:t>应收分保合同准备金</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100" w:firstLine="180"/>
              <w:rPr>
                <w:sz w:val="18"/>
                <w:szCs w:val="18"/>
              </w:rPr>
            </w:pPr>
            <w:r>
              <w:rPr>
                <w:sz w:val="18"/>
                <w:szCs w:val="18"/>
              </w:rPr>
              <w:t>其他应收款</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7,465,404.60</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3,640,083.65</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200" w:firstLine="360"/>
              <w:rPr>
                <w:sz w:val="18"/>
                <w:szCs w:val="18"/>
              </w:rPr>
            </w:pPr>
            <w:r>
              <w:rPr>
                <w:sz w:val="18"/>
                <w:szCs w:val="18"/>
              </w:rPr>
              <w:t>其中：应收利息</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500" w:firstLine="900"/>
              <w:rPr>
                <w:sz w:val="18"/>
                <w:szCs w:val="18"/>
              </w:rPr>
            </w:pPr>
            <w:r>
              <w:rPr>
                <w:sz w:val="18"/>
                <w:szCs w:val="18"/>
              </w:rPr>
              <w:t>应收股利</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100" w:firstLine="180"/>
              <w:rPr>
                <w:sz w:val="18"/>
                <w:szCs w:val="18"/>
              </w:rPr>
            </w:pPr>
            <w:r>
              <w:rPr>
                <w:sz w:val="18"/>
                <w:szCs w:val="18"/>
              </w:rPr>
              <w:t>买入返售金融资产</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100" w:firstLine="180"/>
              <w:rPr>
                <w:sz w:val="18"/>
                <w:szCs w:val="18"/>
              </w:rPr>
            </w:pPr>
            <w:r>
              <w:rPr>
                <w:sz w:val="18"/>
                <w:szCs w:val="18"/>
              </w:rPr>
              <w:t>存货</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89,756,796.04</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81,221,817.39</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200" w:firstLine="360"/>
              <w:rPr>
                <w:sz w:val="18"/>
                <w:szCs w:val="18"/>
              </w:rPr>
            </w:pPr>
            <w:r>
              <w:rPr>
                <w:sz w:val="18"/>
                <w:szCs w:val="18"/>
              </w:rPr>
              <w:t>其中：数据资源</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100" w:firstLine="180"/>
              <w:rPr>
                <w:sz w:val="18"/>
                <w:szCs w:val="18"/>
              </w:rPr>
            </w:pPr>
            <w:r>
              <w:rPr>
                <w:sz w:val="18"/>
                <w:szCs w:val="18"/>
              </w:rPr>
              <w:t>合同资产</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834,811.62</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4,631,369.93</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100" w:firstLine="180"/>
              <w:rPr>
                <w:sz w:val="18"/>
                <w:szCs w:val="18"/>
              </w:rPr>
            </w:pPr>
            <w:r>
              <w:rPr>
                <w:sz w:val="18"/>
                <w:szCs w:val="18"/>
              </w:rPr>
              <w:t>持有待售资产</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100" w:firstLine="180"/>
              <w:rPr>
                <w:sz w:val="18"/>
                <w:szCs w:val="18"/>
              </w:rPr>
            </w:pPr>
            <w:r>
              <w:rPr>
                <w:sz w:val="18"/>
                <w:szCs w:val="18"/>
              </w:rPr>
              <w:t>一年内到期的非流动资产</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36,242,782.56</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24,399,620.88</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100" w:firstLine="180"/>
              <w:rPr>
                <w:sz w:val="18"/>
                <w:szCs w:val="18"/>
              </w:rPr>
            </w:pPr>
            <w:r>
              <w:rPr>
                <w:sz w:val="18"/>
                <w:szCs w:val="18"/>
              </w:rPr>
              <w:t>其他流动资产</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68,862,211.96</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54,026,671.97</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流动资产合计</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807,470,799.33</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797,050,417.38</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非流动资产：</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100" w:firstLine="180"/>
              <w:rPr>
                <w:sz w:val="18"/>
                <w:szCs w:val="18"/>
              </w:rPr>
            </w:pPr>
            <w:r>
              <w:rPr>
                <w:sz w:val="18"/>
                <w:szCs w:val="18"/>
              </w:rPr>
              <w:t>发放贷款和垫款</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100" w:firstLine="180"/>
              <w:rPr>
                <w:sz w:val="18"/>
                <w:szCs w:val="18"/>
              </w:rPr>
            </w:pPr>
            <w:r>
              <w:rPr>
                <w:sz w:val="18"/>
                <w:szCs w:val="18"/>
              </w:rPr>
              <w:t>债权投资</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100" w:firstLine="180"/>
              <w:rPr>
                <w:sz w:val="18"/>
                <w:szCs w:val="18"/>
              </w:rPr>
            </w:pPr>
            <w:r>
              <w:rPr>
                <w:sz w:val="18"/>
                <w:szCs w:val="18"/>
              </w:rPr>
              <w:t>其他债权投资</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100" w:firstLine="180"/>
              <w:rPr>
                <w:sz w:val="18"/>
                <w:szCs w:val="18"/>
              </w:rPr>
            </w:pPr>
            <w:r>
              <w:rPr>
                <w:sz w:val="18"/>
                <w:szCs w:val="18"/>
              </w:rPr>
              <w:t>长期应收款</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53,778,811.37</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10,731,084.36</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100" w:firstLine="180"/>
              <w:rPr>
                <w:sz w:val="18"/>
                <w:szCs w:val="18"/>
              </w:rPr>
            </w:pPr>
            <w:r>
              <w:rPr>
                <w:sz w:val="18"/>
                <w:szCs w:val="18"/>
              </w:rPr>
              <w:t>长期股权投资</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100" w:firstLine="180"/>
              <w:rPr>
                <w:sz w:val="18"/>
                <w:szCs w:val="18"/>
              </w:rPr>
            </w:pPr>
            <w:r>
              <w:rPr>
                <w:sz w:val="18"/>
                <w:szCs w:val="18"/>
              </w:rPr>
              <w:t>其他权益工具投资</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4,083,400.00</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4,083,400.00</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100" w:firstLine="180"/>
              <w:rPr>
                <w:sz w:val="18"/>
                <w:szCs w:val="18"/>
              </w:rPr>
            </w:pPr>
            <w:r>
              <w:rPr>
                <w:sz w:val="18"/>
                <w:szCs w:val="18"/>
              </w:rPr>
              <w:t>其他非流动金融资产</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100" w:firstLine="180"/>
              <w:rPr>
                <w:sz w:val="18"/>
                <w:szCs w:val="18"/>
              </w:rPr>
            </w:pPr>
            <w:r>
              <w:rPr>
                <w:sz w:val="18"/>
                <w:szCs w:val="18"/>
              </w:rPr>
              <w:t>投资性房地产</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100" w:firstLine="180"/>
              <w:rPr>
                <w:sz w:val="18"/>
                <w:szCs w:val="18"/>
              </w:rPr>
            </w:pPr>
            <w:r>
              <w:rPr>
                <w:sz w:val="18"/>
                <w:szCs w:val="18"/>
              </w:rPr>
              <w:t>固定资产</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513,494,392.57</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125,026,382.09</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100" w:firstLine="180"/>
              <w:rPr>
                <w:sz w:val="18"/>
                <w:szCs w:val="18"/>
              </w:rPr>
            </w:pPr>
            <w:r>
              <w:rPr>
                <w:sz w:val="18"/>
                <w:szCs w:val="18"/>
              </w:rPr>
              <w:t>在建工程</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350,737,899.50</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100" w:firstLine="180"/>
              <w:rPr>
                <w:sz w:val="18"/>
                <w:szCs w:val="18"/>
              </w:rPr>
            </w:pPr>
            <w:r>
              <w:rPr>
                <w:sz w:val="18"/>
                <w:szCs w:val="18"/>
              </w:rPr>
              <w:t>生产性生物资产</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100" w:firstLine="180"/>
              <w:rPr>
                <w:sz w:val="18"/>
                <w:szCs w:val="18"/>
              </w:rPr>
            </w:pPr>
            <w:r>
              <w:rPr>
                <w:sz w:val="18"/>
                <w:szCs w:val="18"/>
              </w:rPr>
              <w:t>油气资产</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100" w:firstLine="180"/>
              <w:rPr>
                <w:sz w:val="18"/>
                <w:szCs w:val="18"/>
              </w:rPr>
            </w:pPr>
            <w:r>
              <w:rPr>
                <w:sz w:val="18"/>
                <w:szCs w:val="18"/>
              </w:rPr>
              <w:t>使用权资产</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14,586,503.66</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8,594,708.86</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100" w:firstLine="180"/>
              <w:rPr>
                <w:sz w:val="18"/>
                <w:szCs w:val="18"/>
              </w:rPr>
            </w:pPr>
            <w:r>
              <w:rPr>
                <w:sz w:val="18"/>
                <w:szCs w:val="18"/>
              </w:rPr>
              <w:t>无形资产</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248,957.94</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167,598.89</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200" w:firstLine="360"/>
              <w:rPr>
                <w:sz w:val="18"/>
                <w:szCs w:val="18"/>
              </w:rPr>
            </w:pPr>
            <w:r>
              <w:rPr>
                <w:sz w:val="18"/>
                <w:szCs w:val="18"/>
              </w:rPr>
              <w:t>其中：数据资源</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99,642.61</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100" w:firstLine="180"/>
              <w:rPr>
                <w:sz w:val="18"/>
                <w:szCs w:val="18"/>
              </w:rPr>
            </w:pPr>
            <w:r>
              <w:rPr>
                <w:sz w:val="18"/>
                <w:szCs w:val="18"/>
              </w:rPr>
              <w:t>开发支出</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200" w:firstLine="360"/>
              <w:rPr>
                <w:sz w:val="18"/>
                <w:szCs w:val="18"/>
              </w:rPr>
            </w:pPr>
            <w:r>
              <w:rPr>
                <w:sz w:val="18"/>
                <w:szCs w:val="18"/>
              </w:rPr>
              <w:lastRenderedPageBreak/>
              <w:t>其中：数据资源</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100" w:firstLine="180"/>
              <w:rPr>
                <w:sz w:val="18"/>
                <w:szCs w:val="18"/>
              </w:rPr>
            </w:pPr>
            <w:r>
              <w:rPr>
                <w:sz w:val="18"/>
                <w:szCs w:val="18"/>
              </w:rPr>
              <w:t>商誉</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1,875,454.05</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1,875,454.05</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100" w:firstLine="180"/>
              <w:rPr>
                <w:sz w:val="18"/>
                <w:szCs w:val="18"/>
              </w:rPr>
            </w:pPr>
            <w:r>
              <w:rPr>
                <w:sz w:val="18"/>
                <w:szCs w:val="18"/>
              </w:rPr>
              <w:t>长期待摊费用</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4,457,795.81</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2,894,950.75</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100" w:firstLine="180"/>
              <w:rPr>
                <w:sz w:val="18"/>
                <w:szCs w:val="18"/>
              </w:rPr>
            </w:pPr>
            <w:r>
              <w:rPr>
                <w:sz w:val="18"/>
                <w:szCs w:val="18"/>
              </w:rPr>
              <w:t>递延所得税资产</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44,826,320.91</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31,824,528.08</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100" w:firstLine="180"/>
              <w:rPr>
                <w:sz w:val="18"/>
                <w:szCs w:val="18"/>
              </w:rPr>
            </w:pPr>
            <w:r>
              <w:rPr>
                <w:sz w:val="18"/>
                <w:szCs w:val="18"/>
              </w:rPr>
              <w:t>其他非流动资产</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949,249.94</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780,329.90</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非流动资产合计</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638,300,886.25</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536,716,336.48</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资产总计</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1,445,771,685.58</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1,333,766,753.86</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流动负债：</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100" w:firstLine="180"/>
              <w:rPr>
                <w:sz w:val="18"/>
                <w:szCs w:val="18"/>
              </w:rPr>
            </w:pPr>
            <w:r>
              <w:rPr>
                <w:sz w:val="18"/>
                <w:szCs w:val="18"/>
              </w:rPr>
              <w:t>短期借款</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75,386,370.12</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46,223,781.13</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100" w:firstLine="180"/>
              <w:rPr>
                <w:sz w:val="18"/>
                <w:szCs w:val="18"/>
              </w:rPr>
            </w:pPr>
            <w:r>
              <w:rPr>
                <w:sz w:val="18"/>
                <w:szCs w:val="18"/>
              </w:rPr>
              <w:t>向中央银行借款</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100" w:firstLine="180"/>
              <w:rPr>
                <w:sz w:val="18"/>
                <w:szCs w:val="18"/>
              </w:rPr>
            </w:pPr>
            <w:r>
              <w:rPr>
                <w:sz w:val="18"/>
                <w:szCs w:val="18"/>
              </w:rPr>
              <w:t>拆入资金</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100" w:firstLine="180"/>
              <w:rPr>
                <w:sz w:val="18"/>
                <w:szCs w:val="18"/>
              </w:rPr>
            </w:pPr>
            <w:r>
              <w:rPr>
                <w:sz w:val="18"/>
                <w:szCs w:val="18"/>
              </w:rPr>
              <w:t>交易性金融负债</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100" w:firstLine="180"/>
              <w:rPr>
                <w:sz w:val="18"/>
                <w:szCs w:val="18"/>
              </w:rPr>
            </w:pPr>
            <w:r>
              <w:rPr>
                <w:sz w:val="18"/>
                <w:szCs w:val="18"/>
              </w:rPr>
              <w:t>衍生金融负债</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100" w:firstLine="180"/>
              <w:rPr>
                <w:sz w:val="18"/>
                <w:szCs w:val="18"/>
              </w:rPr>
            </w:pPr>
            <w:r>
              <w:rPr>
                <w:sz w:val="18"/>
                <w:szCs w:val="18"/>
              </w:rPr>
              <w:t>应付票据</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100" w:firstLine="180"/>
              <w:rPr>
                <w:sz w:val="18"/>
                <w:szCs w:val="18"/>
              </w:rPr>
            </w:pPr>
            <w:r>
              <w:rPr>
                <w:sz w:val="18"/>
                <w:szCs w:val="18"/>
              </w:rPr>
              <w:t>应付账款</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104,486,315.75</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310,695,296.44</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100" w:firstLine="180"/>
              <w:rPr>
                <w:sz w:val="18"/>
                <w:szCs w:val="18"/>
              </w:rPr>
            </w:pPr>
            <w:r>
              <w:rPr>
                <w:sz w:val="18"/>
                <w:szCs w:val="18"/>
              </w:rPr>
              <w:t>预收款项</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100" w:firstLine="180"/>
              <w:rPr>
                <w:sz w:val="18"/>
                <w:szCs w:val="18"/>
              </w:rPr>
            </w:pPr>
            <w:r>
              <w:rPr>
                <w:sz w:val="18"/>
                <w:szCs w:val="18"/>
              </w:rPr>
              <w:t>合同负债</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42,612,287.12</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48,564,228.45</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100" w:firstLine="180"/>
              <w:rPr>
                <w:sz w:val="18"/>
                <w:szCs w:val="18"/>
              </w:rPr>
            </w:pPr>
            <w:r>
              <w:rPr>
                <w:sz w:val="18"/>
                <w:szCs w:val="18"/>
              </w:rPr>
              <w:t>卖出回购金融资产款</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100" w:firstLine="180"/>
              <w:rPr>
                <w:sz w:val="18"/>
                <w:szCs w:val="18"/>
              </w:rPr>
            </w:pPr>
            <w:r>
              <w:rPr>
                <w:sz w:val="18"/>
                <w:szCs w:val="18"/>
              </w:rPr>
              <w:t>吸收存款及同业存放</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100" w:firstLine="180"/>
              <w:rPr>
                <w:sz w:val="18"/>
                <w:szCs w:val="18"/>
              </w:rPr>
            </w:pPr>
            <w:r>
              <w:rPr>
                <w:sz w:val="18"/>
                <w:szCs w:val="18"/>
              </w:rPr>
              <w:t>代理买卖证券款</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100" w:firstLine="180"/>
              <w:rPr>
                <w:sz w:val="18"/>
                <w:szCs w:val="18"/>
              </w:rPr>
            </w:pPr>
            <w:r>
              <w:rPr>
                <w:sz w:val="18"/>
                <w:szCs w:val="18"/>
              </w:rPr>
              <w:t>代理承销证券款</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100" w:firstLine="180"/>
              <w:rPr>
                <w:sz w:val="18"/>
                <w:szCs w:val="18"/>
              </w:rPr>
            </w:pPr>
            <w:r>
              <w:rPr>
                <w:sz w:val="18"/>
                <w:szCs w:val="18"/>
              </w:rPr>
              <w:t>应付职工薪酬</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10,926,423.76</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11,352,528.93</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100" w:firstLine="180"/>
              <w:rPr>
                <w:sz w:val="18"/>
                <w:szCs w:val="18"/>
              </w:rPr>
            </w:pPr>
            <w:r>
              <w:rPr>
                <w:sz w:val="18"/>
                <w:szCs w:val="18"/>
              </w:rPr>
              <w:t>应交税费</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50,637,804.85</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49,472,293.38</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100" w:firstLine="180"/>
              <w:rPr>
                <w:sz w:val="18"/>
                <w:szCs w:val="18"/>
              </w:rPr>
            </w:pPr>
            <w:r>
              <w:rPr>
                <w:sz w:val="18"/>
                <w:szCs w:val="18"/>
              </w:rPr>
              <w:t>其他应付款</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24,285,873.06</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29,616,531.12</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200" w:firstLine="360"/>
              <w:rPr>
                <w:sz w:val="18"/>
                <w:szCs w:val="18"/>
              </w:rPr>
            </w:pPr>
            <w:r>
              <w:rPr>
                <w:sz w:val="18"/>
                <w:szCs w:val="18"/>
              </w:rPr>
              <w:t>其中：应付利息</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500" w:firstLine="900"/>
              <w:rPr>
                <w:sz w:val="18"/>
                <w:szCs w:val="18"/>
              </w:rPr>
            </w:pPr>
            <w:r>
              <w:rPr>
                <w:sz w:val="18"/>
                <w:szCs w:val="18"/>
              </w:rPr>
              <w:t>应付股利</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100" w:firstLine="180"/>
              <w:rPr>
                <w:sz w:val="18"/>
                <w:szCs w:val="18"/>
              </w:rPr>
            </w:pPr>
            <w:r>
              <w:rPr>
                <w:sz w:val="18"/>
                <w:szCs w:val="18"/>
              </w:rPr>
              <w:t>应付手续费及佣金</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100" w:firstLine="180"/>
              <w:rPr>
                <w:sz w:val="18"/>
                <w:szCs w:val="18"/>
              </w:rPr>
            </w:pPr>
            <w:r>
              <w:rPr>
                <w:sz w:val="18"/>
                <w:szCs w:val="18"/>
              </w:rPr>
              <w:t>应付分保账款</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100" w:firstLine="180"/>
              <w:rPr>
                <w:sz w:val="18"/>
                <w:szCs w:val="18"/>
              </w:rPr>
            </w:pPr>
            <w:r>
              <w:rPr>
                <w:sz w:val="18"/>
                <w:szCs w:val="18"/>
              </w:rPr>
              <w:t>持有待售负债</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100" w:firstLine="180"/>
              <w:rPr>
                <w:sz w:val="18"/>
                <w:szCs w:val="18"/>
              </w:rPr>
            </w:pPr>
            <w:r>
              <w:rPr>
                <w:sz w:val="18"/>
                <w:szCs w:val="18"/>
              </w:rPr>
              <w:t>一年内到期的非流动负债</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67,978,622.47</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7,213,508.14</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100" w:firstLine="180"/>
              <w:rPr>
                <w:sz w:val="18"/>
                <w:szCs w:val="18"/>
              </w:rPr>
            </w:pPr>
            <w:r>
              <w:rPr>
                <w:sz w:val="18"/>
                <w:szCs w:val="18"/>
              </w:rPr>
              <w:t>其他流动负债</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160,000.00</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流动负债合计</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376,473,697.13</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503,138,167.59</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非流动负债：</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100" w:firstLine="180"/>
              <w:rPr>
                <w:sz w:val="18"/>
                <w:szCs w:val="18"/>
              </w:rPr>
            </w:pPr>
            <w:r>
              <w:rPr>
                <w:sz w:val="18"/>
                <w:szCs w:val="18"/>
              </w:rPr>
              <w:t>保险合同准备金</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100" w:firstLine="180"/>
              <w:rPr>
                <w:sz w:val="18"/>
                <w:szCs w:val="18"/>
              </w:rPr>
            </w:pPr>
            <w:r>
              <w:rPr>
                <w:sz w:val="18"/>
                <w:szCs w:val="18"/>
              </w:rPr>
              <w:t>长期借款</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213,518,051.31</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31,937,786.17</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100" w:firstLine="180"/>
              <w:rPr>
                <w:sz w:val="18"/>
                <w:szCs w:val="18"/>
              </w:rPr>
            </w:pPr>
            <w:r>
              <w:rPr>
                <w:sz w:val="18"/>
                <w:szCs w:val="18"/>
              </w:rPr>
              <w:t>应付债券</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200" w:firstLine="360"/>
              <w:rPr>
                <w:sz w:val="18"/>
                <w:szCs w:val="18"/>
              </w:rPr>
            </w:pPr>
            <w:r>
              <w:rPr>
                <w:sz w:val="18"/>
                <w:szCs w:val="18"/>
              </w:rPr>
              <w:t>其中：优先股</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500" w:firstLine="900"/>
              <w:rPr>
                <w:sz w:val="18"/>
                <w:szCs w:val="18"/>
              </w:rPr>
            </w:pPr>
            <w:r>
              <w:rPr>
                <w:sz w:val="18"/>
                <w:szCs w:val="18"/>
              </w:rPr>
              <w:t>永续债</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100" w:firstLine="180"/>
              <w:rPr>
                <w:sz w:val="18"/>
                <w:szCs w:val="18"/>
              </w:rPr>
            </w:pPr>
            <w:r>
              <w:rPr>
                <w:sz w:val="18"/>
                <w:szCs w:val="18"/>
              </w:rPr>
              <w:t>租赁负债</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11,001,175.61</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5,786,073.08</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100" w:firstLine="180"/>
              <w:rPr>
                <w:sz w:val="18"/>
                <w:szCs w:val="18"/>
              </w:rPr>
            </w:pPr>
            <w:r>
              <w:rPr>
                <w:sz w:val="18"/>
                <w:szCs w:val="18"/>
              </w:rPr>
              <w:t>长期应付款</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39,040,839.35</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19,306,145.83</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100" w:firstLine="180"/>
              <w:rPr>
                <w:sz w:val="18"/>
                <w:szCs w:val="18"/>
              </w:rPr>
            </w:pPr>
            <w:r>
              <w:rPr>
                <w:sz w:val="18"/>
                <w:szCs w:val="18"/>
              </w:rPr>
              <w:t>长期应付职工薪酬</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100" w:firstLine="180"/>
              <w:rPr>
                <w:sz w:val="18"/>
                <w:szCs w:val="18"/>
              </w:rPr>
            </w:pPr>
            <w:r>
              <w:rPr>
                <w:sz w:val="18"/>
                <w:szCs w:val="18"/>
              </w:rPr>
              <w:lastRenderedPageBreak/>
              <w:t>预计负债</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100" w:firstLine="180"/>
              <w:rPr>
                <w:sz w:val="18"/>
                <w:szCs w:val="18"/>
              </w:rPr>
            </w:pPr>
            <w:r>
              <w:rPr>
                <w:sz w:val="18"/>
                <w:szCs w:val="18"/>
              </w:rPr>
              <w:t>递延收益</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100" w:firstLine="180"/>
              <w:rPr>
                <w:sz w:val="18"/>
                <w:szCs w:val="18"/>
              </w:rPr>
            </w:pPr>
            <w:r>
              <w:rPr>
                <w:sz w:val="18"/>
                <w:szCs w:val="18"/>
              </w:rPr>
              <w:t>递延所得税负债</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16,234,111.29</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7,181,760.61</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100" w:firstLine="180"/>
              <w:rPr>
                <w:sz w:val="18"/>
                <w:szCs w:val="18"/>
              </w:rPr>
            </w:pPr>
            <w:r>
              <w:rPr>
                <w:sz w:val="18"/>
                <w:szCs w:val="18"/>
              </w:rPr>
              <w:t>其他非流动负债</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非流动负债合计</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279,794,177.56</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64,211,765.69</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负债合计</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656,267,874.69</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567,349,933.28</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line="240" w:lineRule="exact"/>
              <w:rPr>
                <w:sz w:val="18"/>
                <w:szCs w:val="18"/>
              </w:rPr>
            </w:pPr>
            <w:r>
              <w:rPr>
                <w:sz w:val="18"/>
                <w:szCs w:val="18"/>
              </w:rPr>
              <w:t>所有者权益：</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line="240" w:lineRule="exact"/>
              <w:ind w:firstLineChars="100" w:firstLine="180"/>
              <w:rPr>
                <w:sz w:val="18"/>
                <w:szCs w:val="18"/>
              </w:rPr>
            </w:pPr>
            <w:r>
              <w:rPr>
                <w:sz w:val="18"/>
                <w:szCs w:val="18"/>
              </w:rPr>
              <w:t>股本</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66,852,800.00</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67,108,800.00</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line="240" w:lineRule="exact"/>
              <w:ind w:firstLineChars="100" w:firstLine="180"/>
              <w:rPr>
                <w:sz w:val="18"/>
                <w:szCs w:val="18"/>
              </w:rPr>
            </w:pPr>
            <w:r>
              <w:rPr>
                <w:sz w:val="18"/>
                <w:szCs w:val="18"/>
              </w:rPr>
              <w:t>其他权益工具</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line="240" w:lineRule="exact"/>
              <w:ind w:firstLineChars="200" w:firstLine="360"/>
              <w:rPr>
                <w:sz w:val="18"/>
                <w:szCs w:val="18"/>
              </w:rPr>
            </w:pPr>
            <w:r>
              <w:rPr>
                <w:sz w:val="18"/>
                <w:szCs w:val="18"/>
              </w:rPr>
              <w:t>其中：优先股</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line="240" w:lineRule="exact"/>
              <w:ind w:firstLineChars="500" w:firstLine="900"/>
              <w:rPr>
                <w:sz w:val="18"/>
                <w:szCs w:val="18"/>
              </w:rPr>
            </w:pPr>
            <w:r>
              <w:rPr>
                <w:sz w:val="18"/>
                <w:szCs w:val="18"/>
              </w:rPr>
              <w:t>永续债</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line="240" w:lineRule="exact"/>
              <w:ind w:firstLineChars="100" w:firstLine="180"/>
              <w:rPr>
                <w:sz w:val="18"/>
                <w:szCs w:val="18"/>
              </w:rPr>
            </w:pPr>
            <w:r>
              <w:rPr>
                <w:sz w:val="18"/>
                <w:szCs w:val="18"/>
              </w:rPr>
              <w:t>资本公积</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605,848,079.63</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598,297,202.73</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line="240" w:lineRule="exact"/>
              <w:ind w:firstLineChars="100" w:firstLine="180"/>
              <w:rPr>
                <w:sz w:val="18"/>
                <w:szCs w:val="18"/>
              </w:rPr>
            </w:pPr>
            <w:r>
              <w:rPr>
                <w:sz w:val="18"/>
                <w:szCs w:val="18"/>
              </w:rPr>
              <w:t>减：库存股</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48,693,212.07</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52,740,572.07</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line="240" w:lineRule="exact"/>
              <w:ind w:firstLineChars="100" w:firstLine="180"/>
              <w:rPr>
                <w:sz w:val="18"/>
                <w:szCs w:val="18"/>
              </w:rPr>
            </w:pPr>
            <w:r>
              <w:rPr>
                <w:sz w:val="18"/>
                <w:szCs w:val="18"/>
              </w:rPr>
              <w:t>其他综合收益</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-698,067.46</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-603,041.44</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100" w:firstLine="180"/>
              <w:rPr>
                <w:sz w:val="18"/>
                <w:szCs w:val="18"/>
              </w:rPr>
            </w:pPr>
            <w:r>
              <w:rPr>
                <w:sz w:val="18"/>
                <w:szCs w:val="18"/>
              </w:rPr>
              <w:t>专项储备</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0.00</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line="240" w:lineRule="exact"/>
              <w:ind w:firstLineChars="100" w:firstLine="180"/>
              <w:rPr>
                <w:sz w:val="18"/>
                <w:szCs w:val="18"/>
              </w:rPr>
            </w:pPr>
            <w:r>
              <w:rPr>
                <w:sz w:val="18"/>
                <w:szCs w:val="18"/>
              </w:rPr>
              <w:t>盈余公积</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25,904,440.33</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25,904,440.33</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line="240" w:lineRule="exact"/>
              <w:ind w:firstLineChars="100" w:firstLine="180"/>
              <w:rPr>
                <w:sz w:val="18"/>
                <w:szCs w:val="18"/>
              </w:rPr>
            </w:pPr>
            <w:r>
              <w:rPr>
                <w:sz w:val="18"/>
                <w:szCs w:val="18"/>
              </w:rPr>
              <w:t>一般风险准备</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line="240" w:lineRule="exact"/>
              <w:ind w:firstLineChars="100" w:firstLine="180"/>
              <w:rPr>
                <w:sz w:val="18"/>
                <w:szCs w:val="18"/>
              </w:rPr>
            </w:pPr>
            <w:r>
              <w:rPr>
                <w:sz w:val="18"/>
                <w:szCs w:val="18"/>
              </w:rPr>
              <w:t>未分配利润</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127,798,551.42</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120,283,337.88</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line="240" w:lineRule="exact"/>
              <w:rPr>
                <w:sz w:val="18"/>
                <w:szCs w:val="18"/>
              </w:rPr>
            </w:pPr>
            <w:r>
              <w:rPr>
                <w:sz w:val="18"/>
                <w:szCs w:val="18"/>
              </w:rPr>
              <w:t>归属于母公司所有者权益合计</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777,012,591.85</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758,250,167.43</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line="240" w:lineRule="exact"/>
              <w:ind w:firstLineChars="100" w:firstLine="180"/>
              <w:rPr>
                <w:sz w:val="18"/>
                <w:szCs w:val="18"/>
              </w:rPr>
            </w:pPr>
            <w:r>
              <w:rPr>
                <w:sz w:val="18"/>
                <w:szCs w:val="18"/>
              </w:rPr>
              <w:t>少数股东权益</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12,491,219.04</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8,166,653.15</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line="240" w:lineRule="exact"/>
              <w:rPr>
                <w:sz w:val="18"/>
                <w:szCs w:val="18"/>
              </w:rPr>
            </w:pPr>
            <w:r>
              <w:rPr>
                <w:sz w:val="18"/>
                <w:szCs w:val="18"/>
              </w:rPr>
              <w:t>所有者权益合计</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789,503,810.89</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766,416,820.58</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line="240" w:lineRule="exact"/>
              <w:rPr>
                <w:sz w:val="18"/>
                <w:szCs w:val="18"/>
              </w:rPr>
            </w:pPr>
            <w:r>
              <w:rPr>
                <w:sz w:val="18"/>
                <w:szCs w:val="18"/>
              </w:rPr>
              <w:t>负债和所有者权益总计</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1,445,771,685.58</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1,333,766,753.86</w:t>
            </w:r>
          </w:p>
        </w:tc>
      </w:tr>
    </w:tbl>
    <w:p w:rsidR="00E20B54" w:rsidRDefault="00E20B54">
      <w:pPr>
        <w:spacing w:line="240" w:lineRule="exact"/>
        <w:rPr>
          <w:sz w:val="18"/>
          <w:szCs w:val="18"/>
        </w:rPr>
      </w:pPr>
    </w:p>
    <w:p w:rsidR="00E20B54" w:rsidRDefault="00E20B54">
      <w:pPr>
        <w:spacing w:line="240" w:lineRule="exact"/>
        <w:rPr>
          <w:sz w:val="18"/>
          <w:szCs w:val="18"/>
        </w:rPr>
      </w:pPr>
    </w:p>
    <w:p w:rsidR="00E20B54" w:rsidRDefault="00733C9E">
      <w:pPr>
        <w:spacing w:line="240" w:lineRule="exact"/>
        <w:rPr>
          <w:sz w:val="18"/>
          <w:szCs w:val="18"/>
        </w:rPr>
      </w:pPr>
      <w:r>
        <w:rPr>
          <w:sz w:val="18"/>
          <w:szCs w:val="18"/>
        </w:rPr>
        <w:t>法定代表人：林明玲</w:t>
      </w:r>
      <w:r>
        <w:rPr>
          <w:sz w:val="18"/>
          <w:szCs w:val="18"/>
        </w:rPr>
        <w:t xml:space="preserve">    </w:t>
      </w:r>
      <w:r>
        <w:rPr>
          <w:rFonts w:hint="eastAsia"/>
          <w:sz w:val="18"/>
          <w:szCs w:val="18"/>
        </w:rPr>
        <w:t xml:space="preserve">                                   </w:t>
      </w:r>
      <w:r>
        <w:rPr>
          <w:sz w:val="18"/>
          <w:szCs w:val="18"/>
        </w:rPr>
        <w:t>主管会计工作负责人：陈焕盛</w:t>
      </w:r>
      <w:r>
        <w:rPr>
          <w:sz w:val="18"/>
          <w:szCs w:val="18"/>
        </w:rPr>
        <w:t xml:space="preserve"> </w:t>
      </w:r>
      <w:r>
        <w:rPr>
          <w:rFonts w:hint="eastAsia"/>
          <w:sz w:val="18"/>
          <w:szCs w:val="18"/>
        </w:rPr>
        <w:t xml:space="preserve">                                </w:t>
      </w:r>
      <w:r>
        <w:rPr>
          <w:sz w:val="18"/>
          <w:szCs w:val="18"/>
        </w:rPr>
        <w:t xml:space="preserve"> </w:t>
      </w:r>
      <w:r>
        <w:rPr>
          <w:sz w:val="18"/>
          <w:szCs w:val="18"/>
        </w:rPr>
        <w:t>会计机构负责人：赖宏伟</w:t>
      </w:r>
    </w:p>
    <w:p w:rsidR="00E20B54" w:rsidRDefault="00E20B54">
      <w:pPr>
        <w:spacing w:line="240" w:lineRule="exact"/>
        <w:rPr>
          <w:sz w:val="18"/>
          <w:szCs w:val="18"/>
        </w:rPr>
      </w:pPr>
    </w:p>
    <w:p w:rsidR="00E20B54" w:rsidRDefault="00733C9E">
      <w:pPr>
        <w:pStyle w:val="3"/>
        <w:spacing w:line="320" w:lineRule="exact"/>
        <w:jc w:val="left"/>
        <w:rPr>
          <w:b/>
          <w:bCs/>
          <w:sz w:val="24"/>
          <w:szCs w:val="24"/>
        </w:rPr>
      </w:pPr>
      <w:bookmarkStart w:id="152" w:name="_Toc989041"/>
      <w:r>
        <w:rPr>
          <w:b/>
          <w:bCs/>
          <w:sz w:val="24"/>
          <w:szCs w:val="24"/>
        </w:rPr>
        <w:t>2</w:t>
      </w:r>
      <w:r>
        <w:rPr>
          <w:b/>
          <w:bCs/>
          <w:sz w:val="24"/>
          <w:szCs w:val="24"/>
        </w:rPr>
        <w:t>、母公司资产负债表</w:t>
      </w:r>
      <w:bookmarkEnd w:id="152"/>
    </w:p>
    <w:p w:rsidR="00E20B54" w:rsidRDefault="00733C9E">
      <w:pPr>
        <w:spacing w:before="40" w:after="40" w:line="240" w:lineRule="exact"/>
        <w:jc w:val="right"/>
        <w:rPr>
          <w:sz w:val="18"/>
          <w:szCs w:val="18"/>
        </w:rPr>
      </w:pPr>
      <w:r>
        <w:rPr>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E20B54">
        <w:trPr>
          <w:trHeight w:val="240"/>
          <w:tblHeader/>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项目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期末余额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期初余额</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流动资产：</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100" w:firstLine="180"/>
              <w:rPr>
                <w:sz w:val="18"/>
                <w:szCs w:val="18"/>
              </w:rPr>
            </w:pPr>
            <w:r>
              <w:rPr>
                <w:sz w:val="18"/>
                <w:szCs w:val="18"/>
              </w:rPr>
              <w:t>货币资金</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202,096,476.56</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258,290,885.35</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100" w:firstLine="180"/>
              <w:rPr>
                <w:sz w:val="18"/>
                <w:szCs w:val="18"/>
              </w:rPr>
            </w:pPr>
            <w:r>
              <w:rPr>
                <w:sz w:val="18"/>
                <w:szCs w:val="18"/>
              </w:rPr>
              <w:t>交易性金融资产</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100" w:firstLine="180"/>
              <w:rPr>
                <w:sz w:val="18"/>
                <w:szCs w:val="18"/>
              </w:rPr>
            </w:pPr>
            <w:r>
              <w:rPr>
                <w:sz w:val="18"/>
                <w:szCs w:val="18"/>
              </w:rPr>
              <w:t>衍生金融资产</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100" w:firstLine="180"/>
              <w:rPr>
                <w:sz w:val="18"/>
                <w:szCs w:val="18"/>
              </w:rPr>
            </w:pPr>
            <w:r>
              <w:rPr>
                <w:sz w:val="18"/>
                <w:szCs w:val="18"/>
              </w:rPr>
              <w:t>应收票据</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324,000.00</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2,570,000.00</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100" w:firstLine="180"/>
              <w:rPr>
                <w:sz w:val="18"/>
                <w:szCs w:val="18"/>
              </w:rPr>
            </w:pPr>
            <w:r>
              <w:rPr>
                <w:sz w:val="18"/>
                <w:szCs w:val="18"/>
              </w:rPr>
              <w:t>应收账款</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201,239,016.39</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205,179,639.83</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100" w:firstLine="180"/>
              <w:rPr>
                <w:sz w:val="18"/>
                <w:szCs w:val="18"/>
              </w:rPr>
            </w:pPr>
            <w:r>
              <w:rPr>
                <w:sz w:val="18"/>
                <w:szCs w:val="18"/>
              </w:rPr>
              <w:t>应收款项融资</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0.00</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100" w:firstLine="180"/>
              <w:rPr>
                <w:sz w:val="18"/>
                <w:szCs w:val="18"/>
              </w:rPr>
            </w:pPr>
            <w:r>
              <w:rPr>
                <w:sz w:val="18"/>
                <w:szCs w:val="18"/>
              </w:rPr>
              <w:t>预付款项</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2,327,197.57</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6,998,659.56</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100" w:firstLine="180"/>
              <w:rPr>
                <w:sz w:val="18"/>
                <w:szCs w:val="18"/>
              </w:rPr>
            </w:pPr>
            <w:r>
              <w:rPr>
                <w:sz w:val="18"/>
                <w:szCs w:val="18"/>
              </w:rPr>
              <w:t>其他应收款</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171,969,692.20</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88,855,492.30</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200" w:firstLine="360"/>
              <w:rPr>
                <w:sz w:val="18"/>
                <w:szCs w:val="18"/>
              </w:rPr>
            </w:pPr>
            <w:r>
              <w:rPr>
                <w:sz w:val="18"/>
                <w:szCs w:val="18"/>
              </w:rPr>
              <w:t>其中：应收利息</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0.00</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500" w:firstLine="900"/>
              <w:rPr>
                <w:sz w:val="18"/>
                <w:szCs w:val="18"/>
              </w:rPr>
            </w:pPr>
            <w:r>
              <w:rPr>
                <w:sz w:val="18"/>
                <w:szCs w:val="18"/>
              </w:rPr>
              <w:t>应收股利</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0.00</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100" w:firstLine="180"/>
              <w:rPr>
                <w:sz w:val="18"/>
                <w:szCs w:val="18"/>
              </w:rPr>
            </w:pPr>
            <w:r>
              <w:rPr>
                <w:sz w:val="18"/>
                <w:szCs w:val="18"/>
              </w:rPr>
              <w:t>存货</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43,849,567.42</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58,680,414.54</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200" w:firstLine="360"/>
              <w:rPr>
                <w:sz w:val="18"/>
                <w:szCs w:val="18"/>
              </w:rPr>
            </w:pPr>
            <w:r>
              <w:rPr>
                <w:sz w:val="18"/>
                <w:szCs w:val="18"/>
              </w:rPr>
              <w:t>其中：数据资源</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100" w:firstLine="180"/>
              <w:rPr>
                <w:sz w:val="18"/>
                <w:szCs w:val="18"/>
              </w:rPr>
            </w:pPr>
            <w:r>
              <w:rPr>
                <w:sz w:val="18"/>
                <w:szCs w:val="18"/>
              </w:rPr>
              <w:t>合同资产</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445,859.90</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3,885,178.18</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100" w:firstLine="180"/>
              <w:rPr>
                <w:sz w:val="18"/>
                <w:szCs w:val="18"/>
              </w:rPr>
            </w:pPr>
            <w:r>
              <w:rPr>
                <w:sz w:val="18"/>
                <w:szCs w:val="18"/>
              </w:rPr>
              <w:t>持有待售资产</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0.00</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100" w:firstLine="180"/>
              <w:rPr>
                <w:sz w:val="18"/>
                <w:szCs w:val="18"/>
              </w:rPr>
            </w:pPr>
            <w:r>
              <w:rPr>
                <w:sz w:val="18"/>
                <w:szCs w:val="18"/>
              </w:rPr>
              <w:lastRenderedPageBreak/>
              <w:t>一年内到期的非流动资产</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16,307,398.96</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18,892,500.04</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100" w:firstLine="180"/>
              <w:rPr>
                <w:sz w:val="18"/>
                <w:szCs w:val="18"/>
              </w:rPr>
            </w:pPr>
            <w:r>
              <w:rPr>
                <w:sz w:val="18"/>
                <w:szCs w:val="18"/>
              </w:rPr>
              <w:t>其他流动资产</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37,326,068.06</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45,685,625.22</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流动资产合计</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675,885,277.06</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689,038,395.02</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非流动资产：</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100" w:firstLine="180"/>
              <w:rPr>
                <w:sz w:val="18"/>
                <w:szCs w:val="18"/>
              </w:rPr>
            </w:pPr>
            <w:r>
              <w:rPr>
                <w:sz w:val="18"/>
                <w:szCs w:val="18"/>
              </w:rPr>
              <w:t>债权投资</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0.00</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100" w:firstLine="180"/>
              <w:rPr>
                <w:sz w:val="18"/>
                <w:szCs w:val="18"/>
              </w:rPr>
            </w:pPr>
            <w:r>
              <w:rPr>
                <w:sz w:val="18"/>
                <w:szCs w:val="18"/>
              </w:rPr>
              <w:t>其他债权投资</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0.00</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100" w:firstLine="180"/>
              <w:rPr>
                <w:sz w:val="18"/>
                <w:szCs w:val="18"/>
              </w:rPr>
            </w:pPr>
            <w:r>
              <w:rPr>
                <w:sz w:val="18"/>
                <w:szCs w:val="18"/>
              </w:rPr>
              <w:t>长期应收款</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7,675,931.67</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10,731,084.36</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100" w:firstLine="180"/>
              <w:rPr>
                <w:sz w:val="18"/>
                <w:szCs w:val="18"/>
              </w:rPr>
            </w:pPr>
            <w:r>
              <w:rPr>
                <w:sz w:val="18"/>
                <w:szCs w:val="18"/>
              </w:rPr>
              <w:t>长期股权投资</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198,760,322.72</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197,034,286.92</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100" w:firstLine="180"/>
              <w:rPr>
                <w:sz w:val="18"/>
                <w:szCs w:val="18"/>
              </w:rPr>
            </w:pPr>
            <w:r>
              <w:rPr>
                <w:sz w:val="18"/>
                <w:szCs w:val="18"/>
              </w:rPr>
              <w:t>其他权益工具投资</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4,083,400.00</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4,083,400.00</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100" w:firstLine="180"/>
              <w:rPr>
                <w:sz w:val="18"/>
                <w:szCs w:val="18"/>
              </w:rPr>
            </w:pPr>
            <w:r>
              <w:rPr>
                <w:sz w:val="18"/>
                <w:szCs w:val="18"/>
              </w:rPr>
              <w:t>其他非流动金融资产</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0.00</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100" w:firstLine="180"/>
              <w:rPr>
                <w:sz w:val="18"/>
                <w:szCs w:val="18"/>
              </w:rPr>
            </w:pPr>
            <w:r>
              <w:rPr>
                <w:sz w:val="18"/>
                <w:szCs w:val="18"/>
              </w:rPr>
              <w:t>投资性房地产</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0.00</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100" w:firstLine="180"/>
              <w:rPr>
                <w:sz w:val="18"/>
                <w:szCs w:val="18"/>
              </w:rPr>
            </w:pPr>
            <w:r>
              <w:rPr>
                <w:sz w:val="18"/>
                <w:szCs w:val="18"/>
              </w:rPr>
              <w:t>固定资产</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275,082,869.15</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14,779,543.61</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100" w:firstLine="180"/>
              <w:rPr>
                <w:sz w:val="18"/>
                <w:szCs w:val="18"/>
              </w:rPr>
            </w:pPr>
            <w:r>
              <w:rPr>
                <w:sz w:val="18"/>
                <w:szCs w:val="18"/>
              </w:rPr>
              <w:t>在建工程</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294,247,787.62</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100" w:firstLine="180"/>
              <w:rPr>
                <w:sz w:val="18"/>
                <w:szCs w:val="18"/>
              </w:rPr>
            </w:pPr>
            <w:r>
              <w:rPr>
                <w:sz w:val="18"/>
                <w:szCs w:val="18"/>
              </w:rPr>
              <w:t>生产性生物资产</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0.00</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100" w:firstLine="180"/>
              <w:rPr>
                <w:sz w:val="18"/>
                <w:szCs w:val="18"/>
              </w:rPr>
            </w:pPr>
            <w:r>
              <w:rPr>
                <w:sz w:val="18"/>
                <w:szCs w:val="18"/>
              </w:rPr>
              <w:t>油气资产</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0.00</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100" w:firstLine="180"/>
              <w:rPr>
                <w:sz w:val="18"/>
                <w:szCs w:val="18"/>
              </w:rPr>
            </w:pPr>
            <w:r>
              <w:rPr>
                <w:sz w:val="18"/>
                <w:szCs w:val="18"/>
              </w:rPr>
              <w:t>使用权资产</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49,263.64</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49,177.00</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100" w:firstLine="180"/>
              <w:rPr>
                <w:sz w:val="18"/>
                <w:szCs w:val="18"/>
              </w:rPr>
            </w:pPr>
            <w:r>
              <w:rPr>
                <w:sz w:val="18"/>
                <w:szCs w:val="18"/>
              </w:rPr>
              <w:t>无形资产</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149,315.33</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167,598.89</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200" w:firstLine="360"/>
              <w:rPr>
                <w:sz w:val="18"/>
                <w:szCs w:val="18"/>
              </w:rPr>
            </w:pPr>
            <w:r>
              <w:rPr>
                <w:sz w:val="18"/>
                <w:szCs w:val="18"/>
              </w:rPr>
              <w:t>其中：数据资源</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0.00</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100" w:firstLine="180"/>
              <w:rPr>
                <w:sz w:val="18"/>
                <w:szCs w:val="18"/>
              </w:rPr>
            </w:pPr>
            <w:r>
              <w:rPr>
                <w:sz w:val="18"/>
                <w:szCs w:val="18"/>
              </w:rPr>
              <w:t>开发支出</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0.00</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200" w:firstLine="360"/>
              <w:rPr>
                <w:sz w:val="18"/>
                <w:szCs w:val="18"/>
              </w:rPr>
            </w:pPr>
            <w:r>
              <w:rPr>
                <w:sz w:val="18"/>
                <w:szCs w:val="18"/>
              </w:rPr>
              <w:t>其中：数据资源</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100" w:firstLine="180"/>
              <w:rPr>
                <w:sz w:val="18"/>
                <w:szCs w:val="18"/>
              </w:rPr>
            </w:pPr>
            <w:r>
              <w:rPr>
                <w:sz w:val="18"/>
                <w:szCs w:val="18"/>
              </w:rPr>
              <w:t>商誉</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0.00</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100" w:firstLine="180"/>
              <w:rPr>
                <w:sz w:val="18"/>
                <w:szCs w:val="18"/>
              </w:rPr>
            </w:pPr>
            <w:r>
              <w:rPr>
                <w:sz w:val="18"/>
                <w:szCs w:val="18"/>
              </w:rPr>
              <w:t>长期待摊费用</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200,603.01</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452,920.39</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100" w:firstLine="180"/>
              <w:rPr>
                <w:sz w:val="18"/>
                <w:szCs w:val="18"/>
              </w:rPr>
            </w:pPr>
            <w:r>
              <w:rPr>
                <w:sz w:val="18"/>
                <w:szCs w:val="18"/>
              </w:rPr>
              <w:t>递延所得税资产</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20,777,730.87</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20,076,608.82</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100" w:firstLine="180"/>
              <w:rPr>
                <w:sz w:val="18"/>
                <w:szCs w:val="18"/>
              </w:rPr>
            </w:pPr>
            <w:r>
              <w:rPr>
                <w:sz w:val="18"/>
                <w:szCs w:val="18"/>
              </w:rPr>
              <w:t>其他非流动资产</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595,762.99</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470,629.90</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非流动资产合计</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507,375,199.38</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542,093,037.51</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资产总计</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1,183,260,476.44</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1,231,131,432.53</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流动负债：</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100" w:firstLine="180"/>
              <w:rPr>
                <w:sz w:val="18"/>
                <w:szCs w:val="18"/>
              </w:rPr>
            </w:pPr>
            <w:r>
              <w:rPr>
                <w:sz w:val="18"/>
                <w:szCs w:val="18"/>
              </w:rPr>
              <w:t>短期借款</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42,356,463.25</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33,210,733.92</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100" w:firstLine="180"/>
              <w:rPr>
                <w:sz w:val="18"/>
                <w:szCs w:val="18"/>
              </w:rPr>
            </w:pPr>
            <w:r>
              <w:rPr>
                <w:sz w:val="18"/>
                <w:szCs w:val="18"/>
              </w:rPr>
              <w:t>交易性金融负债</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0.00</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100" w:firstLine="180"/>
              <w:rPr>
                <w:sz w:val="18"/>
                <w:szCs w:val="18"/>
              </w:rPr>
            </w:pPr>
            <w:r>
              <w:rPr>
                <w:sz w:val="18"/>
                <w:szCs w:val="18"/>
              </w:rPr>
              <w:t>衍生金融负债</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0.00</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100" w:firstLine="180"/>
              <w:rPr>
                <w:sz w:val="18"/>
                <w:szCs w:val="18"/>
              </w:rPr>
            </w:pPr>
            <w:r>
              <w:rPr>
                <w:sz w:val="18"/>
                <w:szCs w:val="18"/>
              </w:rPr>
              <w:t>应付票据</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0.00</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100" w:firstLine="180"/>
              <w:rPr>
                <w:sz w:val="18"/>
                <w:szCs w:val="18"/>
              </w:rPr>
            </w:pPr>
            <w:r>
              <w:rPr>
                <w:sz w:val="18"/>
                <w:szCs w:val="18"/>
              </w:rPr>
              <w:t>应付账款</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86,163,635.17</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333,640,717.40</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100" w:firstLine="180"/>
              <w:rPr>
                <w:sz w:val="18"/>
                <w:szCs w:val="18"/>
              </w:rPr>
            </w:pPr>
            <w:r>
              <w:rPr>
                <w:sz w:val="18"/>
                <w:szCs w:val="18"/>
              </w:rPr>
              <w:t>预收款项</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0.00</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100" w:firstLine="180"/>
              <w:rPr>
                <w:sz w:val="18"/>
                <w:szCs w:val="18"/>
              </w:rPr>
            </w:pPr>
            <w:r>
              <w:rPr>
                <w:sz w:val="18"/>
                <w:szCs w:val="18"/>
              </w:rPr>
              <w:t>合同负债</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27,877,165.05</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41,970,984.31</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100" w:firstLine="180"/>
              <w:rPr>
                <w:sz w:val="18"/>
                <w:szCs w:val="18"/>
              </w:rPr>
            </w:pPr>
            <w:r>
              <w:rPr>
                <w:sz w:val="18"/>
                <w:szCs w:val="18"/>
              </w:rPr>
              <w:t>应付职工薪酬</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5,368,876.50</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5,548,544.54</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100" w:firstLine="180"/>
              <w:rPr>
                <w:sz w:val="18"/>
                <w:szCs w:val="18"/>
              </w:rPr>
            </w:pPr>
            <w:r>
              <w:rPr>
                <w:sz w:val="18"/>
                <w:szCs w:val="18"/>
              </w:rPr>
              <w:t>应交税费</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30,592,008.66</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32,352,900.59</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100" w:firstLine="180"/>
              <w:rPr>
                <w:sz w:val="18"/>
                <w:szCs w:val="18"/>
              </w:rPr>
            </w:pPr>
            <w:r>
              <w:rPr>
                <w:sz w:val="18"/>
                <w:szCs w:val="18"/>
              </w:rPr>
              <w:t>其他应付款</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40,445,804.70</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39,655,524.65</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200" w:firstLine="360"/>
              <w:rPr>
                <w:sz w:val="18"/>
                <w:szCs w:val="18"/>
              </w:rPr>
            </w:pPr>
            <w:r>
              <w:rPr>
                <w:sz w:val="18"/>
                <w:szCs w:val="18"/>
              </w:rPr>
              <w:t>其中：应付利息</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0.00</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500" w:firstLine="900"/>
              <w:rPr>
                <w:sz w:val="18"/>
                <w:szCs w:val="18"/>
              </w:rPr>
            </w:pPr>
            <w:r>
              <w:rPr>
                <w:sz w:val="18"/>
                <w:szCs w:val="18"/>
              </w:rPr>
              <w:t>应付股利</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0.00</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100" w:firstLine="180"/>
              <w:rPr>
                <w:sz w:val="18"/>
                <w:szCs w:val="18"/>
              </w:rPr>
            </w:pPr>
            <w:r>
              <w:rPr>
                <w:sz w:val="18"/>
                <w:szCs w:val="18"/>
              </w:rPr>
              <w:t>持有待售负债</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0.00</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100" w:firstLine="180"/>
              <w:rPr>
                <w:sz w:val="18"/>
                <w:szCs w:val="18"/>
              </w:rPr>
            </w:pPr>
            <w:r>
              <w:rPr>
                <w:sz w:val="18"/>
                <w:szCs w:val="18"/>
              </w:rPr>
              <w:t>一年内到期的非流动负债</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49,363,277.47</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73,698.60</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100" w:firstLine="180"/>
              <w:rPr>
                <w:sz w:val="18"/>
                <w:szCs w:val="18"/>
              </w:rPr>
            </w:pPr>
            <w:r>
              <w:rPr>
                <w:sz w:val="18"/>
                <w:szCs w:val="18"/>
              </w:rPr>
              <w:lastRenderedPageBreak/>
              <w:t>其他流动负债</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160,000.00</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0.00</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流动负债合计</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282,327,230.80</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486,453,104.01</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非流动负债：</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100" w:firstLine="180"/>
              <w:rPr>
                <w:sz w:val="18"/>
                <w:szCs w:val="18"/>
              </w:rPr>
            </w:pPr>
            <w:r>
              <w:rPr>
                <w:sz w:val="18"/>
                <w:szCs w:val="18"/>
              </w:rPr>
              <w:t>长期借款</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146,860,000.00</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0.00</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100" w:firstLine="180"/>
              <w:rPr>
                <w:sz w:val="18"/>
                <w:szCs w:val="18"/>
              </w:rPr>
            </w:pPr>
            <w:r>
              <w:rPr>
                <w:sz w:val="18"/>
                <w:szCs w:val="18"/>
              </w:rPr>
              <w:t>应付债券</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0.00</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200" w:firstLine="360"/>
              <w:rPr>
                <w:sz w:val="18"/>
                <w:szCs w:val="18"/>
              </w:rPr>
            </w:pPr>
            <w:r>
              <w:rPr>
                <w:sz w:val="18"/>
                <w:szCs w:val="18"/>
              </w:rPr>
              <w:t>其中：优先股</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0.00</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500" w:firstLine="900"/>
              <w:rPr>
                <w:sz w:val="18"/>
                <w:szCs w:val="18"/>
              </w:rPr>
            </w:pPr>
            <w:r>
              <w:rPr>
                <w:sz w:val="18"/>
                <w:szCs w:val="18"/>
              </w:rPr>
              <w:t>永续债</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0.00</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100" w:firstLine="180"/>
              <w:rPr>
                <w:sz w:val="18"/>
                <w:szCs w:val="18"/>
              </w:rPr>
            </w:pPr>
            <w:r>
              <w:rPr>
                <w:sz w:val="18"/>
                <w:szCs w:val="18"/>
              </w:rPr>
              <w:t>租赁负债</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0.00</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100" w:firstLine="180"/>
              <w:rPr>
                <w:sz w:val="18"/>
                <w:szCs w:val="18"/>
              </w:rPr>
            </w:pPr>
            <w:r>
              <w:rPr>
                <w:sz w:val="18"/>
                <w:szCs w:val="18"/>
              </w:rPr>
              <w:t>长期应付款</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0.00</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100" w:firstLine="180"/>
              <w:rPr>
                <w:sz w:val="18"/>
                <w:szCs w:val="18"/>
              </w:rPr>
            </w:pPr>
            <w:r>
              <w:rPr>
                <w:sz w:val="18"/>
                <w:szCs w:val="18"/>
              </w:rPr>
              <w:t>长期应付职工薪酬</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0.00</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100" w:firstLine="180"/>
              <w:rPr>
                <w:sz w:val="18"/>
                <w:szCs w:val="18"/>
              </w:rPr>
            </w:pPr>
            <w:r>
              <w:rPr>
                <w:sz w:val="18"/>
                <w:szCs w:val="18"/>
              </w:rPr>
              <w:t>预计负债</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0.00</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100" w:firstLine="180"/>
              <w:rPr>
                <w:sz w:val="18"/>
                <w:szCs w:val="18"/>
              </w:rPr>
            </w:pPr>
            <w:r>
              <w:rPr>
                <w:sz w:val="18"/>
                <w:szCs w:val="18"/>
              </w:rPr>
              <w:t>递延收益</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0.00</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100" w:firstLine="180"/>
              <w:rPr>
                <w:sz w:val="18"/>
                <w:szCs w:val="18"/>
              </w:rPr>
            </w:pPr>
            <w:r>
              <w:rPr>
                <w:sz w:val="18"/>
                <w:szCs w:val="18"/>
              </w:rPr>
              <w:t>递延所得税负债</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4,454,097.23</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4,754,931.35</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100" w:firstLine="180"/>
              <w:rPr>
                <w:sz w:val="18"/>
                <w:szCs w:val="18"/>
              </w:rPr>
            </w:pPr>
            <w:r>
              <w:rPr>
                <w:sz w:val="18"/>
                <w:szCs w:val="18"/>
              </w:rPr>
              <w:t>其他非流动负债</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0.00</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非流动负债合计</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151,314,097.23</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4,754,931.35</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负债合计</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433,641,328.03</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491,208,035.36</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line="240" w:lineRule="exact"/>
              <w:rPr>
                <w:sz w:val="18"/>
                <w:szCs w:val="18"/>
              </w:rPr>
            </w:pPr>
            <w:r>
              <w:rPr>
                <w:sz w:val="18"/>
                <w:szCs w:val="18"/>
              </w:rPr>
              <w:t>所有者权益：</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line="240" w:lineRule="exact"/>
              <w:ind w:firstLineChars="100" w:firstLine="180"/>
              <w:rPr>
                <w:sz w:val="18"/>
                <w:szCs w:val="18"/>
              </w:rPr>
            </w:pPr>
            <w:r>
              <w:rPr>
                <w:sz w:val="18"/>
                <w:szCs w:val="18"/>
              </w:rPr>
              <w:t>股本</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66,852,800.00</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67,108,800.00</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line="240" w:lineRule="exact"/>
              <w:ind w:firstLineChars="100" w:firstLine="180"/>
              <w:rPr>
                <w:sz w:val="18"/>
                <w:szCs w:val="18"/>
              </w:rPr>
            </w:pPr>
            <w:r>
              <w:rPr>
                <w:sz w:val="18"/>
                <w:szCs w:val="18"/>
              </w:rPr>
              <w:t>其他权益工具</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line="240" w:lineRule="exact"/>
              <w:ind w:firstLineChars="200" w:firstLine="360"/>
              <w:rPr>
                <w:sz w:val="18"/>
                <w:szCs w:val="18"/>
              </w:rPr>
            </w:pPr>
            <w:r>
              <w:rPr>
                <w:sz w:val="18"/>
                <w:szCs w:val="18"/>
              </w:rPr>
              <w:t>其中：优先股</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line="240" w:lineRule="exact"/>
              <w:ind w:firstLineChars="500" w:firstLine="900"/>
              <w:rPr>
                <w:sz w:val="18"/>
                <w:szCs w:val="18"/>
              </w:rPr>
            </w:pPr>
            <w:r>
              <w:rPr>
                <w:sz w:val="18"/>
                <w:szCs w:val="18"/>
              </w:rPr>
              <w:t>永续债</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line="240" w:lineRule="exact"/>
              <w:ind w:firstLineChars="100" w:firstLine="180"/>
              <w:rPr>
                <w:sz w:val="18"/>
                <w:szCs w:val="18"/>
              </w:rPr>
            </w:pPr>
            <w:r>
              <w:rPr>
                <w:sz w:val="18"/>
                <w:szCs w:val="18"/>
              </w:rPr>
              <w:t>资本公积</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605,387,759.48</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597,836,882.58</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line="240" w:lineRule="exact"/>
              <w:ind w:firstLineChars="100" w:firstLine="180"/>
              <w:rPr>
                <w:sz w:val="18"/>
                <w:szCs w:val="18"/>
              </w:rPr>
            </w:pPr>
            <w:r>
              <w:rPr>
                <w:sz w:val="18"/>
                <w:szCs w:val="18"/>
              </w:rPr>
              <w:t>减：库存股</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48,693,212.07</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52,740,572.07</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line="240" w:lineRule="exact"/>
              <w:ind w:firstLineChars="100" w:firstLine="180"/>
              <w:rPr>
                <w:sz w:val="18"/>
                <w:szCs w:val="18"/>
              </w:rPr>
            </w:pPr>
            <w:r>
              <w:rPr>
                <w:sz w:val="18"/>
                <w:szCs w:val="18"/>
              </w:rPr>
              <w:t>其他综合收益</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-269,110.00</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-269,110.00</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100" w:firstLine="180"/>
              <w:rPr>
                <w:sz w:val="18"/>
                <w:szCs w:val="18"/>
              </w:rPr>
            </w:pPr>
            <w:r>
              <w:rPr>
                <w:sz w:val="18"/>
                <w:szCs w:val="18"/>
              </w:rPr>
              <w:t>专项储备</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line="240" w:lineRule="exact"/>
              <w:ind w:firstLineChars="100" w:firstLine="180"/>
              <w:rPr>
                <w:sz w:val="18"/>
                <w:szCs w:val="18"/>
              </w:rPr>
            </w:pPr>
            <w:r>
              <w:rPr>
                <w:sz w:val="18"/>
                <w:szCs w:val="18"/>
              </w:rPr>
              <w:t>盈余公积</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25,904,440.33</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25,904,440.33</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line="240" w:lineRule="exact"/>
              <w:ind w:firstLineChars="100" w:firstLine="180"/>
              <w:rPr>
                <w:sz w:val="18"/>
                <w:szCs w:val="18"/>
              </w:rPr>
            </w:pPr>
            <w:r>
              <w:rPr>
                <w:sz w:val="18"/>
                <w:szCs w:val="18"/>
              </w:rPr>
              <w:t>未分配利润</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100,436,470.67</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102,082,956.33</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line="240" w:lineRule="exact"/>
              <w:rPr>
                <w:sz w:val="18"/>
                <w:szCs w:val="18"/>
              </w:rPr>
            </w:pPr>
            <w:r>
              <w:rPr>
                <w:sz w:val="18"/>
                <w:szCs w:val="18"/>
              </w:rPr>
              <w:t>所有者权益合计</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749,619,148.41</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739,923,397.17</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line="240" w:lineRule="exact"/>
              <w:rPr>
                <w:sz w:val="18"/>
                <w:szCs w:val="18"/>
              </w:rPr>
            </w:pPr>
            <w:r>
              <w:rPr>
                <w:sz w:val="18"/>
                <w:szCs w:val="18"/>
              </w:rPr>
              <w:t>负债和所有者权益总计</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1,183,260,476.44</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1,231,131,432.53</w:t>
            </w:r>
          </w:p>
        </w:tc>
      </w:tr>
    </w:tbl>
    <w:p w:rsidR="00E20B54" w:rsidRDefault="00E20B54">
      <w:pPr>
        <w:spacing w:line="240" w:lineRule="exact"/>
        <w:rPr>
          <w:sz w:val="18"/>
          <w:szCs w:val="18"/>
        </w:rPr>
      </w:pPr>
      <w:bookmarkStart w:id="153" w:name="_Toc989042"/>
    </w:p>
    <w:p w:rsidR="00E20B54" w:rsidRDefault="00E20B54">
      <w:pPr>
        <w:spacing w:line="240" w:lineRule="exact"/>
        <w:rPr>
          <w:sz w:val="18"/>
          <w:szCs w:val="18"/>
        </w:rPr>
      </w:pPr>
    </w:p>
    <w:p w:rsidR="00E20B54" w:rsidRDefault="00733C9E">
      <w:pPr>
        <w:spacing w:line="240" w:lineRule="exact"/>
        <w:rPr>
          <w:sz w:val="18"/>
          <w:szCs w:val="18"/>
        </w:rPr>
      </w:pPr>
      <w:r>
        <w:rPr>
          <w:sz w:val="18"/>
          <w:szCs w:val="18"/>
        </w:rPr>
        <w:t>法定代表人：林明玲</w:t>
      </w:r>
      <w:r>
        <w:rPr>
          <w:sz w:val="18"/>
          <w:szCs w:val="18"/>
        </w:rPr>
        <w:t xml:space="preserve">    </w:t>
      </w:r>
      <w:r>
        <w:rPr>
          <w:rFonts w:hint="eastAsia"/>
          <w:sz w:val="18"/>
          <w:szCs w:val="18"/>
        </w:rPr>
        <w:t xml:space="preserve">                                   </w:t>
      </w:r>
      <w:r>
        <w:rPr>
          <w:sz w:val="18"/>
          <w:szCs w:val="18"/>
        </w:rPr>
        <w:t>主管会计工作负责人：陈焕盛</w:t>
      </w:r>
      <w:r>
        <w:rPr>
          <w:sz w:val="18"/>
          <w:szCs w:val="18"/>
        </w:rPr>
        <w:t xml:space="preserve"> </w:t>
      </w:r>
      <w:r>
        <w:rPr>
          <w:rFonts w:hint="eastAsia"/>
          <w:sz w:val="18"/>
          <w:szCs w:val="18"/>
        </w:rPr>
        <w:t xml:space="preserve">                                </w:t>
      </w:r>
      <w:r>
        <w:rPr>
          <w:sz w:val="18"/>
          <w:szCs w:val="18"/>
        </w:rPr>
        <w:t xml:space="preserve"> </w:t>
      </w:r>
      <w:r>
        <w:rPr>
          <w:sz w:val="18"/>
          <w:szCs w:val="18"/>
        </w:rPr>
        <w:t>会计机构负责人：赖宏伟</w:t>
      </w:r>
    </w:p>
    <w:p w:rsidR="00E20B54" w:rsidRDefault="00733C9E">
      <w:pPr>
        <w:pStyle w:val="3"/>
        <w:spacing w:line="280" w:lineRule="exact"/>
        <w:jc w:val="left"/>
        <w:rPr>
          <w:b/>
          <w:bCs/>
        </w:rPr>
      </w:pPr>
      <w:r>
        <w:rPr>
          <w:b/>
          <w:bCs/>
        </w:rPr>
        <w:t>3</w:t>
      </w:r>
      <w:r>
        <w:rPr>
          <w:b/>
          <w:bCs/>
        </w:rPr>
        <w:t>、合并利润表</w:t>
      </w:r>
      <w:bookmarkEnd w:id="153"/>
    </w:p>
    <w:p w:rsidR="00E20B54" w:rsidRDefault="00733C9E">
      <w:pPr>
        <w:spacing w:before="40" w:after="40" w:line="240" w:lineRule="exact"/>
        <w:jc w:val="right"/>
        <w:rPr>
          <w:sz w:val="18"/>
          <w:szCs w:val="18"/>
        </w:rPr>
      </w:pPr>
      <w:r>
        <w:rPr>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E20B54">
        <w:trPr>
          <w:trHeight w:val="240"/>
          <w:tblHeader/>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项目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2025</w:t>
            </w:r>
            <w:r>
              <w:rPr>
                <w:sz w:val="18"/>
                <w:szCs w:val="18"/>
              </w:rPr>
              <w:t>年度</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2024</w:t>
            </w:r>
            <w:r>
              <w:rPr>
                <w:sz w:val="18"/>
                <w:szCs w:val="18"/>
              </w:rPr>
              <w:t>年度</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一、营业总收入</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476,993,037.00</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223,633,009.11</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100" w:firstLine="180"/>
              <w:rPr>
                <w:sz w:val="18"/>
                <w:szCs w:val="18"/>
              </w:rPr>
            </w:pPr>
            <w:r>
              <w:rPr>
                <w:sz w:val="18"/>
                <w:szCs w:val="18"/>
              </w:rPr>
              <w:t>其中：营业收入</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476,993,037.00</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223,633,009.11</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400" w:firstLine="720"/>
              <w:rPr>
                <w:sz w:val="18"/>
                <w:szCs w:val="18"/>
              </w:rPr>
            </w:pPr>
            <w:r>
              <w:rPr>
                <w:sz w:val="18"/>
                <w:szCs w:val="18"/>
              </w:rPr>
              <w:t>利息收入</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400" w:firstLine="720"/>
              <w:rPr>
                <w:sz w:val="18"/>
                <w:szCs w:val="18"/>
              </w:rPr>
            </w:pPr>
            <w:r>
              <w:rPr>
                <w:sz w:val="18"/>
                <w:szCs w:val="18"/>
              </w:rPr>
              <w:t>已赚保费</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400" w:firstLine="720"/>
              <w:rPr>
                <w:sz w:val="18"/>
                <w:szCs w:val="18"/>
              </w:rPr>
            </w:pPr>
            <w:r>
              <w:rPr>
                <w:sz w:val="18"/>
                <w:szCs w:val="18"/>
              </w:rPr>
              <w:t>手续费及佣金收入</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二、营业总成本</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443,134,698.91</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262,360,838.43</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100" w:firstLine="180"/>
              <w:rPr>
                <w:sz w:val="18"/>
                <w:szCs w:val="18"/>
              </w:rPr>
            </w:pPr>
            <w:r>
              <w:rPr>
                <w:sz w:val="18"/>
                <w:szCs w:val="18"/>
              </w:rPr>
              <w:t>其中：营业成本</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351,915,132.21</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194,156,829.92</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400" w:firstLine="720"/>
              <w:rPr>
                <w:sz w:val="18"/>
                <w:szCs w:val="18"/>
              </w:rPr>
            </w:pPr>
            <w:r>
              <w:rPr>
                <w:sz w:val="18"/>
                <w:szCs w:val="18"/>
              </w:rPr>
              <w:t>利息支出</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400" w:firstLine="720"/>
              <w:rPr>
                <w:sz w:val="18"/>
                <w:szCs w:val="18"/>
              </w:rPr>
            </w:pPr>
            <w:r>
              <w:rPr>
                <w:sz w:val="18"/>
                <w:szCs w:val="18"/>
              </w:rPr>
              <w:t>手续费及佣金支出</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400" w:firstLine="720"/>
              <w:rPr>
                <w:sz w:val="18"/>
                <w:szCs w:val="18"/>
              </w:rPr>
            </w:pPr>
            <w:r>
              <w:rPr>
                <w:sz w:val="18"/>
                <w:szCs w:val="18"/>
              </w:rPr>
              <w:lastRenderedPageBreak/>
              <w:t>退保金</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400" w:firstLine="720"/>
              <w:rPr>
                <w:sz w:val="18"/>
                <w:szCs w:val="18"/>
              </w:rPr>
            </w:pPr>
            <w:r>
              <w:rPr>
                <w:sz w:val="18"/>
                <w:szCs w:val="18"/>
              </w:rPr>
              <w:t>赔付支出净额</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400" w:firstLine="720"/>
              <w:rPr>
                <w:sz w:val="18"/>
                <w:szCs w:val="18"/>
              </w:rPr>
            </w:pPr>
            <w:r>
              <w:rPr>
                <w:sz w:val="18"/>
                <w:szCs w:val="18"/>
              </w:rPr>
              <w:t>提取保险责任合同准备金净额</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400" w:firstLine="720"/>
              <w:rPr>
                <w:sz w:val="18"/>
                <w:szCs w:val="18"/>
              </w:rPr>
            </w:pPr>
            <w:r>
              <w:rPr>
                <w:sz w:val="18"/>
                <w:szCs w:val="18"/>
              </w:rPr>
              <w:t>保单红利支出</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400" w:firstLine="720"/>
              <w:rPr>
                <w:sz w:val="18"/>
                <w:szCs w:val="18"/>
              </w:rPr>
            </w:pPr>
            <w:r>
              <w:rPr>
                <w:sz w:val="18"/>
                <w:szCs w:val="18"/>
              </w:rPr>
              <w:t>分保费用</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400" w:firstLine="720"/>
              <w:rPr>
                <w:sz w:val="18"/>
                <w:szCs w:val="18"/>
              </w:rPr>
            </w:pPr>
            <w:r>
              <w:rPr>
                <w:sz w:val="18"/>
                <w:szCs w:val="18"/>
              </w:rPr>
              <w:t>税金及附加</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1,187,594.27</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1,192,977.06</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400" w:firstLine="720"/>
              <w:rPr>
                <w:sz w:val="18"/>
                <w:szCs w:val="18"/>
              </w:rPr>
            </w:pPr>
            <w:r>
              <w:rPr>
                <w:sz w:val="18"/>
                <w:szCs w:val="18"/>
              </w:rPr>
              <w:t>销售费用</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22,379,652.95</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23,606,686.47</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400" w:firstLine="720"/>
              <w:rPr>
                <w:sz w:val="18"/>
                <w:szCs w:val="18"/>
              </w:rPr>
            </w:pPr>
            <w:r>
              <w:rPr>
                <w:sz w:val="18"/>
                <w:szCs w:val="18"/>
              </w:rPr>
              <w:t>管理费用</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39,064,953.77</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31,237,039.63</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400" w:firstLine="720"/>
              <w:rPr>
                <w:sz w:val="18"/>
                <w:szCs w:val="18"/>
              </w:rPr>
            </w:pPr>
            <w:r>
              <w:rPr>
                <w:sz w:val="18"/>
                <w:szCs w:val="18"/>
              </w:rPr>
              <w:t>研发费用</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17,278,343.33</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17,311,262.53</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400" w:firstLine="720"/>
              <w:rPr>
                <w:sz w:val="18"/>
                <w:szCs w:val="18"/>
              </w:rPr>
            </w:pPr>
            <w:r>
              <w:rPr>
                <w:sz w:val="18"/>
                <w:szCs w:val="18"/>
              </w:rPr>
              <w:t>财务费用</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11,309,022.38</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-5,143,957.18</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500" w:firstLine="900"/>
              <w:rPr>
                <w:sz w:val="18"/>
                <w:szCs w:val="18"/>
              </w:rPr>
            </w:pPr>
            <w:r>
              <w:rPr>
                <w:sz w:val="18"/>
                <w:szCs w:val="18"/>
              </w:rPr>
              <w:t>其中：利息费用</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12,934,063.77</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1,321,921.56</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800" w:firstLine="1440"/>
              <w:rPr>
                <w:sz w:val="18"/>
                <w:szCs w:val="18"/>
              </w:rPr>
            </w:pPr>
            <w:r>
              <w:rPr>
                <w:sz w:val="18"/>
                <w:szCs w:val="18"/>
              </w:rPr>
              <w:t>利息收入</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2,124,591.95</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6,661,211.63</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100" w:firstLine="180"/>
              <w:rPr>
                <w:sz w:val="18"/>
                <w:szCs w:val="18"/>
              </w:rPr>
            </w:pPr>
            <w:r>
              <w:rPr>
                <w:sz w:val="18"/>
                <w:szCs w:val="18"/>
              </w:rPr>
              <w:t>加：其他收益</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56,783.56</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92,627.32</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300" w:firstLine="540"/>
              <w:rPr>
                <w:sz w:val="18"/>
                <w:szCs w:val="18"/>
              </w:rPr>
            </w:pPr>
            <w:r>
              <w:rPr>
                <w:sz w:val="18"/>
                <w:szCs w:val="18"/>
              </w:rPr>
              <w:t>投资收益（损失以</w:t>
            </w:r>
            <w:r>
              <w:rPr>
                <w:sz w:val="18"/>
                <w:szCs w:val="18"/>
              </w:rPr>
              <w:t>“</w:t>
            </w:r>
            <w:r>
              <w:rPr>
                <w:sz w:val="18"/>
                <w:szCs w:val="18"/>
              </w:rPr>
              <w:t>－</w:t>
            </w:r>
            <w:r>
              <w:rPr>
                <w:sz w:val="18"/>
                <w:szCs w:val="18"/>
              </w:rPr>
              <w:t>”</w:t>
            </w:r>
            <w:r>
              <w:rPr>
                <w:sz w:val="18"/>
                <w:szCs w:val="18"/>
              </w:rPr>
              <w:t>号填列）</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5,467,769.79</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646,465.76</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500" w:firstLine="900"/>
              <w:rPr>
                <w:sz w:val="18"/>
                <w:szCs w:val="18"/>
              </w:rPr>
            </w:pPr>
            <w:r>
              <w:rPr>
                <w:sz w:val="18"/>
                <w:szCs w:val="18"/>
              </w:rPr>
              <w:t>其中：对联营企业和合营企业的投资收益</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800" w:firstLine="1440"/>
              <w:rPr>
                <w:sz w:val="18"/>
                <w:szCs w:val="18"/>
              </w:rPr>
            </w:pPr>
            <w:r>
              <w:rPr>
                <w:sz w:val="18"/>
                <w:szCs w:val="18"/>
              </w:rPr>
              <w:t>以摊余成本计量的金融资产终止确认收益</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300" w:firstLine="540"/>
              <w:rPr>
                <w:sz w:val="18"/>
                <w:szCs w:val="18"/>
              </w:rPr>
            </w:pPr>
            <w:r>
              <w:rPr>
                <w:sz w:val="18"/>
                <w:szCs w:val="18"/>
              </w:rPr>
              <w:t>汇兑收益（损失以</w:t>
            </w:r>
            <w:r>
              <w:rPr>
                <w:sz w:val="18"/>
                <w:szCs w:val="18"/>
              </w:rPr>
              <w:t>“-”</w:t>
            </w:r>
            <w:r>
              <w:rPr>
                <w:sz w:val="18"/>
                <w:szCs w:val="18"/>
              </w:rPr>
              <w:t>号填列）</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300" w:firstLine="540"/>
              <w:rPr>
                <w:sz w:val="18"/>
                <w:szCs w:val="18"/>
              </w:rPr>
            </w:pPr>
            <w:r>
              <w:rPr>
                <w:sz w:val="18"/>
                <w:szCs w:val="18"/>
              </w:rPr>
              <w:t>净敞口套期收益（损失以</w:t>
            </w:r>
            <w:r>
              <w:rPr>
                <w:sz w:val="18"/>
                <w:szCs w:val="18"/>
              </w:rPr>
              <w:t>“</w:t>
            </w:r>
            <w:r>
              <w:rPr>
                <w:sz w:val="18"/>
                <w:szCs w:val="18"/>
              </w:rPr>
              <w:t>－</w:t>
            </w:r>
            <w:r>
              <w:rPr>
                <w:sz w:val="18"/>
                <w:szCs w:val="18"/>
              </w:rPr>
              <w:t>”</w:t>
            </w:r>
            <w:r>
              <w:rPr>
                <w:sz w:val="18"/>
                <w:szCs w:val="18"/>
              </w:rPr>
              <w:t>号填列）</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300" w:firstLine="540"/>
              <w:rPr>
                <w:sz w:val="18"/>
                <w:szCs w:val="18"/>
              </w:rPr>
            </w:pPr>
            <w:r>
              <w:rPr>
                <w:sz w:val="18"/>
                <w:szCs w:val="18"/>
              </w:rPr>
              <w:t>公允价值变动收益（损失以</w:t>
            </w:r>
            <w:r>
              <w:rPr>
                <w:sz w:val="18"/>
                <w:szCs w:val="18"/>
              </w:rPr>
              <w:t>“</w:t>
            </w:r>
            <w:r>
              <w:rPr>
                <w:sz w:val="18"/>
                <w:szCs w:val="18"/>
              </w:rPr>
              <w:t>－</w:t>
            </w:r>
            <w:r>
              <w:rPr>
                <w:sz w:val="18"/>
                <w:szCs w:val="18"/>
              </w:rPr>
              <w:t>”</w:t>
            </w:r>
            <w:r>
              <w:rPr>
                <w:sz w:val="18"/>
                <w:szCs w:val="18"/>
              </w:rPr>
              <w:t>号填列）</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-17,095.89</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300" w:firstLine="540"/>
              <w:rPr>
                <w:sz w:val="18"/>
                <w:szCs w:val="18"/>
              </w:rPr>
            </w:pPr>
            <w:r>
              <w:rPr>
                <w:sz w:val="18"/>
                <w:szCs w:val="18"/>
              </w:rPr>
              <w:t>信用减值损失（损失以</w:t>
            </w:r>
            <w:r>
              <w:rPr>
                <w:sz w:val="18"/>
                <w:szCs w:val="18"/>
              </w:rPr>
              <w:t>“-”</w:t>
            </w:r>
            <w:r>
              <w:rPr>
                <w:sz w:val="18"/>
                <w:szCs w:val="18"/>
              </w:rPr>
              <w:t>号填列）</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-33,387,359.99</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-21,461,693.75</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300" w:firstLine="540"/>
              <w:rPr>
                <w:sz w:val="18"/>
                <w:szCs w:val="18"/>
              </w:rPr>
            </w:pPr>
            <w:r>
              <w:rPr>
                <w:sz w:val="18"/>
                <w:szCs w:val="18"/>
              </w:rPr>
              <w:t>资产减值损失（损失以</w:t>
            </w:r>
            <w:r>
              <w:rPr>
                <w:sz w:val="18"/>
                <w:szCs w:val="18"/>
              </w:rPr>
              <w:t>“-”</w:t>
            </w:r>
            <w:r>
              <w:rPr>
                <w:sz w:val="18"/>
                <w:szCs w:val="18"/>
              </w:rPr>
              <w:t>号填列）</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842,298.72</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-3,648,261.03</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300" w:firstLine="540"/>
              <w:rPr>
                <w:sz w:val="18"/>
                <w:szCs w:val="18"/>
              </w:rPr>
            </w:pPr>
            <w:r>
              <w:rPr>
                <w:sz w:val="18"/>
                <w:szCs w:val="18"/>
              </w:rPr>
              <w:t>资产处置收益（损失以</w:t>
            </w:r>
            <w:r>
              <w:rPr>
                <w:sz w:val="18"/>
                <w:szCs w:val="18"/>
              </w:rPr>
              <w:t>“-”</w:t>
            </w:r>
            <w:r>
              <w:rPr>
                <w:sz w:val="18"/>
                <w:szCs w:val="18"/>
              </w:rPr>
              <w:t>号填列）</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-19,628.02</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423,066.06</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三、营业利润（亏损以</w:t>
            </w:r>
            <w:r>
              <w:rPr>
                <w:sz w:val="18"/>
                <w:szCs w:val="18"/>
              </w:rPr>
              <w:t>“</w:t>
            </w:r>
            <w:r>
              <w:rPr>
                <w:sz w:val="18"/>
                <w:szCs w:val="18"/>
              </w:rPr>
              <w:t>－</w:t>
            </w:r>
            <w:r>
              <w:rPr>
                <w:sz w:val="18"/>
                <w:szCs w:val="18"/>
              </w:rPr>
              <w:t>”</w:t>
            </w:r>
            <w:r>
              <w:rPr>
                <w:sz w:val="18"/>
                <w:szCs w:val="18"/>
              </w:rPr>
              <w:t>号填列）</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6,818,202.15</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-62,692,720.85</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100" w:firstLine="180"/>
              <w:rPr>
                <w:sz w:val="18"/>
                <w:szCs w:val="18"/>
              </w:rPr>
            </w:pPr>
            <w:r>
              <w:rPr>
                <w:sz w:val="18"/>
                <w:szCs w:val="18"/>
              </w:rPr>
              <w:t>加：营业外收入</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110,271.44</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314,286.27</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100" w:firstLine="180"/>
              <w:rPr>
                <w:sz w:val="18"/>
                <w:szCs w:val="18"/>
              </w:rPr>
            </w:pPr>
            <w:r>
              <w:rPr>
                <w:sz w:val="18"/>
                <w:szCs w:val="18"/>
              </w:rPr>
              <w:t>减：营业外支出</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1,087,580.17</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2,222,050.92</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四、利润总额（亏损总额以</w:t>
            </w:r>
            <w:r>
              <w:rPr>
                <w:sz w:val="18"/>
                <w:szCs w:val="18"/>
              </w:rPr>
              <w:t>“</w:t>
            </w:r>
            <w:r>
              <w:rPr>
                <w:sz w:val="18"/>
                <w:szCs w:val="18"/>
              </w:rPr>
              <w:t>－</w:t>
            </w:r>
            <w:r>
              <w:rPr>
                <w:sz w:val="18"/>
                <w:szCs w:val="18"/>
              </w:rPr>
              <w:t>”</w:t>
            </w:r>
            <w:r>
              <w:rPr>
                <w:sz w:val="18"/>
                <w:szCs w:val="18"/>
              </w:rPr>
              <w:t>号填列）</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5,840,893.42</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-64,600,485.50</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100" w:firstLine="180"/>
              <w:rPr>
                <w:sz w:val="18"/>
                <w:szCs w:val="18"/>
              </w:rPr>
            </w:pPr>
            <w:r>
              <w:rPr>
                <w:sz w:val="18"/>
                <w:szCs w:val="18"/>
              </w:rPr>
              <w:t>减：所得税费用</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-3,539,010.47</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-11,108,691.82</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line="240" w:lineRule="exact"/>
              <w:rPr>
                <w:sz w:val="18"/>
                <w:szCs w:val="18"/>
              </w:rPr>
            </w:pPr>
            <w:r>
              <w:rPr>
                <w:sz w:val="18"/>
                <w:szCs w:val="18"/>
              </w:rPr>
              <w:t>五、净利润（净亏损以</w:t>
            </w:r>
            <w:r>
              <w:rPr>
                <w:sz w:val="18"/>
                <w:szCs w:val="18"/>
              </w:rPr>
              <w:t>“</w:t>
            </w:r>
            <w:r>
              <w:rPr>
                <w:sz w:val="18"/>
                <w:szCs w:val="18"/>
              </w:rPr>
              <w:t>－</w:t>
            </w:r>
            <w:r>
              <w:rPr>
                <w:sz w:val="18"/>
                <w:szCs w:val="18"/>
              </w:rPr>
              <w:t>”</w:t>
            </w:r>
            <w:r>
              <w:rPr>
                <w:sz w:val="18"/>
                <w:szCs w:val="18"/>
              </w:rPr>
              <w:t>号填列）</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9,379,903.89</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-53,491,793.68</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line="240" w:lineRule="exact"/>
              <w:ind w:firstLineChars="100" w:firstLine="180"/>
              <w:rPr>
                <w:sz w:val="18"/>
                <w:szCs w:val="18"/>
              </w:rPr>
            </w:pPr>
            <w:r>
              <w:rPr>
                <w:sz w:val="18"/>
                <w:szCs w:val="18"/>
              </w:rPr>
              <w:t>（一）按经营持续性分类</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line="240" w:lineRule="exact"/>
              <w:ind w:firstLineChars="200" w:firstLine="360"/>
              <w:rPr>
                <w:sz w:val="18"/>
                <w:szCs w:val="18"/>
              </w:rPr>
            </w:pPr>
            <w:r>
              <w:rPr>
                <w:sz w:val="18"/>
                <w:szCs w:val="18"/>
              </w:rPr>
              <w:t>1.</w:t>
            </w:r>
            <w:r>
              <w:rPr>
                <w:sz w:val="18"/>
                <w:szCs w:val="18"/>
              </w:rPr>
              <w:t>持续经营净利润（净亏损以</w:t>
            </w:r>
            <w:r>
              <w:rPr>
                <w:sz w:val="18"/>
                <w:szCs w:val="18"/>
              </w:rPr>
              <w:t>“</w:t>
            </w:r>
            <w:r>
              <w:rPr>
                <w:sz w:val="18"/>
                <w:szCs w:val="18"/>
              </w:rPr>
              <w:t>－</w:t>
            </w:r>
            <w:r>
              <w:rPr>
                <w:sz w:val="18"/>
                <w:szCs w:val="18"/>
              </w:rPr>
              <w:t>”</w:t>
            </w:r>
            <w:r>
              <w:rPr>
                <w:sz w:val="18"/>
                <w:szCs w:val="18"/>
              </w:rPr>
              <w:t>号填列）</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9,379,903.89</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-53,491,793.68</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line="240" w:lineRule="exact"/>
              <w:ind w:firstLineChars="200" w:firstLine="360"/>
              <w:rPr>
                <w:sz w:val="18"/>
                <w:szCs w:val="18"/>
              </w:rPr>
            </w:pPr>
            <w:r>
              <w:rPr>
                <w:sz w:val="18"/>
                <w:szCs w:val="18"/>
              </w:rPr>
              <w:t>2.</w:t>
            </w:r>
            <w:r>
              <w:rPr>
                <w:sz w:val="18"/>
                <w:szCs w:val="18"/>
              </w:rPr>
              <w:t>终止经营净利润（净亏损以</w:t>
            </w:r>
            <w:r>
              <w:rPr>
                <w:sz w:val="18"/>
                <w:szCs w:val="18"/>
              </w:rPr>
              <w:t>“</w:t>
            </w:r>
            <w:r>
              <w:rPr>
                <w:sz w:val="18"/>
                <w:szCs w:val="18"/>
              </w:rPr>
              <w:t>－</w:t>
            </w:r>
            <w:r>
              <w:rPr>
                <w:sz w:val="18"/>
                <w:szCs w:val="18"/>
              </w:rPr>
              <w:t>”</w:t>
            </w:r>
            <w:r>
              <w:rPr>
                <w:sz w:val="18"/>
                <w:szCs w:val="18"/>
              </w:rPr>
              <w:t>号填列）</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0.00</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line="240" w:lineRule="exact"/>
              <w:ind w:firstLineChars="100" w:firstLine="180"/>
              <w:rPr>
                <w:sz w:val="18"/>
                <w:szCs w:val="18"/>
              </w:rPr>
            </w:pPr>
            <w:r>
              <w:rPr>
                <w:sz w:val="18"/>
                <w:szCs w:val="18"/>
              </w:rPr>
              <w:t>（二）按所有权归属分类</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line="240" w:lineRule="exact"/>
              <w:ind w:firstLineChars="200" w:firstLine="360"/>
              <w:rPr>
                <w:sz w:val="18"/>
                <w:szCs w:val="18"/>
              </w:rPr>
            </w:pPr>
            <w:r>
              <w:rPr>
                <w:sz w:val="18"/>
                <w:szCs w:val="18"/>
              </w:rPr>
              <w:t>1.</w:t>
            </w:r>
            <w:r>
              <w:rPr>
                <w:sz w:val="18"/>
                <w:szCs w:val="18"/>
              </w:rPr>
              <w:t>归属于母公司股东的净利润</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7,489,613.54</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-49,552,838.46</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line="240" w:lineRule="exact"/>
              <w:ind w:firstLineChars="200" w:firstLine="360"/>
              <w:rPr>
                <w:sz w:val="18"/>
                <w:szCs w:val="18"/>
              </w:rPr>
            </w:pPr>
            <w:r>
              <w:rPr>
                <w:sz w:val="18"/>
                <w:szCs w:val="18"/>
              </w:rPr>
              <w:t>2.</w:t>
            </w:r>
            <w:r>
              <w:rPr>
                <w:sz w:val="18"/>
                <w:szCs w:val="18"/>
              </w:rPr>
              <w:t>少数股东损益</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1,890,290.35</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-3,938,955.22</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line="240" w:lineRule="exact"/>
              <w:rPr>
                <w:sz w:val="18"/>
                <w:szCs w:val="18"/>
              </w:rPr>
            </w:pPr>
            <w:r>
              <w:rPr>
                <w:sz w:val="18"/>
                <w:szCs w:val="18"/>
              </w:rPr>
              <w:t>六、其他综合收益的税后净额</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-95,026.02</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70,035.49</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line="240" w:lineRule="exact"/>
              <w:ind w:firstLineChars="100" w:firstLine="180"/>
              <w:rPr>
                <w:sz w:val="18"/>
                <w:szCs w:val="18"/>
              </w:rPr>
            </w:pPr>
            <w:r>
              <w:rPr>
                <w:sz w:val="18"/>
                <w:szCs w:val="18"/>
              </w:rPr>
              <w:lastRenderedPageBreak/>
              <w:t>归属母公司所有者的其他综合收益的税后净额</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-95,026.02</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70,035.49</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line="240" w:lineRule="exact"/>
              <w:ind w:firstLineChars="200" w:firstLine="360"/>
              <w:rPr>
                <w:sz w:val="18"/>
                <w:szCs w:val="18"/>
              </w:rPr>
            </w:pPr>
            <w:r>
              <w:rPr>
                <w:sz w:val="18"/>
                <w:szCs w:val="18"/>
              </w:rPr>
              <w:t>（一）不能重分类进损益的其他综合收益</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0.00</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line="240" w:lineRule="exact"/>
              <w:ind w:firstLineChars="300" w:firstLine="540"/>
              <w:rPr>
                <w:sz w:val="18"/>
                <w:szCs w:val="18"/>
              </w:rPr>
            </w:pPr>
            <w:r>
              <w:rPr>
                <w:sz w:val="18"/>
                <w:szCs w:val="18"/>
              </w:rPr>
              <w:t>1.</w:t>
            </w:r>
            <w:r>
              <w:rPr>
                <w:sz w:val="18"/>
                <w:szCs w:val="18"/>
              </w:rPr>
              <w:t>重新计量设定受益计划变动额</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0.00</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line="240" w:lineRule="exact"/>
              <w:ind w:firstLineChars="300" w:firstLine="540"/>
              <w:rPr>
                <w:sz w:val="18"/>
                <w:szCs w:val="18"/>
              </w:rPr>
            </w:pPr>
            <w:r>
              <w:rPr>
                <w:sz w:val="18"/>
                <w:szCs w:val="18"/>
              </w:rPr>
              <w:t>2.</w:t>
            </w:r>
            <w:r>
              <w:rPr>
                <w:sz w:val="18"/>
                <w:szCs w:val="18"/>
              </w:rPr>
              <w:t>权益法下不能转损益的其他综合收益</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0.00</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line="240" w:lineRule="exact"/>
              <w:ind w:firstLineChars="300" w:firstLine="540"/>
              <w:rPr>
                <w:sz w:val="18"/>
                <w:szCs w:val="18"/>
              </w:rPr>
            </w:pPr>
            <w:r>
              <w:rPr>
                <w:sz w:val="18"/>
                <w:szCs w:val="18"/>
              </w:rPr>
              <w:t>3.</w:t>
            </w:r>
            <w:r>
              <w:rPr>
                <w:sz w:val="18"/>
                <w:szCs w:val="18"/>
              </w:rPr>
              <w:t>其他权益工具投资公允价值变动</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0.00</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line="240" w:lineRule="exact"/>
              <w:ind w:firstLineChars="300" w:firstLine="540"/>
              <w:rPr>
                <w:sz w:val="18"/>
                <w:szCs w:val="18"/>
              </w:rPr>
            </w:pPr>
            <w:r>
              <w:rPr>
                <w:sz w:val="18"/>
                <w:szCs w:val="18"/>
              </w:rPr>
              <w:t>4.</w:t>
            </w:r>
            <w:r>
              <w:rPr>
                <w:sz w:val="18"/>
                <w:szCs w:val="18"/>
              </w:rPr>
              <w:t>企业自身信用风险公允价值变动</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0.00</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line="240" w:lineRule="exact"/>
              <w:ind w:firstLineChars="300" w:firstLine="540"/>
              <w:rPr>
                <w:sz w:val="18"/>
                <w:szCs w:val="18"/>
              </w:rPr>
            </w:pPr>
            <w:r>
              <w:rPr>
                <w:sz w:val="18"/>
                <w:szCs w:val="18"/>
              </w:rPr>
              <w:t>5.</w:t>
            </w:r>
            <w:r>
              <w:rPr>
                <w:sz w:val="18"/>
                <w:szCs w:val="18"/>
              </w:rPr>
              <w:t>其他</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0.00</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line="240" w:lineRule="exact"/>
              <w:ind w:firstLineChars="200" w:firstLine="360"/>
              <w:rPr>
                <w:sz w:val="18"/>
                <w:szCs w:val="18"/>
              </w:rPr>
            </w:pPr>
            <w:r>
              <w:rPr>
                <w:sz w:val="18"/>
                <w:szCs w:val="18"/>
              </w:rPr>
              <w:t>（二）将重分类进损益的其他综合收益</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-95,026.02</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70,035.49</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line="240" w:lineRule="exact"/>
              <w:ind w:firstLineChars="300" w:firstLine="540"/>
              <w:rPr>
                <w:sz w:val="18"/>
                <w:szCs w:val="18"/>
              </w:rPr>
            </w:pPr>
            <w:r>
              <w:rPr>
                <w:sz w:val="18"/>
                <w:szCs w:val="18"/>
              </w:rPr>
              <w:t>1.</w:t>
            </w:r>
            <w:r>
              <w:rPr>
                <w:sz w:val="18"/>
                <w:szCs w:val="18"/>
              </w:rPr>
              <w:t>权益法下可转损益的其他综合收益</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0.00</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line="240" w:lineRule="exact"/>
              <w:ind w:firstLineChars="300" w:firstLine="540"/>
              <w:rPr>
                <w:sz w:val="18"/>
                <w:szCs w:val="18"/>
              </w:rPr>
            </w:pPr>
            <w:r>
              <w:rPr>
                <w:sz w:val="18"/>
                <w:szCs w:val="18"/>
              </w:rPr>
              <w:t>2.</w:t>
            </w:r>
            <w:r>
              <w:rPr>
                <w:sz w:val="18"/>
                <w:szCs w:val="18"/>
              </w:rPr>
              <w:t>其他债权投资公允价值变动</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0.00</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line="240" w:lineRule="exact"/>
              <w:ind w:firstLineChars="300" w:firstLine="540"/>
              <w:rPr>
                <w:sz w:val="18"/>
                <w:szCs w:val="18"/>
              </w:rPr>
            </w:pPr>
            <w:r>
              <w:rPr>
                <w:sz w:val="18"/>
                <w:szCs w:val="18"/>
              </w:rPr>
              <w:t>3.</w:t>
            </w:r>
            <w:r>
              <w:rPr>
                <w:sz w:val="18"/>
                <w:szCs w:val="18"/>
              </w:rPr>
              <w:t>金融资产重分类计入其他综合收益的金额</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0.00</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line="240" w:lineRule="exact"/>
              <w:ind w:firstLineChars="300" w:firstLine="540"/>
              <w:rPr>
                <w:sz w:val="18"/>
                <w:szCs w:val="18"/>
              </w:rPr>
            </w:pPr>
            <w:r>
              <w:rPr>
                <w:sz w:val="18"/>
                <w:szCs w:val="18"/>
              </w:rPr>
              <w:t>4.</w:t>
            </w:r>
            <w:r>
              <w:rPr>
                <w:sz w:val="18"/>
                <w:szCs w:val="18"/>
              </w:rPr>
              <w:t>其他债权投资信用减值准备</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0.00</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line="240" w:lineRule="exact"/>
              <w:ind w:firstLineChars="300" w:firstLine="540"/>
              <w:rPr>
                <w:sz w:val="18"/>
                <w:szCs w:val="18"/>
              </w:rPr>
            </w:pPr>
            <w:r>
              <w:rPr>
                <w:sz w:val="18"/>
                <w:szCs w:val="18"/>
              </w:rPr>
              <w:t>5.</w:t>
            </w:r>
            <w:r>
              <w:rPr>
                <w:sz w:val="18"/>
                <w:szCs w:val="18"/>
              </w:rPr>
              <w:t>现金流量套期储备</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0.00</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line="240" w:lineRule="exact"/>
              <w:ind w:firstLineChars="300" w:firstLine="540"/>
              <w:rPr>
                <w:sz w:val="18"/>
                <w:szCs w:val="18"/>
              </w:rPr>
            </w:pPr>
            <w:r>
              <w:rPr>
                <w:sz w:val="18"/>
                <w:szCs w:val="18"/>
              </w:rPr>
              <w:t>6.</w:t>
            </w:r>
            <w:r>
              <w:rPr>
                <w:sz w:val="18"/>
                <w:szCs w:val="18"/>
              </w:rPr>
              <w:t>外币财务报表折算差额</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-95,026.02</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70,035.49</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line="240" w:lineRule="exact"/>
              <w:ind w:firstLineChars="300" w:firstLine="540"/>
              <w:rPr>
                <w:sz w:val="18"/>
                <w:szCs w:val="18"/>
              </w:rPr>
            </w:pPr>
            <w:r>
              <w:rPr>
                <w:sz w:val="18"/>
                <w:szCs w:val="18"/>
              </w:rPr>
              <w:t>7.</w:t>
            </w:r>
            <w:r>
              <w:rPr>
                <w:sz w:val="18"/>
                <w:szCs w:val="18"/>
              </w:rPr>
              <w:t>其他</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0.00</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line="240" w:lineRule="exact"/>
              <w:ind w:firstLineChars="100" w:firstLine="180"/>
              <w:rPr>
                <w:sz w:val="18"/>
                <w:szCs w:val="18"/>
              </w:rPr>
            </w:pPr>
            <w:r>
              <w:rPr>
                <w:sz w:val="18"/>
                <w:szCs w:val="18"/>
              </w:rPr>
              <w:t>归属于少数股东的其他综合收益的税后净额</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0.00</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line="240" w:lineRule="exact"/>
              <w:rPr>
                <w:sz w:val="18"/>
                <w:szCs w:val="18"/>
              </w:rPr>
            </w:pPr>
            <w:r>
              <w:rPr>
                <w:sz w:val="18"/>
                <w:szCs w:val="18"/>
              </w:rPr>
              <w:t>七、综合收益总额</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9,284,877.87</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-53,421,758.19</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line="240" w:lineRule="exact"/>
              <w:ind w:firstLineChars="100" w:firstLine="180"/>
              <w:rPr>
                <w:sz w:val="18"/>
                <w:szCs w:val="18"/>
              </w:rPr>
            </w:pPr>
            <w:r>
              <w:rPr>
                <w:sz w:val="18"/>
                <w:szCs w:val="18"/>
              </w:rPr>
              <w:t>归属于母公司所有者的综合收益总额</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7,394,587.52</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-49,482,802.97</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line="240" w:lineRule="exact"/>
              <w:ind w:firstLineChars="100" w:firstLine="180"/>
              <w:rPr>
                <w:sz w:val="18"/>
                <w:szCs w:val="18"/>
              </w:rPr>
            </w:pPr>
            <w:r>
              <w:rPr>
                <w:sz w:val="18"/>
                <w:szCs w:val="18"/>
              </w:rPr>
              <w:t>归属于少数股东的综合收益总额</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1,890,290.35</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-3,938,955.22</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line="240" w:lineRule="exact"/>
              <w:rPr>
                <w:sz w:val="18"/>
                <w:szCs w:val="18"/>
              </w:rPr>
            </w:pPr>
            <w:r>
              <w:rPr>
                <w:sz w:val="18"/>
                <w:szCs w:val="18"/>
              </w:rPr>
              <w:t>八、每股收益：</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line="240" w:lineRule="exact"/>
              <w:ind w:firstLineChars="100" w:firstLine="180"/>
              <w:rPr>
                <w:sz w:val="18"/>
                <w:szCs w:val="18"/>
              </w:rPr>
            </w:pPr>
            <w:r>
              <w:rPr>
                <w:sz w:val="18"/>
                <w:szCs w:val="18"/>
              </w:rPr>
              <w:t>（一）基本每股收益</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0.11</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-0.74</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line="240" w:lineRule="exact"/>
              <w:ind w:firstLineChars="100" w:firstLine="180"/>
              <w:rPr>
                <w:sz w:val="18"/>
                <w:szCs w:val="18"/>
              </w:rPr>
            </w:pPr>
            <w:r>
              <w:rPr>
                <w:sz w:val="18"/>
                <w:szCs w:val="18"/>
              </w:rPr>
              <w:t>（二）稀释每股收益</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0.11</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-0.74</w:t>
            </w:r>
          </w:p>
        </w:tc>
      </w:tr>
    </w:tbl>
    <w:p w:rsidR="00E20B54" w:rsidRDefault="00E20B54">
      <w:pPr>
        <w:spacing w:before="40" w:after="40" w:line="240" w:lineRule="exact"/>
        <w:rPr>
          <w:sz w:val="18"/>
          <w:szCs w:val="18"/>
        </w:rPr>
      </w:pPr>
    </w:p>
    <w:p w:rsidR="00E20B54" w:rsidRDefault="00733C9E">
      <w:pPr>
        <w:spacing w:before="40" w:after="40" w:line="240" w:lineRule="exact"/>
        <w:rPr>
          <w:sz w:val="18"/>
          <w:szCs w:val="18"/>
        </w:rPr>
      </w:pPr>
      <w:r>
        <w:rPr>
          <w:sz w:val="18"/>
          <w:szCs w:val="18"/>
        </w:rPr>
        <w:t>法定代表人：林明玲</w:t>
      </w:r>
      <w:r>
        <w:rPr>
          <w:sz w:val="18"/>
          <w:szCs w:val="18"/>
        </w:rPr>
        <w:t xml:space="preserve"> </w:t>
      </w:r>
      <w:r>
        <w:rPr>
          <w:rFonts w:hint="eastAsia"/>
          <w:sz w:val="18"/>
          <w:szCs w:val="18"/>
        </w:rPr>
        <w:t xml:space="preserve">                                 </w:t>
      </w:r>
      <w:r>
        <w:rPr>
          <w:sz w:val="18"/>
          <w:szCs w:val="18"/>
        </w:rPr>
        <w:t xml:space="preserve"> </w:t>
      </w:r>
      <w:r>
        <w:rPr>
          <w:sz w:val="18"/>
          <w:szCs w:val="18"/>
        </w:rPr>
        <w:t>主管会计工作负责人：陈焕盛</w:t>
      </w:r>
      <w:r>
        <w:rPr>
          <w:sz w:val="18"/>
          <w:szCs w:val="18"/>
        </w:rPr>
        <w:t xml:space="preserve">    </w:t>
      </w:r>
      <w:r>
        <w:rPr>
          <w:rFonts w:hint="eastAsia"/>
          <w:sz w:val="18"/>
          <w:szCs w:val="18"/>
        </w:rPr>
        <w:t xml:space="preserve">                                 </w:t>
      </w:r>
      <w:r>
        <w:rPr>
          <w:sz w:val="18"/>
          <w:szCs w:val="18"/>
        </w:rPr>
        <w:t>会计机构负责人：赖宏伟</w:t>
      </w:r>
    </w:p>
    <w:p w:rsidR="00E20B54" w:rsidRDefault="00733C9E">
      <w:pPr>
        <w:pStyle w:val="3"/>
        <w:spacing w:line="280" w:lineRule="exact"/>
        <w:jc w:val="left"/>
        <w:rPr>
          <w:b/>
          <w:bCs/>
        </w:rPr>
      </w:pPr>
      <w:bookmarkStart w:id="154" w:name="_Toc989043"/>
      <w:r>
        <w:rPr>
          <w:b/>
          <w:bCs/>
        </w:rPr>
        <w:t>4</w:t>
      </w:r>
      <w:r>
        <w:rPr>
          <w:b/>
          <w:bCs/>
        </w:rPr>
        <w:t>、母公司利润表</w:t>
      </w:r>
      <w:bookmarkEnd w:id="154"/>
    </w:p>
    <w:p w:rsidR="00E20B54" w:rsidRDefault="00733C9E">
      <w:pPr>
        <w:spacing w:before="40" w:after="40" w:line="240" w:lineRule="exact"/>
        <w:jc w:val="right"/>
        <w:rPr>
          <w:sz w:val="18"/>
          <w:szCs w:val="18"/>
        </w:rPr>
      </w:pPr>
      <w:r>
        <w:rPr>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E20B54">
        <w:trPr>
          <w:trHeight w:val="240"/>
          <w:tblHeader/>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项目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2025</w:t>
            </w:r>
            <w:r>
              <w:rPr>
                <w:sz w:val="18"/>
                <w:szCs w:val="18"/>
              </w:rPr>
              <w:t>年度</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2024</w:t>
            </w:r>
            <w:r>
              <w:rPr>
                <w:sz w:val="18"/>
                <w:szCs w:val="18"/>
              </w:rPr>
              <w:t>年度</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一、营业收入</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246,905,332.23</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96,909,821.27</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100" w:firstLine="180"/>
              <w:rPr>
                <w:sz w:val="18"/>
                <w:szCs w:val="18"/>
              </w:rPr>
            </w:pPr>
            <w:r>
              <w:rPr>
                <w:sz w:val="18"/>
                <w:szCs w:val="18"/>
              </w:rPr>
              <w:t>减：营业成本</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176,224,837.32</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85,162,386.72</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300" w:firstLine="540"/>
              <w:rPr>
                <w:sz w:val="18"/>
                <w:szCs w:val="18"/>
              </w:rPr>
            </w:pPr>
            <w:r>
              <w:rPr>
                <w:sz w:val="18"/>
                <w:szCs w:val="18"/>
              </w:rPr>
              <w:t>税金及附加</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256,299.82</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216,160.43</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300" w:firstLine="540"/>
              <w:rPr>
                <w:sz w:val="18"/>
                <w:szCs w:val="18"/>
              </w:rPr>
            </w:pPr>
            <w:r>
              <w:rPr>
                <w:sz w:val="18"/>
                <w:szCs w:val="18"/>
              </w:rPr>
              <w:t>销售费用</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7,994,727.93</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10,356,357.73</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300" w:firstLine="540"/>
              <w:rPr>
                <w:sz w:val="18"/>
                <w:szCs w:val="18"/>
              </w:rPr>
            </w:pPr>
            <w:r>
              <w:rPr>
                <w:sz w:val="18"/>
                <w:szCs w:val="18"/>
              </w:rPr>
              <w:t>管理费用</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24,574,391.87</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20,075,603.94</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300" w:firstLine="540"/>
              <w:rPr>
                <w:sz w:val="18"/>
                <w:szCs w:val="18"/>
              </w:rPr>
            </w:pPr>
            <w:r>
              <w:rPr>
                <w:sz w:val="18"/>
                <w:szCs w:val="18"/>
              </w:rPr>
              <w:t>研发费用</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10,608,284.01</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8,305,717.09</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300" w:firstLine="540"/>
              <w:rPr>
                <w:sz w:val="18"/>
                <w:szCs w:val="18"/>
              </w:rPr>
            </w:pPr>
            <w:r>
              <w:rPr>
                <w:sz w:val="18"/>
                <w:szCs w:val="18"/>
              </w:rPr>
              <w:t>财务费用</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5,205,775.93</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-5,854,008.32</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400" w:firstLine="720"/>
              <w:rPr>
                <w:sz w:val="18"/>
                <w:szCs w:val="18"/>
              </w:rPr>
            </w:pPr>
            <w:r>
              <w:rPr>
                <w:sz w:val="18"/>
                <w:szCs w:val="18"/>
              </w:rPr>
              <w:t>其中：利息费用</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8,608,809.36</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780,834.57</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700" w:firstLine="1260"/>
              <w:rPr>
                <w:sz w:val="18"/>
                <w:szCs w:val="18"/>
              </w:rPr>
            </w:pPr>
            <w:r>
              <w:rPr>
                <w:sz w:val="18"/>
                <w:szCs w:val="18"/>
              </w:rPr>
              <w:t>利息收入</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3,388,621.55</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6,081,568.97</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100" w:firstLine="180"/>
              <w:rPr>
                <w:sz w:val="18"/>
                <w:szCs w:val="18"/>
              </w:rPr>
            </w:pPr>
            <w:r>
              <w:rPr>
                <w:sz w:val="18"/>
                <w:szCs w:val="18"/>
              </w:rPr>
              <w:t>加：其他收益</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42,869.08</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71,227.79</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300" w:firstLine="540"/>
              <w:rPr>
                <w:sz w:val="18"/>
                <w:szCs w:val="18"/>
              </w:rPr>
            </w:pPr>
            <w:r>
              <w:rPr>
                <w:sz w:val="18"/>
                <w:szCs w:val="18"/>
              </w:rPr>
              <w:t>投资收益（损失以</w:t>
            </w:r>
            <w:r>
              <w:rPr>
                <w:sz w:val="18"/>
                <w:szCs w:val="18"/>
              </w:rPr>
              <w:t>“</w:t>
            </w:r>
            <w:r>
              <w:rPr>
                <w:sz w:val="18"/>
                <w:szCs w:val="18"/>
              </w:rPr>
              <w:t>－</w:t>
            </w:r>
            <w:r>
              <w:rPr>
                <w:sz w:val="18"/>
                <w:szCs w:val="18"/>
              </w:rPr>
              <w:t>”</w:t>
            </w:r>
            <w:r>
              <w:rPr>
                <w:sz w:val="18"/>
                <w:szCs w:val="18"/>
              </w:rPr>
              <w:t>号填</w:t>
            </w:r>
            <w:r>
              <w:rPr>
                <w:sz w:val="18"/>
                <w:szCs w:val="18"/>
              </w:rPr>
              <w:lastRenderedPageBreak/>
              <w:t>列）</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lastRenderedPageBreak/>
              <w:t>5,422,260.49</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646,465.76</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400" w:firstLine="720"/>
              <w:rPr>
                <w:sz w:val="18"/>
                <w:szCs w:val="18"/>
              </w:rPr>
            </w:pPr>
            <w:r>
              <w:rPr>
                <w:sz w:val="18"/>
                <w:szCs w:val="18"/>
              </w:rPr>
              <w:lastRenderedPageBreak/>
              <w:t>其中：对联营企业和合营企业的投资收益</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0.00</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700" w:firstLine="1260"/>
              <w:rPr>
                <w:sz w:val="18"/>
                <w:szCs w:val="18"/>
              </w:rPr>
            </w:pPr>
            <w:r>
              <w:rPr>
                <w:sz w:val="18"/>
                <w:szCs w:val="18"/>
              </w:rPr>
              <w:t>以摊余成本计量的金融资产终止确认收益（损失以</w:t>
            </w:r>
            <w:r>
              <w:rPr>
                <w:sz w:val="18"/>
                <w:szCs w:val="18"/>
              </w:rPr>
              <w:t>“-”</w:t>
            </w:r>
            <w:r>
              <w:rPr>
                <w:sz w:val="18"/>
                <w:szCs w:val="18"/>
              </w:rPr>
              <w:t>号填列）</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0.00</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300" w:firstLine="540"/>
              <w:rPr>
                <w:sz w:val="18"/>
                <w:szCs w:val="18"/>
              </w:rPr>
            </w:pPr>
            <w:r>
              <w:rPr>
                <w:sz w:val="18"/>
                <w:szCs w:val="18"/>
              </w:rPr>
              <w:t>净敞口套期收益（损失以</w:t>
            </w:r>
            <w:r>
              <w:rPr>
                <w:sz w:val="18"/>
                <w:szCs w:val="18"/>
              </w:rPr>
              <w:t>“</w:t>
            </w:r>
            <w:r>
              <w:rPr>
                <w:sz w:val="18"/>
                <w:szCs w:val="18"/>
              </w:rPr>
              <w:t>－</w:t>
            </w:r>
            <w:r>
              <w:rPr>
                <w:sz w:val="18"/>
                <w:szCs w:val="18"/>
              </w:rPr>
              <w:t>”</w:t>
            </w:r>
            <w:r>
              <w:rPr>
                <w:sz w:val="18"/>
                <w:szCs w:val="18"/>
              </w:rPr>
              <w:t>号填列）</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0.00</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300" w:firstLine="540"/>
              <w:rPr>
                <w:sz w:val="18"/>
                <w:szCs w:val="18"/>
              </w:rPr>
            </w:pPr>
            <w:r>
              <w:rPr>
                <w:sz w:val="18"/>
                <w:szCs w:val="18"/>
              </w:rPr>
              <w:t>公允价值变动收益（损失以</w:t>
            </w:r>
            <w:r>
              <w:rPr>
                <w:sz w:val="18"/>
                <w:szCs w:val="18"/>
              </w:rPr>
              <w:t>“</w:t>
            </w:r>
            <w:r>
              <w:rPr>
                <w:sz w:val="18"/>
                <w:szCs w:val="18"/>
              </w:rPr>
              <w:t>－</w:t>
            </w:r>
            <w:r>
              <w:rPr>
                <w:sz w:val="18"/>
                <w:szCs w:val="18"/>
              </w:rPr>
              <w:t>”</w:t>
            </w:r>
            <w:r>
              <w:rPr>
                <w:sz w:val="18"/>
                <w:szCs w:val="18"/>
              </w:rPr>
              <w:t>号填列）</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-17,095.89</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300" w:firstLine="540"/>
              <w:rPr>
                <w:sz w:val="18"/>
                <w:szCs w:val="18"/>
              </w:rPr>
            </w:pPr>
            <w:r>
              <w:rPr>
                <w:sz w:val="18"/>
                <w:szCs w:val="18"/>
              </w:rPr>
              <w:t>信用减值损失（损失以</w:t>
            </w:r>
            <w:r>
              <w:rPr>
                <w:sz w:val="18"/>
                <w:szCs w:val="18"/>
              </w:rPr>
              <w:t>“-”</w:t>
            </w:r>
            <w:r>
              <w:rPr>
                <w:sz w:val="18"/>
                <w:szCs w:val="18"/>
              </w:rPr>
              <w:t>号填列）</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-29,689,798.39</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-16,677,130.57</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300" w:firstLine="540"/>
              <w:rPr>
                <w:sz w:val="18"/>
                <w:szCs w:val="18"/>
              </w:rPr>
            </w:pPr>
            <w:r>
              <w:rPr>
                <w:sz w:val="18"/>
                <w:szCs w:val="18"/>
              </w:rPr>
              <w:t>资产减值损失（损失以</w:t>
            </w:r>
            <w:r>
              <w:rPr>
                <w:sz w:val="18"/>
                <w:szCs w:val="18"/>
              </w:rPr>
              <w:t>“-”</w:t>
            </w:r>
            <w:r>
              <w:rPr>
                <w:sz w:val="18"/>
                <w:szCs w:val="18"/>
              </w:rPr>
              <w:t>号填列）</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935,765.91</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-816,949.55</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300" w:firstLine="540"/>
              <w:rPr>
                <w:sz w:val="18"/>
                <w:szCs w:val="18"/>
              </w:rPr>
            </w:pPr>
            <w:r>
              <w:rPr>
                <w:sz w:val="18"/>
                <w:szCs w:val="18"/>
              </w:rPr>
              <w:t>资产处置收益（损失以</w:t>
            </w:r>
            <w:r>
              <w:rPr>
                <w:sz w:val="18"/>
                <w:szCs w:val="18"/>
              </w:rPr>
              <w:t>“-”</w:t>
            </w:r>
            <w:r>
              <w:rPr>
                <w:sz w:val="18"/>
                <w:szCs w:val="18"/>
              </w:rPr>
              <w:t>号填列）</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-3,417.65</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99,108.79</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二、营业利润（亏损以</w:t>
            </w:r>
            <w:r>
              <w:rPr>
                <w:sz w:val="18"/>
                <w:szCs w:val="18"/>
              </w:rPr>
              <w:t>“</w:t>
            </w:r>
            <w:r>
              <w:rPr>
                <w:sz w:val="18"/>
                <w:szCs w:val="18"/>
              </w:rPr>
              <w:t>－</w:t>
            </w:r>
            <w:r>
              <w:rPr>
                <w:sz w:val="18"/>
                <w:szCs w:val="18"/>
              </w:rPr>
              <w:t>”</w:t>
            </w:r>
            <w:r>
              <w:rPr>
                <w:sz w:val="18"/>
                <w:szCs w:val="18"/>
              </w:rPr>
              <w:t>号填列）</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-1,251,305.21</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-38,046,769.99</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100" w:firstLine="180"/>
              <w:rPr>
                <w:sz w:val="18"/>
                <w:szCs w:val="18"/>
              </w:rPr>
            </w:pPr>
            <w:r>
              <w:rPr>
                <w:sz w:val="18"/>
                <w:szCs w:val="18"/>
              </w:rPr>
              <w:t>加：营业外收入</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1.97</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302,618.67</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100" w:firstLine="180"/>
              <w:rPr>
                <w:sz w:val="18"/>
                <w:szCs w:val="18"/>
              </w:rPr>
            </w:pPr>
            <w:r>
              <w:rPr>
                <w:sz w:val="18"/>
                <w:szCs w:val="18"/>
              </w:rPr>
              <w:t>减：营业外支出</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1,081,902.58</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1,128,808.46</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三、利润总额（亏损总额以</w:t>
            </w:r>
            <w:r>
              <w:rPr>
                <w:sz w:val="18"/>
                <w:szCs w:val="18"/>
              </w:rPr>
              <w:t>“</w:t>
            </w:r>
            <w:r>
              <w:rPr>
                <w:sz w:val="18"/>
                <w:szCs w:val="18"/>
              </w:rPr>
              <w:t>－</w:t>
            </w:r>
            <w:r>
              <w:rPr>
                <w:sz w:val="18"/>
                <w:szCs w:val="18"/>
              </w:rPr>
              <w:t>”</w:t>
            </w:r>
            <w:r>
              <w:rPr>
                <w:sz w:val="18"/>
                <w:szCs w:val="18"/>
              </w:rPr>
              <w:t>号填列）</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-2,333,205.82</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-38,872,959.78</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100" w:firstLine="180"/>
              <w:rPr>
                <w:sz w:val="18"/>
                <w:szCs w:val="18"/>
              </w:rPr>
            </w:pPr>
            <w:r>
              <w:rPr>
                <w:sz w:val="18"/>
                <w:szCs w:val="18"/>
              </w:rPr>
              <w:t>减：所得税费用</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-661,120.16</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-6,449,304.90</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line="240" w:lineRule="exact"/>
              <w:rPr>
                <w:sz w:val="18"/>
                <w:szCs w:val="18"/>
              </w:rPr>
            </w:pPr>
            <w:r>
              <w:rPr>
                <w:sz w:val="18"/>
                <w:szCs w:val="18"/>
              </w:rPr>
              <w:t>四、净利润（净亏损以</w:t>
            </w:r>
            <w:r>
              <w:rPr>
                <w:sz w:val="18"/>
                <w:szCs w:val="18"/>
              </w:rPr>
              <w:t>“</w:t>
            </w:r>
            <w:r>
              <w:rPr>
                <w:sz w:val="18"/>
                <w:szCs w:val="18"/>
              </w:rPr>
              <w:t>－</w:t>
            </w:r>
            <w:r>
              <w:rPr>
                <w:sz w:val="18"/>
                <w:szCs w:val="18"/>
              </w:rPr>
              <w:t>”</w:t>
            </w:r>
            <w:r>
              <w:rPr>
                <w:sz w:val="18"/>
                <w:szCs w:val="18"/>
              </w:rPr>
              <w:t>号填列）</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-1,672,085.66</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-32,423,654.88</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line="240" w:lineRule="exact"/>
              <w:ind w:firstLineChars="100" w:firstLine="180"/>
              <w:rPr>
                <w:sz w:val="18"/>
                <w:szCs w:val="18"/>
              </w:rPr>
            </w:pPr>
            <w:r>
              <w:rPr>
                <w:sz w:val="18"/>
                <w:szCs w:val="18"/>
              </w:rPr>
              <w:t>（一）持续经营净利润（净亏损以</w:t>
            </w:r>
            <w:r>
              <w:rPr>
                <w:sz w:val="18"/>
                <w:szCs w:val="18"/>
              </w:rPr>
              <w:t>“</w:t>
            </w:r>
            <w:r>
              <w:rPr>
                <w:sz w:val="18"/>
                <w:szCs w:val="18"/>
              </w:rPr>
              <w:t>－</w:t>
            </w:r>
            <w:r>
              <w:rPr>
                <w:sz w:val="18"/>
                <w:szCs w:val="18"/>
              </w:rPr>
              <w:t>”</w:t>
            </w:r>
            <w:r>
              <w:rPr>
                <w:sz w:val="18"/>
                <w:szCs w:val="18"/>
              </w:rPr>
              <w:t>号填列）</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-1,672,085.66</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-32,423,654.88</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line="240" w:lineRule="exact"/>
              <w:ind w:firstLineChars="100" w:firstLine="180"/>
              <w:rPr>
                <w:sz w:val="18"/>
                <w:szCs w:val="18"/>
              </w:rPr>
            </w:pPr>
            <w:r>
              <w:rPr>
                <w:sz w:val="18"/>
                <w:szCs w:val="18"/>
              </w:rPr>
              <w:t>（二）终止经营净利润（净亏损以</w:t>
            </w:r>
            <w:r>
              <w:rPr>
                <w:sz w:val="18"/>
                <w:szCs w:val="18"/>
              </w:rPr>
              <w:t>“</w:t>
            </w:r>
            <w:r>
              <w:rPr>
                <w:sz w:val="18"/>
                <w:szCs w:val="18"/>
              </w:rPr>
              <w:t>－</w:t>
            </w:r>
            <w:r>
              <w:rPr>
                <w:sz w:val="18"/>
                <w:szCs w:val="18"/>
              </w:rPr>
              <w:t>”</w:t>
            </w:r>
            <w:r>
              <w:rPr>
                <w:sz w:val="18"/>
                <w:szCs w:val="18"/>
              </w:rPr>
              <w:t>号填列）</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line="240" w:lineRule="exact"/>
              <w:rPr>
                <w:sz w:val="18"/>
                <w:szCs w:val="18"/>
              </w:rPr>
            </w:pPr>
            <w:r>
              <w:rPr>
                <w:sz w:val="18"/>
                <w:szCs w:val="18"/>
              </w:rPr>
              <w:t>五、其他综合收益的税后净额</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line="240" w:lineRule="exact"/>
              <w:ind w:firstLineChars="200" w:firstLine="360"/>
              <w:rPr>
                <w:sz w:val="18"/>
                <w:szCs w:val="18"/>
              </w:rPr>
            </w:pPr>
            <w:r>
              <w:rPr>
                <w:sz w:val="18"/>
                <w:szCs w:val="18"/>
              </w:rPr>
              <w:t>（一）不能重分类进损益的其他综合收益</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line="240" w:lineRule="exact"/>
              <w:ind w:firstLineChars="300" w:firstLine="540"/>
              <w:rPr>
                <w:sz w:val="18"/>
                <w:szCs w:val="18"/>
              </w:rPr>
            </w:pPr>
            <w:r>
              <w:rPr>
                <w:sz w:val="18"/>
                <w:szCs w:val="18"/>
              </w:rPr>
              <w:t>1.</w:t>
            </w:r>
            <w:r>
              <w:rPr>
                <w:sz w:val="18"/>
                <w:szCs w:val="18"/>
              </w:rPr>
              <w:t>重新计量设定受益计划变动额</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line="240" w:lineRule="exact"/>
              <w:ind w:firstLineChars="300" w:firstLine="540"/>
              <w:rPr>
                <w:sz w:val="18"/>
                <w:szCs w:val="18"/>
              </w:rPr>
            </w:pPr>
            <w:r>
              <w:rPr>
                <w:sz w:val="18"/>
                <w:szCs w:val="18"/>
              </w:rPr>
              <w:t>2.</w:t>
            </w:r>
            <w:r>
              <w:rPr>
                <w:sz w:val="18"/>
                <w:szCs w:val="18"/>
              </w:rPr>
              <w:t>权益法下不能转损益的其他综合收益</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line="240" w:lineRule="exact"/>
              <w:ind w:firstLineChars="300" w:firstLine="540"/>
              <w:rPr>
                <w:sz w:val="18"/>
                <w:szCs w:val="18"/>
              </w:rPr>
            </w:pPr>
            <w:r>
              <w:rPr>
                <w:sz w:val="18"/>
                <w:szCs w:val="18"/>
              </w:rPr>
              <w:t>3.</w:t>
            </w:r>
            <w:r>
              <w:rPr>
                <w:sz w:val="18"/>
                <w:szCs w:val="18"/>
              </w:rPr>
              <w:t>其他权益工具投资公允价值变动</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line="240" w:lineRule="exact"/>
              <w:ind w:firstLineChars="300" w:firstLine="540"/>
              <w:rPr>
                <w:sz w:val="18"/>
                <w:szCs w:val="18"/>
              </w:rPr>
            </w:pPr>
            <w:r>
              <w:rPr>
                <w:sz w:val="18"/>
                <w:szCs w:val="18"/>
              </w:rPr>
              <w:t>4.</w:t>
            </w:r>
            <w:r>
              <w:rPr>
                <w:sz w:val="18"/>
                <w:szCs w:val="18"/>
              </w:rPr>
              <w:t>企业自身信用风险公允价值变动</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line="240" w:lineRule="exact"/>
              <w:ind w:firstLineChars="300" w:firstLine="540"/>
              <w:rPr>
                <w:sz w:val="18"/>
                <w:szCs w:val="18"/>
              </w:rPr>
            </w:pPr>
            <w:r>
              <w:rPr>
                <w:sz w:val="18"/>
                <w:szCs w:val="18"/>
              </w:rPr>
              <w:t>5.</w:t>
            </w:r>
            <w:r>
              <w:rPr>
                <w:sz w:val="18"/>
                <w:szCs w:val="18"/>
              </w:rPr>
              <w:t>其他</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line="240" w:lineRule="exact"/>
              <w:ind w:firstLineChars="200" w:firstLine="360"/>
              <w:rPr>
                <w:sz w:val="18"/>
                <w:szCs w:val="18"/>
              </w:rPr>
            </w:pPr>
            <w:r>
              <w:rPr>
                <w:sz w:val="18"/>
                <w:szCs w:val="18"/>
              </w:rPr>
              <w:t>（二）将重分类进损益的其他综合收益</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line="240" w:lineRule="exact"/>
              <w:ind w:firstLineChars="300" w:firstLine="540"/>
              <w:rPr>
                <w:sz w:val="18"/>
                <w:szCs w:val="18"/>
              </w:rPr>
            </w:pPr>
            <w:r>
              <w:rPr>
                <w:sz w:val="18"/>
                <w:szCs w:val="18"/>
              </w:rPr>
              <w:t>1.</w:t>
            </w:r>
            <w:r>
              <w:rPr>
                <w:sz w:val="18"/>
                <w:szCs w:val="18"/>
              </w:rPr>
              <w:t>权益法下可转损益的其他综合收益</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line="240" w:lineRule="exact"/>
              <w:ind w:firstLineChars="300" w:firstLine="540"/>
              <w:rPr>
                <w:sz w:val="18"/>
                <w:szCs w:val="18"/>
              </w:rPr>
            </w:pPr>
            <w:r>
              <w:rPr>
                <w:sz w:val="18"/>
                <w:szCs w:val="18"/>
              </w:rPr>
              <w:t>2.</w:t>
            </w:r>
            <w:r>
              <w:rPr>
                <w:sz w:val="18"/>
                <w:szCs w:val="18"/>
              </w:rPr>
              <w:t>其他债权投资公允价值变动</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line="240" w:lineRule="exact"/>
              <w:ind w:firstLineChars="300" w:firstLine="540"/>
              <w:rPr>
                <w:sz w:val="18"/>
                <w:szCs w:val="18"/>
              </w:rPr>
            </w:pPr>
            <w:r>
              <w:rPr>
                <w:sz w:val="18"/>
                <w:szCs w:val="18"/>
              </w:rPr>
              <w:t>3.</w:t>
            </w:r>
            <w:r>
              <w:rPr>
                <w:sz w:val="18"/>
                <w:szCs w:val="18"/>
              </w:rPr>
              <w:t>金融资产重分类计入其他综合收益的金额</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line="240" w:lineRule="exact"/>
              <w:ind w:firstLineChars="300" w:firstLine="540"/>
              <w:rPr>
                <w:sz w:val="18"/>
                <w:szCs w:val="18"/>
              </w:rPr>
            </w:pPr>
            <w:r>
              <w:rPr>
                <w:sz w:val="18"/>
                <w:szCs w:val="18"/>
              </w:rPr>
              <w:t>4.</w:t>
            </w:r>
            <w:r>
              <w:rPr>
                <w:sz w:val="18"/>
                <w:szCs w:val="18"/>
              </w:rPr>
              <w:t>其他债权投资信用减值准备</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line="240" w:lineRule="exact"/>
              <w:ind w:firstLineChars="300" w:firstLine="540"/>
              <w:rPr>
                <w:sz w:val="18"/>
                <w:szCs w:val="18"/>
              </w:rPr>
            </w:pPr>
            <w:r>
              <w:rPr>
                <w:sz w:val="18"/>
                <w:szCs w:val="18"/>
              </w:rPr>
              <w:t>5.</w:t>
            </w:r>
            <w:r>
              <w:rPr>
                <w:sz w:val="18"/>
                <w:szCs w:val="18"/>
              </w:rPr>
              <w:t>现金流量套期储备</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line="240" w:lineRule="exact"/>
              <w:ind w:firstLineChars="300" w:firstLine="540"/>
              <w:rPr>
                <w:sz w:val="18"/>
                <w:szCs w:val="18"/>
              </w:rPr>
            </w:pPr>
            <w:r>
              <w:rPr>
                <w:sz w:val="18"/>
                <w:szCs w:val="18"/>
              </w:rPr>
              <w:t>6.</w:t>
            </w:r>
            <w:r>
              <w:rPr>
                <w:sz w:val="18"/>
                <w:szCs w:val="18"/>
              </w:rPr>
              <w:t>外币财务报表折算差额</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line="240" w:lineRule="exact"/>
              <w:ind w:firstLineChars="300" w:firstLine="540"/>
              <w:rPr>
                <w:sz w:val="18"/>
                <w:szCs w:val="18"/>
              </w:rPr>
            </w:pPr>
            <w:r>
              <w:rPr>
                <w:sz w:val="18"/>
                <w:szCs w:val="18"/>
              </w:rPr>
              <w:t>7.</w:t>
            </w:r>
            <w:r>
              <w:rPr>
                <w:sz w:val="18"/>
                <w:szCs w:val="18"/>
              </w:rPr>
              <w:t>其他</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line="240" w:lineRule="exact"/>
              <w:rPr>
                <w:sz w:val="18"/>
                <w:szCs w:val="18"/>
              </w:rPr>
            </w:pPr>
            <w:r>
              <w:rPr>
                <w:sz w:val="18"/>
                <w:szCs w:val="18"/>
              </w:rPr>
              <w:t>六、综合收益总额</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-1,672,085.66</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-32,423,654.88</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line="240" w:lineRule="exact"/>
              <w:rPr>
                <w:sz w:val="18"/>
                <w:szCs w:val="18"/>
              </w:rPr>
            </w:pPr>
            <w:r>
              <w:rPr>
                <w:sz w:val="18"/>
                <w:szCs w:val="18"/>
              </w:rPr>
              <w:lastRenderedPageBreak/>
              <w:t>七、每股收益：</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line="240" w:lineRule="exact"/>
              <w:ind w:firstLineChars="100" w:firstLine="180"/>
              <w:rPr>
                <w:sz w:val="18"/>
                <w:szCs w:val="18"/>
              </w:rPr>
            </w:pPr>
            <w:r>
              <w:rPr>
                <w:sz w:val="18"/>
                <w:szCs w:val="18"/>
              </w:rPr>
              <w:t>（一）基本每股收益</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line="240" w:lineRule="exact"/>
              <w:ind w:firstLineChars="100" w:firstLine="180"/>
              <w:rPr>
                <w:sz w:val="18"/>
                <w:szCs w:val="18"/>
              </w:rPr>
            </w:pPr>
            <w:r>
              <w:rPr>
                <w:sz w:val="18"/>
                <w:szCs w:val="18"/>
              </w:rPr>
              <w:t>（二）稀释每股收益</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bl>
    <w:p w:rsidR="00E20B54" w:rsidRDefault="00E20B54">
      <w:pPr>
        <w:spacing w:before="40" w:after="40" w:line="240" w:lineRule="exact"/>
        <w:rPr>
          <w:sz w:val="18"/>
          <w:szCs w:val="18"/>
        </w:rPr>
      </w:pPr>
      <w:bookmarkStart w:id="155" w:name="_Toc989044"/>
    </w:p>
    <w:p w:rsidR="00E20B54" w:rsidRDefault="00733C9E">
      <w:pPr>
        <w:spacing w:before="40" w:after="40" w:line="240" w:lineRule="exact"/>
        <w:rPr>
          <w:sz w:val="18"/>
          <w:szCs w:val="18"/>
        </w:rPr>
      </w:pPr>
      <w:r>
        <w:rPr>
          <w:sz w:val="18"/>
          <w:szCs w:val="18"/>
        </w:rPr>
        <w:t>法定代表人：林明玲</w:t>
      </w:r>
      <w:r>
        <w:rPr>
          <w:sz w:val="18"/>
          <w:szCs w:val="18"/>
        </w:rPr>
        <w:t xml:space="preserve"> </w:t>
      </w:r>
      <w:r>
        <w:rPr>
          <w:rFonts w:hint="eastAsia"/>
          <w:sz w:val="18"/>
          <w:szCs w:val="18"/>
        </w:rPr>
        <w:t xml:space="preserve">                                 </w:t>
      </w:r>
      <w:r>
        <w:rPr>
          <w:sz w:val="18"/>
          <w:szCs w:val="18"/>
        </w:rPr>
        <w:t xml:space="preserve"> </w:t>
      </w:r>
      <w:r>
        <w:rPr>
          <w:sz w:val="18"/>
          <w:szCs w:val="18"/>
        </w:rPr>
        <w:t>主管会计工作负责人：陈焕盛</w:t>
      </w:r>
      <w:r>
        <w:rPr>
          <w:sz w:val="18"/>
          <w:szCs w:val="18"/>
        </w:rPr>
        <w:t xml:space="preserve">    </w:t>
      </w:r>
      <w:r>
        <w:rPr>
          <w:rFonts w:hint="eastAsia"/>
          <w:sz w:val="18"/>
          <w:szCs w:val="18"/>
        </w:rPr>
        <w:t xml:space="preserve">                                 </w:t>
      </w:r>
      <w:r>
        <w:rPr>
          <w:sz w:val="18"/>
          <w:szCs w:val="18"/>
        </w:rPr>
        <w:t>会计机构负责人：赖宏伟</w:t>
      </w:r>
    </w:p>
    <w:p w:rsidR="00E20B54" w:rsidRDefault="00733C9E">
      <w:pPr>
        <w:pStyle w:val="3"/>
        <w:spacing w:line="280" w:lineRule="exact"/>
        <w:jc w:val="left"/>
        <w:rPr>
          <w:b/>
          <w:bCs/>
        </w:rPr>
      </w:pPr>
      <w:r>
        <w:rPr>
          <w:b/>
          <w:bCs/>
        </w:rPr>
        <w:t>5</w:t>
      </w:r>
      <w:r>
        <w:rPr>
          <w:b/>
          <w:bCs/>
        </w:rPr>
        <w:t>、合并现金流量表</w:t>
      </w:r>
      <w:bookmarkEnd w:id="155"/>
    </w:p>
    <w:p w:rsidR="00E20B54" w:rsidRDefault="00733C9E">
      <w:pPr>
        <w:spacing w:before="40" w:after="40" w:line="240" w:lineRule="exact"/>
        <w:jc w:val="right"/>
        <w:rPr>
          <w:sz w:val="18"/>
          <w:szCs w:val="18"/>
        </w:rPr>
      </w:pPr>
      <w:r>
        <w:rPr>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E20B54">
        <w:trPr>
          <w:trHeight w:val="240"/>
          <w:tblHeader/>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line="240" w:lineRule="exact"/>
              <w:jc w:val="center"/>
              <w:rPr>
                <w:sz w:val="18"/>
                <w:szCs w:val="18"/>
              </w:rPr>
            </w:pPr>
            <w:r>
              <w:rPr>
                <w:sz w:val="18"/>
                <w:szCs w:val="18"/>
              </w:rPr>
              <w:t>项目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line="240" w:lineRule="exact"/>
              <w:jc w:val="center"/>
              <w:rPr>
                <w:sz w:val="18"/>
                <w:szCs w:val="18"/>
              </w:rPr>
            </w:pPr>
            <w:r>
              <w:rPr>
                <w:sz w:val="18"/>
                <w:szCs w:val="18"/>
              </w:rPr>
              <w:t>2025</w:t>
            </w:r>
            <w:r>
              <w:rPr>
                <w:sz w:val="18"/>
                <w:szCs w:val="18"/>
              </w:rPr>
              <w:t>年度</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line="240" w:lineRule="exact"/>
              <w:jc w:val="center"/>
              <w:rPr>
                <w:sz w:val="18"/>
                <w:szCs w:val="18"/>
              </w:rPr>
            </w:pPr>
            <w:r>
              <w:rPr>
                <w:sz w:val="18"/>
                <w:szCs w:val="18"/>
              </w:rPr>
              <w:t>2024</w:t>
            </w:r>
            <w:r>
              <w:rPr>
                <w:sz w:val="18"/>
                <w:szCs w:val="18"/>
              </w:rPr>
              <w:t>年度</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line="240" w:lineRule="exact"/>
              <w:rPr>
                <w:sz w:val="18"/>
                <w:szCs w:val="18"/>
              </w:rPr>
            </w:pPr>
            <w:r>
              <w:rPr>
                <w:sz w:val="18"/>
                <w:szCs w:val="18"/>
              </w:rPr>
              <w:t>一、经营活动产生的现金流量：</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line="240" w:lineRule="exact"/>
              <w:ind w:firstLineChars="100" w:firstLine="180"/>
              <w:rPr>
                <w:sz w:val="18"/>
                <w:szCs w:val="18"/>
              </w:rPr>
            </w:pPr>
            <w:r>
              <w:rPr>
                <w:sz w:val="18"/>
                <w:szCs w:val="18"/>
              </w:rPr>
              <w:t>销售商品、提供劳务收到的现金</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426,103,135.12</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315,002,818.58</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100" w:firstLine="180"/>
              <w:rPr>
                <w:sz w:val="18"/>
                <w:szCs w:val="18"/>
              </w:rPr>
            </w:pPr>
            <w:r>
              <w:rPr>
                <w:sz w:val="18"/>
                <w:szCs w:val="18"/>
              </w:rPr>
              <w:t>客户存款和同业存放款项净增加额</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100" w:firstLine="180"/>
              <w:rPr>
                <w:sz w:val="18"/>
                <w:szCs w:val="18"/>
              </w:rPr>
            </w:pPr>
            <w:r>
              <w:rPr>
                <w:sz w:val="18"/>
                <w:szCs w:val="18"/>
              </w:rPr>
              <w:t>向中央银行借款净增加额</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line="240" w:lineRule="exact"/>
              <w:ind w:firstLineChars="100" w:firstLine="180"/>
              <w:rPr>
                <w:sz w:val="18"/>
                <w:szCs w:val="18"/>
              </w:rPr>
            </w:pPr>
            <w:r>
              <w:rPr>
                <w:sz w:val="18"/>
                <w:szCs w:val="18"/>
              </w:rPr>
              <w:t>向其他金融机构拆入资金净增加额</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100" w:firstLine="180"/>
              <w:rPr>
                <w:sz w:val="18"/>
                <w:szCs w:val="18"/>
              </w:rPr>
            </w:pPr>
            <w:r>
              <w:rPr>
                <w:sz w:val="18"/>
                <w:szCs w:val="18"/>
              </w:rPr>
              <w:t>收到原保险合同保费取得的现金</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100" w:firstLine="180"/>
              <w:rPr>
                <w:sz w:val="18"/>
                <w:szCs w:val="18"/>
              </w:rPr>
            </w:pPr>
            <w:r>
              <w:rPr>
                <w:sz w:val="18"/>
                <w:szCs w:val="18"/>
              </w:rPr>
              <w:t>收到再保业务现金净额</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100" w:firstLine="180"/>
              <w:rPr>
                <w:sz w:val="18"/>
                <w:szCs w:val="18"/>
              </w:rPr>
            </w:pPr>
            <w:r>
              <w:rPr>
                <w:sz w:val="18"/>
                <w:szCs w:val="18"/>
              </w:rPr>
              <w:t>保户储金及投资款净增加额</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line="240" w:lineRule="exact"/>
              <w:ind w:firstLineChars="100" w:firstLine="180"/>
              <w:rPr>
                <w:sz w:val="18"/>
                <w:szCs w:val="18"/>
              </w:rPr>
            </w:pPr>
            <w:r>
              <w:rPr>
                <w:sz w:val="18"/>
                <w:szCs w:val="18"/>
              </w:rPr>
              <w:t>收取利息、手续费及佣金的现金</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line="240" w:lineRule="exact"/>
              <w:ind w:firstLineChars="100" w:firstLine="180"/>
              <w:rPr>
                <w:sz w:val="18"/>
                <w:szCs w:val="18"/>
              </w:rPr>
            </w:pPr>
            <w:r>
              <w:rPr>
                <w:sz w:val="18"/>
                <w:szCs w:val="18"/>
              </w:rPr>
              <w:t>拆入资金净增加额</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line="240" w:lineRule="exact"/>
              <w:ind w:firstLineChars="100" w:firstLine="180"/>
              <w:rPr>
                <w:sz w:val="18"/>
                <w:szCs w:val="18"/>
              </w:rPr>
            </w:pPr>
            <w:r>
              <w:rPr>
                <w:sz w:val="18"/>
                <w:szCs w:val="18"/>
              </w:rPr>
              <w:t>回购业务资金净增加额</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100" w:firstLine="180"/>
              <w:rPr>
                <w:sz w:val="18"/>
                <w:szCs w:val="18"/>
              </w:rPr>
            </w:pPr>
            <w:r>
              <w:rPr>
                <w:sz w:val="18"/>
                <w:szCs w:val="18"/>
              </w:rPr>
              <w:t>代理买卖证券收到的现金净额</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100" w:firstLine="180"/>
              <w:rPr>
                <w:sz w:val="18"/>
                <w:szCs w:val="18"/>
              </w:rPr>
            </w:pPr>
            <w:r>
              <w:rPr>
                <w:sz w:val="18"/>
                <w:szCs w:val="18"/>
              </w:rPr>
              <w:t>收到的税费返还</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line="240" w:lineRule="exact"/>
              <w:ind w:firstLineChars="100" w:firstLine="180"/>
              <w:rPr>
                <w:sz w:val="18"/>
                <w:szCs w:val="18"/>
              </w:rPr>
            </w:pPr>
            <w:r>
              <w:rPr>
                <w:sz w:val="18"/>
                <w:szCs w:val="18"/>
              </w:rPr>
              <w:t>收到其他与经营活动有关的现金</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15,444,537.62</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9,191,205.34</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line="240" w:lineRule="exact"/>
              <w:rPr>
                <w:sz w:val="18"/>
                <w:szCs w:val="18"/>
              </w:rPr>
            </w:pPr>
            <w:r>
              <w:rPr>
                <w:sz w:val="18"/>
                <w:szCs w:val="18"/>
              </w:rPr>
              <w:t>经营活动现金流入小计</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441,547,672.74</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324,194,023.92</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100" w:firstLine="180"/>
              <w:rPr>
                <w:sz w:val="18"/>
                <w:szCs w:val="18"/>
              </w:rPr>
            </w:pPr>
            <w:r>
              <w:rPr>
                <w:sz w:val="18"/>
                <w:szCs w:val="18"/>
              </w:rPr>
              <w:t>购买商品、接受劳务支付的现金</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315,531,022.43</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297,817,852.86</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100" w:firstLine="180"/>
              <w:rPr>
                <w:sz w:val="18"/>
                <w:szCs w:val="18"/>
              </w:rPr>
            </w:pPr>
            <w:r>
              <w:rPr>
                <w:sz w:val="18"/>
                <w:szCs w:val="18"/>
              </w:rPr>
              <w:t>客户贷款及垫款净增加额</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100" w:firstLine="180"/>
              <w:rPr>
                <w:sz w:val="18"/>
                <w:szCs w:val="18"/>
              </w:rPr>
            </w:pPr>
            <w:r>
              <w:rPr>
                <w:sz w:val="18"/>
                <w:szCs w:val="18"/>
              </w:rPr>
              <w:t>存放中央银行和同业款项净增加额</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100" w:firstLine="180"/>
              <w:rPr>
                <w:sz w:val="18"/>
                <w:szCs w:val="18"/>
              </w:rPr>
            </w:pPr>
            <w:r>
              <w:rPr>
                <w:sz w:val="18"/>
                <w:szCs w:val="18"/>
              </w:rPr>
              <w:t>支付原保险合同赔付款项的现金</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line="240" w:lineRule="exact"/>
              <w:ind w:firstLineChars="100" w:firstLine="180"/>
              <w:rPr>
                <w:sz w:val="18"/>
                <w:szCs w:val="18"/>
              </w:rPr>
            </w:pPr>
            <w:r>
              <w:rPr>
                <w:sz w:val="18"/>
                <w:szCs w:val="18"/>
              </w:rPr>
              <w:t>拆出资金净增加额</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line="240" w:lineRule="exact"/>
              <w:ind w:firstLineChars="100" w:firstLine="180"/>
              <w:rPr>
                <w:sz w:val="18"/>
                <w:szCs w:val="18"/>
              </w:rPr>
            </w:pPr>
            <w:r>
              <w:rPr>
                <w:sz w:val="18"/>
                <w:szCs w:val="18"/>
              </w:rPr>
              <w:t>支付利息、手续费及佣金的现金</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100" w:firstLine="180"/>
              <w:rPr>
                <w:sz w:val="18"/>
                <w:szCs w:val="18"/>
              </w:rPr>
            </w:pPr>
            <w:r>
              <w:rPr>
                <w:sz w:val="18"/>
                <w:szCs w:val="18"/>
              </w:rPr>
              <w:t>支付保单红利的现金</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line="240" w:lineRule="exact"/>
              <w:ind w:firstLineChars="100" w:firstLine="180"/>
              <w:rPr>
                <w:sz w:val="18"/>
                <w:szCs w:val="18"/>
              </w:rPr>
            </w:pPr>
            <w:r>
              <w:rPr>
                <w:sz w:val="18"/>
                <w:szCs w:val="18"/>
              </w:rPr>
              <w:t>支付给职工以及为职工支付的现金</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52,083,648.07</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48,901,247.49</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line="240" w:lineRule="exact"/>
              <w:ind w:firstLineChars="100" w:firstLine="180"/>
              <w:rPr>
                <w:sz w:val="18"/>
                <w:szCs w:val="18"/>
              </w:rPr>
            </w:pPr>
            <w:r>
              <w:rPr>
                <w:sz w:val="18"/>
                <w:szCs w:val="18"/>
              </w:rPr>
              <w:t>支付的各项税费</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4,124,139.45</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9,472,268.79</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line="240" w:lineRule="exact"/>
              <w:ind w:firstLineChars="100" w:firstLine="180"/>
              <w:rPr>
                <w:sz w:val="18"/>
                <w:szCs w:val="18"/>
              </w:rPr>
            </w:pPr>
            <w:r>
              <w:rPr>
                <w:sz w:val="18"/>
                <w:szCs w:val="18"/>
              </w:rPr>
              <w:t>支付其他与经营活动有关的现金</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37,633,115.87</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22,242,159.16</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line="240" w:lineRule="exact"/>
              <w:rPr>
                <w:sz w:val="18"/>
                <w:szCs w:val="18"/>
              </w:rPr>
            </w:pPr>
            <w:r>
              <w:rPr>
                <w:sz w:val="18"/>
                <w:szCs w:val="18"/>
              </w:rPr>
              <w:t>经营活动现金流出小计</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409,371,925.82</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378,433,528.30</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line="240" w:lineRule="exact"/>
              <w:rPr>
                <w:sz w:val="18"/>
                <w:szCs w:val="18"/>
              </w:rPr>
            </w:pPr>
            <w:r>
              <w:rPr>
                <w:sz w:val="18"/>
                <w:szCs w:val="18"/>
              </w:rPr>
              <w:t>经营活动产生的现金流量净额</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32,175,746.92</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-54,239,504.38</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line="240" w:lineRule="exact"/>
              <w:rPr>
                <w:sz w:val="18"/>
                <w:szCs w:val="18"/>
              </w:rPr>
            </w:pPr>
            <w:r>
              <w:rPr>
                <w:sz w:val="18"/>
                <w:szCs w:val="18"/>
              </w:rPr>
              <w:t>二、投资活动产生的现金流量：</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line="240" w:lineRule="exact"/>
              <w:ind w:firstLineChars="100" w:firstLine="180"/>
              <w:rPr>
                <w:sz w:val="18"/>
                <w:szCs w:val="18"/>
              </w:rPr>
            </w:pPr>
            <w:r>
              <w:rPr>
                <w:sz w:val="18"/>
                <w:szCs w:val="18"/>
              </w:rPr>
              <w:t>收回投资收到的现金</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210,000,000.00</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line="240" w:lineRule="exact"/>
              <w:ind w:firstLineChars="100" w:firstLine="180"/>
              <w:rPr>
                <w:sz w:val="18"/>
                <w:szCs w:val="18"/>
              </w:rPr>
            </w:pPr>
            <w:r>
              <w:rPr>
                <w:sz w:val="18"/>
                <w:szCs w:val="18"/>
              </w:rPr>
              <w:t>取得投资收益收到的现金</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646,465.76</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line="240" w:lineRule="exact"/>
              <w:ind w:firstLineChars="100" w:firstLine="180"/>
              <w:rPr>
                <w:sz w:val="18"/>
                <w:szCs w:val="18"/>
              </w:rPr>
            </w:pPr>
            <w:r>
              <w:rPr>
                <w:sz w:val="18"/>
                <w:szCs w:val="18"/>
              </w:rPr>
              <w:t>处置固定资产、无形资产和其他长期资产收回的现金净额</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60,000.00</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171,580.00</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line="240" w:lineRule="exact"/>
              <w:ind w:firstLineChars="100" w:firstLine="180"/>
              <w:rPr>
                <w:sz w:val="18"/>
                <w:szCs w:val="18"/>
              </w:rPr>
            </w:pPr>
            <w:r>
              <w:rPr>
                <w:sz w:val="18"/>
                <w:szCs w:val="18"/>
              </w:rPr>
              <w:t>处置子公司及其他营业单位收到的现金净额</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line="240" w:lineRule="exact"/>
              <w:ind w:firstLineChars="100" w:firstLine="180"/>
              <w:rPr>
                <w:sz w:val="18"/>
                <w:szCs w:val="18"/>
              </w:rPr>
            </w:pPr>
            <w:r>
              <w:rPr>
                <w:sz w:val="18"/>
                <w:szCs w:val="18"/>
              </w:rPr>
              <w:t>收到其他与投资活动有关的现金</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163,211,752.44</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340,216,488.71</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line="240" w:lineRule="exact"/>
              <w:rPr>
                <w:sz w:val="18"/>
                <w:szCs w:val="18"/>
              </w:rPr>
            </w:pPr>
            <w:r>
              <w:rPr>
                <w:sz w:val="18"/>
                <w:szCs w:val="18"/>
              </w:rPr>
              <w:t>投资活动现金流入小计</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163,271,752.44</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551,034,534.47</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line="240" w:lineRule="exact"/>
              <w:ind w:firstLineChars="100" w:firstLine="180"/>
              <w:rPr>
                <w:sz w:val="18"/>
                <w:szCs w:val="18"/>
              </w:rPr>
            </w:pPr>
            <w:r>
              <w:rPr>
                <w:sz w:val="18"/>
                <w:szCs w:val="18"/>
              </w:rPr>
              <w:t>购建固定资产、无形资产和其他长期资产支付的现金</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327,915,359.48</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183,856,423.25</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line="240" w:lineRule="exact"/>
              <w:ind w:firstLineChars="100" w:firstLine="180"/>
              <w:rPr>
                <w:sz w:val="18"/>
                <w:szCs w:val="18"/>
              </w:rPr>
            </w:pPr>
            <w:r>
              <w:rPr>
                <w:sz w:val="18"/>
                <w:szCs w:val="18"/>
              </w:rPr>
              <w:t>投资支付的现金</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1.00</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193,678,475.00</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100" w:firstLine="180"/>
              <w:rPr>
                <w:sz w:val="18"/>
                <w:szCs w:val="18"/>
              </w:rPr>
            </w:pPr>
            <w:r>
              <w:rPr>
                <w:sz w:val="18"/>
                <w:szCs w:val="18"/>
              </w:rPr>
              <w:t>质押贷款净增加额</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line="240" w:lineRule="exact"/>
              <w:ind w:firstLineChars="100" w:firstLine="180"/>
              <w:rPr>
                <w:sz w:val="18"/>
                <w:szCs w:val="18"/>
              </w:rPr>
            </w:pPr>
            <w:r>
              <w:rPr>
                <w:sz w:val="18"/>
                <w:szCs w:val="18"/>
              </w:rPr>
              <w:lastRenderedPageBreak/>
              <w:t>取得子公司及其他营业单位支付的现金净额</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line="240" w:lineRule="exact"/>
              <w:ind w:firstLineChars="100" w:firstLine="180"/>
              <w:rPr>
                <w:sz w:val="18"/>
                <w:szCs w:val="18"/>
              </w:rPr>
            </w:pPr>
            <w:r>
              <w:rPr>
                <w:sz w:val="18"/>
                <w:szCs w:val="18"/>
              </w:rPr>
              <w:t>支付其他与投资活动有关的现金</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100,000,000.00</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120,000,000.00</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line="240" w:lineRule="exact"/>
              <w:rPr>
                <w:sz w:val="18"/>
                <w:szCs w:val="18"/>
              </w:rPr>
            </w:pPr>
            <w:r>
              <w:rPr>
                <w:sz w:val="18"/>
                <w:szCs w:val="18"/>
              </w:rPr>
              <w:t>投资活动现金流出小计</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427,915,360.48</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497,534,898.25</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line="240" w:lineRule="exact"/>
              <w:rPr>
                <w:sz w:val="18"/>
                <w:szCs w:val="18"/>
              </w:rPr>
            </w:pPr>
            <w:r>
              <w:rPr>
                <w:sz w:val="18"/>
                <w:szCs w:val="18"/>
              </w:rPr>
              <w:t>投资活动产生的现金流量净额</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-264,643,608.04</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53,499,636.22</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line="240" w:lineRule="exact"/>
              <w:rPr>
                <w:sz w:val="18"/>
                <w:szCs w:val="18"/>
              </w:rPr>
            </w:pPr>
            <w:r>
              <w:rPr>
                <w:sz w:val="18"/>
                <w:szCs w:val="18"/>
              </w:rPr>
              <w:t>三、筹资活动产生的现金流量：</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line="240" w:lineRule="exact"/>
              <w:ind w:firstLineChars="100" w:firstLine="180"/>
              <w:rPr>
                <w:sz w:val="18"/>
                <w:szCs w:val="18"/>
              </w:rPr>
            </w:pPr>
            <w:r>
              <w:rPr>
                <w:sz w:val="18"/>
                <w:szCs w:val="18"/>
              </w:rPr>
              <w:t>吸收投资收到的现金</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136,943.40</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12,104,074.00</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line="240" w:lineRule="exact"/>
              <w:ind w:firstLineChars="100" w:firstLine="180"/>
              <w:rPr>
                <w:sz w:val="18"/>
                <w:szCs w:val="18"/>
              </w:rPr>
            </w:pPr>
            <w:r>
              <w:rPr>
                <w:sz w:val="18"/>
                <w:szCs w:val="18"/>
              </w:rPr>
              <w:t>其中：子公司吸收少数股东投资收到的现金</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136,943.40</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7,513,600.00</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line="240" w:lineRule="exact"/>
              <w:ind w:firstLineChars="100" w:firstLine="180"/>
              <w:rPr>
                <w:sz w:val="18"/>
                <w:szCs w:val="18"/>
              </w:rPr>
            </w:pPr>
            <w:r>
              <w:rPr>
                <w:sz w:val="18"/>
                <w:szCs w:val="18"/>
              </w:rPr>
              <w:t>取得借款收到的现金</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425,099,897.52</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130,049,116.34</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line="240" w:lineRule="exact"/>
              <w:ind w:firstLineChars="100" w:firstLine="180"/>
              <w:rPr>
                <w:sz w:val="18"/>
                <w:szCs w:val="18"/>
              </w:rPr>
            </w:pPr>
            <w:r>
              <w:rPr>
                <w:sz w:val="18"/>
                <w:szCs w:val="18"/>
              </w:rPr>
              <w:t>收到其他与筹资活动有关的现金</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24,460,118.40</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21,186,323.92</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line="240" w:lineRule="exact"/>
              <w:rPr>
                <w:sz w:val="18"/>
                <w:szCs w:val="18"/>
              </w:rPr>
            </w:pPr>
            <w:r>
              <w:rPr>
                <w:sz w:val="18"/>
                <w:szCs w:val="18"/>
              </w:rPr>
              <w:t>筹资活动现金流入小计</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449,696,959.32</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163,339,514.26</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100" w:firstLine="180"/>
              <w:rPr>
                <w:sz w:val="18"/>
                <w:szCs w:val="18"/>
              </w:rPr>
            </w:pPr>
            <w:r>
              <w:rPr>
                <w:sz w:val="18"/>
                <w:szCs w:val="18"/>
              </w:rPr>
              <w:t>偿还债务支付的现金</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156,815,915.85</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60,116,485.80</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100" w:firstLine="180"/>
              <w:rPr>
                <w:sz w:val="18"/>
                <w:szCs w:val="18"/>
              </w:rPr>
            </w:pPr>
            <w:r>
              <w:rPr>
                <w:sz w:val="18"/>
                <w:szCs w:val="18"/>
              </w:rPr>
              <w:t>分配股利、利润或偿付利息支付的现金</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11,620,232.89</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8,597,677.17</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line="240" w:lineRule="exact"/>
              <w:ind w:firstLineChars="100" w:firstLine="180"/>
              <w:rPr>
                <w:sz w:val="18"/>
                <w:szCs w:val="18"/>
              </w:rPr>
            </w:pPr>
            <w:r>
              <w:rPr>
                <w:sz w:val="18"/>
                <w:szCs w:val="18"/>
              </w:rPr>
              <w:t>其中：子公司支付给少数股东的股利、利润</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0.00</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line="240" w:lineRule="exact"/>
              <w:ind w:firstLineChars="100" w:firstLine="180"/>
              <w:rPr>
                <w:sz w:val="18"/>
                <w:szCs w:val="18"/>
              </w:rPr>
            </w:pPr>
            <w:r>
              <w:rPr>
                <w:sz w:val="18"/>
                <w:szCs w:val="18"/>
              </w:rPr>
              <w:t>支付其他与筹资活动有关的现金</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13,363,964.19</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36,786,501.69</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line="240" w:lineRule="exact"/>
              <w:rPr>
                <w:sz w:val="18"/>
                <w:szCs w:val="18"/>
              </w:rPr>
            </w:pPr>
            <w:r>
              <w:rPr>
                <w:sz w:val="18"/>
                <w:szCs w:val="18"/>
              </w:rPr>
              <w:t>筹资活动现金流出小计</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181,800,112.93</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105,500,664.66</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line="240" w:lineRule="exact"/>
              <w:rPr>
                <w:sz w:val="18"/>
                <w:szCs w:val="18"/>
              </w:rPr>
            </w:pPr>
            <w:r>
              <w:rPr>
                <w:sz w:val="18"/>
                <w:szCs w:val="18"/>
              </w:rPr>
              <w:t>筹资活动产生的现金流量净额</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267,896,846.39</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57,838,849.60</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line="240" w:lineRule="exact"/>
              <w:rPr>
                <w:sz w:val="18"/>
                <w:szCs w:val="18"/>
              </w:rPr>
            </w:pPr>
            <w:r>
              <w:rPr>
                <w:sz w:val="18"/>
                <w:szCs w:val="18"/>
              </w:rPr>
              <w:t>四、汇率变动对现金及现金等价物的影响</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-72,946.01</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78,569.89</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line="240" w:lineRule="exact"/>
              <w:rPr>
                <w:sz w:val="18"/>
                <w:szCs w:val="18"/>
              </w:rPr>
            </w:pPr>
            <w:r>
              <w:rPr>
                <w:sz w:val="18"/>
                <w:szCs w:val="18"/>
              </w:rPr>
              <w:t>五、现金及现金等价物净增加额</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35,356,039.26</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57,177,551.33</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line="240" w:lineRule="exact"/>
              <w:ind w:firstLineChars="100" w:firstLine="180"/>
              <w:rPr>
                <w:sz w:val="18"/>
                <w:szCs w:val="18"/>
              </w:rPr>
            </w:pPr>
            <w:r>
              <w:rPr>
                <w:sz w:val="18"/>
                <w:szCs w:val="18"/>
              </w:rPr>
              <w:t>加：期初现金及现金等价物余额</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271,722,181.78</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214,544,630.45</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line="240" w:lineRule="exact"/>
              <w:rPr>
                <w:sz w:val="18"/>
                <w:szCs w:val="18"/>
              </w:rPr>
            </w:pPr>
            <w:r>
              <w:rPr>
                <w:sz w:val="18"/>
                <w:szCs w:val="18"/>
              </w:rPr>
              <w:t>六、期末现金及现金等价物余额</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307,078,221.04</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271,722,181.78</w:t>
            </w:r>
          </w:p>
        </w:tc>
      </w:tr>
    </w:tbl>
    <w:p w:rsidR="00E20B54" w:rsidRDefault="00E20B54">
      <w:pPr>
        <w:spacing w:before="40" w:after="40" w:line="240" w:lineRule="exact"/>
        <w:rPr>
          <w:sz w:val="18"/>
          <w:szCs w:val="18"/>
        </w:rPr>
      </w:pPr>
      <w:bookmarkStart w:id="156" w:name="_Toc989045"/>
    </w:p>
    <w:p w:rsidR="00E20B54" w:rsidRDefault="00733C9E">
      <w:pPr>
        <w:spacing w:before="40" w:after="40" w:line="240" w:lineRule="exact"/>
        <w:rPr>
          <w:sz w:val="18"/>
          <w:szCs w:val="18"/>
        </w:rPr>
      </w:pPr>
      <w:r>
        <w:rPr>
          <w:sz w:val="18"/>
          <w:szCs w:val="18"/>
        </w:rPr>
        <w:t>法定代表人：林明玲</w:t>
      </w:r>
      <w:r>
        <w:rPr>
          <w:sz w:val="18"/>
          <w:szCs w:val="18"/>
        </w:rPr>
        <w:t xml:space="preserve"> </w:t>
      </w:r>
      <w:r>
        <w:rPr>
          <w:rFonts w:hint="eastAsia"/>
          <w:sz w:val="18"/>
          <w:szCs w:val="18"/>
        </w:rPr>
        <w:t xml:space="preserve">                                 </w:t>
      </w:r>
      <w:r>
        <w:rPr>
          <w:sz w:val="18"/>
          <w:szCs w:val="18"/>
        </w:rPr>
        <w:t xml:space="preserve"> </w:t>
      </w:r>
      <w:r>
        <w:rPr>
          <w:sz w:val="18"/>
          <w:szCs w:val="18"/>
        </w:rPr>
        <w:t>主管会计工作负责人：陈焕盛</w:t>
      </w:r>
      <w:r>
        <w:rPr>
          <w:sz w:val="18"/>
          <w:szCs w:val="18"/>
        </w:rPr>
        <w:t xml:space="preserve">    </w:t>
      </w:r>
      <w:r>
        <w:rPr>
          <w:rFonts w:hint="eastAsia"/>
          <w:sz w:val="18"/>
          <w:szCs w:val="18"/>
        </w:rPr>
        <w:t xml:space="preserve">                                 </w:t>
      </w:r>
      <w:r>
        <w:rPr>
          <w:sz w:val="18"/>
          <w:szCs w:val="18"/>
        </w:rPr>
        <w:t>会计机构负责人：赖宏伟</w:t>
      </w:r>
    </w:p>
    <w:p w:rsidR="00E20B54" w:rsidRDefault="00733C9E">
      <w:pPr>
        <w:pStyle w:val="3"/>
        <w:spacing w:line="280" w:lineRule="exact"/>
        <w:jc w:val="left"/>
        <w:rPr>
          <w:b/>
          <w:bCs/>
        </w:rPr>
      </w:pPr>
      <w:r>
        <w:rPr>
          <w:b/>
          <w:bCs/>
        </w:rPr>
        <w:t>6</w:t>
      </w:r>
      <w:r>
        <w:rPr>
          <w:b/>
          <w:bCs/>
        </w:rPr>
        <w:t>、母公司现金流量表</w:t>
      </w:r>
      <w:bookmarkEnd w:id="156"/>
    </w:p>
    <w:p w:rsidR="00E20B54" w:rsidRDefault="00733C9E">
      <w:pPr>
        <w:spacing w:line="240" w:lineRule="exact"/>
        <w:jc w:val="right"/>
        <w:rPr>
          <w:sz w:val="18"/>
          <w:szCs w:val="18"/>
        </w:rPr>
      </w:pPr>
      <w:r>
        <w:rPr>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line="240" w:lineRule="exact"/>
              <w:jc w:val="center"/>
              <w:rPr>
                <w:sz w:val="18"/>
                <w:szCs w:val="18"/>
              </w:rPr>
            </w:pPr>
            <w:r>
              <w:rPr>
                <w:sz w:val="18"/>
                <w:szCs w:val="18"/>
              </w:rPr>
              <w:t>项目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line="240" w:lineRule="exact"/>
              <w:jc w:val="center"/>
              <w:rPr>
                <w:sz w:val="18"/>
                <w:szCs w:val="18"/>
              </w:rPr>
            </w:pPr>
            <w:r>
              <w:rPr>
                <w:sz w:val="18"/>
                <w:szCs w:val="18"/>
              </w:rPr>
              <w:t>2025</w:t>
            </w:r>
            <w:r>
              <w:rPr>
                <w:sz w:val="18"/>
                <w:szCs w:val="18"/>
              </w:rPr>
              <w:t>年度</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line="240" w:lineRule="exact"/>
              <w:jc w:val="center"/>
              <w:rPr>
                <w:sz w:val="18"/>
                <w:szCs w:val="18"/>
              </w:rPr>
            </w:pPr>
            <w:r>
              <w:rPr>
                <w:sz w:val="18"/>
                <w:szCs w:val="18"/>
              </w:rPr>
              <w:t>2024</w:t>
            </w:r>
            <w:r>
              <w:rPr>
                <w:sz w:val="18"/>
                <w:szCs w:val="18"/>
              </w:rPr>
              <w:t>年度</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line="240" w:lineRule="exact"/>
              <w:rPr>
                <w:sz w:val="18"/>
                <w:szCs w:val="18"/>
              </w:rPr>
            </w:pPr>
            <w:r>
              <w:rPr>
                <w:sz w:val="18"/>
                <w:szCs w:val="18"/>
              </w:rPr>
              <w:t>一、经营活动产生的现金流量：</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line="240" w:lineRule="exact"/>
              <w:ind w:firstLineChars="100" w:firstLine="180"/>
              <w:rPr>
                <w:sz w:val="18"/>
                <w:szCs w:val="18"/>
              </w:rPr>
            </w:pPr>
            <w:r>
              <w:rPr>
                <w:sz w:val="18"/>
                <w:szCs w:val="18"/>
              </w:rPr>
              <w:t>销售商品、提供劳务收到的现金</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249,253,996.64</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130,361,263.12</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line="240" w:lineRule="exact"/>
              <w:ind w:firstLineChars="100" w:firstLine="180"/>
              <w:rPr>
                <w:sz w:val="18"/>
                <w:szCs w:val="18"/>
              </w:rPr>
            </w:pPr>
            <w:r>
              <w:rPr>
                <w:sz w:val="18"/>
                <w:szCs w:val="18"/>
              </w:rPr>
              <w:t>收到的税费返还</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0.00</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line="240" w:lineRule="exact"/>
              <w:ind w:firstLineChars="100" w:firstLine="180"/>
              <w:rPr>
                <w:sz w:val="18"/>
                <w:szCs w:val="18"/>
              </w:rPr>
            </w:pPr>
            <w:r>
              <w:rPr>
                <w:sz w:val="18"/>
                <w:szCs w:val="18"/>
              </w:rPr>
              <w:t>收到其他与经营活动有关的现金</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84,859,499.67</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119,633,595.32</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line="240" w:lineRule="exact"/>
              <w:rPr>
                <w:sz w:val="18"/>
                <w:szCs w:val="18"/>
              </w:rPr>
            </w:pPr>
            <w:r>
              <w:rPr>
                <w:sz w:val="18"/>
                <w:szCs w:val="18"/>
              </w:rPr>
              <w:t>经营活动现金流入小计</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334,113,496.31</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249,994,858.44</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line="240" w:lineRule="exact"/>
              <w:ind w:firstLineChars="100" w:firstLine="180"/>
              <w:rPr>
                <w:sz w:val="18"/>
                <w:szCs w:val="18"/>
              </w:rPr>
            </w:pPr>
            <w:r>
              <w:rPr>
                <w:sz w:val="18"/>
                <w:szCs w:val="18"/>
              </w:rPr>
              <w:t>购买商品、接受劳务支付的现金</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130,994,286.63</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134,895,739.19</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line="240" w:lineRule="exact"/>
              <w:ind w:firstLineChars="100" w:firstLine="180"/>
              <w:rPr>
                <w:sz w:val="18"/>
                <w:szCs w:val="18"/>
              </w:rPr>
            </w:pPr>
            <w:r>
              <w:rPr>
                <w:sz w:val="18"/>
                <w:szCs w:val="18"/>
              </w:rPr>
              <w:t>支付给职工以及为职工支付的现金</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22,553,479.66</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25,259,683.25</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line="240" w:lineRule="exact"/>
              <w:ind w:firstLineChars="100" w:firstLine="180"/>
              <w:rPr>
                <w:sz w:val="18"/>
                <w:szCs w:val="18"/>
              </w:rPr>
            </w:pPr>
            <w:r>
              <w:rPr>
                <w:sz w:val="18"/>
                <w:szCs w:val="18"/>
              </w:rPr>
              <w:t>支付的各项税费</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1,028,664.58</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4,164,294.92</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line="240" w:lineRule="exact"/>
              <w:ind w:firstLineChars="100" w:firstLine="180"/>
              <w:rPr>
                <w:sz w:val="18"/>
                <w:szCs w:val="18"/>
              </w:rPr>
            </w:pPr>
            <w:r>
              <w:rPr>
                <w:sz w:val="18"/>
                <w:szCs w:val="18"/>
              </w:rPr>
              <w:t>支付其他与经营活动有关的现金</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172,143,222.56</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120,855,307.00</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line="240" w:lineRule="exact"/>
              <w:rPr>
                <w:sz w:val="18"/>
                <w:szCs w:val="18"/>
              </w:rPr>
            </w:pPr>
            <w:r>
              <w:rPr>
                <w:sz w:val="18"/>
                <w:szCs w:val="18"/>
              </w:rPr>
              <w:t>经营活动现金流出小计</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326,719,653.43</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285,175,024.36</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line="240" w:lineRule="exact"/>
              <w:rPr>
                <w:sz w:val="18"/>
                <w:szCs w:val="18"/>
              </w:rPr>
            </w:pPr>
            <w:r>
              <w:rPr>
                <w:sz w:val="18"/>
                <w:szCs w:val="18"/>
              </w:rPr>
              <w:t>经营活动产生的现金流量净额</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7,393,842.88</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-35,180,165.92</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line="240" w:lineRule="exact"/>
              <w:rPr>
                <w:sz w:val="18"/>
                <w:szCs w:val="18"/>
              </w:rPr>
            </w:pPr>
            <w:r>
              <w:rPr>
                <w:sz w:val="18"/>
                <w:szCs w:val="18"/>
              </w:rPr>
              <w:t>二、投资活动产生的现金流量：</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line="240" w:lineRule="exact"/>
              <w:ind w:firstLineChars="100" w:firstLine="180"/>
              <w:rPr>
                <w:sz w:val="18"/>
                <w:szCs w:val="18"/>
              </w:rPr>
            </w:pPr>
            <w:r>
              <w:rPr>
                <w:sz w:val="18"/>
                <w:szCs w:val="18"/>
              </w:rPr>
              <w:t>收回投资收到的现金</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210,000,000.00</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line="240" w:lineRule="exact"/>
              <w:ind w:firstLineChars="100" w:firstLine="180"/>
              <w:rPr>
                <w:sz w:val="18"/>
                <w:szCs w:val="18"/>
              </w:rPr>
            </w:pPr>
            <w:r>
              <w:rPr>
                <w:sz w:val="18"/>
                <w:szCs w:val="18"/>
              </w:rPr>
              <w:t>取得投资收益收到的现金</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646,465.76</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line="240" w:lineRule="exact"/>
              <w:ind w:firstLineChars="100" w:firstLine="180"/>
              <w:rPr>
                <w:sz w:val="18"/>
                <w:szCs w:val="18"/>
              </w:rPr>
            </w:pPr>
            <w:r>
              <w:rPr>
                <w:sz w:val="18"/>
                <w:szCs w:val="18"/>
              </w:rPr>
              <w:t>处置固定资产、无形资产和其他长期资产收回的现金净额</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60,000.00</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152,800.00</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line="240" w:lineRule="exact"/>
              <w:ind w:firstLineChars="100" w:firstLine="180"/>
              <w:rPr>
                <w:sz w:val="18"/>
                <w:szCs w:val="18"/>
              </w:rPr>
            </w:pPr>
            <w:r>
              <w:rPr>
                <w:sz w:val="18"/>
                <w:szCs w:val="18"/>
              </w:rPr>
              <w:t>处置子公司及其他营业单位收到的现金净额</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line="240" w:lineRule="exact"/>
              <w:ind w:firstLineChars="100" w:firstLine="180"/>
              <w:rPr>
                <w:sz w:val="18"/>
                <w:szCs w:val="18"/>
              </w:rPr>
            </w:pPr>
            <w:r>
              <w:rPr>
                <w:sz w:val="18"/>
                <w:szCs w:val="18"/>
              </w:rPr>
              <w:t>收到其他与投资活动有关的现金</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150,977,202.44</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225,013,624.81</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line="240" w:lineRule="exact"/>
              <w:rPr>
                <w:sz w:val="18"/>
                <w:szCs w:val="18"/>
              </w:rPr>
            </w:pPr>
            <w:r>
              <w:rPr>
                <w:sz w:val="18"/>
                <w:szCs w:val="18"/>
              </w:rPr>
              <w:t>投资活动现金流入小计</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151,037,202.44</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435,812,890.57</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line="240" w:lineRule="exact"/>
              <w:ind w:firstLineChars="100" w:firstLine="180"/>
              <w:rPr>
                <w:sz w:val="18"/>
                <w:szCs w:val="18"/>
              </w:rPr>
            </w:pPr>
            <w:r>
              <w:rPr>
                <w:sz w:val="18"/>
                <w:szCs w:val="18"/>
              </w:rPr>
              <w:t>购建固定资产、无形资产和其他长期资产支付的现金</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233,169,528.19</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101,100,108.67</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line="240" w:lineRule="exact"/>
              <w:ind w:firstLineChars="100" w:firstLine="180"/>
              <w:rPr>
                <w:sz w:val="18"/>
                <w:szCs w:val="18"/>
              </w:rPr>
            </w:pPr>
            <w:r>
              <w:rPr>
                <w:sz w:val="18"/>
                <w:szCs w:val="18"/>
              </w:rPr>
              <w:lastRenderedPageBreak/>
              <w:t>投资支付的现金</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190,000,000.00</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line="240" w:lineRule="exact"/>
              <w:ind w:firstLineChars="100" w:firstLine="180"/>
              <w:rPr>
                <w:sz w:val="18"/>
                <w:szCs w:val="18"/>
              </w:rPr>
            </w:pPr>
            <w:r>
              <w:rPr>
                <w:sz w:val="18"/>
                <w:szCs w:val="18"/>
              </w:rPr>
              <w:t>取得子公司及其他营业单位支付的现金净额</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0.00</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line="240" w:lineRule="exact"/>
              <w:ind w:firstLineChars="100" w:firstLine="180"/>
              <w:rPr>
                <w:sz w:val="18"/>
                <w:szCs w:val="18"/>
              </w:rPr>
            </w:pPr>
            <w:r>
              <w:rPr>
                <w:sz w:val="18"/>
                <w:szCs w:val="18"/>
              </w:rPr>
              <w:t>支付其他与投资活动有关的现金</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100,000,000.00</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50,000,000.00</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line="240" w:lineRule="exact"/>
              <w:rPr>
                <w:sz w:val="18"/>
                <w:szCs w:val="18"/>
              </w:rPr>
            </w:pPr>
            <w:r>
              <w:rPr>
                <w:sz w:val="18"/>
                <w:szCs w:val="18"/>
              </w:rPr>
              <w:t>投资活动现金流出小计</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333,169,528.19</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341,100,108.67</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line="240" w:lineRule="exact"/>
              <w:rPr>
                <w:sz w:val="18"/>
                <w:szCs w:val="18"/>
              </w:rPr>
            </w:pPr>
            <w:r>
              <w:rPr>
                <w:sz w:val="18"/>
                <w:szCs w:val="18"/>
              </w:rPr>
              <w:t>投资活动产生的现金流量净额</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-182,132,325.75</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94,712,781.90</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line="240" w:lineRule="exact"/>
              <w:rPr>
                <w:sz w:val="18"/>
                <w:szCs w:val="18"/>
              </w:rPr>
            </w:pPr>
            <w:r>
              <w:rPr>
                <w:sz w:val="18"/>
                <w:szCs w:val="18"/>
              </w:rPr>
              <w:t>三、筹资活动产生的现金流量：</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line="240" w:lineRule="exact"/>
              <w:ind w:firstLineChars="100" w:firstLine="180"/>
              <w:rPr>
                <w:sz w:val="18"/>
                <w:szCs w:val="18"/>
              </w:rPr>
            </w:pPr>
            <w:r>
              <w:rPr>
                <w:sz w:val="18"/>
                <w:szCs w:val="18"/>
              </w:rPr>
              <w:t>吸收投资收到的现金</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0.00</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line="240" w:lineRule="exact"/>
              <w:ind w:firstLineChars="100" w:firstLine="180"/>
              <w:rPr>
                <w:sz w:val="18"/>
                <w:szCs w:val="18"/>
              </w:rPr>
            </w:pPr>
            <w:r>
              <w:rPr>
                <w:sz w:val="18"/>
                <w:szCs w:val="18"/>
              </w:rPr>
              <w:t>取得借款收到的现金</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303,330,000.00</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64,998,995.40</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line="240" w:lineRule="exact"/>
              <w:ind w:firstLineChars="100" w:firstLine="180"/>
              <w:rPr>
                <w:sz w:val="18"/>
                <w:szCs w:val="18"/>
              </w:rPr>
            </w:pPr>
            <w:r>
              <w:rPr>
                <w:sz w:val="18"/>
                <w:szCs w:val="18"/>
              </w:rPr>
              <w:t>收到其他与筹资活动有关的现金</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13,649,816.92</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line="240" w:lineRule="exact"/>
              <w:rPr>
                <w:sz w:val="18"/>
                <w:szCs w:val="18"/>
              </w:rPr>
            </w:pPr>
            <w:r>
              <w:rPr>
                <w:sz w:val="18"/>
                <w:szCs w:val="18"/>
              </w:rPr>
              <w:t>筹资活动现金流入小计</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303,330,000.00</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78,648,812.32</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line="240" w:lineRule="exact"/>
              <w:ind w:firstLineChars="100" w:firstLine="180"/>
              <w:rPr>
                <w:sz w:val="18"/>
                <w:szCs w:val="18"/>
              </w:rPr>
            </w:pPr>
            <w:r>
              <w:rPr>
                <w:sz w:val="18"/>
                <w:szCs w:val="18"/>
              </w:rPr>
              <w:t>偿还债务支付的现金</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120,811,223.56</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40,825,945.00</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line="240" w:lineRule="exact"/>
              <w:ind w:firstLineChars="100" w:firstLine="180"/>
              <w:rPr>
                <w:sz w:val="18"/>
                <w:szCs w:val="18"/>
              </w:rPr>
            </w:pPr>
            <w:r>
              <w:rPr>
                <w:sz w:val="18"/>
                <w:szCs w:val="18"/>
              </w:rPr>
              <w:t>分配股利、利润或偿付利息支付的现金</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9,233,109.53</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7,348,487.11</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line="240" w:lineRule="exact"/>
              <w:ind w:firstLineChars="100" w:firstLine="180"/>
              <w:rPr>
                <w:sz w:val="18"/>
                <w:szCs w:val="18"/>
              </w:rPr>
            </w:pPr>
            <w:r>
              <w:rPr>
                <w:sz w:val="18"/>
                <w:szCs w:val="18"/>
              </w:rPr>
              <w:t>支付其他与筹资活动有关的现金</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4,232,036.88</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31,419,558.42</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line="240" w:lineRule="exact"/>
              <w:rPr>
                <w:sz w:val="18"/>
                <w:szCs w:val="18"/>
              </w:rPr>
            </w:pPr>
            <w:r>
              <w:rPr>
                <w:sz w:val="18"/>
                <w:szCs w:val="18"/>
              </w:rPr>
              <w:t>筹资活动现金流出小计</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134,276,369.97</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79,593,990.53</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line="240" w:lineRule="exact"/>
              <w:rPr>
                <w:sz w:val="18"/>
                <w:szCs w:val="18"/>
              </w:rPr>
            </w:pPr>
            <w:r>
              <w:rPr>
                <w:sz w:val="18"/>
                <w:szCs w:val="18"/>
              </w:rPr>
              <w:t>筹资活动产生的现金流量净额</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169,053,630.03</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-945,178.21</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line="240" w:lineRule="exact"/>
              <w:rPr>
                <w:sz w:val="18"/>
                <w:szCs w:val="18"/>
              </w:rPr>
            </w:pPr>
            <w:r>
              <w:rPr>
                <w:sz w:val="18"/>
                <w:szCs w:val="18"/>
              </w:rPr>
              <w:t>四、汇率变动对现金及现金等价物的影响</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0.00</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line="240" w:lineRule="exact"/>
              <w:rPr>
                <w:sz w:val="18"/>
                <w:szCs w:val="18"/>
              </w:rPr>
            </w:pPr>
            <w:r>
              <w:rPr>
                <w:sz w:val="18"/>
                <w:szCs w:val="18"/>
              </w:rPr>
              <w:t>五、现金及现金等价物净增加额</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-5,684,852.84</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58,587,437.77</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line="240" w:lineRule="exact"/>
              <w:ind w:firstLineChars="100" w:firstLine="180"/>
              <w:rPr>
                <w:sz w:val="18"/>
                <w:szCs w:val="18"/>
              </w:rPr>
            </w:pPr>
            <w:r>
              <w:rPr>
                <w:sz w:val="18"/>
                <w:szCs w:val="18"/>
              </w:rPr>
              <w:t>加：期初现金及现金等价物余额</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207,474,939.35</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148,887,501.58</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line="240" w:lineRule="exact"/>
              <w:rPr>
                <w:sz w:val="18"/>
                <w:szCs w:val="18"/>
              </w:rPr>
            </w:pPr>
            <w:r>
              <w:rPr>
                <w:sz w:val="18"/>
                <w:szCs w:val="18"/>
              </w:rPr>
              <w:t>六、期末现金及现金等价物余额</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201,790,086.51</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207,474,939.35</w:t>
            </w:r>
          </w:p>
        </w:tc>
      </w:tr>
    </w:tbl>
    <w:p w:rsidR="00E20B54" w:rsidRDefault="00E20B54">
      <w:pPr>
        <w:spacing w:before="40" w:after="40" w:line="240" w:lineRule="exact"/>
        <w:rPr>
          <w:sz w:val="18"/>
          <w:szCs w:val="18"/>
        </w:rPr>
      </w:pPr>
      <w:bookmarkStart w:id="157" w:name="_Toc989046"/>
    </w:p>
    <w:p w:rsidR="00E20B54" w:rsidRDefault="00733C9E">
      <w:pPr>
        <w:spacing w:before="40" w:after="40" w:line="240" w:lineRule="exact"/>
        <w:rPr>
          <w:sz w:val="18"/>
          <w:szCs w:val="18"/>
        </w:rPr>
      </w:pPr>
      <w:r>
        <w:rPr>
          <w:sz w:val="18"/>
          <w:szCs w:val="18"/>
        </w:rPr>
        <w:t>法定代表人：林明玲</w:t>
      </w:r>
      <w:r>
        <w:rPr>
          <w:sz w:val="18"/>
          <w:szCs w:val="18"/>
        </w:rPr>
        <w:t xml:space="preserve"> </w:t>
      </w:r>
      <w:r>
        <w:rPr>
          <w:rFonts w:hint="eastAsia"/>
          <w:sz w:val="18"/>
          <w:szCs w:val="18"/>
        </w:rPr>
        <w:t xml:space="preserve">                                 </w:t>
      </w:r>
      <w:r>
        <w:rPr>
          <w:sz w:val="18"/>
          <w:szCs w:val="18"/>
        </w:rPr>
        <w:t xml:space="preserve"> </w:t>
      </w:r>
      <w:r>
        <w:rPr>
          <w:sz w:val="18"/>
          <w:szCs w:val="18"/>
        </w:rPr>
        <w:t>主管会计工作负责人：陈焕盛</w:t>
      </w:r>
      <w:r>
        <w:rPr>
          <w:sz w:val="18"/>
          <w:szCs w:val="18"/>
        </w:rPr>
        <w:t xml:space="preserve">    </w:t>
      </w:r>
      <w:r>
        <w:rPr>
          <w:rFonts w:hint="eastAsia"/>
          <w:sz w:val="18"/>
          <w:szCs w:val="18"/>
        </w:rPr>
        <w:t xml:space="preserve">                                 </w:t>
      </w:r>
      <w:r>
        <w:rPr>
          <w:sz w:val="18"/>
          <w:szCs w:val="18"/>
        </w:rPr>
        <w:t>会计机构负责人：赖宏伟</w:t>
      </w:r>
    </w:p>
    <w:p w:rsidR="00E20B54" w:rsidRDefault="00E20B54">
      <w:pPr>
        <w:pStyle w:val="3"/>
        <w:spacing w:line="280" w:lineRule="exact"/>
        <w:jc w:val="left"/>
        <w:rPr>
          <w:b/>
          <w:bCs/>
        </w:rPr>
        <w:sectPr w:rsidR="00E20B54">
          <w:headerReference w:type="default" r:id="rId12"/>
          <w:footerReference w:type="default" r:id="rId13"/>
          <w:pgSz w:w="11905" w:h="16840"/>
          <w:pgMar w:top="1440" w:right="1134" w:bottom="1440" w:left="1134" w:header="850" w:footer="992" w:gutter="0"/>
          <w:cols w:space="720"/>
          <w:docGrid w:type="linesAndChars" w:linePitch="312"/>
        </w:sectPr>
      </w:pPr>
    </w:p>
    <w:p w:rsidR="00E20B54" w:rsidRDefault="00733C9E">
      <w:pPr>
        <w:pStyle w:val="3"/>
        <w:spacing w:line="280" w:lineRule="exact"/>
        <w:jc w:val="left"/>
        <w:rPr>
          <w:b/>
          <w:bCs/>
        </w:rPr>
      </w:pPr>
      <w:r>
        <w:rPr>
          <w:b/>
          <w:bCs/>
        </w:rPr>
        <w:lastRenderedPageBreak/>
        <w:t>7</w:t>
      </w:r>
      <w:r>
        <w:rPr>
          <w:b/>
          <w:bCs/>
        </w:rPr>
        <w:t>、合并所有者权益变动表</w:t>
      </w:r>
      <w:bookmarkEnd w:id="157"/>
    </w:p>
    <w:p w:rsidR="00E20B54" w:rsidRDefault="00733C9E">
      <w:pPr>
        <w:spacing w:line="240" w:lineRule="exact"/>
        <w:rPr>
          <w:sz w:val="18"/>
          <w:szCs w:val="18"/>
        </w:rPr>
      </w:pPr>
      <w:r>
        <w:rPr>
          <w:sz w:val="18"/>
          <w:szCs w:val="18"/>
        </w:rPr>
        <w:t>本期金额</w:t>
      </w:r>
    </w:p>
    <w:p w:rsidR="00E20B54" w:rsidRDefault="00733C9E">
      <w:pPr>
        <w:spacing w:before="120" w:after="120" w:line="240" w:lineRule="exact"/>
        <w:jc w:val="right"/>
        <w:rPr>
          <w:sz w:val="18"/>
          <w:szCs w:val="18"/>
        </w:rPr>
      </w:pPr>
      <w:r>
        <w:rPr>
          <w:sz w:val="18"/>
          <w:szCs w:val="18"/>
        </w:rPr>
        <w:t>单位：元</w:t>
      </w: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727"/>
        <w:gridCol w:w="1195"/>
        <w:gridCol w:w="387"/>
        <w:gridCol w:w="387"/>
        <w:gridCol w:w="386"/>
        <w:gridCol w:w="1279"/>
        <w:gridCol w:w="1194"/>
        <w:gridCol w:w="982"/>
        <w:gridCol w:w="514"/>
        <w:gridCol w:w="1194"/>
        <w:gridCol w:w="386"/>
        <w:gridCol w:w="1279"/>
        <w:gridCol w:w="514"/>
        <w:gridCol w:w="1279"/>
        <w:gridCol w:w="1194"/>
        <w:gridCol w:w="1279"/>
      </w:tblGrid>
      <w:tr w:rsidR="00E20B54">
        <w:trPr>
          <w:trHeight w:val="240"/>
          <w:tblHeader/>
        </w:trPr>
        <w:tc>
          <w:tcPr>
            <w:tcW w:w="0" w:type="auto"/>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项目</w:t>
            </w:r>
          </w:p>
        </w:tc>
        <w:tc>
          <w:tcPr>
            <w:tcW w:w="0" w:type="auto"/>
            <w:gridSpan w:val="15"/>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2025</w:t>
            </w:r>
            <w:r>
              <w:rPr>
                <w:sz w:val="18"/>
                <w:szCs w:val="18"/>
              </w:rPr>
              <w:t>年度</w:t>
            </w:r>
          </w:p>
        </w:tc>
      </w:tr>
      <w:tr w:rsidR="00E20B54">
        <w:trPr>
          <w:trHeight w:val="240"/>
          <w:tblHeader/>
        </w:trPr>
        <w:tc>
          <w:tcPr>
            <w:tcW w:w="0" w:type="auto"/>
            <w:vMerge/>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c>
          <w:tcPr>
            <w:tcW w:w="0" w:type="auto"/>
            <w:gridSpan w:val="13"/>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归属于母公司所有者权益</w:t>
            </w:r>
          </w:p>
        </w:tc>
        <w:tc>
          <w:tcPr>
            <w:tcW w:w="0" w:type="auto"/>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少数股东权益</w:t>
            </w:r>
          </w:p>
        </w:tc>
        <w:tc>
          <w:tcPr>
            <w:tcW w:w="0" w:type="auto"/>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所有者权益合计</w:t>
            </w:r>
          </w:p>
        </w:tc>
      </w:tr>
      <w:tr w:rsidR="00E20B54">
        <w:trPr>
          <w:trHeight w:val="240"/>
          <w:tblHeader/>
        </w:trPr>
        <w:tc>
          <w:tcPr>
            <w:tcW w:w="0" w:type="auto"/>
            <w:vMerge/>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c>
          <w:tcPr>
            <w:tcW w:w="0" w:type="auto"/>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股本</w:t>
            </w:r>
          </w:p>
        </w:tc>
        <w:tc>
          <w:tcPr>
            <w:tcW w:w="0" w:type="auto"/>
            <w:gridSpan w:val="3"/>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其他权益工具</w:t>
            </w:r>
          </w:p>
        </w:tc>
        <w:tc>
          <w:tcPr>
            <w:tcW w:w="0" w:type="auto"/>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资本公积</w:t>
            </w:r>
          </w:p>
        </w:tc>
        <w:tc>
          <w:tcPr>
            <w:tcW w:w="0" w:type="auto"/>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减：库存股</w:t>
            </w:r>
          </w:p>
        </w:tc>
        <w:tc>
          <w:tcPr>
            <w:tcW w:w="0" w:type="auto"/>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其他综合收益</w:t>
            </w:r>
          </w:p>
        </w:tc>
        <w:tc>
          <w:tcPr>
            <w:tcW w:w="0" w:type="auto"/>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专项储备</w:t>
            </w:r>
          </w:p>
        </w:tc>
        <w:tc>
          <w:tcPr>
            <w:tcW w:w="0" w:type="auto"/>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盈余公积</w:t>
            </w:r>
          </w:p>
        </w:tc>
        <w:tc>
          <w:tcPr>
            <w:tcW w:w="0" w:type="auto"/>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一般风险准备</w:t>
            </w:r>
          </w:p>
        </w:tc>
        <w:tc>
          <w:tcPr>
            <w:tcW w:w="0" w:type="auto"/>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未分配利润</w:t>
            </w:r>
          </w:p>
        </w:tc>
        <w:tc>
          <w:tcPr>
            <w:tcW w:w="0" w:type="auto"/>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其他</w:t>
            </w:r>
          </w:p>
        </w:tc>
        <w:tc>
          <w:tcPr>
            <w:tcW w:w="0" w:type="auto"/>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小计</w:t>
            </w:r>
          </w:p>
        </w:tc>
        <w:tc>
          <w:tcPr>
            <w:tcW w:w="0" w:type="auto"/>
            <w:vMerge/>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c>
          <w:tcPr>
            <w:tcW w:w="0" w:type="auto"/>
            <w:vMerge/>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r>
      <w:tr w:rsidR="00E20B54">
        <w:trPr>
          <w:trHeight w:val="240"/>
          <w:tblHeader/>
        </w:trPr>
        <w:tc>
          <w:tcPr>
            <w:tcW w:w="0" w:type="auto"/>
            <w:vMerge/>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c>
          <w:tcPr>
            <w:tcW w:w="0" w:type="auto"/>
            <w:vMerge/>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c>
          <w:tcPr>
            <w:tcW w:w="0" w:type="auto"/>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优先股</w:t>
            </w:r>
          </w:p>
        </w:tc>
        <w:tc>
          <w:tcPr>
            <w:tcW w:w="0" w:type="auto"/>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永续债</w:t>
            </w:r>
          </w:p>
        </w:tc>
        <w:tc>
          <w:tcPr>
            <w:tcW w:w="0" w:type="auto"/>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其他</w:t>
            </w:r>
          </w:p>
        </w:tc>
        <w:tc>
          <w:tcPr>
            <w:tcW w:w="0" w:type="auto"/>
            <w:vMerge/>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c>
          <w:tcPr>
            <w:tcW w:w="0" w:type="auto"/>
            <w:vMerge/>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c>
          <w:tcPr>
            <w:tcW w:w="0" w:type="auto"/>
            <w:vMerge/>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c>
          <w:tcPr>
            <w:tcW w:w="0" w:type="auto"/>
            <w:vMerge/>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c>
          <w:tcPr>
            <w:tcW w:w="0" w:type="auto"/>
            <w:vMerge/>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c>
          <w:tcPr>
            <w:tcW w:w="0" w:type="auto"/>
            <w:vMerge/>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c>
          <w:tcPr>
            <w:tcW w:w="0" w:type="auto"/>
            <w:vMerge/>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c>
          <w:tcPr>
            <w:tcW w:w="0" w:type="auto"/>
            <w:vMerge/>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c>
          <w:tcPr>
            <w:tcW w:w="0" w:type="auto"/>
            <w:vMerge/>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c>
          <w:tcPr>
            <w:tcW w:w="0" w:type="auto"/>
            <w:vMerge/>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c>
          <w:tcPr>
            <w:tcW w:w="0" w:type="auto"/>
            <w:vMerge/>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r>
      <w:tr w:rsidR="00E20B54">
        <w:trPr>
          <w:trHeight w:val="240"/>
        </w:trPr>
        <w:tc>
          <w:tcPr>
            <w:tcW w:w="0" w:type="auto"/>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一、上年期末余额</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67,108,800.00</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598,297,202.73</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52,740,572.07</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-603,041.44</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0.00</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25,904,440.33</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120,283,337.88</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758,250,167.43</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8,166,653.15</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766,416,820.58</w:t>
            </w:r>
          </w:p>
        </w:tc>
      </w:tr>
      <w:tr w:rsidR="00E20B54">
        <w:trPr>
          <w:trHeight w:val="240"/>
        </w:trPr>
        <w:tc>
          <w:tcPr>
            <w:tcW w:w="0" w:type="auto"/>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200" w:firstLine="360"/>
              <w:rPr>
                <w:sz w:val="18"/>
                <w:szCs w:val="18"/>
              </w:rPr>
            </w:pPr>
            <w:r>
              <w:rPr>
                <w:sz w:val="18"/>
                <w:szCs w:val="18"/>
              </w:rPr>
              <w:t>加：会计政策变更</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r w:rsidR="00E20B54">
        <w:trPr>
          <w:trHeight w:val="240"/>
        </w:trPr>
        <w:tc>
          <w:tcPr>
            <w:tcW w:w="0" w:type="auto"/>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400" w:firstLine="720"/>
              <w:rPr>
                <w:sz w:val="18"/>
                <w:szCs w:val="18"/>
              </w:rPr>
            </w:pPr>
            <w:r>
              <w:rPr>
                <w:sz w:val="18"/>
                <w:szCs w:val="18"/>
              </w:rPr>
              <w:t>前期差错更正</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r w:rsidR="00E20B54">
        <w:trPr>
          <w:trHeight w:val="240"/>
        </w:trPr>
        <w:tc>
          <w:tcPr>
            <w:tcW w:w="0" w:type="auto"/>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400" w:firstLine="720"/>
              <w:rPr>
                <w:sz w:val="18"/>
                <w:szCs w:val="18"/>
              </w:rPr>
            </w:pPr>
            <w:r>
              <w:rPr>
                <w:sz w:val="18"/>
                <w:szCs w:val="18"/>
              </w:rPr>
              <w:t>其他</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r w:rsidR="00E20B54">
        <w:trPr>
          <w:trHeight w:val="240"/>
        </w:trPr>
        <w:tc>
          <w:tcPr>
            <w:tcW w:w="0" w:type="auto"/>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二、本年期初余额</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67,108,800.00</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598,297,202.73</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52,740,572.07</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-603,041.44</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25,904,440.33</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120,283,337.88</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758,250,167.43</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8,166,653.15</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766,416,820.58</w:t>
            </w:r>
          </w:p>
        </w:tc>
      </w:tr>
      <w:tr w:rsidR="00E20B54">
        <w:trPr>
          <w:trHeight w:val="240"/>
        </w:trPr>
        <w:tc>
          <w:tcPr>
            <w:tcW w:w="0" w:type="auto"/>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三、本期增减变动</w:t>
            </w:r>
            <w:r>
              <w:rPr>
                <w:sz w:val="18"/>
                <w:szCs w:val="18"/>
              </w:rPr>
              <w:lastRenderedPageBreak/>
              <w:t>金额（减少以</w:t>
            </w:r>
            <w:r>
              <w:rPr>
                <w:sz w:val="18"/>
                <w:szCs w:val="18"/>
              </w:rPr>
              <w:t>“</w:t>
            </w:r>
            <w:r>
              <w:rPr>
                <w:sz w:val="18"/>
                <w:szCs w:val="18"/>
              </w:rPr>
              <w:t>－</w:t>
            </w:r>
            <w:r>
              <w:rPr>
                <w:sz w:val="18"/>
                <w:szCs w:val="18"/>
              </w:rPr>
              <w:t>”</w:t>
            </w:r>
            <w:r>
              <w:rPr>
                <w:sz w:val="18"/>
                <w:szCs w:val="18"/>
              </w:rPr>
              <w:t>号填列）</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lastRenderedPageBreak/>
              <w:t>-256,000.00</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7,550,876.90</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-4,047,360.00</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-95,026.02</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0.00</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7,515,213.54</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18,762,424.42</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4,324,565.89</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23,086,990.31</w:t>
            </w:r>
          </w:p>
        </w:tc>
      </w:tr>
      <w:tr w:rsidR="00E20B54">
        <w:trPr>
          <w:trHeight w:val="240"/>
        </w:trPr>
        <w:tc>
          <w:tcPr>
            <w:tcW w:w="0" w:type="auto"/>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lastRenderedPageBreak/>
              <w:t>（一）综合收益总额</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-95,026.02</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7,489,613.54</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7,394,587.52</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1,890,290.35</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9,284,877.87</w:t>
            </w:r>
          </w:p>
        </w:tc>
      </w:tr>
      <w:tr w:rsidR="00E20B54">
        <w:trPr>
          <w:trHeight w:val="240"/>
        </w:trPr>
        <w:tc>
          <w:tcPr>
            <w:tcW w:w="0" w:type="auto"/>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（二）所有者投入和减少资本</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-256,000.00</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7,550,876.90</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-4,047,360.00</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11,342,236.90</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2,434,275.54</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13,776,512.44</w:t>
            </w:r>
          </w:p>
        </w:tc>
      </w:tr>
      <w:tr w:rsidR="00E20B54">
        <w:trPr>
          <w:trHeight w:val="240"/>
        </w:trPr>
        <w:tc>
          <w:tcPr>
            <w:tcW w:w="0" w:type="auto"/>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1</w:t>
            </w:r>
            <w:r>
              <w:rPr>
                <w:sz w:val="18"/>
                <w:szCs w:val="18"/>
              </w:rPr>
              <w:t>．所有者投入的普通股</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-256,000.00</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-3,816,960.00</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-4,072,960.00</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136,943.40</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r w:rsidR="00E20B54">
        <w:trPr>
          <w:trHeight w:val="240"/>
        </w:trPr>
        <w:tc>
          <w:tcPr>
            <w:tcW w:w="0" w:type="auto"/>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2</w:t>
            </w:r>
            <w:r>
              <w:rPr>
                <w:sz w:val="18"/>
                <w:szCs w:val="18"/>
              </w:rPr>
              <w:t>．其他权益工具持有者投入</w:t>
            </w:r>
            <w:r>
              <w:rPr>
                <w:sz w:val="18"/>
                <w:szCs w:val="18"/>
              </w:rPr>
              <w:lastRenderedPageBreak/>
              <w:t>资本</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r w:rsidR="00E20B54">
        <w:trPr>
          <w:trHeight w:val="240"/>
        </w:trPr>
        <w:tc>
          <w:tcPr>
            <w:tcW w:w="0" w:type="auto"/>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lastRenderedPageBreak/>
              <w:t>3</w:t>
            </w:r>
            <w:r>
              <w:rPr>
                <w:sz w:val="18"/>
                <w:szCs w:val="18"/>
              </w:rPr>
              <w:t>．股份支付计入所有者权益的金额</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11,367,836.90</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11,367,836.90</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11,367,836.90</w:t>
            </w:r>
          </w:p>
        </w:tc>
      </w:tr>
      <w:tr w:rsidR="00E20B54">
        <w:trPr>
          <w:trHeight w:val="240"/>
        </w:trPr>
        <w:tc>
          <w:tcPr>
            <w:tcW w:w="0" w:type="auto"/>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4</w:t>
            </w:r>
            <w:r>
              <w:rPr>
                <w:sz w:val="18"/>
                <w:szCs w:val="18"/>
              </w:rPr>
              <w:t>．其他</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25,600.00</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-25,600.00</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2,297,332.14</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2,271,732.14</w:t>
            </w:r>
          </w:p>
        </w:tc>
      </w:tr>
      <w:tr w:rsidR="00E20B54">
        <w:trPr>
          <w:trHeight w:val="240"/>
        </w:trPr>
        <w:tc>
          <w:tcPr>
            <w:tcW w:w="0" w:type="auto"/>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（三）利润分配</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25,600.00</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25,600.00</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25,600.00</w:t>
            </w:r>
          </w:p>
        </w:tc>
      </w:tr>
      <w:tr w:rsidR="00E20B54">
        <w:trPr>
          <w:trHeight w:val="240"/>
        </w:trPr>
        <w:tc>
          <w:tcPr>
            <w:tcW w:w="0" w:type="auto"/>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1</w:t>
            </w:r>
            <w:r>
              <w:rPr>
                <w:sz w:val="18"/>
                <w:szCs w:val="18"/>
              </w:rPr>
              <w:t>．提取盈余公积</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r w:rsidR="00E20B54">
        <w:trPr>
          <w:trHeight w:val="240"/>
        </w:trPr>
        <w:tc>
          <w:tcPr>
            <w:tcW w:w="0" w:type="auto"/>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2</w:t>
            </w:r>
            <w:r>
              <w:rPr>
                <w:sz w:val="18"/>
                <w:szCs w:val="18"/>
              </w:rPr>
              <w:t>．提取一般风险准备</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r w:rsidR="00E20B54">
        <w:trPr>
          <w:trHeight w:val="240"/>
        </w:trPr>
        <w:tc>
          <w:tcPr>
            <w:tcW w:w="0" w:type="auto"/>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3</w:t>
            </w:r>
            <w:r>
              <w:rPr>
                <w:sz w:val="18"/>
                <w:szCs w:val="18"/>
              </w:rPr>
              <w:t>．对所有者（或</w:t>
            </w:r>
            <w:r>
              <w:rPr>
                <w:sz w:val="18"/>
                <w:szCs w:val="18"/>
              </w:rPr>
              <w:lastRenderedPageBreak/>
              <w:t>股东）的分配</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r w:rsidR="00E20B54">
        <w:trPr>
          <w:trHeight w:val="240"/>
        </w:trPr>
        <w:tc>
          <w:tcPr>
            <w:tcW w:w="0" w:type="auto"/>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lastRenderedPageBreak/>
              <w:t>4</w:t>
            </w:r>
            <w:r>
              <w:rPr>
                <w:sz w:val="18"/>
                <w:szCs w:val="18"/>
              </w:rPr>
              <w:t>．其他</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25,600.00</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25,600.00</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25,600.00</w:t>
            </w:r>
          </w:p>
        </w:tc>
      </w:tr>
      <w:tr w:rsidR="00E20B54">
        <w:trPr>
          <w:trHeight w:val="240"/>
        </w:trPr>
        <w:tc>
          <w:tcPr>
            <w:tcW w:w="0" w:type="auto"/>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（四）所有者权益内部结转</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r w:rsidR="00E20B54">
        <w:trPr>
          <w:trHeight w:val="240"/>
        </w:trPr>
        <w:tc>
          <w:tcPr>
            <w:tcW w:w="0" w:type="auto"/>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1</w:t>
            </w:r>
            <w:r>
              <w:rPr>
                <w:sz w:val="18"/>
                <w:szCs w:val="18"/>
              </w:rPr>
              <w:t>．资本公积转增资本（或股本）</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r w:rsidR="00E20B54">
        <w:trPr>
          <w:trHeight w:val="240"/>
        </w:trPr>
        <w:tc>
          <w:tcPr>
            <w:tcW w:w="0" w:type="auto"/>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2</w:t>
            </w:r>
            <w:r>
              <w:rPr>
                <w:sz w:val="18"/>
                <w:szCs w:val="18"/>
              </w:rPr>
              <w:t>．盈余公积转增资本（或股本）</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r w:rsidR="00E20B54">
        <w:trPr>
          <w:trHeight w:val="240"/>
        </w:trPr>
        <w:tc>
          <w:tcPr>
            <w:tcW w:w="0" w:type="auto"/>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lastRenderedPageBreak/>
              <w:t>3</w:t>
            </w:r>
            <w:r>
              <w:rPr>
                <w:sz w:val="18"/>
                <w:szCs w:val="18"/>
              </w:rPr>
              <w:t>．盈余公积弥补亏损</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r w:rsidR="00E20B54">
        <w:trPr>
          <w:trHeight w:val="240"/>
        </w:trPr>
        <w:tc>
          <w:tcPr>
            <w:tcW w:w="0" w:type="auto"/>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4</w:t>
            </w:r>
            <w:r>
              <w:rPr>
                <w:sz w:val="18"/>
                <w:szCs w:val="18"/>
              </w:rPr>
              <w:t>．设定受益计划变动额结转留存收益</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r w:rsidR="00E20B54">
        <w:trPr>
          <w:trHeight w:val="240"/>
        </w:trPr>
        <w:tc>
          <w:tcPr>
            <w:tcW w:w="0" w:type="auto"/>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5</w:t>
            </w:r>
            <w:r>
              <w:rPr>
                <w:sz w:val="18"/>
                <w:szCs w:val="18"/>
              </w:rPr>
              <w:t>．其他综合收益结转留存收益</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r w:rsidR="00E20B54">
        <w:trPr>
          <w:trHeight w:val="240"/>
        </w:trPr>
        <w:tc>
          <w:tcPr>
            <w:tcW w:w="0" w:type="auto"/>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6</w:t>
            </w:r>
            <w:r>
              <w:rPr>
                <w:sz w:val="18"/>
                <w:szCs w:val="18"/>
              </w:rPr>
              <w:t>．其他</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r w:rsidR="00E20B54">
        <w:trPr>
          <w:trHeight w:val="240"/>
        </w:trPr>
        <w:tc>
          <w:tcPr>
            <w:tcW w:w="0" w:type="auto"/>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（五）专项储备</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r w:rsidR="00E20B54">
        <w:trPr>
          <w:trHeight w:val="240"/>
        </w:trPr>
        <w:tc>
          <w:tcPr>
            <w:tcW w:w="0" w:type="auto"/>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1</w:t>
            </w:r>
            <w:r>
              <w:rPr>
                <w:sz w:val="18"/>
                <w:szCs w:val="18"/>
              </w:rPr>
              <w:t>．本期提</w:t>
            </w:r>
            <w:r>
              <w:rPr>
                <w:sz w:val="18"/>
                <w:szCs w:val="18"/>
              </w:rPr>
              <w:lastRenderedPageBreak/>
              <w:t>取</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r w:rsidR="00E20B54">
        <w:trPr>
          <w:trHeight w:val="240"/>
        </w:trPr>
        <w:tc>
          <w:tcPr>
            <w:tcW w:w="0" w:type="auto"/>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lastRenderedPageBreak/>
              <w:t>2</w:t>
            </w:r>
            <w:r>
              <w:rPr>
                <w:sz w:val="18"/>
                <w:szCs w:val="18"/>
              </w:rPr>
              <w:t>．本期使用</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r w:rsidR="00E20B54">
        <w:trPr>
          <w:trHeight w:val="240"/>
        </w:trPr>
        <w:tc>
          <w:tcPr>
            <w:tcW w:w="0" w:type="auto"/>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（六）其他</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r w:rsidR="00E20B54">
        <w:trPr>
          <w:trHeight w:val="240"/>
        </w:trPr>
        <w:tc>
          <w:tcPr>
            <w:tcW w:w="0" w:type="auto"/>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四、本期期末余额</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66,852,800.00</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605,848,079.63</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48,693,212.07</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-698,067.46</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0.00</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25,904,440.33</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127,798,551.42</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0.00</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777,012,591.85</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12,491,219.04</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789,503,810.89</w:t>
            </w:r>
          </w:p>
        </w:tc>
      </w:tr>
    </w:tbl>
    <w:p w:rsidR="00E20B54" w:rsidRDefault="00733C9E">
      <w:pPr>
        <w:spacing w:line="240" w:lineRule="exact"/>
        <w:rPr>
          <w:sz w:val="18"/>
          <w:szCs w:val="18"/>
        </w:rPr>
      </w:pPr>
      <w:r>
        <w:rPr>
          <w:sz w:val="18"/>
          <w:szCs w:val="18"/>
        </w:rPr>
        <w:t>上期金额</w:t>
      </w:r>
    </w:p>
    <w:p w:rsidR="00E20B54" w:rsidRDefault="00733C9E">
      <w:pPr>
        <w:spacing w:before="120" w:after="120" w:line="240" w:lineRule="exact"/>
        <w:jc w:val="right"/>
        <w:rPr>
          <w:sz w:val="18"/>
          <w:szCs w:val="18"/>
        </w:rPr>
      </w:pPr>
      <w:r>
        <w:rPr>
          <w:sz w:val="18"/>
          <w:szCs w:val="18"/>
        </w:rPr>
        <w:t>单位：元</w:t>
      </w:r>
    </w:p>
    <w:tbl>
      <w:tblPr>
        <w:tblW w:w="5000" w:type="pct"/>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744"/>
        <w:gridCol w:w="1226"/>
        <w:gridCol w:w="392"/>
        <w:gridCol w:w="392"/>
        <w:gridCol w:w="392"/>
        <w:gridCol w:w="1314"/>
        <w:gridCol w:w="1226"/>
        <w:gridCol w:w="1007"/>
        <w:gridCol w:w="392"/>
        <w:gridCol w:w="1226"/>
        <w:gridCol w:w="392"/>
        <w:gridCol w:w="1314"/>
        <w:gridCol w:w="392"/>
        <w:gridCol w:w="1314"/>
        <w:gridCol w:w="1139"/>
        <w:gridCol w:w="1314"/>
      </w:tblGrid>
      <w:tr w:rsidR="00E20B54">
        <w:trPr>
          <w:trHeight w:val="240"/>
          <w:tblHeader/>
        </w:trPr>
        <w:tc>
          <w:tcPr>
            <w:tcW w:w="412" w:type="pct"/>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项目</w:t>
            </w:r>
          </w:p>
        </w:tc>
        <w:tc>
          <w:tcPr>
            <w:tcW w:w="4587" w:type="pct"/>
            <w:gridSpan w:val="15"/>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2024</w:t>
            </w:r>
            <w:r>
              <w:rPr>
                <w:sz w:val="18"/>
                <w:szCs w:val="18"/>
              </w:rPr>
              <w:t>年度</w:t>
            </w:r>
          </w:p>
        </w:tc>
      </w:tr>
      <w:tr w:rsidR="00E20B54">
        <w:trPr>
          <w:trHeight w:val="240"/>
          <w:tblHeader/>
        </w:trPr>
        <w:tc>
          <w:tcPr>
            <w:tcW w:w="412" w:type="pct"/>
            <w:vMerge/>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c>
          <w:tcPr>
            <w:tcW w:w="3751" w:type="pct"/>
            <w:gridSpan w:val="13"/>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归属于母公司所有者权益</w:t>
            </w:r>
          </w:p>
        </w:tc>
        <w:tc>
          <w:tcPr>
            <w:tcW w:w="388" w:type="pct"/>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少数股东权益</w:t>
            </w:r>
          </w:p>
        </w:tc>
        <w:tc>
          <w:tcPr>
            <w:tcW w:w="447" w:type="pct"/>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所有者权益合计</w:t>
            </w:r>
          </w:p>
        </w:tc>
      </w:tr>
      <w:tr w:rsidR="00E20B54">
        <w:trPr>
          <w:trHeight w:val="240"/>
          <w:tblHeader/>
        </w:trPr>
        <w:tc>
          <w:tcPr>
            <w:tcW w:w="412" w:type="pct"/>
            <w:vMerge/>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c>
          <w:tcPr>
            <w:tcW w:w="417" w:type="pct"/>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股本</w:t>
            </w:r>
          </w:p>
        </w:tc>
        <w:tc>
          <w:tcPr>
            <w:tcW w:w="406" w:type="pct"/>
            <w:gridSpan w:val="3"/>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其他权益工具</w:t>
            </w:r>
          </w:p>
        </w:tc>
        <w:tc>
          <w:tcPr>
            <w:tcW w:w="447" w:type="pct"/>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资本公积</w:t>
            </w:r>
          </w:p>
        </w:tc>
        <w:tc>
          <w:tcPr>
            <w:tcW w:w="417" w:type="pct"/>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减：库存股</w:t>
            </w:r>
          </w:p>
        </w:tc>
        <w:tc>
          <w:tcPr>
            <w:tcW w:w="343" w:type="pct"/>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其他综合收益</w:t>
            </w:r>
          </w:p>
        </w:tc>
        <w:tc>
          <w:tcPr>
            <w:tcW w:w="135" w:type="pct"/>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专项储备</w:t>
            </w:r>
          </w:p>
        </w:tc>
        <w:tc>
          <w:tcPr>
            <w:tcW w:w="417" w:type="pct"/>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盈余公积</w:t>
            </w:r>
          </w:p>
        </w:tc>
        <w:tc>
          <w:tcPr>
            <w:tcW w:w="135" w:type="pct"/>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一般风险准备</w:t>
            </w:r>
          </w:p>
        </w:tc>
        <w:tc>
          <w:tcPr>
            <w:tcW w:w="447" w:type="pct"/>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未分配利润</w:t>
            </w:r>
          </w:p>
        </w:tc>
        <w:tc>
          <w:tcPr>
            <w:tcW w:w="135" w:type="pct"/>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其他</w:t>
            </w:r>
          </w:p>
        </w:tc>
        <w:tc>
          <w:tcPr>
            <w:tcW w:w="447" w:type="pct"/>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小计</w:t>
            </w:r>
          </w:p>
        </w:tc>
        <w:tc>
          <w:tcPr>
            <w:tcW w:w="388" w:type="pct"/>
            <w:vMerge/>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c>
          <w:tcPr>
            <w:tcW w:w="447" w:type="pct"/>
            <w:vMerge/>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r>
      <w:tr w:rsidR="00E20B54">
        <w:trPr>
          <w:trHeight w:val="240"/>
          <w:tblHeader/>
        </w:trPr>
        <w:tc>
          <w:tcPr>
            <w:tcW w:w="412" w:type="pct"/>
            <w:vMerge/>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c>
          <w:tcPr>
            <w:tcW w:w="417" w:type="pct"/>
            <w:vMerge/>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c>
          <w:tcPr>
            <w:tcW w:w="135" w:type="pc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优先股</w:t>
            </w:r>
          </w:p>
        </w:tc>
        <w:tc>
          <w:tcPr>
            <w:tcW w:w="135" w:type="pc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永续债</w:t>
            </w:r>
          </w:p>
        </w:tc>
        <w:tc>
          <w:tcPr>
            <w:tcW w:w="135" w:type="pc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其他</w:t>
            </w:r>
          </w:p>
        </w:tc>
        <w:tc>
          <w:tcPr>
            <w:tcW w:w="447" w:type="pct"/>
            <w:vMerge/>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c>
          <w:tcPr>
            <w:tcW w:w="417" w:type="pct"/>
            <w:vMerge/>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c>
          <w:tcPr>
            <w:tcW w:w="343" w:type="pct"/>
            <w:vMerge/>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c>
          <w:tcPr>
            <w:tcW w:w="135" w:type="pct"/>
            <w:vMerge/>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c>
          <w:tcPr>
            <w:tcW w:w="417" w:type="pct"/>
            <w:vMerge/>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c>
          <w:tcPr>
            <w:tcW w:w="135" w:type="pct"/>
            <w:vMerge/>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c>
          <w:tcPr>
            <w:tcW w:w="447" w:type="pct"/>
            <w:vMerge/>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c>
          <w:tcPr>
            <w:tcW w:w="135" w:type="pct"/>
            <w:vMerge/>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c>
          <w:tcPr>
            <w:tcW w:w="447" w:type="pct"/>
            <w:vMerge/>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c>
          <w:tcPr>
            <w:tcW w:w="388" w:type="pct"/>
            <w:vMerge/>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c>
          <w:tcPr>
            <w:tcW w:w="447" w:type="pct"/>
            <w:vMerge/>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r>
      <w:tr w:rsidR="00E20B54">
        <w:trPr>
          <w:trHeight w:val="240"/>
        </w:trPr>
        <w:tc>
          <w:tcPr>
            <w:tcW w:w="412" w:type="pc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一、上年期末余额</w:t>
            </w:r>
          </w:p>
        </w:tc>
        <w:tc>
          <w:tcPr>
            <w:tcW w:w="417"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67,236,800.00</w:t>
            </w:r>
          </w:p>
        </w:tc>
        <w:tc>
          <w:tcPr>
            <w:tcW w:w="135"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35"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35"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47"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590,694,089.77</w:t>
            </w:r>
          </w:p>
        </w:tc>
        <w:tc>
          <w:tcPr>
            <w:tcW w:w="417"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27,880,684.00</w:t>
            </w:r>
          </w:p>
        </w:tc>
        <w:tc>
          <w:tcPr>
            <w:tcW w:w="343"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-673,076.93</w:t>
            </w:r>
          </w:p>
        </w:tc>
        <w:tc>
          <w:tcPr>
            <w:tcW w:w="135"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17"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25,904,440.33</w:t>
            </w:r>
          </w:p>
        </w:tc>
        <w:tc>
          <w:tcPr>
            <w:tcW w:w="135"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47"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176,446,442.34</w:t>
            </w:r>
          </w:p>
        </w:tc>
        <w:tc>
          <w:tcPr>
            <w:tcW w:w="135"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47"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831,728,011.51</w:t>
            </w:r>
          </w:p>
        </w:tc>
        <w:tc>
          <w:tcPr>
            <w:tcW w:w="388"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4,551,722.69</w:t>
            </w:r>
          </w:p>
        </w:tc>
        <w:tc>
          <w:tcPr>
            <w:tcW w:w="447"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836,279,734.20</w:t>
            </w:r>
          </w:p>
        </w:tc>
      </w:tr>
      <w:tr w:rsidR="00E20B54">
        <w:trPr>
          <w:trHeight w:val="240"/>
        </w:trPr>
        <w:tc>
          <w:tcPr>
            <w:tcW w:w="412" w:type="pc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200" w:firstLine="360"/>
              <w:rPr>
                <w:sz w:val="18"/>
                <w:szCs w:val="18"/>
              </w:rPr>
            </w:pPr>
            <w:r>
              <w:rPr>
                <w:sz w:val="18"/>
                <w:szCs w:val="18"/>
              </w:rPr>
              <w:t>加</w:t>
            </w:r>
            <w:r>
              <w:rPr>
                <w:sz w:val="18"/>
                <w:szCs w:val="18"/>
              </w:rPr>
              <w:lastRenderedPageBreak/>
              <w:t>：会计政策变更</w:t>
            </w:r>
          </w:p>
        </w:tc>
        <w:tc>
          <w:tcPr>
            <w:tcW w:w="417"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35"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35"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35"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47"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17"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343"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35"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17"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35"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47"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35"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47"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388"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47"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r w:rsidR="00E20B54">
        <w:trPr>
          <w:trHeight w:val="240"/>
        </w:trPr>
        <w:tc>
          <w:tcPr>
            <w:tcW w:w="412" w:type="pc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400" w:firstLine="720"/>
              <w:rPr>
                <w:sz w:val="18"/>
                <w:szCs w:val="18"/>
              </w:rPr>
            </w:pPr>
            <w:r>
              <w:rPr>
                <w:sz w:val="18"/>
                <w:szCs w:val="18"/>
              </w:rPr>
              <w:lastRenderedPageBreak/>
              <w:t>前期差错更正</w:t>
            </w:r>
          </w:p>
        </w:tc>
        <w:tc>
          <w:tcPr>
            <w:tcW w:w="417"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35"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35"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35"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47"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17"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343"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35"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17"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35"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47"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35"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47"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388"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47"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r w:rsidR="00E20B54">
        <w:trPr>
          <w:trHeight w:val="240"/>
        </w:trPr>
        <w:tc>
          <w:tcPr>
            <w:tcW w:w="412" w:type="pc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400" w:firstLine="720"/>
              <w:rPr>
                <w:sz w:val="18"/>
                <w:szCs w:val="18"/>
              </w:rPr>
            </w:pPr>
            <w:r>
              <w:rPr>
                <w:sz w:val="18"/>
                <w:szCs w:val="18"/>
              </w:rPr>
              <w:t>其他</w:t>
            </w:r>
          </w:p>
        </w:tc>
        <w:tc>
          <w:tcPr>
            <w:tcW w:w="417"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35"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35"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35"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47"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17"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343"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35"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17"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35"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47"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35"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47"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388"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47"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r w:rsidR="00E20B54">
        <w:trPr>
          <w:trHeight w:val="240"/>
        </w:trPr>
        <w:tc>
          <w:tcPr>
            <w:tcW w:w="412" w:type="pc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二、本年期初余额</w:t>
            </w:r>
          </w:p>
        </w:tc>
        <w:tc>
          <w:tcPr>
            <w:tcW w:w="417"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67,236,800.00</w:t>
            </w:r>
          </w:p>
        </w:tc>
        <w:tc>
          <w:tcPr>
            <w:tcW w:w="135"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35"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35"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47"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590,694,089.77</w:t>
            </w:r>
          </w:p>
        </w:tc>
        <w:tc>
          <w:tcPr>
            <w:tcW w:w="417"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27,880,684.00</w:t>
            </w:r>
          </w:p>
        </w:tc>
        <w:tc>
          <w:tcPr>
            <w:tcW w:w="343"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-673,076.93</w:t>
            </w:r>
          </w:p>
        </w:tc>
        <w:tc>
          <w:tcPr>
            <w:tcW w:w="135"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17"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25,904,440.33</w:t>
            </w:r>
          </w:p>
        </w:tc>
        <w:tc>
          <w:tcPr>
            <w:tcW w:w="135"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47"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176,446,442.34</w:t>
            </w:r>
          </w:p>
        </w:tc>
        <w:tc>
          <w:tcPr>
            <w:tcW w:w="135"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47"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831,728,011.51</w:t>
            </w:r>
          </w:p>
        </w:tc>
        <w:tc>
          <w:tcPr>
            <w:tcW w:w="388"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4,551,722.69</w:t>
            </w:r>
          </w:p>
        </w:tc>
        <w:tc>
          <w:tcPr>
            <w:tcW w:w="447"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836,279,734.20</w:t>
            </w:r>
          </w:p>
        </w:tc>
      </w:tr>
      <w:tr w:rsidR="00E20B54">
        <w:trPr>
          <w:trHeight w:val="240"/>
        </w:trPr>
        <w:tc>
          <w:tcPr>
            <w:tcW w:w="412" w:type="pc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三、本期增减变动金额（减少以</w:t>
            </w:r>
            <w:r>
              <w:rPr>
                <w:sz w:val="18"/>
                <w:szCs w:val="18"/>
              </w:rPr>
              <w:t>“</w:t>
            </w:r>
            <w:r>
              <w:rPr>
                <w:sz w:val="18"/>
                <w:szCs w:val="18"/>
              </w:rPr>
              <w:t>－</w:t>
            </w:r>
            <w:r>
              <w:rPr>
                <w:sz w:val="18"/>
                <w:szCs w:val="18"/>
              </w:rPr>
              <w:t>”</w:t>
            </w:r>
            <w:r>
              <w:rPr>
                <w:sz w:val="18"/>
                <w:szCs w:val="18"/>
              </w:rPr>
              <w:t>号填列）</w:t>
            </w:r>
          </w:p>
        </w:tc>
        <w:tc>
          <w:tcPr>
            <w:tcW w:w="417"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-128,000.00</w:t>
            </w:r>
          </w:p>
        </w:tc>
        <w:tc>
          <w:tcPr>
            <w:tcW w:w="135"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35"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35"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47"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7,603,112.96</w:t>
            </w:r>
          </w:p>
        </w:tc>
        <w:tc>
          <w:tcPr>
            <w:tcW w:w="417"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24,859,888.07</w:t>
            </w:r>
          </w:p>
        </w:tc>
        <w:tc>
          <w:tcPr>
            <w:tcW w:w="343"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70,035.49</w:t>
            </w:r>
          </w:p>
        </w:tc>
        <w:tc>
          <w:tcPr>
            <w:tcW w:w="135"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17"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35"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47"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-56,163,104.46</w:t>
            </w:r>
          </w:p>
        </w:tc>
        <w:tc>
          <w:tcPr>
            <w:tcW w:w="135"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47"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-73,477,844.08</w:t>
            </w:r>
          </w:p>
        </w:tc>
        <w:tc>
          <w:tcPr>
            <w:tcW w:w="388"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3,614,930.46</w:t>
            </w:r>
          </w:p>
        </w:tc>
        <w:tc>
          <w:tcPr>
            <w:tcW w:w="447"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-69,862,913.62</w:t>
            </w:r>
          </w:p>
        </w:tc>
      </w:tr>
      <w:tr w:rsidR="00E20B54">
        <w:trPr>
          <w:trHeight w:val="240"/>
        </w:trPr>
        <w:tc>
          <w:tcPr>
            <w:tcW w:w="412" w:type="pc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（一）综合收益总</w:t>
            </w:r>
            <w:r>
              <w:rPr>
                <w:sz w:val="18"/>
                <w:szCs w:val="18"/>
              </w:rPr>
              <w:lastRenderedPageBreak/>
              <w:t>额</w:t>
            </w:r>
          </w:p>
        </w:tc>
        <w:tc>
          <w:tcPr>
            <w:tcW w:w="417"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35"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35"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35"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47"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17"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343"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70,035.49</w:t>
            </w:r>
          </w:p>
        </w:tc>
        <w:tc>
          <w:tcPr>
            <w:tcW w:w="135"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17"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35"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47"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-49,552,838.46</w:t>
            </w:r>
          </w:p>
        </w:tc>
        <w:tc>
          <w:tcPr>
            <w:tcW w:w="135"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47"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-49,482,802.97</w:t>
            </w:r>
          </w:p>
        </w:tc>
        <w:tc>
          <w:tcPr>
            <w:tcW w:w="388"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-3,938,955.22</w:t>
            </w:r>
          </w:p>
        </w:tc>
        <w:tc>
          <w:tcPr>
            <w:tcW w:w="447"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-53,421,758.19</w:t>
            </w:r>
          </w:p>
        </w:tc>
      </w:tr>
      <w:tr w:rsidR="00E20B54">
        <w:trPr>
          <w:trHeight w:val="240"/>
        </w:trPr>
        <w:tc>
          <w:tcPr>
            <w:tcW w:w="412" w:type="pc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lastRenderedPageBreak/>
              <w:t>（二）所有者投入和减少资本</w:t>
            </w:r>
          </w:p>
        </w:tc>
        <w:tc>
          <w:tcPr>
            <w:tcW w:w="417"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-128,000.00</w:t>
            </w:r>
          </w:p>
        </w:tc>
        <w:tc>
          <w:tcPr>
            <w:tcW w:w="135"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35"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35"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47"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7,603,112.96</w:t>
            </w:r>
          </w:p>
        </w:tc>
        <w:tc>
          <w:tcPr>
            <w:tcW w:w="417"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24,859,888.07</w:t>
            </w:r>
          </w:p>
        </w:tc>
        <w:tc>
          <w:tcPr>
            <w:tcW w:w="343"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35"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17"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35"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47"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35"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47"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-17,384,775.11</w:t>
            </w:r>
          </w:p>
        </w:tc>
        <w:tc>
          <w:tcPr>
            <w:tcW w:w="388"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47"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-17,384,775.11</w:t>
            </w:r>
          </w:p>
        </w:tc>
      </w:tr>
      <w:tr w:rsidR="00E20B54">
        <w:trPr>
          <w:trHeight w:val="240"/>
        </w:trPr>
        <w:tc>
          <w:tcPr>
            <w:tcW w:w="412" w:type="pc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1</w:t>
            </w:r>
            <w:r>
              <w:rPr>
                <w:sz w:val="18"/>
                <w:szCs w:val="18"/>
              </w:rPr>
              <w:t>．所有者投入的普通股</w:t>
            </w:r>
          </w:p>
        </w:tc>
        <w:tc>
          <w:tcPr>
            <w:tcW w:w="417"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-128,000.00</w:t>
            </w:r>
          </w:p>
        </w:tc>
        <w:tc>
          <w:tcPr>
            <w:tcW w:w="135"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35"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35"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47"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-1,908,480.00</w:t>
            </w:r>
          </w:p>
        </w:tc>
        <w:tc>
          <w:tcPr>
            <w:tcW w:w="417"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-2,036,480.00</w:t>
            </w:r>
          </w:p>
        </w:tc>
        <w:tc>
          <w:tcPr>
            <w:tcW w:w="343"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35"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17"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35"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47"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35"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47"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388"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47"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r w:rsidR="00E20B54">
        <w:trPr>
          <w:trHeight w:val="240"/>
        </w:trPr>
        <w:tc>
          <w:tcPr>
            <w:tcW w:w="412" w:type="pc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2</w:t>
            </w:r>
            <w:r>
              <w:rPr>
                <w:sz w:val="18"/>
                <w:szCs w:val="18"/>
              </w:rPr>
              <w:t>．其他权益工具持有者投入资本</w:t>
            </w:r>
          </w:p>
        </w:tc>
        <w:tc>
          <w:tcPr>
            <w:tcW w:w="417"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35"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35"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35"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47"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17"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343"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35"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17"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35"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47"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35"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47"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388"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47"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r w:rsidR="00E20B54">
        <w:trPr>
          <w:trHeight w:val="240"/>
        </w:trPr>
        <w:tc>
          <w:tcPr>
            <w:tcW w:w="412" w:type="pc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3</w:t>
            </w:r>
            <w:r>
              <w:rPr>
                <w:sz w:val="18"/>
                <w:szCs w:val="18"/>
              </w:rPr>
              <w:t>．股份支付计入所有者权益的金额</w:t>
            </w:r>
          </w:p>
        </w:tc>
        <w:tc>
          <w:tcPr>
            <w:tcW w:w="417"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35"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35"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35"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47"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9,511,717.82</w:t>
            </w:r>
          </w:p>
        </w:tc>
        <w:tc>
          <w:tcPr>
            <w:tcW w:w="417"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27,011,568.07</w:t>
            </w:r>
          </w:p>
        </w:tc>
        <w:tc>
          <w:tcPr>
            <w:tcW w:w="343"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35"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17"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35"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47"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35"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47"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-17,499,850.25</w:t>
            </w:r>
          </w:p>
        </w:tc>
        <w:tc>
          <w:tcPr>
            <w:tcW w:w="388"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47"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-17,499,850.25</w:t>
            </w:r>
          </w:p>
        </w:tc>
      </w:tr>
      <w:tr w:rsidR="00E20B54">
        <w:trPr>
          <w:trHeight w:val="240"/>
        </w:trPr>
        <w:tc>
          <w:tcPr>
            <w:tcW w:w="412" w:type="pc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lastRenderedPageBreak/>
              <w:t>4</w:t>
            </w:r>
            <w:r>
              <w:rPr>
                <w:sz w:val="18"/>
                <w:szCs w:val="18"/>
              </w:rPr>
              <w:t>．其他</w:t>
            </w:r>
          </w:p>
        </w:tc>
        <w:tc>
          <w:tcPr>
            <w:tcW w:w="417"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35"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35"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35"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47"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-124.86</w:t>
            </w:r>
          </w:p>
        </w:tc>
        <w:tc>
          <w:tcPr>
            <w:tcW w:w="417"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-115,200.00</w:t>
            </w:r>
          </w:p>
        </w:tc>
        <w:tc>
          <w:tcPr>
            <w:tcW w:w="343"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35"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17"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35"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47"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35"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47"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115,075.14</w:t>
            </w:r>
          </w:p>
        </w:tc>
        <w:tc>
          <w:tcPr>
            <w:tcW w:w="388"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47"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115,075.14</w:t>
            </w:r>
          </w:p>
        </w:tc>
      </w:tr>
      <w:tr w:rsidR="00E20B54">
        <w:trPr>
          <w:trHeight w:val="240"/>
        </w:trPr>
        <w:tc>
          <w:tcPr>
            <w:tcW w:w="412" w:type="pc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（三）利润分配</w:t>
            </w:r>
          </w:p>
        </w:tc>
        <w:tc>
          <w:tcPr>
            <w:tcW w:w="417"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35"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35"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35"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47"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17"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343"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35"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17"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35"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47"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-6,610,266.00</w:t>
            </w:r>
          </w:p>
        </w:tc>
        <w:tc>
          <w:tcPr>
            <w:tcW w:w="135"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47"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-6,610,266.00</w:t>
            </w:r>
          </w:p>
        </w:tc>
        <w:tc>
          <w:tcPr>
            <w:tcW w:w="388"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7,553,885.68</w:t>
            </w:r>
          </w:p>
        </w:tc>
        <w:tc>
          <w:tcPr>
            <w:tcW w:w="447"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943,619.68</w:t>
            </w:r>
          </w:p>
        </w:tc>
      </w:tr>
      <w:tr w:rsidR="00E20B54">
        <w:trPr>
          <w:trHeight w:val="240"/>
        </w:trPr>
        <w:tc>
          <w:tcPr>
            <w:tcW w:w="412" w:type="pc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1</w:t>
            </w:r>
            <w:r>
              <w:rPr>
                <w:sz w:val="18"/>
                <w:szCs w:val="18"/>
              </w:rPr>
              <w:t>．提取盈余公积</w:t>
            </w:r>
          </w:p>
        </w:tc>
        <w:tc>
          <w:tcPr>
            <w:tcW w:w="417"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35"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35"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35"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47"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17"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343"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35"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17"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35"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47"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35"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47"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388"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47"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r w:rsidR="00E20B54">
        <w:trPr>
          <w:trHeight w:val="240"/>
        </w:trPr>
        <w:tc>
          <w:tcPr>
            <w:tcW w:w="412" w:type="pc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2</w:t>
            </w:r>
            <w:r>
              <w:rPr>
                <w:sz w:val="18"/>
                <w:szCs w:val="18"/>
              </w:rPr>
              <w:t>．提取一般风险准备</w:t>
            </w:r>
          </w:p>
        </w:tc>
        <w:tc>
          <w:tcPr>
            <w:tcW w:w="417"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35"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35"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35"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47"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17"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343"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35"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17"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35"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47"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35"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47"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388"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47"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r w:rsidR="00E20B54">
        <w:trPr>
          <w:trHeight w:val="240"/>
        </w:trPr>
        <w:tc>
          <w:tcPr>
            <w:tcW w:w="412" w:type="pc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3</w:t>
            </w:r>
            <w:r>
              <w:rPr>
                <w:sz w:val="18"/>
                <w:szCs w:val="18"/>
              </w:rPr>
              <w:t>．对所有者（或股东）的分配</w:t>
            </w:r>
          </w:p>
        </w:tc>
        <w:tc>
          <w:tcPr>
            <w:tcW w:w="417"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35"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35"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35"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47"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17"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343"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35"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17"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35"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47"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-6,610,266.00</w:t>
            </w:r>
          </w:p>
        </w:tc>
        <w:tc>
          <w:tcPr>
            <w:tcW w:w="135"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47"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-6,610,266.00</w:t>
            </w:r>
          </w:p>
        </w:tc>
        <w:tc>
          <w:tcPr>
            <w:tcW w:w="388"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47"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-6,610,266.00</w:t>
            </w:r>
          </w:p>
        </w:tc>
      </w:tr>
      <w:tr w:rsidR="00E20B54">
        <w:trPr>
          <w:trHeight w:val="240"/>
        </w:trPr>
        <w:tc>
          <w:tcPr>
            <w:tcW w:w="412" w:type="pc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4</w:t>
            </w:r>
            <w:r>
              <w:rPr>
                <w:sz w:val="18"/>
                <w:szCs w:val="18"/>
              </w:rPr>
              <w:t>．其他</w:t>
            </w:r>
          </w:p>
        </w:tc>
        <w:tc>
          <w:tcPr>
            <w:tcW w:w="417"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35"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35"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35"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47"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17"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343"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35"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17"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35"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47"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35"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47"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388"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7,553,885.68</w:t>
            </w:r>
          </w:p>
        </w:tc>
        <w:tc>
          <w:tcPr>
            <w:tcW w:w="447"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7,553,885.68</w:t>
            </w:r>
          </w:p>
        </w:tc>
      </w:tr>
      <w:tr w:rsidR="00E20B54">
        <w:trPr>
          <w:trHeight w:val="240"/>
        </w:trPr>
        <w:tc>
          <w:tcPr>
            <w:tcW w:w="412" w:type="pc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（四）所有者</w:t>
            </w:r>
            <w:r>
              <w:rPr>
                <w:sz w:val="18"/>
                <w:szCs w:val="18"/>
              </w:rPr>
              <w:lastRenderedPageBreak/>
              <w:t>权益内部结转</w:t>
            </w:r>
          </w:p>
        </w:tc>
        <w:tc>
          <w:tcPr>
            <w:tcW w:w="417"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35"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35"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35"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47"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17"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343"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35"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17"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35"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47"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35"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47"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388"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47"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r w:rsidR="00E20B54">
        <w:trPr>
          <w:trHeight w:val="240"/>
        </w:trPr>
        <w:tc>
          <w:tcPr>
            <w:tcW w:w="412" w:type="pc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lastRenderedPageBreak/>
              <w:t>1</w:t>
            </w:r>
            <w:r>
              <w:rPr>
                <w:sz w:val="18"/>
                <w:szCs w:val="18"/>
              </w:rPr>
              <w:t>．资本公积转增资本（或股本）</w:t>
            </w:r>
          </w:p>
        </w:tc>
        <w:tc>
          <w:tcPr>
            <w:tcW w:w="417"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35"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35"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35"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47"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17"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343"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35"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17"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35"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47"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35"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47"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388"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47"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r w:rsidR="00E20B54">
        <w:trPr>
          <w:trHeight w:val="240"/>
        </w:trPr>
        <w:tc>
          <w:tcPr>
            <w:tcW w:w="412" w:type="pc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2</w:t>
            </w:r>
            <w:r>
              <w:rPr>
                <w:sz w:val="18"/>
                <w:szCs w:val="18"/>
              </w:rPr>
              <w:t>．盈余公积转增资本（或股本）</w:t>
            </w:r>
          </w:p>
        </w:tc>
        <w:tc>
          <w:tcPr>
            <w:tcW w:w="417"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35"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35"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35"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47"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17"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343"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35"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17"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35"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47"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35"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47"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388"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47"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r w:rsidR="00E20B54">
        <w:trPr>
          <w:trHeight w:val="240"/>
        </w:trPr>
        <w:tc>
          <w:tcPr>
            <w:tcW w:w="412" w:type="pc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3</w:t>
            </w:r>
            <w:r>
              <w:rPr>
                <w:sz w:val="18"/>
                <w:szCs w:val="18"/>
              </w:rPr>
              <w:t>．盈余公积弥补亏损</w:t>
            </w:r>
          </w:p>
        </w:tc>
        <w:tc>
          <w:tcPr>
            <w:tcW w:w="417"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35"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35"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35"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47"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17"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343"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35"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17"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35"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47"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35"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47"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388"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47"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r w:rsidR="00E20B54">
        <w:trPr>
          <w:trHeight w:val="240"/>
        </w:trPr>
        <w:tc>
          <w:tcPr>
            <w:tcW w:w="412" w:type="pc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4</w:t>
            </w:r>
            <w:r>
              <w:rPr>
                <w:sz w:val="18"/>
                <w:szCs w:val="18"/>
              </w:rPr>
              <w:t>．设定受益计划变动额</w:t>
            </w:r>
            <w:r>
              <w:rPr>
                <w:sz w:val="18"/>
                <w:szCs w:val="18"/>
              </w:rPr>
              <w:lastRenderedPageBreak/>
              <w:t>结转留存收益</w:t>
            </w:r>
          </w:p>
        </w:tc>
        <w:tc>
          <w:tcPr>
            <w:tcW w:w="417"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35"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35"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35"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47"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17"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343"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35"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17"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35"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47"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35"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47"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388"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47"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r w:rsidR="00E20B54">
        <w:trPr>
          <w:trHeight w:val="240"/>
        </w:trPr>
        <w:tc>
          <w:tcPr>
            <w:tcW w:w="412" w:type="pc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lastRenderedPageBreak/>
              <w:t>5</w:t>
            </w:r>
            <w:r>
              <w:rPr>
                <w:sz w:val="18"/>
                <w:szCs w:val="18"/>
              </w:rPr>
              <w:t>．其他综合收益结转留存收益</w:t>
            </w:r>
          </w:p>
        </w:tc>
        <w:tc>
          <w:tcPr>
            <w:tcW w:w="417"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35"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35"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35"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47"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17"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343"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35"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17"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35"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47"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35"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47"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388"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47"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r w:rsidR="00E20B54">
        <w:trPr>
          <w:trHeight w:val="240"/>
        </w:trPr>
        <w:tc>
          <w:tcPr>
            <w:tcW w:w="412" w:type="pc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6</w:t>
            </w:r>
            <w:r>
              <w:rPr>
                <w:sz w:val="18"/>
                <w:szCs w:val="18"/>
              </w:rPr>
              <w:t>．其他</w:t>
            </w:r>
          </w:p>
        </w:tc>
        <w:tc>
          <w:tcPr>
            <w:tcW w:w="417"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35"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35"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35"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47"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17"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343"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35"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17"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35"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47"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35"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47"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388"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47"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r w:rsidR="00E20B54">
        <w:trPr>
          <w:trHeight w:val="240"/>
        </w:trPr>
        <w:tc>
          <w:tcPr>
            <w:tcW w:w="412" w:type="pc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（五）专项储备</w:t>
            </w:r>
          </w:p>
        </w:tc>
        <w:tc>
          <w:tcPr>
            <w:tcW w:w="417"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35"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35"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35"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47"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17"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343"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35"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17"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35"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47"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35"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47"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388"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47"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r w:rsidR="00E20B54">
        <w:trPr>
          <w:trHeight w:val="240"/>
        </w:trPr>
        <w:tc>
          <w:tcPr>
            <w:tcW w:w="412" w:type="pc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1</w:t>
            </w:r>
            <w:r>
              <w:rPr>
                <w:sz w:val="18"/>
                <w:szCs w:val="18"/>
              </w:rPr>
              <w:t>．本期提取</w:t>
            </w:r>
          </w:p>
        </w:tc>
        <w:tc>
          <w:tcPr>
            <w:tcW w:w="417"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35"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35"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35"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47"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17"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343"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35"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17"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35"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47"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35"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47"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388"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47"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r w:rsidR="00E20B54">
        <w:trPr>
          <w:trHeight w:val="240"/>
        </w:trPr>
        <w:tc>
          <w:tcPr>
            <w:tcW w:w="412" w:type="pc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2</w:t>
            </w:r>
            <w:r>
              <w:rPr>
                <w:sz w:val="18"/>
                <w:szCs w:val="18"/>
              </w:rPr>
              <w:t>．本期使用</w:t>
            </w:r>
          </w:p>
        </w:tc>
        <w:tc>
          <w:tcPr>
            <w:tcW w:w="417"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35"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35"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35"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47"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17"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343"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35"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17"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35"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47"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35"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47"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388"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47"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r w:rsidR="00E20B54">
        <w:trPr>
          <w:trHeight w:val="240"/>
        </w:trPr>
        <w:tc>
          <w:tcPr>
            <w:tcW w:w="412" w:type="pc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（六）其他</w:t>
            </w:r>
          </w:p>
        </w:tc>
        <w:tc>
          <w:tcPr>
            <w:tcW w:w="417"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35"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35"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35"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47"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17"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343"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35"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17"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35"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47"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35"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47"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388"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47"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r w:rsidR="00E20B54">
        <w:trPr>
          <w:trHeight w:val="240"/>
        </w:trPr>
        <w:tc>
          <w:tcPr>
            <w:tcW w:w="412" w:type="pc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四、本期期末</w:t>
            </w:r>
            <w:r>
              <w:rPr>
                <w:sz w:val="18"/>
                <w:szCs w:val="18"/>
              </w:rPr>
              <w:lastRenderedPageBreak/>
              <w:t>余额</w:t>
            </w:r>
          </w:p>
        </w:tc>
        <w:tc>
          <w:tcPr>
            <w:tcW w:w="417"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lastRenderedPageBreak/>
              <w:t>67,108,800.00</w:t>
            </w:r>
          </w:p>
        </w:tc>
        <w:tc>
          <w:tcPr>
            <w:tcW w:w="135"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35"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35"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47"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598,297,202.73</w:t>
            </w:r>
          </w:p>
        </w:tc>
        <w:tc>
          <w:tcPr>
            <w:tcW w:w="417"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52,740,572.07</w:t>
            </w:r>
          </w:p>
        </w:tc>
        <w:tc>
          <w:tcPr>
            <w:tcW w:w="343"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-603,041.44</w:t>
            </w:r>
          </w:p>
        </w:tc>
        <w:tc>
          <w:tcPr>
            <w:tcW w:w="135"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17"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25,904,440.33</w:t>
            </w:r>
          </w:p>
        </w:tc>
        <w:tc>
          <w:tcPr>
            <w:tcW w:w="135"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47"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120,283,337.88</w:t>
            </w:r>
          </w:p>
        </w:tc>
        <w:tc>
          <w:tcPr>
            <w:tcW w:w="135"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47"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758,250,167.43</w:t>
            </w:r>
          </w:p>
        </w:tc>
        <w:tc>
          <w:tcPr>
            <w:tcW w:w="388"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8,166,653.15</w:t>
            </w:r>
          </w:p>
        </w:tc>
        <w:tc>
          <w:tcPr>
            <w:tcW w:w="447"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766,416,820.58</w:t>
            </w:r>
          </w:p>
        </w:tc>
      </w:tr>
    </w:tbl>
    <w:p w:rsidR="00E20B54" w:rsidRDefault="00733C9E" w:rsidP="00C57489">
      <w:pPr>
        <w:pStyle w:val="3"/>
        <w:spacing w:beforeLines="50" w:before="156" w:after="0" w:line="280" w:lineRule="exact"/>
        <w:jc w:val="left"/>
      </w:pPr>
      <w:bookmarkStart w:id="158" w:name="_Toc989047"/>
      <w:r>
        <w:lastRenderedPageBreak/>
        <w:t>法定代表人：林明玲</w:t>
      </w:r>
      <w:r>
        <w:t xml:space="preserve">                  </w:t>
      </w:r>
      <w:r>
        <w:rPr>
          <w:rFonts w:hint="eastAsia"/>
        </w:rPr>
        <w:t xml:space="preserve">                           </w:t>
      </w:r>
      <w:r>
        <w:t xml:space="preserve">                 </w:t>
      </w:r>
      <w:r>
        <w:t>主管会计工作负责人：陈焕盛</w:t>
      </w:r>
      <w:r>
        <w:t xml:space="preserve">                            </w:t>
      </w:r>
      <w:r>
        <w:rPr>
          <w:rFonts w:hint="eastAsia"/>
        </w:rPr>
        <w:t xml:space="preserve">                              </w:t>
      </w:r>
      <w:r>
        <w:t xml:space="preserve">         </w:t>
      </w:r>
      <w:r>
        <w:t>会计机构负责人：赖宏伟</w:t>
      </w:r>
    </w:p>
    <w:p w:rsidR="00E20B54" w:rsidRDefault="00E20B54">
      <w:pPr>
        <w:pStyle w:val="3"/>
        <w:spacing w:line="280" w:lineRule="exact"/>
        <w:jc w:val="left"/>
        <w:rPr>
          <w:b/>
          <w:bCs/>
        </w:rPr>
      </w:pPr>
    </w:p>
    <w:p w:rsidR="00E20B54" w:rsidRDefault="00733C9E">
      <w:pPr>
        <w:rPr>
          <w:b/>
          <w:bCs/>
          <w:szCs w:val="21"/>
        </w:rPr>
      </w:pPr>
      <w:r>
        <w:rPr>
          <w:b/>
          <w:bCs/>
          <w:szCs w:val="21"/>
        </w:rPr>
        <w:br w:type="page"/>
      </w:r>
    </w:p>
    <w:p w:rsidR="00E20B54" w:rsidRDefault="00733C9E">
      <w:pPr>
        <w:pStyle w:val="3"/>
        <w:spacing w:line="280" w:lineRule="exact"/>
        <w:jc w:val="left"/>
        <w:rPr>
          <w:b/>
          <w:bCs/>
        </w:rPr>
      </w:pPr>
      <w:r>
        <w:rPr>
          <w:b/>
          <w:bCs/>
        </w:rPr>
        <w:lastRenderedPageBreak/>
        <w:t>8</w:t>
      </w:r>
      <w:r>
        <w:rPr>
          <w:b/>
          <w:bCs/>
        </w:rPr>
        <w:t>、母公司所有者权益变动表</w:t>
      </w:r>
      <w:bookmarkEnd w:id="158"/>
    </w:p>
    <w:p w:rsidR="00E20B54" w:rsidRDefault="00733C9E">
      <w:pPr>
        <w:spacing w:before="40" w:after="40" w:line="240" w:lineRule="exact"/>
        <w:rPr>
          <w:sz w:val="18"/>
          <w:szCs w:val="18"/>
        </w:rPr>
      </w:pPr>
      <w:r>
        <w:rPr>
          <w:sz w:val="18"/>
          <w:szCs w:val="18"/>
        </w:rPr>
        <w:t>本期金额</w:t>
      </w:r>
    </w:p>
    <w:p w:rsidR="00E20B54" w:rsidRDefault="00733C9E">
      <w:pPr>
        <w:spacing w:before="120" w:after="120" w:line="240" w:lineRule="exact"/>
        <w:jc w:val="right"/>
        <w:rPr>
          <w:sz w:val="18"/>
          <w:szCs w:val="18"/>
        </w:rPr>
      </w:pPr>
      <w:r>
        <w:rPr>
          <w:sz w:val="18"/>
          <w:szCs w:val="18"/>
        </w:rPr>
        <w:t>单位：元</w:t>
      </w:r>
    </w:p>
    <w:tbl>
      <w:tblPr>
        <w:tblpPr w:leftFromText="180" w:rightFromText="180" w:vertAnchor="text" w:horzAnchor="page" w:tblpX="1440" w:tblpY="363"/>
        <w:tblOverlap w:val="never"/>
        <w:tblW w:w="5000" w:type="pct"/>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2259"/>
        <w:gridCol w:w="1251"/>
        <w:gridCol w:w="620"/>
        <w:gridCol w:w="620"/>
        <w:gridCol w:w="546"/>
        <w:gridCol w:w="1341"/>
        <w:gridCol w:w="1251"/>
        <w:gridCol w:w="1130"/>
        <w:gridCol w:w="692"/>
        <w:gridCol w:w="1251"/>
        <w:gridCol w:w="1341"/>
        <w:gridCol w:w="468"/>
        <w:gridCol w:w="1406"/>
      </w:tblGrid>
      <w:tr w:rsidR="00E20B54">
        <w:trPr>
          <w:trHeight w:val="240"/>
          <w:tblHeader/>
        </w:trPr>
        <w:tc>
          <w:tcPr>
            <w:tcW w:w="797" w:type="pct"/>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项目</w:t>
            </w:r>
          </w:p>
        </w:tc>
        <w:tc>
          <w:tcPr>
            <w:tcW w:w="4202" w:type="pct"/>
            <w:gridSpan w:val="12"/>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2025</w:t>
            </w:r>
            <w:r>
              <w:rPr>
                <w:sz w:val="18"/>
                <w:szCs w:val="18"/>
              </w:rPr>
              <w:t>年度</w:t>
            </w:r>
          </w:p>
        </w:tc>
      </w:tr>
      <w:tr w:rsidR="00E20B54">
        <w:trPr>
          <w:trHeight w:val="240"/>
          <w:tblHeader/>
        </w:trPr>
        <w:tc>
          <w:tcPr>
            <w:tcW w:w="797" w:type="pct"/>
            <w:vMerge/>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c>
          <w:tcPr>
            <w:tcW w:w="441" w:type="pct"/>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股本</w:t>
            </w:r>
          </w:p>
        </w:tc>
        <w:tc>
          <w:tcPr>
            <w:tcW w:w="631" w:type="pct"/>
            <w:gridSpan w:val="3"/>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其他权益工具</w:t>
            </w:r>
          </w:p>
        </w:tc>
        <w:tc>
          <w:tcPr>
            <w:tcW w:w="472" w:type="pct"/>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资本公积</w:t>
            </w:r>
          </w:p>
        </w:tc>
        <w:tc>
          <w:tcPr>
            <w:tcW w:w="441" w:type="pct"/>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减：库存股</w:t>
            </w:r>
          </w:p>
        </w:tc>
        <w:tc>
          <w:tcPr>
            <w:tcW w:w="399" w:type="pct"/>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其他综合收益</w:t>
            </w:r>
          </w:p>
        </w:tc>
        <w:tc>
          <w:tcPr>
            <w:tcW w:w="244" w:type="pct"/>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专项储备</w:t>
            </w:r>
          </w:p>
        </w:tc>
        <w:tc>
          <w:tcPr>
            <w:tcW w:w="441" w:type="pct"/>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盈余公积</w:t>
            </w:r>
          </w:p>
        </w:tc>
        <w:tc>
          <w:tcPr>
            <w:tcW w:w="472" w:type="pct"/>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未分配利润</w:t>
            </w:r>
          </w:p>
        </w:tc>
        <w:tc>
          <w:tcPr>
            <w:tcW w:w="165" w:type="pct"/>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其他</w:t>
            </w:r>
          </w:p>
        </w:tc>
        <w:tc>
          <w:tcPr>
            <w:tcW w:w="492" w:type="pct"/>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所有者权益合计</w:t>
            </w:r>
          </w:p>
        </w:tc>
      </w:tr>
      <w:tr w:rsidR="00E20B54">
        <w:trPr>
          <w:trHeight w:val="240"/>
          <w:tblHeader/>
        </w:trPr>
        <w:tc>
          <w:tcPr>
            <w:tcW w:w="797" w:type="pct"/>
            <w:vMerge/>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c>
          <w:tcPr>
            <w:tcW w:w="441" w:type="pct"/>
            <w:vMerge/>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c>
          <w:tcPr>
            <w:tcW w:w="219" w:type="pc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优先股</w:t>
            </w:r>
          </w:p>
        </w:tc>
        <w:tc>
          <w:tcPr>
            <w:tcW w:w="219" w:type="pc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永续债</w:t>
            </w:r>
          </w:p>
        </w:tc>
        <w:tc>
          <w:tcPr>
            <w:tcW w:w="193" w:type="pc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其他</w:t>
            </w:r>
          </w:p>
        </w:tc>
        <w:tc>
          <w:tcPr>
            <w:tcW w:w="472" w:type="pct"/>
            <w:vMerge/>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c>
          <w:tcPr>
            <w:tcW w:w="441" w:type="pct"/>
            <w:vMerge/>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c>
          <w:tcPr>
            <w:tcW w:w="399" w:type="pct"/>
            <w:vMerge/>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c>
          <w:tcPr>
            <w:tcW w:w="244" w:type="pct"/>
            <w:vMerge/>
            <w:tcBorders>
              <w:top w:val="single" w:sz="2" w:space="0" w:color="auto"/>
              <w:left w:val="single" w:sz="2" w:space="0" w:color="auto"/>
              <w:bottom w:val="single" w:sz="2" w:space="0" w:color="auto"/>
              <w:right w:val="single" w:sz="2" w:space="0" w:color="auto"/>
            </w:tcBorders>
            <w:vAlign w:val="center"/>
          </w:tcPr>
          <w:p w:rsidR="00E20B54" w:rsidRDefault="00E20B54"/>
        </w:tc>
        <w:tc>
          <w:tcPr>
            <w:tcW w:w="441" w:type="pct"/>
            <w:vMerge/>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c>
          <w:tcPr>
            <w:tcW w:w="472" w:type="pct"/>
            <w:vMerge/>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c>
          <w:tcPr>
            <w:tcW w:w="165" w:type="pct"/>
            <w:vMerge/>
            <w:tcBorders>
              <w:top w:val="single" w:sz="2" w:space="0" w:color="auto"/>
              <w:left w:val="single" w:sz="2" w:space="0" w:color="auto"/>
              <w:bottom w:val="single" w:sz="2" w:space="0" w:color="auto"/>
              <w:right w:val="single" w:sz="2" w:space="0" w:color="auto"/>
            </w:tcBorders>
            <w:vAlign w:val="center"/>
          </w:tcPr>
          <w:p w:rsidR="00E20B54" w:rsidRDefault="00E20B54"/>
        </w:tc>
        <w:tc>
          <w:tcPr>
            <w:tcW w:w="492" w:type="pct"/>
            <w:vMerge/>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r>
      <w:tr w:rsidR="00E20B54">
        <w:trPr>
          <w:trHeight w:val="240"/>
        </w:trPr>
        <w:tc>
          <w:tcPr>
            <w:tcW w:w="797" w:type="pc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一、上年期末余额</w:t>
            </w:r>
          </w:p>
        </w:tc>
        <w:tc>
          <w:tcPr>
            <w:tcW w:w="441"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67,108,800.00</w:t>
            </w:r>
          </w:p>
        </w:tc>
        <w:tc>
          <w:tcPr>
            <w:tcW w:w="219"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219"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93"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72"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597,836,882.58</w:t>
            </w:r>
          </w:p>
        </w:tc>
        <w:tc>
          <w:tcPr>
            <w:tcW w:w="441"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52,740,572.07</w:t>
            </w:r>
          </w:p>
        </w:tc>
        <w:tc>
          <w:tcPr>
            <w:tcW w:w="399"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-269,110.00</w:t>
            </w:r>
          </w:p>
        </w:tc>
        <w:tc>
          <w:tcPr>
            <w:tcW w:w="244"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41"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25,904,440.33</w:t>
            </w:r>
          </w:p>
        </w:tc>
        <w:tc>
          <w:tcPr>
            <w:tcW w:w="472"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102,082,956.33</w:t>
            </w:r>
          </w:p>
        </w:tc>
        <w:tc>
          <w:tcPr>
            <w:tcW w:w="165"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92"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739,923,397.17</w:t>
            </w:r>
          </w:p>
        </w:tc>
      </w:tr>
      <w:tr w:rsidR="00E20B54">
        <w:trPr>
          <w:trHeight w:val="240"/>
        </w:trPr>
        <w:tc>
          <w:tcPr>
            <w:tcW w:w="797" w:type="pc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200" w:firstLine="360"/>
              <w:rPr>
                <w:sz w:val="18"/>
                <w:szCs w:val="18"/>
              </w:rPr>
            </w:pPr>
            <w:r>
              <w:rPr>
                <w:sz w:val="18"/>
                <w:szCs w:val="18"/>
              </w:rPr>
              <w:t>加：会计政策变更</w:t>
            </w:r>
          </w:p>
        </w:tc>
        <w:tc>
          <w:tcPr>
            <w:tcW w:w="441"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219"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219"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93"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72"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41"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399"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244"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41"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72"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65"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92"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r w:rsidR="00E20B54">
        <w:trPr>
          <w:trHeight w:val="240"/>
        </w:trPr>
        <w:tc>
          <w:tcPr>
            <w:tcW w:w="797" w:type="pc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400" w:firstLine="720"/>
              <w:rPr>
                <w:sz w:val="18"/>
                <w:szCs w:val="18"/>
              </w:rPr>
            </w:pPr>
            <w:r>
              <w:rPr>
                <w:sz w:val="18"/>
                <w:szCs w:val="18"/>
              </w:rPr>
              <w:t>前期差错更正</w:t>
            </w:r>
          </w:p>
        </w:tc>
        <w:tc>
          <w:tcPr>
            <w:tcW w:w="441"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219"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219"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93"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72"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41"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399"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244"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41"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72"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65"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92"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r w:rsidR="00E20B54">
        <w:trPr>
          <w:trHeight w:val="240"/>
        </w:trPr>
        <w:tc>
          <w:tcPr>
            <w:tcW w:w="797" w:type="pc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400" w:firstLine="720"/>
              <w:rPr>
                <w:sz w:val="18"/>
                <w:szCs w:val="18"/>
              </w:rPr>
            </w:pPr>
            <w:r>
              <w:rPr>
                <w:sz w:val="18"/>
                <w:szCs w:val="18"/>
              </w:rPr>
              <w:t>其他</w:t>
            </w:r>
          </w:p>
        </w:tc>
        <w:tc>
          <w:tcPr>
            <w:tcW w:w="441"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219"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219"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93"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72"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41"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399"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244"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41"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72"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65"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92"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r w:rsidR="00E20B54">
        <w:trPr>
          <w:trHeight w:val="240"/>
        </w:trPr>
        <w:tc>
          <w:tcPr>
            <w:tcW w:w="797" w:type="pc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二、本年期初余额</w:t>
            </w:r>
          </w:p>
        </w:tc>
        <w:tc>
          <w:tcPr>
            <w:tcW w:w="441"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67,108,800.00</w:t>
            </w:r>
          </w:p>
        </w:tc>
        <w:tc>
          <w:tcPr>
            <w:tcW w:w="219"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0.00</w:t>
            </w:r>
          </w:p>
        </w:tc>
        <w:tc>
          <w:tcPr>
            <w:tcW w:w="219"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0.00</w:t>
            </w:r>
          </w:p>
        </w:tc>
        <w:tc>
          <w:tcPr>
            <w:tcW w:w="193"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0.00</w:t>
            </w:r>
          </w:p>
        </w:tc>
        <w:tc>
          <w:tcPr>
            <w:tcW w:w="472"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597,836,882.58</w:t>
            </w:r>
          </w:p>
        </w:tc>
        <w:tc>
          <w:tcPr>
            <w:tcW w:w="441"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52,740,572.07</w:t>
            </w:r>
          </w:p>
        </w:tc>
        <w:tc>
          <w:tcPr>
            <w:tcW w:w="399"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-269,110.00</w:t>
            </w:r>
          </w:p>
        </w:tc>
        <w:tc>
          <w:tcPr>
            <w:tcW w:w="244"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0.00</w:t>
            </w:r>
          </w:p>
        </w:tc>
        <w:tc>
          <w:tcPr>
            <w:tcW w:w="441"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25,904,440.33</w:t>
            </w:r>
          </w:p>
        </w:tc>
        <w:tc>
          <w:tcPr>
            <w:tcW w:w="472"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102,082,956.33</w:t>
            </w:r>
          </w:p>
        </w:tc>
        <w:tc>
          <w:tcPr>
            <w:tcW w:w="165"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92"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739,923,397.17</w:t>
            </w:r>
          </w:p>
        </w:tc>
      </w:tr>
      <w:tr w:rsidR="00E20B54">
        <w:trPr>
          <w:trHeight w:val="240"/>
        </w:trPr>
        <w:tc>
          <w:tcPr>
            <w:tcW w:w="797" w:type="pc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三、本期增减变动金额（减少以</w:t>
            </w:r>
            <w:r>
              <w:rPr>
                <w:sz w:val="18"/>
                <w:szCs w:val="18"/>
              </w:rPr>
              <w:t>“</w:t>
            </w:r>
            <w:r>
              <w:rPr>
                <w:sz w:val="18"/>
                <w:szCs w:val="18"/>
              </w:rPr>
              <w:t>－</w:t>
            </w:r>
            <w:r>
              <w:rPr>
                <w:sz w:val="18"/>
                <w:szCs w:val="18"/>
              </w:rPr>
              <w:t>”</w:t>
            </w:r>
            <w:r>
              <w:rPr>
                <w:sz w:val="18"/>
                <w:szCs w:val="18"/>
              </w:rPr>
              <w:t>号填列）</w:t>
            </w:r>
          </w:p>
        </w:tc>
        <w:tc>
          <w:tcPr>
            <w:tcW w:w="441"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-256,000.00</w:t>
            </w:r>
          </w:p>
        </w:tc>
        <w:tc>
          <w:tcPr>
            <w:tcW w:w="219"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0.00</w:t>
            </w:r>
          </w:p>
        </w:tc>
        <w:tc>
          <w:tcPr>
            <w:tcW w:w="219"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0.00</w:t>
            </w:r>
          </w:p>
        </w:tc>
        <w:tc>
          <w:tcPr>
            <w:tcW w:w="193"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0.00</w:t>
            </w:r>
          </w:p>
        </w:tc>
        <w:tc>
          <w:tcPr>
            <w:tcW w:w="472"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7,550,876.90</w:t>
            </w:r>
          </w:p>
        </w:tc>
        <w:tc>
          <w:tcPr>
            <w:tcW w:w="441"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-4,047,360.00</w:t>
            </w:r>
          </w:p>
        </w:tc>
        <w:tc>
          <w:tcPr>
            <w:tcW w:w="399"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0.00</w:t>
            </w:r>
          </w:p>
        </w:tc>
        <w:tc>
          <w:tcPr>
            <w:tcW w:w="244"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0.00</w:t>
            </w:r>
          </w:p>
        </w:tc>
        <w:tc>
          <w:tcPr>
            <w:tcW w:w="441"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0.00</w:t>
            </w:r>
          </w:p>
        </w:tc>
        <w:tc>
          <w:tcPr>
            <w:tcW w:w="472"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-1,646,485.66</w:t>
            </w:r>
          </w:p>
        </w:tc>
        <w:tc>
          <w:tcPr>
            <w:tcW w:w="165"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92"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9,695,751.24</w:t>
            </w:r>
          </w:p>
        </w:tc>
      </w:tr>
      <w:tr w:rsidR="00E20B54">
        <w:trPr>
          <w:trHeight w:val="240"/>
        </w:trPr>
        <w:tc>
          <w:tcPr>
            <w:tcW w:w="797" w:type="pc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（一）综合收益总额</w:t>
            </w:r>
          </w:p>
        </w:tc>
        <w:tc>
          <w:tcPr>
            <w:tcW w:w="441"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219"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219"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93"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72"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41"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399"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0.00</w:t>
            </w:r>
          </w:p>
        </w:tc>
        <w:tc>
          <w:tcPr>
            <w:tcW w:w="244"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41"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72"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-1,672,085.66</w:t>
            </w:r>
          </w:p>
        </w:tc>
        <w:tc>
          <w:tcPr>
            <w:tcW w:w="165"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92"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-1,672,085.66</w:t>
            </w:r>
          </w:p>
        </w:tc>
      </w:tr>
      <w:tr w:rsidR="00E20B54">
        <w:trPr>
          <w:trHeight w:val="240"/>
        </w:trPr>
        <w:tc>
          <w:tcPr>
            <w:tcW w:w="797" w:type="pc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（二）所有者投入和减少资本</w:t>
            </w:r>
          </w:p>
        </w:tc>
        <w:tc>
          <w:tcPr>
            <w:tcW w:w="441"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-256,000.00</w:t>
            </w:r>
          </w:p>
        </w:tc>
        <w:tc>
          <w:tcPr>
            <w:tcW w:w="219"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0.00</w:t>
            </w:r>
          </w:p>
        </w:tc>
        <w:tc>
          <w:tcPr>
            <w:tcW w:w="219"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0.00</w:t>
            </w:r>
          </w:p>
        </w:tc>
        <w:tc>
          <w:tcPr>
            <w:tcW w:w="193"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0.00</w:t>
            </w:r>
          </w:p>
        </w:tc>
        <w:tc>
          <w:tcPr>
            <w:tcW w:w="472"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7,550,876.90</w:t>
            </w:r>
          </w:p>
        </w:tc>
        <w:tc>
          <w:tcPr>
            <w:tcW w:w="441"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-4,047,360.00</w:t>
            </w:r>
          </w:p>
        </w:tc>
        <w:tc>
          <w:tcPr>
            <w:tcW w:w="399"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0.00</w:t>
            </w:r>
          </w:p>
        </w:tc>
        <w:tc>
          <w:tcPr>
            <w:tcW w:w="244"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0.00</w:t>
            </w:r>
          </w:p>
        </w:tc>
        <w:tc>
          <w:tcPr>
            <w:tcW w:w="441"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0.00</w:t>
            </w:r>
          </w:p>
        </w:tc>
        <w:tc>
          <w:tcPr>
            <w:tcW w:w="472"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0.00</w:t>
            </w:r>
          </w:p>
        </w:tc>
        <w:tc>
          <w:tcPr>
            <w:tcW w:w="165"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92"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11,342,236.90</w:t>
            </w:r>
          </w:p>
        </w:tc>
      </w:tr>
      <w:tr w:rsidR="00E20B54">
        <w:trPr>
          <w:trHeight w:val="240"/>
        </w:trPr>
        <w:tc>
          <w:tcPr>
            <w:tcW w:w="797" w:type="pc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1</w:t>
            </w:r>
            <w:r>
              <w:rPr>
                <w:sz w:val="18"/>
                <w:szCs w:val="18"/>
              </w:rPr>
              <w:t>．所有者投入的普通股</w:t>
            </w:r>
          </w:p>
        </w:tc>
        <w:tc>
          <w:tcPr>
            <w:tcW w:w="441"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-256,000.00</w:t>
            </w:r>
          </w:p>
        </w:tc>
        <w:tc>
          <w:tcPr>
            <w:tcW w:w="219"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219"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93"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72"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-3,816,960.00</w:t>
            </w:r>
          </w:p>
        </w:tc>
        <w:tc>
          <w:tcPr>
            <w:tcW w:w="441"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-4,072,960.00</w:t>
            </w:r>
          </w:p>
        </w:tc>
        <w:tc>
          <w:tcPr>
            <w:tcW w:w="399"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244"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41"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72"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65"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92"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0.00</w:t>
            </w:r>
          </w:p>
        </w:tc>
      </w:tr>
      <w:tr w:rsidR="00E20B54">
        <w:trPr>
          <w:trHeight w:val="240"/>
        </w:trPr>
        <w:tc>
          <w:tcPr>
            <w:tcW w:w="797" w:type="pc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2</w:t>
            </w:r>
            <w:r>
              <w:rPr>
                <w:sz w:val="18"/>
                <w:szCs w:val="18"/>
              </w:rPr>
              <w:t>．其他权益工具持有者投入资本</w:t>
            </w:r>
          </w:p>
        </w:tc>
        <w:tc>
          <w:tcPr>
            <w:tcW w:w="441"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219"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219"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93"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72"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41"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399"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244"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41"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72"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65"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92"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0.00</w:t>
            </w:r>
          </w:p>
        </w:tc>
      </w:tr>
      <w:tr w:rsidR="00E20B54">
        <w:trPr>
          <w:trHeight w:val="240"/>
        </w:trPr>
        <w:tc>
          <w:tcPr>
            <w:tcW w:w="797" w:type="pc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3</w:t>
            </w:r>
            <w:r>
              <w:rPr>
                <w:sz w:val="18"/>
                <w:szCs w:val="18"/>
              </w:rPr>
              <w:t>．股份支付计入所有者权益的金额</w:t>
            </w:r>
          </w:p>
        </w:tc>
        <w:tc>
          <w:tcPr>
            <w:tcW w:w="441"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219"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219"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93"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72"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11,367,836.90</w:t>
            </w:r>
          </w:p>
        </w:tc>
        <w:tc>
          <w:tcPr>
            <w:tcW w:w="441"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399"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244"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41"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72"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65"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92"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11,367,836.90</w:t>
            </w:r>
          </w:p>
        </w:tc>
      </w:tr>
      <w:tr w:rsidR="00E20B54">
        <w:trPr>
          <w:trHeight w:val="240"/>
        </w:trPr>
        <w:tc>
          <w:tcPr>
            <w:tcW w:w="797" w:type="pc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4</w:t>
            </w:r>
            <w:r>
              <w:rPr>
                <w:sz w:val="18"/>
                <w:szCs w:val="18"/>
              </w:rPr>
              <w:t>．其他</w:t>
            </w:r>
          </w:p>
        </w:tc>
        <w:tc>
          <w:tcPr>
            <w:tcW w:w="441"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219"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219"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93"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72"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41"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25,600.00</w:t>
            </w:r>
          </w:p>
        </w:tc>
        <w:tc>
          <w:tcPr>
            <w:tcW w:w="399"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244"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41"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72"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65"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92"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-25,600.00</w:t>
            </w:r>
          </w:p>
        </w:tc>
      </w:tr>
      <w:tr w:rsidR="00E20B54">
        <w:trPr>
          <w:trHeight w:val="240"/>
        </w:trPr>
        <w:tc>
          <w:tcPr>
            <w:tcW w:w="797" w:type="pc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（三）利润分配</w:t>
            </w:r>
          </w:p>
        </w:tc>
        <w:tc>
          <w:tcPr>
            <w:tcW w:w="441"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0.00</w:t>
            </w:r>
          </w:p>
        </w:tc>
        <w:tc>
          <w:tcPr>
            <w:tcW w:w="219"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0.00</w:t>
            </w:r>
          </w:p>
        </w:tc>
        <w:tc>
          <w:tcPr>
            <w:tcW w:w="219"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0.00</w:t>
            </w:r>
          </w:p>
        </w:tc>
        <w:tc>
          <w:tcPr>
            <w:tcW w:w="193"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0.00</w:t>
            </w:r>
          </w:p>
        </w:tc>
        <w:tc>
          <w:tcPr>
            <w:tcW w:w="472"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0.00</w:t>
            </w:r>
          </w:p>
        </w:tc>
        <w:tc>
          <w:tcPr>
            <w:tcW w:w="441"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0.00</w:t>
            </w:r>
          </w:p>
        </w:tc>
        <w:tc>
          <w:tcPr>
            <w:tcW w:w="399"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0.00</w:t>
            </w:r>
          </w:p>
        </w:tc>
        <w:tc>
          <w:tcPr>
            <w:tcW w:w="244"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0.00</w:t>
            </w:r>
          </w:p>
        </w:tc>
        <w:tc>
          <w:tcPr>
            <w:tcW w:w="441"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0.00</w:t>
            </w:r>
          </w:p>
        </w:tc>
        <w:tc>
          <w:tcPr>
            <w:tcW w:w="472"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25,600.00</w:t>
            </w:r>
          </w:p>
        </w:tc>
        <w:tc>
          <w:tcPr>
            <w:tcW w:w="165"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92"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25,600.00</w:t>
            </w:r>
          </w:p>
        </w:tc>
      </w:tr>
      <w:tr w:rsidR="00E20B54">
        <w:trPr>
          <w:trHeight w:val="240"/>
        </w:trPr>
        <w:tc>
          <w:tcPr>
            <w:tcW w:w="797" w:type="pc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1</w:t>
            </w:r>
            <w:r>
              <w:rPr>
                <w:sz w:val="18"/>
                <w:szCs w:val="18"/>
              </w:rPr>
              <w:t>．提取盈余公积</w:t>
            </w:r>
          </w:p>
        </w:tc>
        <w:tc>
          <w:tcPr>
            <w:tcW w:w="441"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219"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219"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93"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72"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41"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399"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244"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41"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72"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65"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92"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0.00</w:t>
            </w:r>
          </w:p>
        </w:tc>
      </w:tr>
      <w:tr w:rsidR="00E20B54">
        <w:trPr>
          <w:trHeight w:val="240"/>
        </w:trPr>
        <w:tc>
          <w:tcPr>
            <w:tcW w:w="797" w:type="pc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2</w:t>
            </w:r>
            <w:r>
              <w:rPr>
                <w:sz w:val="18"/>
                <w:szCs w:val="18"/>
              </w:rPr>
              <w:t>．对所有者（或股东）的分配</w:t>
            </w:r>
          </w:p>
        </w:tc>
        <w:tc>
          <w:tcPr>
            <w:tcW w:w="441"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219"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219"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93"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72"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41"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399"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244"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41"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72"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65"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92"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0.00</w:t>
            </w:r>
          </w:p>
        </w:tc>
      </w:tr>
      <w:tr w:rsidR="00E20B54">
        <w:trPr>
          <w:trHeight w:val="240"/>
        </w:trPr>
        <w:tc>
          <w:tcPr>
            <w:tcW w:w="797" w:type="pc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3</w:t>
            </w:r>
            <w:r>
              <w:rPr>
                <w:sz w:val="18"/>
                <w:szCs w:val="18"/>
              </w:rPr>
              <w:t>．其他</w:t>
            </w:r>
          </w:p>
        </w:tc>
        <w:tc>
          <w:tcPr>
            <w:tcW w:w="441"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219"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219"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93"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72"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41"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399"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244"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41"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72"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25,600.00</w:t>
            </w:r>
          </w:p>
        </w:tc>
        <w:tc>
          <w:tcPr>
            <w:tcW w:w="165"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92"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25,600.00</w:t>
            </w:r>
          </w:p>
        </w:tc>
      </w:tr>
      <w:tr w:rsidR="00E20B54">
        <w:trPr>
          <w:trHeight w:val="240"/>
        </w:trPr>
        <w:tc>
          <w:tcPr>
            <w:tcW w:w="797" w:type="pc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lastRenderedPageBreak/>
              <w:t>（四）所有者权益内部结转</w:t>
            </w:r>
          </w:p>
        </w:tc>
        <w:tc>
          <w:tcPr>
            <w:tcW w:w="441"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219"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219"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93"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72"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41"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399"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244"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41"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72"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65"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92"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r w:rsidR="00E20B54">
        <w:trPr>
          <w:trHeight w:val="240"/>
        </w:trPr>
        <w:tc>
          <w:tcPr>
            <w:tcW w:w="797" w:type="pc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1</w:t>
            </w:r>
            <w:r>
              <w:rPr>
                <w:sz w:val="18"/>
                <w:szCs w:val="18"/>
              </w:rPr>
              <w:t>．资本公积转增资本（或股本）</w:t>
            </w:r>
          </w:p>
        </w:tc>
        <w:tc>
          <w:tcPr>
            <w:tcW w:w="441"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219"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219"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93"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72"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41"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399"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244"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41"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72"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65"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92"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r w:rsidR="00E20B54">
        <w:trPr>
          <w:trHeight w:val="240"/>
        </w:trPr>
        <w:tc>
          <w:tcPr>
            <w:tcW w:w="797" w:type="pc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2</w:t>
            </w:r>
            <w:r>
              <w:rPr>
                <w:sz w:val="18"/>
                <w:szCs w:val="18"/>
              </w:rPr>
              <w:t>．盈余公积转增资本（或股本）</w:t>
            </w:r>
          </w:p>
        </w:tc>
        <w:tc>
          <w:tcPr>
            <w:tcW w:w="441"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219"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219"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93"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72"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41"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399"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244"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41"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72"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65"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92"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r w:rsidR="00E20B54">
        <w:trPr>
          <w:trHeight w:val="240"/>
        </w:trPr>
        <w:tc>
          <w:tcPr>
            <w:tcW w:w="797" w:type="pc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3</w:t>
            </w:r>
            <w:r>
              <w:rPr>
                <w:sz w:val="18"/>
                <w:szCs w:val="18"/>
              </w:rPr>
              <w:t>．盈余公积弥补亏损</w:t>
            </w:r>
          </w:p>
        </w:tc>
        <w:tc>
          <w:tcPr>
            <w:tcW w:w="441"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219"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219"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93"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72"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41"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399"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244"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41"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72"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65"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92"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r w:rsidR="00E20B54">
        <w:trPr>
          <w:trHeight w:val="240"/>
        </w:trPr>
        <w:tc>
          <w:tcPr>
            <w:tcW w:w="797" w:type="pc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4</w:t>
            </w:r>
            <w:r>
              <w:rPr>
                <w:sz w:val="18"/>
                <w:szCs w:val="18"/>
              </w:rPr>
              <w:t>．设定受益计划变动额结转留存收益</w:t>
            </w:r>
          </w:p>
        </w:tc>
        <w:tc>
          <w:tcPr>
            <w:tcW w:w="441"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219"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219"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93"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72"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41"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399"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244"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41"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72"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65"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92"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r w:rsidR="00E20B54">
        <w:trPr>
          <w:trHeight w:val="240"/>
        </w:trPr>
        <w:tc>
          <w:tcPr>
            <w:tcW w:w="797" w:type="pc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5</w:t>
            </w:r>
            <w:r>
              <w:rPr>
                <w:sz w:val="18"/>
                <w:szCs w:val="18"/>
              </w:rPr>
              <w:t>．其他综合收益结转留存收益</w:t>
            </w:r>
          </w:p>
        </w:tc>
        <w:tc>
          <w:tcPr>
            <w:tcW w:w="441"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219"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219"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93"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72"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41"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399"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244"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41"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72"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65"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92"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r w:rsidR="00E20B54">
        <w:trPr>
          <w:trHeight w:val="240"/>
        </w:trPr>
        <w:tc>
          <w:tcPr>
            <w:tcW w:w="797" w:type="pc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6</w:t>
            </w:r>
            <w:r>
              <w:rPr>
                <w:sz w:val="18"/>
                <w:szCs w:val="18"/>
              </w:rPr>
              <w:t>．其他</w:t>
            </w:r>
          </w:p>
        </w:tc>
        <w:tc>
          <w:tcPr>
            <w:tcW w:w="441"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219"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219"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93"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72"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41"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399"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244"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41"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72"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65"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92"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r w:rsidR="00E20B54">
        <w:trPr>
          <w:trHeight w:val="240"/>
        </w:trPr>
        <w:tc>
          <w:tcPr>
            <w:tcW w:w="797" w:type="pc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（五）专项储备</w:t>
            </w:r>
          </w:p>
        </w:tc>
        <w:tc>
          <w:tcPr>
            <w:tcW w:w="441"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219"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219"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93"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72"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41"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399"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244"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41"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72"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65"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92"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r w:rsidR="00E20B54">
        <w:trPr>
          <w:trHeight w:val="240"/>
        </w:trPr>
        <w:tc>
          <w:tcPr>
            <w:tcW w:w="797" w:type="pc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1</w:t>
            </w:r>
            <w:r>
              <w:rPr>
                <w:sz w:val="18"/>
                <w:szCs w:val="18"/>
              </w:rPr>
              <w:t>．本期提取</w:t>
            </w:r>
          </w:p>
        </w:tc>
        <w:tc>
          <w:tcPr>
            <w:tcW w:w="441"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219"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219"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93"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72"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41"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399"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244"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41"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72"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65"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92"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r w:rsidR="00E20B54">
        <w:trPr>
          <w:trHeight w:val="240"/>
        </w:trPr>
        <w:tc>
          <w:tcPr>
            <w:tcW w:w="797" w:type="pc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2</w:t>
            </w:r>
            <w:r>
              <w:rPr>
                <w:sz w:val="18"/>
                <w:szCs w:val="18"/>
              </w:rPr>
              <w:t>．本期使用</w:t>
            </w:r>
          </w:p>
        </w:tc>
        <w:tc>
          <w:tcPr>
            <w:tcW w:w="441"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219"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219"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93"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72"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41"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399"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244"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41"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72"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65"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92"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r w:rsidR="00E20B54">
        <w:trPr>
          <w:trHeight w:val="240"/>
        </w:trPr>
        <w:tc>
          <w:tcPr>
            <w:tcW w:w="797" w:type="pc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（六）其他</w:t>
            </w:r>
          </w:p>
        </w:tc>
        <w:tc>
          <w:tcPr>
            <w:tcW w:w="441"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219"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219"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93"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72"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41"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399"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244"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41"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72"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65"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92"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r w:rsidR="00E20B54">
        <w:trPr>
          <w:trHeight w:val="240"/>
        </w:trPr>
        <w:tc>
          <w:tcPr>
            <w:tcW w:w="797" w:type="pc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四、本期期末余额</w:t>
            </w:r>
          </w:p>
        </w:tc>
        <w:tc>
          <w:tcPr>
            <w:tcW w:w="441"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66,852,800.00</w:t>
            </w:r>
          </w:p>
        </w:tc>
        <w:tc>
          <w:tcPr>
            <w:tcW w:w="219"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0.00</w:t>
            </w:r>
          </w:p>
        </w:tc>
        <w:tc>
          <w:tcPr>
            <w:tcW w:w="219"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0.00</w:t>
            </w:r>
          </w:p>
        </w:tc>
        <w:tc>
          <w:tcPr>
            <w:tcW w:w="193"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0.00</w:t>
            </w:r>
          </w:p>
        </w:tc>
        <w:tc>
          <w:tcPr>
            <w:tcW w:w="472"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605,387,759.48</w:t>
            </w:r>
          </w:p>
        </w:tc>
        <w:tc>
          <w:tcPr>
            <w:tcW w:w="441"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48,693,212.07</w:t>
            </w:r>
          </w:p>
        </w:tc>
        <w:tc>
          <w:tcPr>
            <w:tcW w:w="399"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-269,110.00</w:t>
            </w:r>
          </w:p>
        </w:tc>
        <w:tc>
          <w:tcPr>
            <w:tcW w:w="244"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0.00</w:t>
            </w:r>
          </w:p>
        </w:tc>
        <w:tc>
          <w:tcPr>
            <w:tcW w:w="441"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25,904,440.33</w:t>
            </w:r>
          </w:p>
        </w:tc>
        <w:tc>
          <w:tcPr>
            <w:tcW w:w="472"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100,436,470.67</w:t>
            </w:r>
          </w:p>
        </w:tc>
        <w:tc>
          <w:tcPr>
            <w:tcW w:w="165"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92"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749,619,148.41</w:t>
            </w:r>
          </w:p>
        </w:tc>
      </w:tr>
    </w:tbl>
    <w:p w:rsidR="00E20B54" w:rsidRDefault="00733C9E">
      <w:pPr>
        <w:spacing w:before="40" w:after="40" w:line="240" w:lineRule="exact"/>
        <w:rPr>
          <w:sz w:val="18"/>
          <w:szCs w:val="18"/>
        </w:rPr>
      </w:pPr>
      <w:r>
        <w:rPr>
          <w:sz w:val="18"/>
          <w:szCs w:val="18"/>
        </w:rPr>
        <w:t>上期金额</w:t>
      </w:r>
    </w:p>
    <w:p w:rsidR="00E20B54" w:rsidRDefault="00733C9E">
      <w:pPr>
        <w:spacing w:before="120" w:after="120" w:line="240" w:lineRule="exact"/>
        <w:jc w:val="right"/>
        <w:rPr>
          <w:sz w:val="18"/>
          <w:szCs w:val="18"/>
        </w:rPr>
      </w:pPr>
      <w:r>
        <w:rPr>
          <w:sz w:val="18"/>
          <w:szCs w:val="18"/>
        </w:rPr>
        <w:t>单位：元</w:t>
      </w:r>
    </w:p>
    <w:tbl>
      <w:tblPr>
        <w:tblW w:w="5000" w:type="pct"/>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2437"/>
        <w:gridCol w:w="1251"/>
        <w:gridCol w:w="563"/>
        <w:gridCol w:w="563"/>
        <w:gridCol w:w="481"/>
        <w:gridCol w:w="1341"/>
        <w:gridCol w:w="1251"/>
        <w:gridCol w:w="1151"/>
        <w:gridCol w:w="649"/>
        <w:gridCol w:w="1251"/>
        <w:gridCol w:w="1341"/>
        <w:gridCol w:w="479"/>
        <w:gridCol w:w="1418"/>
      </w:tblGrid>
      <w:tr w:rsidR="00E20B54">
        <w:trPr>
          <w:trHeight w:val="240"/>
          <w:tblHeader/>
        </w:trPr>
        <w:tc>
          <w:tcPr>
            <w:tcW w:w="860" w:type="pct"/>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项目</w:t>
            </w:r>
          </w:p>
        </w:tc>
        <w:tc>
          <w:tcPr>
            <w:tcW w:w="4139" w:type="pct"/>
            <w:gridSpan w:val="12"/>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2024</w:t>
            </w:r>
            <w:r>
              <w:rPr>
                <w:sz w:val="18"/>
                <w:szCs w:val="18"/>
              </w:rPr>
              <w:t>年度</w:t>
            </w:r>
          </w:p>
        </w:tc>
      </w:tr>
      <w:tr w:rsidR="00E20B54">
        <w:trPr>
          <w:trHeight w:val="240"/>
          <w:tblHeader/>
        </w:trPr>
        <w:tc>
          <w:tcPr>
            <w:tcW w:w="860" w:type="pct"/>
            <w:vMerge/>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c>
          <w:tcPr>
            <w:tcW w:w="441" w:type="pct"/>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股本</w:t>
            </w:r>
          </w:p>
        </w:tc>
        <w:tc>
          <w:tcPr>
            <w:tcW w:w="568" w:type="pct"/>
            <w:gridSpan w:val="3"/>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其他权益工具</w:t>
            </w:r>
          </w:p>
        </w:tc>
        <w:tc>
          <w:tcPr>
            <w:tcW w:w="472" w:type="pct"/>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资本公积</w:t>
            </w:r>
          </w:p>
        </w:tc>
        <w:tc>
          <w:tcPr>
            <w:tcW w:w="441" w:type="pct"/>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减：库存股</w:t>
            </w:r>
          </w:p>
        </w:tc>
        <w:tc>
          <w:tcPr>
            <w:tcW w:w="406" w:type="pct"/>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其他综合收益</w:t>
            </w:r>
          </w:p>
        </w:tc>
        <w:tc>
          <w:tcPr>
            <w:tcW w:w="229" w:type="pct"/>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专项储备</w:t>
            </w:r>
          </w:p>
        </w:tc>
        <w:tc>
          <w:tcPr>
            <w:tcW w:w="441" w:type="pct"/>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盈余公积</w:t>
            </w:r>
          </w:p>
        </w:tc>
        <w:tc>
          <w:tcPr>
            <w:tcW w:w="472" w:type="pct"/>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未分配利润</w:t>
            </w:r>
          </w:p>
        </w:tc>
        <w:tc>
          <w:tcPr>
            <w:tcW w:w="169" w:type="pct"/>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其他</w:t>
            </w:r>
          </w:p>
        </w:tc>
        <w:tc>
          <w:tcPr>
            <w:tcW w:w="495" w:type="pct"/>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所有者权益合计</w:t>
            </w:r>
          </w:p>
        </w:tc>
      </w:tr>
      <w:tr w:rsidR="00E20B54">
        <w:trPr>
          <w:trHeight w:val="240"/>
          <w:tblHeader/>
        </w:trPr>
        <w:tc>
          <w:tcPr>
            <w:tcW w:w="860" w:type="pct"/>
            <w:vMerge/>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c>
          <w:tcPr>
            <w:tcW w:w="441" w:type="pct"/>
            <w:vMerge/>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c>
          <w:tcPr>
            <w:tcW w:w="199" w:type="pc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优先股</w:t>
            </w:r>
          </w:p>
        </w:tc>
        <w:tc>
          <w:tcPr>
            <w:tcW w:w="199" w:type="pc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永续债</w:t>
            </w:r>
          </w:p>
        </w:tc>
        <w:tc>
          <w:tcPr>
            <w:tcW w:w="169" w:type="pc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其他</w:t>
            </w:r>
          </w:p>
        </w:tc>
        <w:tc>
          <w:tcPr>
            <w:tcW w:w="472" w:type="pct"/>
            <w:vMerge/>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c>
          <w:tcPr>
            <w:tcW w:w="441" w:type="pct"/>
            <w:vMerge/>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c>
          <w:tcPr>
            <w:tcW w:w="406" w:type="pct"/>
            <w:vMerge/>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c>
          <w:tcPr>
            <w:tcW w:w="229" w:type="pct"/>
            <w:vMerge/>
            <w:tcBorders>
              <w:top w:val="single" w:sz="2" w:space="0" w:color="auto"/>
              <w:left w:val="single" w:sz="2" w:space="0" w:color="auto"/>
              <w:bottom w:val="single" w:sz="2" w:space="0" w:color="auto"/>
              <w:right w:val="single" w:sz="2" w:space="0" w:color="auto"/>
            </w:tcBorders>
            <w:vAlign w:val="center"/>
          </w:tcPr>
          <w:p w:rsidR="00E20B54" w:rsidRDefault="00E20B54"/>
        </w:tc>
        <w:tc>
          <w:tcPr>
            <w:tcW w:w="441" w:type="pct"/>
            <w:vMerge/>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c>
          <w:tcPr>
            <w:tcW w:w="472" w:type="pct"/>
            <w:vMerge/>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c>
          <w:tcPr>
            <w:tcW w:w="169" w:type="pct"/>
            <w:vMerge/>
            <w:tcBorders>
              <w:top w:val="single" w:sz="2" w:space="0" w:color="auto"/>
              <w:left w:val="single" w:sz="2" w:space="0" w:color="auto"/>
              <w:bottom w:val="single" w:sz="2" w:space="0" w:color="auto"/>
              <w:right w:val="single" w:sz="2" w:space="0" w:color="auto"/>
            </w:tcBorders>
            <w:vAlign w:val="center"/>
          </w:tcPr>
          <w:p w:rsidR="00E20B54" w:rsidRDefault="00E20B54"/>
        </w:tc>
        <w:tc>
          <w:tcPr>
            <w:tcW w:w="495" w:type="pct"/>
            <w:vMerge/>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r>
      <w:tr w:rsidR="00E20B54">
        <w:trPr>
          <w:trHeight w:val="240"/>
        </w:trPr>
        <w:tc>
          <w:tcPr>
            <w:tcW w:w="860" w:type="pc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一、上年期末余额</w:t>
            </w:r>
          </w:p>
        </w:tc>
        <w:tc>
          <w:tcPr>
            <w:tcW w:w="441"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67,236,800.00</w:t>
            </w:r>
          </w:p>
        </w:tc>
        <w:tc>
          <w:tcPr>
            <w:tcW w:w="199"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99"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69"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72"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590,701,200.39</w:t>
            </w:r>
          </w:p>
        </w:tc>
        <w:tc>
          <w:tcPr>
            <w:tcW w:w="441"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27,880,684.00</w:t>
            </w:r>
          </w:p>
        </w:tc>
        <w:tc>
          <w:tcPr>
            <w:tcW w:w="406"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-269,110.00</w:t>
            </w:r>
          </w:p>
        </w:tc>
        <w:tc>
          <w:tcPr>
            <w:tcW w:w="229"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41"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25,904,440.33</w:t>
            </w:r>
          </w:p>
        </w:tc>
        <w:tc>
          <w:tcPr>
            <w:tcW w:w="472"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141,116,877.21</w:t>
            </w:r>
          </w:p>
        </w:tc>
        <w:tc>
          <w:tcPr>
            <w:tcW w:w="169"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95"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796,809,523.93</w:t>
            </w:r>
          </w:p>
        </w:tc>
      </w:tr>
      <w:tr w:rsidR="00E20B54">
        <w:trPr>
          <w:trHeight w:val="240"/>
        </w:trPr>
        <w:tc>
          <w:tcPr>
            <w:tcW w:w="860" w:type="pc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200" w:firstLine="360"/>
              <w:rPr>
                <w:sz w:val="18"/>
                <w:szCs w:val="18"/>
              </w:rPr>
            </w:pPr>
            <w:r>
              <w:rPr>
                <w:sz w:val="18"/>
                <w:szCs w:val="18"/>
              </w:rPr>
              <w:t>加：会计政策变更</w:t>
            </w:r>
          </w:p>
        </w:tc>
        <w:tc>
          <w:tcPr>
            <w:tcW w:w="441"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99"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99"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69"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72"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41"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06"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229"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41"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72"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69"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95"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r w:rsidR="00E20B54">
        <w:trPr>
          <w:trHeight w:val="240"/>
        </w:trPr>
        <w:tc>
          <w:tcPr>
            <w:tcW w:w="860" w:type="pc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400" w:firstLine="720"/>
              <w:rPr>
                <w:sz w:val="18"/>
                <w:szCs w:val="18"/>
              </w:rPr>
            </w:pPr>
            <w:r>
              <w:rPr>
                <w:sz w:val="18"/>
                <w:szCs w:val="18"/>
              </w:rPr>
              <w:t>前期差错更正</w:t>
            </w:r>
          </w:p>
        </w:tc>
        <w:tc>
          <w:tcPr>
            <w:tcW w:w="441"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99"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99"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69"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72"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41"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06"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229"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41"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72"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69"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95"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r w:rsidR="00E20B54">
        <w:trPr>
          <w:trHeight w:val="240"/>
        </w:trPr>
        <w:tc>
          <w:tcPr>
            <w:tcW w:w="860" w:type="pc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400" w:firstLine="720"/>
              <w:rPr>
                <w:sz w:val="18"/>
                <w:szCs w:val="18"/>
              </w:rPr>
            </w:pPr>
            <w:r>
              <w:rPr>
                <w:sz w:val="18"/>
                <w:szCs w:val="18"/>
              </w:rPr>
              <w:t>其他</w:t>
            </w:r>
          </w:p>
        </w:tc>
        <w:tc>
          <w:tcPr>
            <w:tcW w:w="441"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99"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99"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69"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72"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41"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06"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229"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41"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72"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69"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95"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r w:rsidR="00E20B54">
        <w:trPr>
          <w:trHeight w:val="240"/>
        </w:trPr>
        <w:tc>
          <w:tcPr>
            <w:tcW w:w="860" w:type="pc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二、本年期初余额</w:t>
            </w:r>
          </w:p>
        </w:tc>
        <w:tc>
          <w:tcPr>
            <w:tcW w:w="441"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67,236,800.00</w:t>
            </w:r>
          </w:p>
        </w:tc>
        <w:tc>
          <w:tcPr>
            <w:tcW w:w="199"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99"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69"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72"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590,701,200.39</w:t>
            </w:r>
          </w:p>
        </w:tc>
        <w:tc>
          <w:tcPr>
            <w:tcW w:w="441"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27,880,684.00</w:t>
            </w:r>
          </w:p>
        </w:tc>
        <w:tc>
          <w:tcPr>
            <w:tcW w:w="406"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-269,110.00</w:t>
            </w:r>
          </w:p>
        </w:tc>
        <w:tc>
          <w:tcPr>
            <w:tcW w:w="229"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41"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25,904,440.33</w:t>
            </w:r>
          </w:p>
        </w:tc>
        <w:tc>
          <w:tcPr>
            <w:tcW w:w="472"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141,116,877.21</w:t>
            </w:r>
          </w:p>
        </w:tc>
        <w:tc>
          <w:tcPr>
            <w:tcW w:w="169"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95"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796,809,523.93</w:t>
            </w:r>
          </w:p>
        </w:tc>
      </w:tr>
      <w:tr w:rsidR="00E20B54">
        <w:trPr>
          <w:trHeight w:val="240"/>
        </w:trPr>
        <w:tc>
          <w:tcPr>
            <w:tcW w:w="860" w:type="pc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三、本期增减变动金额（减少以</w:t>
            </w:r>
            <w:r>
              <w:rPr>
                <w:sz w:val="18"/>
                <w:szCs w:val="18"/>
              </w:rPr>
              <w:t>“</w:t>
            </w:r>
            <w:r>
              <w:rPr>
                <w:sz w:val="18"/>
                <w:szCs w:val="18"/>
              </w:rPr>
              <w:t>－</w:t>
            </w:r>
            <w:r>
              <w:rPr>
                <w:sz w:val="18"/>
                <w:szCs w:val="18"/>
              </w:rPr>
              <w:t>”</w:t>
            </w:r>
            <w:r>
              <w:rPr>
                <w:sz w:val="18"/>
                <w:szCs w:val="18"/>
              </w:rPr>
              <w:t>号填列）</w:t>
            </w:r>
          </w:p>
        </w:tc>
        <w:tc>
          <w:tcPr>
            <w:tcW w:w="441"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-128,000.00</w:t>
            </w:r>
          </w:p>
        </w:tc>
        <w:tc>
          <w:tcPr>
            <w:tcW w:w="199"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99"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69"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72"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7,135,682.19</w:t>
            </w:r>
          </w:p>
        </w:tc>
        <w:tc>
          <w:tcPr>
            <w:tcW w:w="441"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24,859,888.07</w:t>
            </w:r>
          </w:p>
        </w:tc>
        <w:tc>
          <w:tcPr>
            <w:tcW w:w="406"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229"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41"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72"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-39,033,920.88</w:t>
            </w:r>
          </w:p>
        </w:tc>
        <w:tc>
          <w:tcPr>
            <w:tcW w:w="169"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95"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-56,886,126.76</w:t>
            </w:r>
          </w:p>
        </w:tc>
      </w:tr>
      <w:tr w:rsidR="00E20B54">
        <w:trPr>
          <w:trHeight w:val="240"/>
        </w:trPr>
        <w:tc>
          <w:tcPr>
            <w:tcW w:w="860" w:type="pc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lastRenderedPageBreak/>
              <w:t>（一）综合收益总额</w:t>
            </w:r>
          </w:p>
        </w:tc>
        <w:tc>
          <w:tcPr>
            <w:tcW w:w="441"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99"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99"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69"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72"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41"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06"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229"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41"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72"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-32,423,654.88</w:t>
            </w:r>
          </w:p>
        </w:tc>
        <w:tc>
          <w:tcPr>
            <w:tcW w:w="169"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95"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-32,423,654.88</w:t>
            </w:r>
          </w:p>
        </w:tc>
      </w:tr>
      <w:tr w:rsidR="00E20B54">
        <w:trPr>
          <w:trHeight w:val="240"/>
        </w:trPr>
        <w:tc>
          <w:tcPr>
            <w:tcW w:w="860" w:type="pc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（二）所有者投入和减少资本</w:t>
            </w:r>
          </w:p>
        </w:tc>
        <w:tc>
          <w:tcPr>
            <w:tcW w:w="441"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-128,000.00</w:t>
            </w:r>
          </w:p>
        </w:tc>
        <w:tc>
          <w:tcPr>
            <w:tcW w:w="199"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99"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69"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72"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7,135,682.19</w:t>
            </w:r>
          </w:p>
        </w:tc>
        <w:tc>
          <w:tcPr>
            <w:tcW w:w="441"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24,859,888.07</w:t>
            </w:r>
          </w:p>
        </w:tc>
        <w:tc>
          <w:tcPr>
            <w:tcW w:w="406"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229"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41"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72"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69"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95"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-17,852,205.88</w:t>
            </w:r>
          </w:p>
        </w:tc>
      </w:tr>
      <w:tr w:rsidR="00E20B54">
        <w:trPr>
          <w:trHeight w:val="240"/>
        </w:trPr>
        <w:tc>
          <w:tcPr>
            <w:tcW w:w="860" w:type="pc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1</w:t>
            </w:r>
            <w:r>
              <w:rPr>
                <w:sz w:val="18"/>
                <w:szCs w:val="18"/>
              </w:rPr>
              <w:t>．所有者投入的普通股</w:t>
            </w:r>
          </w:p>
        </w:tc>
        <w:tc>
          <w:tcPr>
            <w:tcW w:w="441"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-128,000.00</w:t>
            </w:r>
          </w:p>
        </w:tc>
        <w:tc>
          <w:tcPr>
            <w:tcW w:w="199"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99"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69"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72"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-1,908,480.00</w:t>
            </w:r>
          </w:p>
        </w:tc>
        <w:tc>
          <w:tcPr>
            <w:tcW w:w="441"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-2,036,480.00</w:t>
            </w:r>
          </w:p>
        </w:tc>
        <w:tc>
          <w:tcPr>
            <w:tcW w:w="406"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229"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41"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72"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69"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95"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r w:rsidR="00E20B54">
        <w:trPr>
          <w:trHeight w:val="240"/>
        </w:trPr>
        <w:tc>
          <w:tcPr>
            <w:tcW w:w="860" w:type="pc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2</w:t>
            </w:r>
            <w:r>
              <w:rPr>
                <w:sz w:val="18"/>
                <w:szCs w:val="18"/>
              </w:rPr>
              <w:t>．其他权益工具持有者投入资本</w:t>
            </w:r>
          </w:p>
        </w:tc>
        <w:tc>
          <w:tcPr>
            <w:tcW w:w="441"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99"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99"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69"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72"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41"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06"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229"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41"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72"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69"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95"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r w:rsidR="00E20B54">
        <w:trPr>
          <w:trHeight w:val="240"/>
        </w:trPr>
        <w:tc>
          <w:tcPr>
            <w:tcW w:w="860" w:type="pc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3</w:t>
            </w:r>
            <w:r>
              <w:rPr>
                <w:sz w:val="18"/>
                <w:szCs w:val="18"/>
              </w:rPr>
              <w:t>．股份支付计入所有者权益的金额</w:t>
            </w:r>
          </w:p>
        </w:tc>
        <w:tc>
          <w:tcPr>
            <w:tcW w:w="441"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99"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99"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69"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72"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9,044,162.19</w:t>
            </w:r>
          </w:p>
        </w:tc>
        <w:tc>
          <w:tcPr>
            <w:tcW w:w="441"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27,011,568.07</w:t>
            </w:r>
          </w:p>
        </w:tc>
        <w:tc>
          <w:tcPr>
            <w:tcW w:w="406"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229"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41"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72"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69"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95"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-17,967,405.88</w:t>
            </w:r>
          </w:p>
        </w:tc>
      </w:tr>
      <w:tr w:rsidR="00E20B54">
        <w:trPr>
          <w:trHeight w:val="240"/>
        </w:trPr>
        <w:tc>
          <w:tcPr>
            <w:tcW w:w="860" w:type="pc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4</w:t>
            </w:r>
            <w:r>
              <w:rPr>
                <w:sz w:val="18"/>
                <w:szCs w:val="18"/>
              </w:rPr>
              <w:t>．其他</w:t>
            </w:r>
          </w:p>
        </w:tc>
        <w:tc>
          <w:tcPr>
            <w:tcW w:w="441"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99"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99"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69"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72"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41"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-115,200.00</w:t>
            </w:r>
          </w:p>
        </w:tc>
        <w:tc>
          <w:tcPr>
            <w:tcW w:w="406"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229"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41"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72"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69"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95"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115,200.00</w:t>
            </w:r>
          </w:p>
        </w:tc>
      </w:tr>
      <w:tr w:rsidR="00E20B54">
        <w:trPr>
          <w:trHeight w:val="240"/>
        </w:trPr>
        <w:tc>
          <w:tcPr>
            <w:tcW w:w="860" w:type="pc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（三）利润分配</w:t>
            </w:r>
          </w:p>
        </w:tc>
        <w:tc>
          <w:tcPr>
            <w:tcW w:w="441"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99"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99"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69"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72"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41"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06"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229"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41"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72"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-6,610,266.00</w:t>
            </w:r>
          </w:p>
        </w:tc>
        <w:tc>
          <w:tcPr>
            <w:tcW w:w="169"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95"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-6,610,266.00</w:t>
            </w:r>
          </w:p>
        </w:tc>
      </w:tr>
      <w:tr w:rsidR="00E20B54">
        <w:trPr>
          <w:trHeight w:val="240"/>
        </w:trPr>
        <w:tc>
          <w:tcPr>
            <w:tcW w:w="860" w:type="pc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1</w:t>
            </w:r>
            <w:r>
              <w:rPr>
                <w:sz w:val="18"/>
                <w:szCs w:val="18"/>
              </w:rPr>
              <w:t>．提取盈余公积</w:t>
            </w:r>
          </w:p>
        </w:tc>
        <w:tc>
          <w:tcPr>
            <w:tcW w:w="441"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99"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99"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69"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72"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41"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06"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229"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41"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72"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69"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95"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r w:rsidR="00E20B54">
        <w:trPr>
          <w:trHeight w:val="240"/>
        </w:trPr>
        <w:tc>
          <w:tcPr>
            <w:tcW w:w="860" w:type="pc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2</w:t>
            </w:r>
            <w:r>
              <w:rPr>
                <w:sz w:val="18"/>
                <w:szCs w:val="18"/>
              </w:rPr>
              <w:t>．对所有者（或股东）的分配</w:t>
            </w:r>
          </w:p>
        </w:tc>
        <w:tc>
          <w:tcPr>
            <w:tcW w:w="441"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99"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99"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69"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72"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41"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06"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229"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41"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72"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-6,610,266.00</w:t>
            </w:r>
          </w:p>
        </w:tc>
        <w:tc>
          <w:tcPr>
            <w:tcW w:w="169"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95"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-6,610,266.00</w:t>
            </w:r>
          </w:p>
        </w:tc>
      </w:tr>
      <w:tr w:rsidR="00E20B54">
        <w:trPr>
          <w:trHeight w:val="240"/>
        </w:trPr>
        <w:tc>
          <w:tcPr>
            <w:tcW w:w="860" w:type="pc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3</w:t>
            </w:r>
            <w:r>
              <w:rPr>
                <w:sz w:val="18"/>
                <w:szCs w:val="18"/>
              </w:rPr>
              <w:t>．其他</w:t>
            </w:r>
          </w:p>
        </w:tc>
        <w:tc>
          <w:tcPr>
            <w:tcW w:w="441"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99"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99"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69"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72"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41"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06"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229"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41"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72"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69"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95"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r w:rsidR="00E20B54">
        <w:trPr>
          <w:trHeight w:val="240"/>
        </w:trPr>
        <w:tc>
          <w:tcPr>
            <w:tcW w:w="860" w:type="pc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（四）所有者权益内部结转</w:t>
            </w:r>
          </w:p>
        </w:tc>
        <w:tc>
          <w:tcPr>
            <w:tcW w:w="441"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99"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99"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69"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72"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41"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06"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229"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41"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72"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69"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95"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r w:rsidR="00E20B54">
        <w:trPr>
          <w:trHeight w:val="240"/>
        </w:trPr>
        <w:tc>
          <w:tcPr>
            <w:tcW w:w="860" w:type="pc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1</w:t>
            </w:r>
            <w:r>
              <w:rPr>
                <w:sz w:val="18"/>
                <w:szCs w:val="18"/>
              </w:rPr>
              <w:t>．资本公积转增资本（或股本）</w:t>
            </w:r>
          </w:p>
        </w:tc>
        <w:tc>
          <w:tcPr>
            <w:tcW w:w="441"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99"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99"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69"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72"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41"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06"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229"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41"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72"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69"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95"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r w:rsidR="00E20B54">
        <w:trPr>
          <w:trHeight w:val="240"/>
        </w:trPr>
        <w:tc>
          <w:tcPr>
            <w:tcW w:w="860" w:type="pc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2</w:t>
            </w:r>
            <w:r>
              <w:rPr>
                <w:sz w:val="18"/>
                <w:szCs w:val="18"/>
              </w:rPr>
              <w:t>．盈余公积转增资本（或股本）</w:t>
            </w:r>
          </w:p>
        </w:tc>
        <w:tc>
          <w:tcPr>
            <w:tcW w:w="441"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99"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99"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69"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72"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41"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06"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229"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41"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72"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69"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95"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r w:rsidR="00E20B54">
        <w:trPr>
          <w:trHeight w:val="240"/>
        </w:trPr>
        <w:tc>
          <w:tcPr>
            <w:tcW w:w="860" w:type="pc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3</w:t>
            </w:r>
            <w:r>
              <w:rPr>
                <w:sz w:val="18"/>
                <w:szCs w:val="18"/>
              </w:rPr>
              <w:t>．盈余公积弥补亏损</w:t>
            </w:r>
          </w:p>
        </w:tc>
        <w:tc>
          <w:tcPr>
            <w:tcW w:w="441"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99"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99"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69"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72"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41"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06"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229"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41"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72"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69"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95"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r w:rsidR="00E20B54">
        <w:trPr>
          <w:trHeight w:val="240"/>
        </w:trPr>
        <w:tc>
          <w:tcPr>
            <w:tcW w:w="860" w:type="pc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4</w:t>
            </w:r>
            <w:r>
              <w:rPr>
                <w:sz w:val="18"/>
                <w:szCs w:val="18"/>
              </w:rPr>
              <w:t>．设定受益计划变动额结转留存收益</w:t>
            </w:r>
          </w:p>
        </w:tc>
        <w:tc>
          <w:tcPr>
            <w:tcW w:w="441"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99"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99"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69"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72"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41"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06"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229"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41"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72"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69"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95"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r w:rsidR="00E20B54">
        <w:trPr>
          <w:trHeight w:val="240"/>
        </w:trPr>
        <w:tc>
          <w:tcPr>
            <w:tcW w:w="860" w:type="pc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5</w:t>
            </w:r>
            <w:r>
              <w:rPr>
                <w:sz w:val="18"/>
                <w:szCs w:val="18"/>
              </w:rPr>
              <w:t>．其他综合收益结转留存收益</w:t>
            </w:r>
          </w:p>
        </w:tc>
        <w:tc>
          <w:tcPr>
            <w:tcW w:w="441"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99"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99"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69"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72"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41"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06"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229"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41"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72"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69"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95"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r w:rsidR="00E20B54">
        <w:trPr>
          <w:trHeight w:val="240"/>
        </w:trPr>
        <w:tc>
          <w:tcPr>
            <w:tcW w:w="860" w:type="pc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6</w:t>
            </w:r>
            <w:r>
              <w:rPr>
                <w:sz w:val="18"/>
                <w:szCs w:val="18"/>
              </w:rPr>
              <w:t>．其他</w:t>
            </w:r>
          </w:p>
        </w:tc>
        <w:tc>
          <w:tcPr>
            <w:tcW w:w="441"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99"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99"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69"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72"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41"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06"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229"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41"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72"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69"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95"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r w:rsidR="00E20B54">
        <w:trPr>
          <w:trHeight w:val="240"/>
        </w:trPr>
        <w:tc>
          <w:tcPr>
            <w:tcW w:w="860" w:type="pc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（五）专项储备</w:t>
            </w:r>
          </w:p>
        </w:tc>
        <w:tc>
          <w:tcPr>
            <w:tcW w:w="441"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99"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99"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69"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72"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41"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06"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229"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41"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72"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69"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95"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r w:rsidR="00E20B54">
        <w:trPr>
          <w:trHeight w:val="240"/>
        </w:trPr>
        <w:tc>
          <w:tcPr>
            <w:tcW w:w="860" w:type="pc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lastRenderedPageBreak/>
              <w:t>1</w:t>
            </w:r>
            <w:r>
              <w:rPr>
                <w:sz w:val="18"/>
                <w:szCs w:val="18"/>
              </w:rPr>
              <w:t>．本期提取</w:t>
            </w:r>
          </w:p>
        </w:tc>
        <w:tc>
          <w:tcPr>
            <w:tcW w:w="441"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99"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99"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69"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72"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41"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06"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229"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41"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72"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69"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95"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r w:rsidR="00E20B54">
        <w:trPr>
          <w:trHeight w:val="240"/>
        </w:trPr>
        <w:tc>
          <w:tcPr>
            <w:tcW w:w="860" w:type="pc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2</w:t>
            </w:r>
            <w:r>
              <w:rPr>
                <w:sz w:val="18"/>
                <w:szCs w:val="18"/>
              </w:rPr>
              <w:t>．本期使用</w:t>
            </w:r>
          </w:p>
        </w:tc>
        <w:tc>
          <w:tcPr>
            <w:tcW w:w="441"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99"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99"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69"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72"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41"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06"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229"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41"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72"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69"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95"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r w:rsidR="00E20B54">
        <w:trPr>
          <w:trHeight w:val="240"/>
        </w:trPr>
        <w:tc>
          <w:tcPr>
            <w:tcW w:w="860" w:type="pc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（六）其他</w:t>
            </w:r>
          </w:p>
        </w:tc>
        <w:tc>
          <w:tcPr>
            <w:tcW w:w="441"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99"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99"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69"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72"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41"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06"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229"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41"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72"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69"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95"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r w:rsidR="00E20B54">
        <w:trPr>
          <w:trHeight w:val="240"/>
        </w:trPr>
        <w:tc>
          <w:tcPr>
            <w:tcW w:w="860" w:type="pc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四、本期期末余额</w:t>
            </w:r>
          </w:p>
        </w:tc>
        <w:tc>
          <w:tcPr>
            <w:tcW w:w="441"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67,108,800.00</w:t>
            </w:r>
          </w:p>
        </w:tc>
        <w:tc>
          <w:tcPr>
            <w:tcW w:w="199"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99"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69"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72"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597,836,882.58</w:t>
            </w:r>
          </w:p>
        </w:tc>
        <w:tc>
          <w:tcPr>
            <w:tcW w:w="441"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52,740,572.07</w:t>
            </w:r>
          </w:p>
        </w:tc>
        <w:tc>
          <w:tcPr>
            <w:tcW w:w="406"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-269,110.00</w:t>
            </w:r>
          </w:p>
        </w:tc>
        <w:tc>
          <w:tcPr>
            <w:tcW w:w="229"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41"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25,904,440.33</w:t>
            </w:r>
          </w:p>
        </w:tc>
        <w:tc>
          <w:tcPr>
            <w:tcW w:w="472"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102,082,956.33</w:t>
            </w:r>
          </w:p>
        </w:tc>
        <w:tc>
          <w:tcPr>
            <w:tcW w:w="169"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95"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739,923,397.17</w:t>
            </w:r>
          </w:p>
        </w:tc>
      </w:tr>
    </w:tbl>
    <w:p w:rsidR="00E20B54" w:rsidRDefault="00733C9E" w:rsidP="00C57489">
      <w:pPr>
        <w:pStyle w:val="3"/>
        <w:spacing w:beforeLines="50" w:before="156" w:after="0" w:line="280" w:lineRule="exact"/>
        <w:jc w:val="left"/>
      </w:pPr>
      <w:bookmarkStart w:id="159" w:name="_Toc989048"/>
      <w:r>
        <w:t>法定代表人：林明玲</w:t>
      </w:r>
      <w:r>
        <w:t xml:space="preserve">                  </w:t>
      </w:r>
      <w:r>
        <w:rPr>
          <w:rFonts w:hint="eastAsia"/>
        </w:rPr>
        <w:t xml:space="preserve">                           </w:t>
      </w:r>
      <w:r>
        <w:t xml:space="preserve">                 </w:t>
      </w:r>
      <w:r>
        <w:t>主管会计工作负责人：陈焕盛</w:t>
      </w:r>
      <w:r>
        <w:t xml:space="preserve">                            </w:t>
      </w:r>
      <w:r>
        <w:rPr>
          <w:rFonts w:hint="eastAsia"/>
        </w:rPr>
        <w:t xml:space="preserve">           </w:t>
      </w:r>
      <w:bookmarkStart w:id="160" w:name="_GoBack"/>
      <w:bookmarkEnd w:id="160"/>
      <w:r>
        <w:rPr>
          <w:rFonts w:hint="eastAsia"/>
        </w:rPr>
        <w:t xml:space="preserve">                   </w:t>
      </w:r>
      <w:r>
        <w:t xml:space="preserve">         </w:t>
      </w:r>
      <w:r>
        <w:t>会计机构负责人：赖宏伟</w:t>
      </w:r>
    </w:p>
    <w:p w:rsidR="00E20B54" w:rsidRDefault="00E20B54">
      <w:pPr>
        <w:pStyle w:val="2"/>
        <w:spacing w:before="300" w:after="300" w:line="320" w:lineRule="exact"/>
        <w:rPr>
          <w:b/>
          <w:bCs/>
          <w:sz w:val="24"/>
          <w:szCs w:val="24"/>
        </w:rPr>
        <w:sectPr w:rsidR="00E20B54">
          <w:pgSz w:w="16840" w:h="11905" w:orient="landscape"/>
          <w:pgMar w:top="1134" w:right="1440" w:bottom="1134" w:left="1440" w:header="850" w:footer="992" w:gutter="0"/>
          <w:cols w:space="720"/>
          <w:docGrid w:type="linesAndChars" w:linePitch="312"/>
        </w:sectPr>
      </w:pPr>
    </w:p>
    <w:p w:rsidR="00E20B54" w:rsidRDefault="00733C9E">
      <w:pPr>
        <w:pStyle w:val="2"/>
        <w:spacing w:before="300" w:after="300" w:line="320" w:lineRule="exact"/>
        <w:rPr>
          <w:b/>
          <w:bCs/>
          <w:sz w:val="24"/>
          <w:szCs w:val="24"/>
        </w:rPr>
      </w:pPr>
      <w:r>
        <w:rPr>
          <w:b/>
          <w:bCs/>
          <w:sz w:val="24"/>
          <w:szCs w:val="24"/>
        </w:rPr>
        <w:lastRenderedPageBreak/>
        <w:t>三、公司基本情况</w:t>
      </w:r>
      <w:bookmarkEnd w:id="159"/>
    </w:p>
    <w:p w:rsidR="00E20B54" w:rsidRDefault="00733C9E" w:rsidP="00C57489">
      <w:pPr>
        <w:pStyle w:val="a3"/>
        <w:widowControl/>
        <w:spacing w:beforeLines="50" w:before="156" w:beforeAutospacing="0" w:after="10" w:afterAutospacing="0"/>
        <w:ind w:firstLine="420"/>
        <w:jc w:val="both"/>
        <w:rPr>
          <w:sz w:val="21"/>
          <w:szCs w:val="21"/>
        </w:rPr>
      </w:pPr>
      <w:r>
        <w:rPr>
          <w:rStyle w:val="a4"/>
          <w:sz w:val="21"/>
          <w:szCs w:val="21"/>
        </w:rPr>
        <w:t>1.</w:t>
      </w:r>
      <w:r>
        <w:rPr>
          <w:rStyle w:val="a4"/>
          <w:sz w:val="21"/>
          <w:szCs w:val="21"/>
        </w:rPr>
        <w:t>公司概况</w:t>
      </w:r>
    </w:p>
    <w:p w:rsidR="00E20B54" w:rsidRDefault="00733C9E" w:rsidP="00C57489">
      <w:pPr>
        <w:pStyle w:val="a3"/>
        <w:widowControl/>
        <w:spacing w:beforeLines="50" w:before="156" w:beforeAutospacing="0" w:after="10" w:afterAutospacing="0"/>
        <w:ind w:firstLine="420"/>
        <w:jc w:val="both"/>
        <w:rPr>
          <w:sz w:val="21"/>
          <w:szCs w:val="21"/>
        </w:rPr>
      </w:pPr>
      <w:r>
        <w:rPr>
          <w:sz w:val="21"/>
          <w:szCs w:val="21"/>
        </w:rPr>
        <w:t>广东天亿马信息产业股份有限公司（以下简称</w:t>
      </w:r>
      <w:r>
        <w:rPr>
          <w:sz w:val="21"/>
          <w:szCs w:val="21"/>
        </w:rPr>
        <w:t>“</w:t>
      </w:r>
      <w:r>
        <w:rPr>
          <w:sz w:val="21"/>
          <w:szCs w:val="21"/>
        </w:rPr>
        <w:t>本公司</w:t>
      </w:r>
      <w:r>
        <w:rPr>
          <w:sz w:val="21"/>
          <w:szCs w:val="21"/>
        </w:rPr>
        <w:t>”</w:t>
      </w:r>
      <w:r>
        <w:rPr>
          <w:sz w:val="21"/>
          <w:szCs w:val="21"/>
        </w:rPr>
        <w:t>或</w:t>
      </w:r>
      <w:r>
        <w:rPr>
          <w:sz w:val="21"/>
          <w:szCs w:val="21"/>
        </w:rPr>
        <w:t>“</w:t>
      </w:r>
      <w:r>
        <w:rPr>
          <w:sz w:val="21"/>
          <w:szCs w:val="21"/>
        </w:rPr>
        <w:t>公司</w:t>
      </w:r>
      <w:r>
        <w:rPr>
          <w:sz w:val="21"/>
          <w:szCs w:val="21"/>
        </w:rPr>
        <w:t>”</w:t>
      </w:r>
      <w:r>
        <w:rPr>
          <w:sz w:val="21"/>
          <w:szCs w:val="21"/>
        </w:rPr>
        <w:t>）</w:t>
      </w:r>
      <w:r>
        <w:rPr>
          <w:sz w:val="21"/>
          <w:szCs w:val="21"/>
        </w:rPr>
        <w:t> </w:t>
      </w:r>
      <w:r>
        <w:rPr>
          <w:sz w:val="21"/>
          <w:szCs w:val="21"/>
        </w:rPr>
        <w:t>系在广东天亿马信息产业有限公司的基础上整体变更设立，于</w:t>
      </w:r>
      <w:r>
        <w:rPr>
          <w:sz w:val="21"/>
          <w:szCs w:val="21"/>
        </w:rPr>
        <w:t>2015</w:t>
      </w:r>
      <w:r>
        <w:rPr>
          <w:sz w:val="21"/>
          <w:szCs w:val="21"/>
        </w:rPr>
        <w:t>年</w:t>
      </w:r>
      <w:r>
        <w:rPr>
          <w:sz w:val="21"/>
          <w:szCs w:val="21"/>
        </w:rPr>
        <w:t>8</w:t>
      </w:r>
      <w:r>
        <w:rPr>
          <w:sz w:val="21"/>
          <w:szCs w:val="21"/>
        </w:rPr>
        <w:t>月</w:t>
      </w:r>
      <w:r>
        <w:rPr>
          <w:sz w:val="21"/>
          <w:szCs w:val="21"/>
        </w:rPr>
        <w:t>28</w:t>
      </w:r>
      <w:r>
        <w:rPr>
          <w:sz w:val="21"/>
          <w:szCs w:val="21"/>
        </w:rPr>
        <w:t>日在汕头市市场监督管理局登记注册，取得统一社会信用代码</w:t>
      </w:r>
      <w:r>
        <w:rPr>
          <w:sz w:val="21"/>
          <w:szCs w:val="21"/>
        </w:rPr>
        <w:t>914405007080295548</w:t>
      </w:r>
      <w:r>
        <w:rPr>
          <w:sz w:val="21"/>
          <w:szCs w:val="21"/>
        </w:rPr>
        <w:t>的营业执照，登记的注册资本为人民币</w:t>
      </w:r>
      <w:r>
        <w:rPr>
          <w:sz w:val="21"/>
          <w:szCs w:val="21"/>
        </w:rPr>
        <w:t>2,231.1111</w:t>
      </w:r>
      <w:r>
        <w:rPr>
          <w:sz w:val="21"/>
          <w:szCs w:val="21"/>
        </w:rPr>
        <w:t>万元。</w:t>
      </w:r>
    </w:p>
    <w:p w:rsidR="00E20B54" w:rsidRDefault="00733C9E" w:rsidP="00C57489">
      <w:pPr>
        <w:pStyle w:val="a3"/>
        <w:widowControl/>
        <w:spacing w:beforeLines="50" w:before="156" w:beforeAutospacing="0" w:after="10" w:afterAutospacing="0"/>
        <w:ind w:firstLine="420"/>
        <w:jc w:val="both"/>
        <w:rPr>
          <w:sz w:val="21"/>
          <w:szCs w:val="21"/>
        </w:rPr>
      </w:pPr>
      <w:r>
        <w:rPr>
          <w:sz w:val="21"/>
          <w:szCs w:val="21"/>
        </w:rPr>
        <w:t>2021</w:t>
      </w:r>
      <w:r>
        <w:rPr>
          <w:sz w:val="21"/>
          <w:szCs w:val="21"/>
        </w:rPr>
        <w:t>年</w:t>
      </w:r>
      <w:r>
        <w:rPr>
          <w:sz w:val="21"/>
          <w:szCs w:val="21"/>
        </w:rPr>
        <w:t>9</w:t>
      </w:r>
      <w:r>
        <w:rPr>
          <w:sz w:val="21"/>
          <w:szCs w:val="21"/>
        </w:rPr>
        <w:t>月，经中国证券监督管理委员会《关于同意广东天亿马信息产业股份有限公司首次公开发行股票注册的批复》（证监许可</w:t>
      </w:r>
      <w:r>
        <w:rPr>
          <w:sz w:val="21"/>
          <w:szCs w:val="21"/>
        </w:rPr>
        <w:t>[2021]2937</w:t>
      </w:r>
      <w:r>
        <w:rPr>
          <w:sz w:val="21"/>
          <w:szCs w:val="21"/>
        </w:rPr>
        <w:t>号文）核准，公司于</w:t>
      </w:r>
      <w:r>
        <w:rPr>
          <w:sz w:val="21"/>
          <w:szCs w:val="21"/>
        </w:rPr>
        <w:t>2021</w:t>
      </w:r>
      <w:r>
        <w:rPr>
          <w:sz w:val="21"/>
          <w:szCs w:val="21"/>
        </w:rPr>
        <w:t>年</w:t>
      </w:r>
      <w:r>
        <w:rPr>
          <w:sz w:val="21"/>
          <w:szCs w:val="21"/>
        </w:rPr>
        <w:t>11</w:t>
      </w:r>
      <w:r>
        <w:rPr>
          <w:sz w:val="21"/>
          <w:szCs w:val="21"/>
        </w:rPr>
        <w:t>月</w:t>
      </w:r>
      <w:r>
        <w:rPr>
          <w:sz w:val="21"/>
          <w:szCs w:val="21"/>
        </w:rPr>
        <w:t>1</w:t>
      </w:r>
      <w:r>
        <w:rPr>
          <w:sz w:val="21"/>
          <w:szCs w:val="21"/>
        </w:rPr>
        <w:t>日采用网上定价方式公开发行人民币普通股（</w:t>
      </w:r>
      <w:r>
        <w:rPr>
          <w:sz w:val="21"/>
          <w:szCs w:val="21"/>
        </w:rPr>
        <w:t>A</w:t>
      </w:r>
      <w:r>
        <w:rPr>
          <w:sz w:val="21"/>
          <w:szCs w:val="21"/>
        </w:rPr>
        <w:t>股）</w:t>
      </w:r>
      <w:r>
        <w:rPr>
          <w:sz w:val="21"/>
          <w:szCs w:val="21"/>
        </w:rPr>
        <w:t>1,177.80</w:t>
      </w:r>
      <w:r>
        <w:rPr>
          <w:sz w:val="21"/>
          <w:szCs w:val="21"/>
        </w:rPr>
        <w:t>万股，变更后公司注册资本为</w:t>
      </w:r>
      <w:r>
        <w:rPr>
          <w:sz w:val="21"/>
          <w:szCs w:val="21"/>
        </w:rPr>
        <w:t>4,711.20</w:t>
      </w:r>
      <w:r>
        <w:rPr>
          <w:sz w:val="21"/>
          <w:szCs w:val="21"/>
        </w:rPr>
        <w:t>万元。</w:t>
      </w:r>
    </w:p>
    <w:p w:rsidR="00E20B54" w:rsidRDefault="00733C9E" w:rsidP="00C57489">
      <w:pPr>
        <w:pStyle w:val="a3"/>
        <w:widowControl/>
        <w:spacing w:beforeLines="50" w:before="156" w:beforeAutospacing="0" w:after="10" w:afterAutospacing="0"/>
        <w:ind w:firstLine="420"/>
        <w:jc w:val="both"/>
        <w:rPr>
          <w:sz w:val="21"/>
          <w:szCs w:val="21"/>
        </w:rPr>
      </w:pPr>
      <w:r>
        <w:rPr>
          <w:sz w:val="21"/>
          <w:szCs w:val="21"/>
        </w:rPr>
        <w:t>2022</w:t>
      </w:r>
      <w:r>
        <w:rPr>
          <w:sz w:val="21"/>
          <w:szCs w:val="21"/>
        </w:rPr>
        <w:t>年</w:t>
      </w:r>
      <w:r>
        <w:rPr>
          <w:sz w:val="21"/>
          <w:szCs w:val="21"/>
        </w:rPr>
        <w:t>5</w:t>
      </w:r>
      <w:r>
        <w:rPr>
          <w:sz w:val="21"/>
          <w:szCs w:val="21"/>
        </w:rPr>
        <w:t>月，经公司</w:t>
      </w:r>
      <w:r>
        <w:rPr>
          <w:sz w:val="21"/>
          <w:szCs w:val="21"/>
        </w:rPr>
        <w:t>2021</w:t>
      </w:r>
      <w:r>
        <w:rPr>
          <w:sz w:val="21"/>
          <w:szCs w:val="21"/>
        </w:rPr>
        <w:t>年年度股东大会批准，以资本公积金向全体股东每</w:t>
      </w:r>
      <w:r>
        <w:rPr>
          <w:sz w:val="21"/>
          <w:szCs w:val="21"/>
        </w:rPr>
        <w:t>10</w:t>
      </w:r>
      <w:r>
        <w:rPr>
          <w:sz w:val="21"/>
          <w:szCs w:val="21"/>
        </w:rPr>
        <w:t>股转增</w:t>
      </w:r>
      <w:r>
        <w:rPr>
          <w:sz w:val="21"/>
          <w:szCs w:val="21"/>
        </w:rPr>
        <w:t>4</w:t>
      </w:r>
      <w:r>
        <w:rPr>
          <w:sz w:val="21"/>
          <w:szCs w:val="21"/>
        </w:rPr>
        <w:t>股，共计转增</w:t>
      </w:r>
      <w:r>
        <w:rPr>
          <w:sz w:val="21"/>
          <w:szCs w:val="21"/>
        </w:rPr>
        <w:t>18,844,800</w:t>
      </w:r>
      <w:r>
        <w:rPr>
          <w:sz w:val="21"/>
          <w:szCs w:val="21"/>
        </w:rPr>
        <w:t>股，转增后公司总股本为</w:t>
      </w:r>
      <w:r>
        <w:rPr>
          <w:sz w:val="21"/>
          <w:szCs w:val="21"/>
        </w:rPr>
        <w:t>65,956,800</w:t>
      </w:r>
      <w:r>
        <w:rPr>
          <w:sz w:val="21"/>
          <w:szCs w:val="21"/>
        </w:rPr>
        <w:t>股。</w:t>
      </w:r>
    </w:p>
    <w:p w:rsidR="00E20B54" w:rsidRDefault="00733C9E" w:rsidP="00C57489">
      <w:pPr>
        <w:pStyle w:val="a3"/>
        <w:widowControl/>
        <w:spacing w:beforeLines="50" w:before="156" w:beforeAutospacing="0" w:after="10" w:afterAutospacing="0"/>
        <w:ind w:firstLine="420"/>
        <w:jc w:val="both"/>
        <w:rPr>
          <w:sz w:val="21"/>
          <w:szCs w:val="21"/>
        </w:rPr>
      </w:pPr>
      <w:r>
        <w:rPr>
          <w:sz w:val="21"/>
          <w:szCs w:val="21"/>
        </w:rPr>
        <w:t>2023</w:t>
      </w:r>
      <w:r>
        <w:rPr>
          <w:sz w:val="21"/>
          <w:szCs w:val="21"/>
        </w:rPr>
        <w:t>年</w:t>
      </w:r>
      <w:r>
        <w:rPr>
          <w:sz w:val="21"/>
          <w:szCs w:val="21"/>
        </w:rPr>
        <w:t>9</w:t>
      </w:r>
      <w:r>
        <w:rPr>
          <w:sz w:val="21"/>
          <w:szCs w:val="21"/>
        </w:rPr>
        <w:t>月，经公司</w:t>
      </w:r>
      <w:r>
        <w:rPr>
          <w:sz w:val="21"/>
          <w:szCs w:val="21"/>
        </w:rPr>
        <w:t>2023</w:t>
      </w:r>
      <w:r>
        <w:rPr>
          <w:sz w:val="21"/>
          <w:szCs w:val="21"/>
        </w:rPr>
        <w:t>年第四次临时股东大会决议批准，公司实施限制性股票激励计划，</w:t>
      </w:r>
      <w:r>
        <w:rPr>
          <w:sz w:val="21"/>
          <w:szCs w:val="21"/>
        </w:rPr>
        <w:t>2023</w:t>
      </w:r>
      <w:r>
        <w:rPr>
          <w:sz w:val="21"/>
          <w:szCs w:val="21"/>
        </w:rPr>
        <w:t>年</w:t>
      </w:r>
      <w:r>
        <w:rPr>
          <w:sz w:val="21"/>
          <w:szCs w:val="21"/>
        </w:rPr>
        <w:t>10</w:t>
      </w:r>
      <w:r>
        <w:rPr>
          <w:sz w:val="21"/>
          <w:szCs w:val="21"/>
        </w:rPr>
        <w:t>月，公司收到首次授予的激励对象出资，公司注册资本变更为</w:t>
      </w:r>
      <w:r>
        <w:rPr>
          <w:sz w:val="21"/>
          <w:szCs w:val="21"/>
        </w:rPr>
        <w:t>6,723.68</w:t>
      </w:r>
      <w:r>
        <w:rPr>
          <w:sz w:val="21"/>
          <w:szCs w:val="21"/>
        </w:rPr>
        <w:t>万元。</w:t>
      </w:r>
    </w:p>
    <w:p w:rsidR="00E20B54" w:rsidRDefault="00733C9E" w:rsidP="00C57489">
      <w:pPr>
        <w:pStyle w:val="a3"/>
        <w:widowControl/>
        <w:spacing w:beforeLines="50" w:before="156" w:beforeAutospacing="0" w:after="10" w:afterAutospacing="0"/>
        <w:ind w:firstLine="420"/>
        <w:jc w:val="both"/>
        <w:rPr>
          <w:sz w:val="21"/>
          <w:szCs w:val="21"/>
        </w:rPr>
      </w:pPr>
      <w:r>
        <w:rPr>
          <w:sz w:val="21"/>
          <w:szCs w:val="21"/>
        </w:rPr>
        <w:t>2024</w:t>
      </w:r>
      <w:r>
        <w:rPr>
          <w:sz w:val="21"/>
          <w:szCs w:val="21"/>
        </w:rPr>
        <w:t>年</w:t>
      </w:r>
      <w:r>
        <w:rPr>
          <w:sz w:val="21"/>
          <w:szCs w:val="21"/>
        </w:rPr>
        <w:t>9</w:t>
      </w:r>
      <w:r>
        <w:rPr>
          <w:sz w:val="21"/>
          <w:szCs w:val="21"/>
        </w:rPr>
        <w:t>月，经公司</w:t>
      </w:r>
      <w:r>
        <w:rPr>
          <w:sz w:val="21"/>
          <w:szCs w:val="21"/>
        </w:rPr>
        <w:t>2024</w:t>
      </w:r>
      <w:r>
        <w:rPr>
          <w:sz w:val="21"/>
          <w:szCs w:val="21"/>
        </w:rPr>
        <w:t>年第三次临时股东会议以及第三届董事会第二十四次会议决议，因公司层面</w:t>
      </w:r>
      <w:r>
        <w:rPr>
          <w:sz w:val="21"/>
          <w:szCs w:val="21"/>
        </w:rPr>
        <w:t>2023</w:t>
      </w:r>
      <w:r>
        <w:rPr>
          <w:sz w:val="21"/>
          <w:szCs w:val="21"/>
        </w:rPr>
        <w:t>年业绩考核未达标，同意回购并注销首次授予林明玲、马学沛</w:t>
      </w:r>
      <w:r>
        <w:rPr>
          <w:sz w:val="21"/>
          <w:szCs w:val="21"/>
        </w:rPr>
        <w:t>2</w:t>
      </w:r>
      <w:r>
        <w:rPr>
          <w:sz w:val="21"/>
          <w:szCs w:val="21"/>
        </w:rPr>
        <w:t>名激励对象对应当年已获授但尚未解除限售的第一类限制性股票合计</w:t>
      </w:r>
      <w:r>
        <w:rPr>
          <w:sz w:val="21"/>
          <w:szCs w:val="21"/>
        </w:rPr>
        <w:t>128,000</w:t>
      </w:r>
      <w:r>
        <w:rPr>
          <w:sz w:val="21"/>
          <w:szCs w:val="21"/>
        </w:rPr>
        <w:t>股，每股面值</w:t>
      </w:r>
      <w:r>
        <w:rPr>
          <w:sz w:val="21"/>
          <w:szCs w:val="21"/>
        </w:rPr>
        <w:t>1</w:t>
      </w:r>
      <w:r>
        <w:rPr>
          <w:sz w:val="21"/>
          <w:szCs w:val="21"/>
        </w:rPr>
        <w:t>元，回购价格为</w:t>
      </w:r>
      <w:r>
        <w:rPr>
          <w:sz w:val="21"/>
          <w:szCs w:val="21"/>
        </w:rPr>
        <w:t>15.81</w:t>
      </w:r>
      <w:r>
        <w:rPr>
          <w:sz w:val="21"/>
          <w:szCs w:val="21"/>
        </w:rPr>
        <w:t>元</w:t>
      </w:r>
      <w:r>
        <w:rPr>
          <w:sz w:val="21"/>
          <w:szCs w:val="21"/>
        </w:rPr>
        <w:t>/</w:t>
      </w:r>
      <w:r>
        <w:rPr>
          <w:sz w:val="21"/>
          <w:szCs w:val="21"/>
        </w:rPr>
        <w:t>股加上中国人民银行同期存款利息之和，公司减少注册资本人民币</w:t>
      </w:r>
      <w:r>
        <w:rPr>
          <w:sz w:val="21"/>
          <w:szCs w:val="21"/>
        </w:rPr>
        <w:t>128,000.00</w:t>
      </w:r>
      <w:r>
        <w:rPr>
          <w:sz w:val="21"/>
          <w:szCs w:val="21"/>
        </w:rPr>
        <w:t>元，变更后注册资本为人民币</w:t>
      </w:r>
      <w:r>
        <w:rPr>
          <w:sz w:val="21"/>
          <w:szCs w:val="21"/>
        </w:rPr>
        <w:t>6,710.88</w:t>
      </w:r>
      <w:r>
        <w:rPr>
          <w:sz w:val="21"/>
          <w:szCs w:val="21"/>
        </w:rPr>
        <w:t>万元。</w:t>
      </w:r>
    </w:p>
    <w:p w:rsidR="00E20B54" w:rsidRDefault="00733C9E" w:rsidP="00C57489">
      <w:pPr>
        <w:pStyle w:val="a3"/>
        <w:widowControl/>
        <w:spacing w:beforeLines="50" w:before="156" w:beforeAutospacing="0" w:after="10" w:afterAutospacing="0"/>
        <w:ind w:firstLine="420"/>
        <w:jc w:val="both"/>
        <w:rPr>
          <w:sz w:val="21"/>
          <w:szCs w:val="21"/>
        </w:rPr>
      </w:pPr>
      <w:r>
        <w:rPr>
          <w:sz w:val="21"/>
          <w:szCs w:val="21"/>
        </w:rPr>
        <w:t>2025</w:t>
      </w:r>
      <w:r>
        <w:rPr>
          <w:sz w:val="21"/>
          <w:szCs w:val="21"/>
        </w:rPr>
        <w:t>年</w:t>
      </w:r>
      <w:r>
        <w:rPr>
          <w:sz w:val="21"/>
          <w:szCs w:val="21"/>
        </w:rPr>
        <w:t>5</w:t>
      </w:r>
      <w:r>
        <w:rPr>
          <w:sz w:val="21"/>
          <w:szCs w:val="21"/>
        </w:rPr>
        <w:t>月，经公司</w:t>
      </w:r>
      <w:r>
        <w:rPr>
          <w:sz w:val="21"/>
          <w:szCs w:val="21"/>
        </w:rPr>
        <w:t>2024</w:t>
      </w:r>
      <w:r>
        <w:rPr>
          <w:sz w:val="21"/>
          <w:szCs w:val="21"/>
        </w:rPr>
        <w:t>年年度股东会审议通过了《关于回购注销部分已授予但尚未解除限售的限制性股票的议案》。本次回购注销完成后，公司股份总数将由</w:t>
      </w:r>
      <w:r>
        <w:rPr>
          <w:sz w:val="21"/>
          <w:szCs w:val="21"/>
        </w:rPr>
        <w:t xml:space="preserve">67,108,800 </w:t>
      </w:r>
      <w:r>
        <w:rPr>
          <w:sz w:val="21"/>
          <w:szCs w:val="21"/>
        </w:rPr>
        <w:t>股变更为</w:t>
      </w:r>
      <w:r>
        <w:rPr>
          <w:sz w:val="21"/>
          <w:szCs w:val="21"/>
        </w:rPr>
        <w:t xml:space="preserve"> 66,852,800 </w:t>
      </w:r>
      <w:r>
        <w:rPr>
          <w:sz w:val="21"/>
          <w:szCs w:val="21"/>
        </w:rPr>
        <w:t>股，注册资本将由</w:t>
      </w:r>
      <w:r>
        <w:rPr>
          <w:sz w:val="21"/>
          <w:szCs w:val="21"/>
        </w:rPr>
        <w:t>67,108,800</w:t>
      </w:r>
      <w:r>
        <w:rPr>
          <w:sz w:val="21"/>
          <w:szCs w:val="21"/>
        </w:rPr>
        <w:t>元减少至</w:t>
      </w:r>
      <w:r>
        <w:rPr>
          <w:sz w:val="21"/>
          <w:szCs w:val="21"/>
        </w:rPr>
        <w:t>66,852,800</w:t>
      </w:r>
      <w:r>
        <w:rPr>
          <w:sz w:val="21"/>
          <w:szCs w:val="21"/>
        </w:rPr>
        <w:t>元。</w:t>
      </w:r>
    </w:p>
    <w:p w:rsidR="00E20B54" w:rsidRDefault="00733C9E" w:rsidP="00C57489">
      <w:pPr>
        <w:pStyle w:val="a3"/>
        <w:widowControl/>
        <w:spacing w:beforeLines="50" w:before="156" w:beforeAutospacing="0" w:after="10" w:afterAutospacing="0"/>
        <w:ind w:firstLine="420"/>
        <w:jc w:val="both"/>
        <w:rPr>
          <w:sz w:val="21"/>
          <w:szCs w:val="21"/>
        </w:rPr>
      </w:pPr>
      <w:r>
        <w:rPr>
          <w:sz w:val="21"/>
          <w:szCs w:val="21"/>
        </w:rPr>
        <w:t>截止</w:t>
      </w:r>
      <w:r>
        <w:rPr>
          <w:sz w:val="21"/>
          <w:szCs w:val="21"/>
        </w:rPr>
        <w:t>2025</w:t>
      </w:r>
      <w:r>
        <w:rPr>
          <w:sz w:val="21"/>
          <w:szCs w:val="21"/>
        </w:rPr>
        <w:t>年</w:t>
      </w:r>
      <w:r>
        <w:rPr>
          <w:sz w:val="21"/>
          <w:szCs w:val="21"/>
        </w:rPr>
        <w:t>12</w:t>
      </w:r>
      <w:r>
        <w:rPr>
          <w:sz w:val="21"/>
          <w:szCs w:val="21"/>
        </w:rPr>
        <w:t>月</w:t>
      </w:r>
      <w:r>
        <w:rPr>
          <w:sz w:val="21"/>
          <w:szCs w:val="21"/>
        </w:rPr>
        <w:t>31</w:t>
      </w:r>
      <w:r>
        <w:rPr>
          <w:sz w:val="21"/>
          <w:szCs w:val="21"/>
        </w:rPr>
        <w:t>日，公司注册资本为人民币</w:t>
      </w:r>
      <w:r>
        <w:rPr>
          <w:sz w:val="21"/>
          <w:szCs w:val="21"/>
        </w:rPr>
        <w:t>6,685.28</w:t>
      </w:r>
      <w:r>
        <w:rPr>
          <w:sz w:val="21"/>
          <w:szCs w:val="21"/>
        </w:rPr>
        <w:t>万元。</w:t>
      </w:r>
    </w:p>
    <w:p w:rsidR="00E20B54" w:rsidRDefault="00733C9E" w:rsidP="00C57489">
      <w:pPr>
        <w:pStyle w:val="a3"/>
        <w:widowControl/>
        <w:spacing w:beforeLines="50" w:before="156" w:beforeAutospacing="0" w:after="10" w:afterAutospacing="0"/>
        <w:ind w:firstLine="420"/>
        <w:jc w:val="both"/>
        <w:rPr>
          <w:sz w:val="21"/>
          <w:szCs w:val="21"/>
        </w:rPr>
      </w:pPr>
      <w:r>
        <w:rPr>
          <w:sz w:val="21"/>
          <w:szCs w:val="21"/>
        </w:rPr>
        <w:t>公司法人代表：林明玲</w:t>
      </w:r>
    </w:p>
    <w:p w:rsidR="00E20B54" w:rsidRDefault="00733C9E" w:rsidP="00C57489">
      <w:pPr>
        <w:pStyle w:val="a3"/>
        <w:widowControl/>
        <w:spacing w:beforeLines="50" w:before="156" w:beforeAutospacing="0" w:after="10" w:afterAutospacing="0"/>
        <w:ind w:firstLine="420"/>
        <w:jc w:val="both"/>
        <w:rPr>
          <w:sz w:val="21"/>
          <w:szCs w:val="21"/>
        </w:rPr>
      </w:pPr>
      <w:r>
        <w:rPr>
          <w:sz w:val="21"/>
          <w:szCs w:val="21"/>
        </w:rPr>
        <w:t>公司注册地址：广东省汕头市嵩山路南</w:t>
      </w:r>
      <w:r>
        <w:rPr>
          <w:sz w:val="21"/>
          <w:szCs w:val="21"/>
        </w:rPr>
        <w:t>20</w:t>
      </w:r>
      <w:r>
        <w:rPr>
          <w:sz w:val="21"/>
          <w:szCs w:val="21"/>
        </w:rPr>
        <w:t>号天澜国际大厦西塔</w:t>
      </w:r>
      <w:r>
        <w:rPr>
          <w:sz w:val="21"/>
          <w:szCs w:val="21"/>
        </w:rPr>
        <w:t>2111-2112</w:t>
      </w:r>
      <w:r>
        <w:rPr>
          <w:sz w:val="21"/>
          <w:szCs w:val="21"/>
        </w:rPr>
        <w:t>房，现总部位于：广东省汕头市金平区海滨路</w:t>
      </w:r>
      <w:r>
        <w:rPr>
          <w:sz w:val="21"/>
          <w:szCs w:val="21"/>
        </w:rPr>
        <w:t>55</w:t>
      </w:r>
      <w:r>
        <w:rPr>
          <w:sz w:val="21"/>
          <w:szCs w:val="21"/>
        </w:rPr>
        <w:t>号海逸投资大厦</w:t>
      </w:r>
      <w:r>
        <w:rPr>
          <w:sz w:val="21"/>
          <w:szCs w:val="21"/>
        </w:rPr>
        <w:t>F4</w:t>
      </w:r>
      <w:r>
        <w:rPr>
          <w:sz w:val="21"/>
          <w:szCs w:val="21"/>
        </w:rPr>
        <w:t>层。</w:t>
      </w:r>
    </w:p>
    <w:p w:rsidR="00E20B54" w:rsidRDefault="00733C9E" w:rsidP="00C57489">
      <w:pPr>
        <w:pStyle w:val="a3"/>
        <w:widowControl/>
        <w:spacing w:beforeLines="50" w:before="156" w:beforeAutospacing="0" w:after="10" w:afterAutospacing="0"/>
        <w:ind w:firstLine="420"/>
        <w:jc w:val="both"/>
        <w:rPr>
          <w:sz w:val="21"/>
          <w:szCs w:val="21"/>
        </w:rPr>
      </w:pPr>
      <w:r>
        <w:rPr>
          <w:sz w:val="21"/>
          <w:szCs w:val="21"/>
        </w:rPr>
        <w:t>本公司及子公司的业务性质和主要经营活动：公司所处行业为软件和信息技术服务业；提供的主要产品为计算机软件开发，计算机及信息化配套产品的研发，计算机信息系统集成及服务等。</w:t>
      </w:r>
    </w:p>
    <w:p w:rsidR="00E20B54" w:rsidRDefault="00733C9E" w:rsidP="00C57489">
      <w:pPr>
        <w:pStyle w:val="a3"/>
        <w:widowControl/>
        <w:spacing w:beforeLines="50" w:before="156" w:beforeAutospacing="0" w:after="10" w:afterAutospacing="0"/>
        <w:ind w:firstLine="420"/>
        <w:jc w:val="both"/>
        <w:rPr>
          <w:sz w:val="21"/>
          <w:szCs w:val="21"/>
        </w:rPr>
      </w:pPr>
      <w:r>
        <w:rPr>
          <w:sz w:val="21"/>
          <w:szCs w:val="21"/>
        </w:rPr>
        <w:t>本财务报表业经本公司董事会于</w:t>
      </w:r>
      <w:r>
        <w:rPr>
          <w:sz w:val="21"/>
          <w:szCs w:val="21"/>
        </w:rPr>
        <w:t>2026</w:t>
      </w:r>
      <w:r>
        <w:rPr>
          <w:sz w:val="21"/>
          <w:szCs w:val="21"/>
        </w:rPr>
        <w:t>年</w:t>
      </w:r>
      <w:r>
        <w:rPr>
          <w:sz w:val="21"/>
          <w:szCs w:val="21"/>
        </w:rPr>
        <w:t>3</w:t>
      </w:r>
      <w:r>
        <w:rPr>
          <w:sz w:val="21"/>
          <w:szCs w:val="21"/>
        </w:rPr>
        <w:t>月</w:t>
      </w:r>
      <w:r>
        <w:rPr>
          <w:sz w:val="21"/>
          <w:szCs w:val="21"/>
        </w:rPr>
        <w:t>30</w:t>
      </w:r>
      <w:r>
        <w:rPr>
          <w:sz w:val="21"/>
          <w:szCs w:val="21"/>
        </w:rPr>
        <w:t>日决议批准报出。</w:t>
      </w:r>
    </w:p>
    <w:p w:rsidR="00E20B54" w:rsidRDefault="00733C9E" w:rsidP="00C57489">
      <w:pPr>
        <w:pStyle w:val="a3"/>
        <w:widowControl/>
        <w:spacing w:beforeLines="50" w:before="156" w:beforeAutospacing="0" w:after="10" w:afterAutospacing="0"/>
        <w:ind w:firstLine="420"/>
        <w:jc w:val="both"/>
        <w:rPr>
          <w:sz w:val="21"/>
          <w:szCs w:val="21"/>
        </w:rPr>
      </w:pPr>
      <w:r>
        <w:rPr>
          <w:rStyle w:val="a4"/>
          <w:sz w:val="21"/>
          <w:szCs w:val="21"/>
        </w:rPr>
        <w:t>2.</w:t>
      </w:r>
      <w:r>
        <w:rPr>
          <w:rStyle w:val="a4"/>
          <w:sz w:val="21"/>
          <w:szCs w:val="21"/>
        </w:rPr>
        <w:t>合并财务报表范围及其变化情况</w:t>
      </w:r>
    </w:p>
    <w:p w:rsidR="00E20B54" w:rsidRDefault="00733C9E" w:rsidP="00C57489">
      <w:pPr>
        <w:pStyle w:val="a3"/>
        <w:widowControl/>
        <w:spacing w:beforeLines="50" w:before="156" w:beforeAutospacing="0" w:after="10" w:afterAutospacing="0"/>
        <w:ind w:firstLine="420"/>
        <w:jc w:val="both"/>
        <w:rPr>
          <w:sz w:val="21"/>
          <w:szCs w:val="21"/>
        </w:rPr>
      </w:pPr>
      <w:r>
        <w:rPr>
          <w:sz w:val="21"/>
          <w:szCs w:val="21"/>
        </w:rPr>
        <w:t>本公司</w:t>
      </w:r>
      <w:r>
        <w:rPr>
          <w:sz w:val="21"/>
          <w:szCs w:val="21"/>
        </w:rPr>
        <w:t>2025</w:t>
      </w:r>
      <w:r>
        <w:rPr>
          <w:sz w:val="21"/>
          <w:szCs w:val="21"/>
        </w:rPr>
        <w:t>年度纳入合并范围的子公司共</w:t>
      </w:r>
      <w:r>
        <w:rPr>
          <w:sz w:val="21"/>
          <w:szCs w:val="21"/>
        </w:rPr>
        <w:t>22</w:t>
      </w:r>
      <w:r>
        <w:rPr>
          <w:sz w:val="21"/>
          <w:szCs w:val="21"/>
        </w:rPr>
        <w:t>户，详见本节</w:t>
      </w:r>
      <w:r>
        <w:rPr>
          <w:sz w:val="21"/>
          <w:szCs w:val="21"/>
        </w:rPr>
        <w:t>“</w:t>
      </w:r>
      <w:r>
        <w:rPr>
          <w:sz w:val="21"/>
          <w:szCs w:val="21"/>
        </w:rPr>
        <w:t>十、在其他主体中的权益</w:t>
      </w:r>
      <w:r>
        <w:rPr>
          <w:sz w:val="21"/>
          <w:szCs w:val="21"/>
        </w:rPr>
        <w:t>”</w:t>
      </w:r>
      <w:r>
        <w:rPr>
          <w:sz w:val="21"/>
          <w:szCs w:val="21"/>
        </w:rPr>
        <w:t>。本公司本期合并范围比上期增加</w:t>
      </w:r>
      <w:r>
        <w:rPr>
          <w:sz w:val="21"/>
          <w:szCs w:val="21"/>
        </w:rPr>
        <w:t>0</w:t>
      </w:r>
      <w:r>
        <w:rPr>
          <w:sz w:val="21"/>
          <w:szCs w:val="21"/>
        </w:rPr>
        <w:t>户，减少</w:t>
      </w:r>
      <w:r>
        <w:rPr>
          <w:sz w:val="21"/>
          <w:szCs w:val="21"/>
        </w:rPr>
        <w:t>3</w:t>
      </w:r>
      <w:r>
        <w:rPr>
          <w:sz w:val="21"/>
          <w:szCs w:val="21"/>
        </w:rPr>
        <w:t>户，详见本节</w:t>
      </w:r>
      <w:r>
        <w:rPr>
          <w:sz w:val="21"/>
          <w:szCs w:val="21"/>
        </w:rPr>
        <w:t>“</w:t>
      </w:r>
      <w:r>
        <w:rPr>
          <w:sz w:val="21"/>
          <w:szCs w:val="21"/>
        </w:rPr>
        <w:t>九、合并范围的变更</w:t>
      </w:r>
      <w:r>
        <w:rPr>
          <w:sz w:val="21"/>
          <w:szCs w:val="21"/>
        </w:rPr>
        <w:t>”</w:t>
      </w:r>
      <w:r>
        <w:rPr>
          <w:sz w:val="21"/>
          <w:szCs w:val="21"/>
        </w:rPr>
        <w:t>。</w:t>
      </w:r>
    </w:p>
    <w:p w:rsidR="00E20B54" w:rsidRDefault="00733C9E" w:rsidP="00C57489">
      <w:pPr>
        <w:pStyle w:val="2"/>
        <w:spacing w:beforeLines="50" w:after="10"/>
        <w:rPr>
          <w:b/>
          <w:bCs/>
          <w:sz w:val="24"/>
          <w:szCs w:val="24"/>
        </w:rPr>
      </w:pPr>
      <w:bookmarkStart w:id="161" w:name="_Toc989049"/>
      <w:r>
        <w:rPr>
          <w:b/>
          <w:bCs/>
          <w:sz w:val="24"/>
          <w:szCs w:val="24"/>
        </w:rPr>
        <w:t>四、财务报表的编制基础</w:t>
      </w:r>
      <w:bookmarkEnd w:id="161"/>
    </w:p>
    <w:p w:rsidR="00E20B54" w:rsidRDefault="00733C9E" w:rsidP="00C57489">
      <w:pPr>
        <w:pStyle w:val="3"/>
        <w:spacing w:beforeLines="50" w:before="156" w:after="10" w:line="240" w:lineRule="auto"/>
        <w:jc w:val="left"/>
        <w:rPr>
          <w:b/>
          <w:bCs/>
        </w:rPr>
      </w:pPr>
      <w:bookmarkStart w:id="162" w:name="_Toc989050"/>
      <w:r>
        <w:rPr>
          <w:b/>
          <w:bCs/>
        </w:rPr>
        <w:t>1</w:t>
      </w:r>
      <w:r>
        <w:rPr>
          <w:b/>
          <w:bCs/>
        </w:rPr>
        <w:t>、编制基础</w:t>
      </w:r>
      <w:bookmarkEnd w:id="162"/>
    </w:p>
    <w:p w:rsidR="00E20B54" w:rsidRDefault="00733C9E" w:rsidP="00C57489">
      <w:pPr>
        <w:pStyle w:val="a3"/>
        <w:widowControl/>
        <w:spacing w:beforeLines="50" w:before="156" w:beforeAutospacing="0" w:after="10" w:afterAutospacing="0"/>
        <w:ind w:firstLine="420"/>
        <w:jc w:val="both"/>
        <w:rPr>
          <w:sz w:val="21"/>
          <w:szCs w:val="21"/>
        </w:rPr>
      </w:pPr>
      <w:r>
        <w:rPr>
          <w:sz w:val="21"/>
          <w:szCs w:val="21"/>
        </w:rPr>
        <w:t>本公司财务报表以持续经营假设为基础，根据实际发生的交易和事项，按照财政部发布的《企业会计准则</w:t>
      </w:r>
      <w:r>
        <w:rPr>
          <w:sz w:val="21"/>
          <w:szCs w:val="21"/>
        </w:rPr>
        <w:t>——</w:t>
      </w:r>
      <w:r>
        <w:rPr>
          <w:sz w:val="21"/>
          <w:szCs w:val="21"/>
        </w:rPr>
        <w:t>基本准则》（财政部令第</w:t>
      </w:r>
      <w:r>
        <w:rPr>
          <w:sz w:val="21"/>
          <w:szCs w:val="21"/>
        </w:rPr>
        <w:t>33</w:t>
      </w:r>
      <w:r>
        <w:rPr>
          <w:sz w:val="21"/>
          <w:szCs w:val="21"/>
        </w:rPr>
        <w:t>号发布、财政部令第</w:t>
      </w:r>
      <w:r>
        <w:rPr>
          <w:sz w:val="21"/>
          <w:szCs w:val="21"/>
        </w:rPr>
        <w:t>76</w:t>
      </w:r>
      <w:r>
        <w:rPr>
          <w:sz w:val="21"/>
          <w:szCs w:val="21"/>
        </w:rPr>
        <w:t>号修订）、于</w:t>
      </w:r>
      <w:r>
        <w:rPr>
          <w:sz w:val="21"/>
          <w:szCs w:val="21"/>
        </w:rPr>
        <w:t>2006</w:t>
      </w:r>
      <w:r>
        <w:rPr>
          <w:sz w:val="21"/>
          <w:szCs w:val="21"/>
        </w:rPr>
        <w:t>年</w:t>
      </w:r>
      <w:r>
        <w:rPr>
          <w:sz w:val="21"/>
          <w:szCs w:val="21"/>
        </w:rPr>
        <w:t>2</w:t>
      </w:r>
      <w:r>
        <w:rPr>
          <w:sz w:val="21"/>
          <w:szCs w:val="21"/>
        </w:rPr>
        <w:t>月</w:t>
      </w:r>
      <w:r>
        <w:rPr>
          <w:sz w:val="21"/>
          <w:szCs w:val="21"/>
        </w:rPr>
        <w:t>15</w:t>
      </w:r>
      <w:r>
        <w:rPr>
          <w:sz w:val="21"/>
          <w:szCs w:val="21"/>
        </w:rPr>
        <w:t>日及其后颁布和修订的</w:t>
      </w:r>
      <w:r>
        <w:rPr>
          <w:sz w:val="21"/>
          <w:szCs w:val="21"/>
        </w:rPr>
        <w:t>41</w:t>
      </w:r>
      <w:r>
        <w:rPr>
          <w:sz w:val="21"/>
          <w:szCs w:val="21"/>
        </w:rPr>
        <w:t>项具体会计准则、企业会计准则应用指南、企业会计准则解释及其他相关规定（以下</w:t>
      </w:r>
      <w:r>
        <w:rPr>
          <w:sz w:val="21"/>
          <w:szCs w:val="21"/>
        </w:rPr>
        <w:lastRenderedPageBreak/>
        <w:t>合称</w:t>
      </w:r>
      <w:r>
        <w:rPr>
          <w:sz w:val="21"/>
          <w:szCs w:val="21"/>
        </w:rPr>
        <w:t>“</w:t>
      </w:r>
      <w:r>
        <w:rPr>
          <w:sz w:val="21"/>
          <w:szCs w:val="21"/>
        </w:rPr>
        <w:t>企业会计准则</w:t>
      </w:r>
      <w:r>
        <w:rPr>
          <w:sz w:val="21"/>
          <w:szCs w:val="21"/>
        </w:rPr>
        <w:t>”</w:t>
      </w:r>
      <w:r>
        <w:rPr>
          <w:sz w:val="21"/>
          <w:szCs w:val="21"/>
        </w:rPr>
        <w:t>），以及中国证券监督管理委员会《公开发行证券的公司信息披露编报规则第</w:t>
      </w:r>
      <w:r>
        <w:rPr>
          <w:sz w:val="21"/>
          <w:szCs w:val="21"/>
        </w:rPr>
        <w:t>15</w:t>
      </w:r>
      <w:r>
        <w:rPr>
          <w:sz w:val="21"/>
          <w:szCs w:val="21"/>
        </w:rPr>
        <w:t>号</w:t>
      </w:r>
      <w:r>
        <w:rPr>
          <w:sz w:val="21"/>
          <w:szCs w:val="21"/>
        </w:rPr>
        <w:t>——</w:t>
      </w:r>
      <w:r>
        <w:rPr>
          <w:sz w:val="21"/>
          <w:szCs w:val="21"/>
        </w:rPr>
        <w:t>财务报告的一般规定》（</w:t>
      </w:r>
      <w:r>
        <w:rPr>
          <w:sz w:val="21"/>
          <w:szCs w:val="21"/>
        </w:rPr>
        <w:t>2023</w:t>
      </w:r>
      <w:r>
        <w:rPr>
          <w:sz w:val="21"/>
          <w:szCs w:val="21"/>
        </w:rPr>
        <w:t>年修订）的披露规定编制。</w:t>
      </w:r>
    </w:p>
    <w:p w:rsidR="00E20B54" w:rsidRDefault="00733C9E" w:rsidP="00C57489">
      <w:pPr>
        <w:pStyle w:val="a3"/>
        <w:widowControl/>
        <w:spacing w:beforeLines="50" w:before="156" w:beforeAutospacing="0" w:after="10" w:afterAutospacing="0"/>
        <w:ind w:firstLine="420"/>
        <w:jc w:val="both"/>
        <w:rPr>
          <w:sz w:val="21"/>
          <w:szCs w:val="21"/>
        </w:rPr>
      </w:pPr>
      <w:r>
        <w:rPr>
          <w:sz w:val="21"/>
          <w:szCs w:val="21"/>
        </w:rPr>
        <w:t>根据企业会计准则的相关规定，本公司会计核算以权责发生制为基础。除某些金融工具外，本财务报表均以历史成本为计量基础。资产如果发生减值，则按照相关规定计提相应的减值准备。</w:t>
      </w:r>
    </w:p>
    <w:p w:rsidR="00E20B54" w:rsidRDefault="00733C9E" w:rsidP="00C57489">
      <w:pPr>
        <w:pStyle w:val="3"/>
        <w:spacing w:beforeLines="50" w:before="156" w:after="10" w:line="240" w:lineRule="auto"/>
        <w:jc w:val="left"/>
        <w:rPr>
          <w:b/>
          <w:bCs/>
        </w:rPr>
      </w:pPr>
      <w:bookmarkStart w:id="163" w:name="_Toc989051"/>
      <w:r>
        <w:rPr>
          <w:b/>
          <w:bCs/>
        </w:rPr>
        <w:t>2</w:t>
      </w:r>
      <w:r>
        <w:rPr>
          <w:b/>
          <w:bCs/>
        </w:rPr>
        <w:t>、持续经营</w:t>
      </w:r>
      <w:bookmarkEnd w:id="163"/>
    </w:p>
    <w:p w:rsidR="00E20B54" w:rsidRDefault="00733C9E" w:rsidP="00C57489">
      <w:pPr>
        <w:pStyle w:val="a3"/>
        <w:widowControl/>
        <w:spacing w:beforeLines="50" w:before="156" w:beforeAutospacing="0" w:after="10" w:afterAutospacing="0"/>
      </w:pPr>
      <w:r>
        <w:rPr>
          <w:sz w:val="21"/>
          <w:szCs w:val="21"/>
        </w:rPr>
        <w:t>管理层认为公司自本报告期末起</w:t>
      </w:r>
      <w:r>
        <w:rPr>
          <w:sz w:val="21"/>
          <w:szCs w:val="21"/>
        </w:rPr>
        <w:t>12</w:t>
      </w:r>
      <w:r>
        <w:rPr>
          <w:sz w:val="21"/>
          <w:szCs w:val="21"/>
        </w:rPr>
        <w:t>个月内的持续经营能力不存在重大不确定性。</w:t>
      </w:r>
    </w:p>
    <w:p w:rsidR="00E20B54" w:rsidRDefault="00733C9E" w:rsidP="00C57489">
      <w:pPr>
        <w:pStyle w:val="2"/>
        <w:spacing w:beforeLines="50" w:after="10"/>
        <w:rPr>
          <w:b/>
          <w:bCs/>
          <w:sz w:val="24"/>
          <w:szCs w:val="24"/>
        </w:rPr>
      </w:pPr>
      <w:bookmarkStart w:id="164" w:name="_Toc989052"/>
      <w:r>
        <w:rPr>
          <w:b/>
          <w:bCs/>
          <w:sz w:val="24"/>
          <w:szCs w:val="24"/>
        </w:rPr>
        <w:t>五、重要会计政策及会计估计</w:t>
      </w:r>
      <w:bookmarkEnd w:id="164"/>
    </w:p>
    <w:p w:rsidR="00E20B54" w:rsidRDefault="00733C9E" w:rsidP="00C57489">
      <w:pPr>
        <w:spacing w:beforeLines="50" w:before="156" w:after="10"/>
        <w:rPr>
          <w:sz w:val="18"/>
          <w:szCs w:val="18"/>
        </w:rPr>
      </w:pPr>
      <w:r>
        <w:rPr>
          <w:sz w:val="18"/>
          <w:szCs w:val="18"/>
        </w:rPr>
        <w:t>具体会计政策和会计估计提示：</w:t>
      </w:r>
    </w:p>
    <w:p w:rsidR="00E20B54" w:rsidRDefault="00733C9E" w:rsidP="00C57489">
      <w:pPr>
        <w:widowControl/>
        <w:spacing w:beforeLines="50" w:before="156" w:after="10"/>
        <w:rPr>
          <w:sz w:val="18"/>
          <w:szCs w:val="18"/>
        </w:rPr>
      </w:pPr>
      <w:r>
        <w:rPr>
          <w:rFonts w:eastAsia="瀹嬩綋"/>
          <w:color w:val="000000"/>
          <w:szCs w:val="21"/>
          <w:lang w:bidi="ar"/>
        </w:rPr>
        <w:t>本公司下列重要会计政策、会计估计根据企业会计准则制定。未提及的业务按企业会计准则中相关会计政策执行。</w:t>
      </w:r>
    </w:p>
    <w:p w:rsidR="00E20B54" w:rsidRDefault="00733C9E" w:rsidP="00C57489">
      <w:pPr>
        <w:pStyle w:val="3"/>
        <w:spacing w:beforeLines="50" w:before="156" w:after="10" w:line="240" w:lineRule="auto"/>
        <w:jc w:val="left"/>
        <w:rPr>
          <w:b/>
          <w:bCs/>
        </w:rPr>
      </w:pPr>
      <w:bookmarkStart w:id="165" w:name="_Toc989053"/>
      <w:r>
        <w:rPr>
          <w:b/>
          <w:bCs/>
        </w:rPr>
        <w:t>1</w:t>
      </w:r>
      <w:r>
        <w:rPr>
          <w:b/>
          <w:bCs/>
        </w:rPr>
        <w:t>、遵循企业会计准则的声明</w:t>
      </w:r>
      <w:bookmarkEnd w:id="165"/>
    </w:p>
    <w:p w:rsidR="00E20B54" w:rsidRDefault="00733C9E" w:rsidP="00C57489">
      <w:pPr>
        <w:pStyle w:val="a3"/>
        <w:widowControl/>
        <w:spacing w:beforeLines="50" w:before="156" w:beforeAutospacing="0" w:after="10" w:afterAutospacing="0"/>
        <w:ind w:firstLine="420"/>
        <w:jc w:val="both"/>
        <w:rPr>
          <w:sz w:val="21"/>
          <w:szCs w:val="21"/>
        </w:rPr>
      </w:pPr>
      <w:r>
        <w:rPr>
          <w:sz w:val="21"/>
          <w:szCs w:val="21"/>
        </w:rPr>
        <w:t>公司所编制的财务报表符合企业会计准则的要求，真实、完整地反映了报告期合并及公司的财务状况、经营成果、股东权益变动和现金流量等有关信息。此外，本公司的财务报表在所有重大方面符合中国证券监督管理委员会</w:t>
      </w:r>
      <w:r>
        <w:rPr>
          <w:sz w:val="21"/>
          <w:szCs w:val="21"/>
        </w:rPr>
        <w:t>2023</w:t>
      </w:r>
      <w:r>
        <w:rPr>
          <w:sz w:val="21"/>
          <w:szCs w:val="21"/>
        </w:rPr>
        <w:t>年修订的《公开发行证券的公司信息披露编报规则第</w:t>
      </w:r>
      <w:r>
        <w:rPr>
          <w:sz w:val="21"/>
          <w:szCs w:val="21"/>
        </w:rPr>
        <w:t>15</w:t>
      </w:r>
      <w:r>
        <w:rPr>
          <w:sz w:val="21"/>
          <w:szCs w:val="21"/>
        </w:rPr>
        <w:t>号</w:t>
      </w:r>
      <w:r>
        <w:rPr>
          <w:sz w:val="21"/>
          <w:szCs w:val="21"/>
        </w:rPr>
        <w:t>——</w:t>
      </w:r>
      <w:r>
        <w:rPr>
          <w:sz w:val="21"/>
          <w:szCs w:val="21"/>
        </w:rPr>
        <w:t>财务报告的一般规定》有关财务报表及其附注的披露要求。</w:t>
      </w:r>
    </w:p>
    <w:p w:rsidR="00E20B54" w:rsidRDefault="00733C9E" w:rsidP="00C57489">
      <w:pPr>
        <w:pStyle w:val="3"/>
        <w:spacing w:beforeLines="50" w:before="156" w:after="10" w:line="240" w:lineRule="auto"/>
        <w:jc w:val="left"/>
        <w:rPr>
          <w:b/>
          <w:bCs/>
        </w:rPr>
      </w:pPr>
      <w:bookmarkStart w:id="166" w:name="_Toc989054"/>
      <w:r>
        <w:rPr>
          <w:b/>
          <w:bCs/>
        </w:rPr>
        <w:t>2</w:t>
      </w:r>
      <w:r>
        <w:rPr>
          <w:b/>
          <w:bCs/>
        </w:rPr>
        <w:t>、会计期间</w:t>
      </w:r>
      <w:bookmarkEnd w:id="166"/>
    </w:p>
    <w:p w:rsidR="00E20B54" w:rsidRDefault="00733C9E" w:rsidP="00C57489">
      <w:pPr>
        <w:pStyle w:val="a3"/>
        <w:widowControl/>
        <w:spacing w:beforeLines="50" w:before="156" w:beforeAutospacing="0" w:after="10" w:afterAutospacing="0"/>
        <w:ind w:firstLine="420"/>
        <w:jc w:val="both"/>
        <w:rPr>
          <w:sz w:val="21"/>
          <w:szCs w:val="21"/>
        </w:rPr>
      </w:pPr>
      <w:r>
        <w:rPr>
          <w:sz w:val="21"/>
          <w:szCs w:val="21"/>
        </w:rPr>
        <w:t>本公司的会计期间分为年度和中期，会计中期指短于一个完整的会计年度的报告期间。本公司会计年度采用公历年度，即每年自</w:t>
      </w:r>
      <w:r>
        <w:rPr>
          <w:sz w:val="21"/>
          <w:szCs w:val="21"/>
        </w:rPr>
        <w:t>1</w:t>
      </w:r>
      <w:r>
        <w:rPr>
          <w:sz w:val="21"/>
          <w:szCs w:val="21"/>
        </w:rPr>
        <w:t>月</w:t>
      </w:r>
      <w:r>
        <w:rPr>
          <w:sz w:val="21"/>
          <w:szCs w:val="21"/>
        </w:rPr>
        <w:t>1</w:t>
      </w:r>
      <w:r>
        <w:rPr>
          <w:sz w:val="21"/>
          <w:szCs w:val="21"/>
        </w:rPr>
        <w:t>日起至</w:t>
      </w:r>
      <w:r>
        <w:rPr>
          <w:sz w:val="21"/>
          <w:szCs w:val="21"/>
        </w:rPr>
        <w:t>12</w:t>
      </w:r>
      <w:r>
        <w:rPr>
          <w:sz w:val="21"/>
          <w:szCs w:val="21"/>
        </w:rPr>
        <w:t>月</w:t>
      </w:r>
      <w:r>
        <w:rPr>
          <w:sz w:val="21"/>
          <w:szCs w:val="21"/>
        </w:rPr>
        <w:t>31</w:t>
      </w:r>
      <w:r>
        <w:rPr>
          <w:sz w:val="21"/>
          <w:szCs w:val="21"/>
        </w:rPr>
        <w:t>日止。</w:t>
      </w:r>
    </w:p>
    <w:p w:rsidR="00E20B54" w:rsidRDefault="00733C9E" w:rsidP="00C57489">
      <w:pPr>
        <w:pStyle w:val="3"/>
        <w:spacing w:beforeLines="50" w:before="156" w:after="10" w:line="240" w:lineRule="auto"/>
        <w:jc w:val="left"/>
        <w:rPr>
          <w:b/>
          <w:bCs/>
        </w:rPr>
      </w:pPr>
      <w:bookmarkStart w:id="167" w:name="_Toc989055"/>
      <w:r>
        <w:rPr>
          <w:b/>
          <w:bCs/>
        </w:rPr>
        <w:t>3</w:t>
      </w:r>
      <w:r>
        <w:rPr>
          <w:b/>
          <w:bCs/>
        </w:rPr>
        <w:t>、营业周期</w:t>
      </w:r>
      <w:bookmarkEnd w:id="167"/>
    </w:p>
    <w:p w:rsidR="00E20B54" w:rsidRDefault="00733C9E" w:rsidP="00C57489">
      <w:pPr>
        <w:pStyle w:val="a3"/>
        <w:widowControl/>
        <w:spacing w:beforeLines="50" w:before="156" w:beforeAutospacing="0" w:after="10" w:afterAutospacing="0"/>
        <w:ind w:firstLine="420"/>
        <w:jc w:val="both"/>
        <w:rPr>
          <w:sz w:val="21"/>
          <w:szCs w:val="21"/>
        </w:rPr>
      </w:pPr>
      <w:r>
        <w:rPr>
          <w:sz w:val="21"/>
          <w:szCs w:val="21"/>
        </w:rPr>
        <w:t>正常营业周期是指本公司从购买用于加工的资产起至实现现金或现金等价物的期间。本公司以</w:t>
      </w:r>
      <w:r>
        <w:rPr>
          <w:sz w:val="21"/>
          <w:szCs w:val="21"/>
        </w:rPr>
        <w:t>12</w:t>
      </w:r>
      <w:r>
        <w:rPr>
          <w:sz w:val="21"/>
          <w:szCs w:val="21"/>
        </w:rPr>
        <w:t>个月作为一个营业周期，并以其作为资产和负债的流动性划分标准。</w:t>
      </w:r>
    </w:p>
    <w:p w:rsidR="00E20B54" w:rsidRDefault="00733C9E" w:rsidP="00C57489">
      <w:pPr>
        <w:pStyle w:val="3"/>
        <w:spacing w:beforeLines="50" w:before="156" w:after="10" w:line="240" w:lineRule="auto"/>
        <w:jc w:val="left"/>
        <w:rPr>
          <w:b/>
          <w:bCs/>
        </w:rPr>
      </w:pPr>
      <w:bookmarkStart w:id="168" w:name="_Toc989056"/>
      <w:r>
        <w:rPr>
          <w:b/>
          <w:bCs/>
        </w:rPr>
        <w:t>4</w:t>
      </w:r>
      <w:r>
        <w:rPr>
          <w:b/>
          <w:bCs/>
        </w:rPr>
        <w:t>、记账本位币</w:t>
      </w:r>
      <w:bookmarkEnd w:id="168"/>
    </w:p>
    <w:p w:rsidR="00E20B54" w:rsidRDefault="00733C9E" w:rsidP="00C57489">
      <w:pPr>
        <w:pStyle w:val="a3"/>
        <w:widowControl/>
        <w:spacing w:beforeLines="50" w:before="156" w:beforeAutospacing="0" w:after="10" w:afterAutospacing="0"/>
        <w:ind w:firstLine="420"/>
        <w:jc w:val="both"/>
        <w:rPr>
          <w:sz w:val="21"/>
          <w:szCs w:val="21"/>
        </w:rPr>
      </w:pPr>
      <w:r>
        <w:rPr>
          <w:sz w:val="21"/>
          <w:szCs w:val="21"/>
        </w:rPr>
        <w:t>人民币为本公司及境内子公司经营所处的主要经济环境中的货币，本公司及境内子公司以人民币为记账本位币。本公司之境外子公司根据其经营所处的主要经济环境中的货币确定港币为其记账本位币。本公司编制本财务报表时所采用的货币为人民币。</w:t>
      </w:r>
    </w:p>
    <w:p w:rsidR="00E20B54" w:rsidRDefault="00733C9E" w:rsidP="00C57489">
      <w:pPr>
        <w:pStyle w:val="3"/>
        <w:spacing w:beforeLines="50" w:before="156" w:after="10" w:line="240" w:lineRule="auto"/>
        <w:jc w:val="left"/>
        <w:rPr>
          <w:b/>
          <w:bCs/>
        </w:rPr>
      </w:pPr>
      <w:bookmarkStart w:id="169" w:name="_Toc989057"/>
      <w:r>
        <w:rPr>
          <w:b/>
          <w:bCs/>
        </w:rPr>
        <w:t>5</w:t>
      </w:r>
      <w:r>
        <w:rPr>
          <w:b/>
          <w:bCs/>
        </w:rPr>
        <w:t>、重要性标准确定方法和选择依据</w:t>
      </w:r>
      <w:bookmarkEnd w:id="169"/>
    </w:p>
    <w:p w:rsidR="00E20B54" w:rsidRDefault="00733C9E" w:rsidP="00C57489">
      <w:pPr>
        <w:spacing w:beforeLines="50" w:before="156" w:after="10"/>
        <w:rPr>
          <w:sz w:val="18"/>
          <w:szCs w:val="18"/>
        </w:rPr>
      </w:pPr>
      <w:r>
        <w:rPr>
          <w:sz w:val="18"/>
          <w:szCs w:val="18"/>
        </w:rPr>
        <w:sym w:font="Wingdings 2" w:char="F052"/>
      </w:r>
      <w:r>
        <w:rPr>
          <w:sz w:val="18"/>
          <w:szCs w:val="18"/>
        </w:rPr>
        <w:t>适用</w:t>
      </w:r>
      <w:r>
        <w:rPr>
          <w:sz w:val="18"/>
          <w:szCs w:val="18"/>
        </w:rPr>
        <w:t xml:space="preserve"> □</w:t>
      </w:r>
      <w:r>
        <w:rPr>
          <w:sz w:val="18"/>
          <w:szCs w:val="18"/>
        </w:rPr>
        <w:t>不适用</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4820"/>
        <w:gridCol w:w="4819"/>
      </w:tblGrid>
      <w:tr w:rsidR="00E20B54" w:rsidTr="00233747">
        <w:trPr>
          <w:trHeight w:val="17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rsidP="00233747">
            <w:pPr>
              <w:jc w:val="center"/>
              <w:rPr>
                <w:sz w:val="18"/>
                <w:szCs w:val="18"/>
              </w:rPr>
            </w:pPr>
            <w:r>
              <w:rPr>
                <w:sz w:val="18"/>
                <w:szCs w:val="18"/>
              </w:rPr>
              <w:t>项目</w:t>
            </w:r>
          </w:p>
        </w:tc>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rsidP="00233747">
            <w:pPr>
              <w:jc w:val="center"/>
              <w:rPr>
                <w:sz w:val="18"/>
                <w:szCs w:val="18"/>
              </w:rPr>
            </w:pPr>
            <w:r>
              <w:rPr>
                <w:sz w:val="18"/>
                <w:szCs w:val="18"/>
              </w:rPr>
              <w:t>重要性标准</w:t>
            </w:r>
          </w:p>
        </w:tc>
      </w:tr>
      <w:tr w:rsidR="00E20B54" w:rsidTr="00233747">
        <w:trPr>
          <w:trHeight w:val="170"/>
        </w:trPr>
        <w:tc>
          <w:tcPr>
            <w:tcW w:w="4820" w:type="dxa"/>
            <w:tcBorders>
              <w:top w:val="single" w:sz="2" w:space="0" w:color="auto"/>
              <w:left w:val="single" w:sz="2" w:space="0" w:color="auto"/>
              <w:bottom w:val="single" w:sz="2" w:space="0" w:color="auto"/>
              <w:right w:val="single" w:sz="2" w:space="0" w:color="auto"/>
            </w:tcBorders>
            <w:vAlign w:val="center"/>
          </w:tcPr>
          <w:p w:rsidR="00E20B54" w:rsidRDefault="00733C9E" w:rsidP="00233747">
            <w:pPr>
              <w:jc w:val="center"/>
              <w:rPr>
                <w:sz w:val="18"/>
                <w:szCs w:val="18"/>
              </w:rPr>
            </w:pPr>
            <w:r>
              <w:rPr>
                <w:sz w:val="18"/>
                <w:szCs w:val="18"/>
              </w:rPr>
              <w:t>重要的应收款项核销</w:t>
            </w:r>
          </w:p>
        </w:tc>
        <w:tc>
          <w:tcPr>
            <w:tcW w:w="4820" w:type="dxa"/>
            <w:tcBorders>
              <w:top w:val="single" w:sz="2" w:space="0" w:color="auto"/>
              <w:left w:val="single" w:sz="2" w:space="0" w:color="auto"/>
              <w:bottom w:val="single" w:sz="2" w:space="0" w:color="auto"/>
              <w:right w:val="single" w:sz="2" w:space="0" w:color="auto"/>
            </w:tcBorders>
            <w:vAlign w:val="center"/>
          </w:tcPr>
          <w:p w:rsidR="00E20B54" w:rsidRDefault="00733C9E" w:rsidP="00233747">
            <w:pPr>
              <w:jc w:val="center"/>
              <w:rPr>
                <w:sz w:val="18"/>
                <w:szCs w:val="18"/>
              </w:rPr>
            </w:pPr>
            <w:r>
              <w:rPr>
                <w:sz w:val="18"/>
                <w:szCs w:val="18"/>
              </w:rPr>
              <w:t>金额</w:t>
            </w:r>
            <w:r>
              <w:rPr>
                <w:sz w:val="18"/>
                <w:szCs w:val="18"/>
              </w:rPr>
              <w:t xml:space="preserve">≥100 </w:t>
            </w:r>
            <w:r>
              <w:rPr>
                <w:sz w:val="18"/>
                <w:szCs w:val="18"/>
              </w:rPr>
              <w:t>万元人民币</w:t>
            </w:r>
          </w:p>
        </w:tc>
      </w:tr>
      <w:tr w:rsidR="00E20B54" w:rsidTr="00233747">
        <w:trPr>
          <w:trHeight w:val="170"/>
        </w:trPr>
        <w:tc>
          <w:tcPr>
            <w:tcW w:w="4820" w:type="dxa"/>
            <w:tcBorders>
              <w:top w:val="single" w:sz="2" w:space="0" w:color="auto"/>
              <w:left w:val="single" w:sz="2" w:space="0" w:color="auto"/>
              <w:bottom w:val="single" w:sz="2" w:space="0" w:color="auto"/>
              <w:right w:val="single" w:sz="2" w:space="0" w:color="auto"/>
            </w:tcBorders>
            <w:vAlign w:val="center"/>
          </w:tcPr>
          <w:p w:rsidR="00E20B54" w:rsidRDefault="00733C9E" w:rsidP="00233747">
            <w:pPr>
              <w:jc w:val="center"/>
              <w:rPr>
                <w:sz w:val="18"/>
                <w:szCs w:val="18"/>
              </w:rPr>
            </w:pPr>
            <w:r>
              <w:rPr>
                <w:sz w:val="18"/>
                <w:szCs w:val="18"/>
              </w:rPr>
              <w:t>重要的在建工程</w:t>
            </w:r>
          </w:p>
        </w:tc>
        <w:tc>
          <w:tcPr>
            <w:tcW w:w="4820" w:type="dxa"/>
            <w:tcBorders>
              <w:top w:val="single" w:sz="2" w:space="0" w:color="auto"/>
              <w:left w:val="single" w:sz="2" w:space="0" w:color="auto"/>
              <w:bottom w:val="single" w:sz="2" w:space="0" w:color="auto"/>
              <w:right w:val="single" w:sz="2" w:space="0" w:color="auto"/>
            </w:tcBorders>
            <w:vAlign w:val="center"/>
          </w:tcPr>
          <w:p w:rsidR="00E20B54" w:rsidRDefault="00733C9E" w:rsidP="00233747">
            <w:pPr>
              <w:jc w:val="center"/>
              <w:rPr>
                <w:sz w:val="18"/>
                <w:szCs w:val="18"/>
              </w:rPr>
            </w:pPr>
            <w:r>
              <w:rPr>
                <w:sz w:val="18"/>
                <w:szCs w:val="18"/>
              </w:rPr>
              <w:t>金额</w:t>
            </w:r>
            <w:r>
              <w:rPr>
                <w:sz w:val="18"/>
                <w:szCs w:val="18"/>
              </w:rPr>
              <w:t xml:space="preserve">≥500 </w:t>
            </w:r>
            <w:r>
              <w:rPr>
                <w:sz w:val="18"/>
                <w:szCs w:val="18"/>
              </w:rPr>
              <w:t>万元人民币</w:t>
            </w:r>
          </w:p>
        </w:tc>
      </w:tr>
      <w:tr w:rsidR="00E20B54" w:rsidTr="00233747">
        <w:trPr>
          <w:trHeight w:val="170"/>
        </w:trPr>
        <w:tc>
          <w:tcPr>
            <w:tcW w:w="4820" w:type="dxa"/>
            <w:tcBorders>
              <w:top w:val="single" w:sz="2" w:space="0" w:color="auto"/>
              <w:left w:val="single" w:sz="2" w:space="0" w:color="auto"/>
              <w:bottom w:val="single" w:sz="2" w:space="0" w:color="auto"/>
              <w:right w:val="single" w:sz="2" w:space="0" w:color="auto"/>
            </w:tcBorders>
            <w:vAlign w:val="center"/>
          </w:tcPr>
          <w:p w:rsidR="00E20B54" w:rsidRDefault="00733C9E" w:rsidP="00233747">
            <w:pPr>
              <w:jc w:val="center"/>
              <w:rPr>
                <w:sz w:val="18"/>
                <w:szCs w:val="18"/>
              </w:rPr>
            </w:pPr>
            <w:r>
              <w:rPr>
                <w:sz w:val="18"/>
                <w:szCs w:val="18"/>
              </w:rPr>
              <w:t>重要的应付账款</w:t>
            </w:r>
          </w:p>
        </w:tc>
        <w:tc>
          <w:tcPr>
            <w:tcW w:w="4820" w:type="dxa"/>
            <w:tcBorders>
              <w:top w:val="single" w:sz="2" w:space="0" w:color="auto"/>
              <w:left w:val="single" w:sz="2" w:space="0" w:color="auto"/>
              <w:bottom w:val="single" w:sz="2" w:space="0" w:color="auto"/>
              <w:right w:val="single" w:sz="2" w:space="0" w:color="auto"/>
            </w:tcBorders>
            <w:vAlign w:val="center"/>
          </w:tcPr>
          <w:p w:rsidR="00E20B54" w:rsidRDefault="00733C9E" w:rsidP="00233747">
            <w:pPr>
              <w:jc w:val="center"/>
              <w:rPr>
                <w:sz w:val="18"/>
                <w:szCs w:val="18"/>
              </w:rPr>
            </w:pPr>
            <w:r>
              <w:rPr>
                <w:sz w:val="18"/>
                <w:szCs w:val="18"/>
              </w:rPr>
              <w:t>金额</w:t>
            </w:r>
            <w:r>
              <w:rPr>
                <w:sz w:val="18"/>
                <w:szCs w:val="18"/>
              </w:rPr>
              <w:t xml:space="preserve">≥100 </w:t>
            </w:r>
            <w:r>
              <w:rPr>
                <w:sz w:val="18"/>
                <w:szCs w:val="18"/>
              </w:rPr>
              <w:t>万元人民币</w:t>
            </w:r>
          </w:p>
        </w:tc>
      </w:tr>
    </w:tbl>
    <w:p w:rsidR="00E20B54" w:rsidRDefault="00733C9E" w:rsidP="00C57489">
      <w:pPr>
        <w:pStyle w:val="3"/>
        <w:spacing w:beforeLines="50" w:before="156" w:after="10" w:line="240" w:lineRule="auto"/>
        <w:jc w:val="left"/>
        <w:rPr>
          <w:b/>
          <w:bCs/>
        </w:rPr>
      </w:pPr>
      <w:bookmarkStart w:id="170" w:name="_Toc989058"/>
      <w:r>
        <w:rPr>
          <w:b/>
          <w:bCs/>
        </w:rPr>
        <w:t>6</w:t>
      </w:r>
      <w:r>
        <w:rPr>
          <w:b/>
          <w:bCs/>
        </w:rPr>
        <w:t>、同一控制下和非同一控制下企业合并的会计处理方法</w:t>
      </w:r>
      <w:bookmarkEnd w:id="170"/>
    </w:p>
    <w:p w:rsidR="00E20B54" w:rsidRDefault="00733C9E" w:rsidP="00C57489">
      <w:pPr>
        <w:pStyle w:val="a3"/>
        <w:widowControl/>
        <w:spacing w:beforeLines="50" w:before="156" w:beforeAutospacing="0" w:after="10" w:afterAutospacing="0"/>
        <w:ind w:firstLine="420"/>
        <w:jc w:val="both"/>
        <w:rPr>
          <w:sz w:val="21"/>
          <w:szCs w:val="21"/>
        </w:rPr>
      </w:pPr>
      <w:r>
        <w:rPr>
          <w:sz w:val="21"/>
          <w:szCs w:val="21"/>
        </w:rPr>
        <w:t>企业合并，是指将两个或两个以上单独的企业合并形成一个报告主体的交易或事项。企业合并分为同一控制下企业合并和非同一控制下企业合并。</w:t>
      </w:r>
    </w:p>
    <w:p w:rsidR="00E20B54" w:rsidRDefault="00733C9E" w:rsidP="00C57489">
      <w:pPr>
        <w:pStyle w:val="a3"/>
        <w:widowControl/>
        <w:spacing w:beforeLines="50" w:before="156" w:beforeAutospacing="0" w:after="10" w:afterAutospacing="0"/>
        <w:ind w:left="840" w:hanging="420"/>
        <w:jc w:val="both"/>
        <w:rPr>
          <w:sz w:val="21"/>
          <w:szCs w:val="21"/>
        </w:rPr>
      </w:pPr>
      <w:r>
        <w:rPr>
          <w:sz w:val="21"/>
          <w:szCs w:val="21"/>
        </w:rPr>
        <w:t xml:space="preserve">6.1 </w:t>
      </w:r>
      <w:r>
        <w:rPr>
          <w:sz w:val="21"/>
          <w:szCs w:val="21"/>
        </w:rPr>
        <w:t>同一控制下企业合并</w:t>
      </w:r>
    </w:p>
    <w:p w:rsidR="00E20B54" w:rsidRDefault="00733C9E" w:rsidP="00C57489">
      <w:pPr>
        <w:pStyle w:val="a3"/>
        <w:widowControl/>
        <w:spacing w:beforeLines="50" w:before="156" w:beforeAutospacing="0" w:after="10" w:afterAutospacing="0"/>
        <w:ind w:firstLine="420"/>
        <w:jc w:val="both"/>
        <w:rPr>
          <w:sz w:val="21"/>
          <w:szCs w:val="21"/>
        </w:rPr>
      </w:pPr>
      <w:r>
        <w:rPr>
          <w:sz w:val="21"/>
          <w:szCs w:val="21"/>
        </w:rPr>
        <w:lastRenderedPageBreak/>
        <w:t>同一控制下的企业合并，指参与合并的公司在合并前后均受同一方或相同的多方最终控制且该控制并非暂时性的企业合并。</w:t>
      </w:r>
    </w:p>
    <w:p w:rsidR="00E20B54" w:rsidRDefault="00733C9E" w:rsidP="00C57489">
      <w:pPr>
        <w:pStyle w:val="a3"/>
        <w:widowControl/>
        <w:spacing w:beforeLines="50" w:before="156" w:beforeAutospacing="0" w:after="10" w:afterAutospacing="0"/>
        <w:ind w:firstLine="420"/>
        <w:jc w:val="both"/>
        <w:rPr>
          <w:sz w:val="21"/>
          <w:szCs w:val="21"/>
        </w:rPr>
      </w:pPr>
      <w:r>
        <w:rPr>
          <w:sz w:val="21"/>
          <w:szCs w:val="21"/>
        </w:rPr>
        <w:t>按照被合并方所有者权益在最终控制方合并财务报表中的账面价值计量。被合并方在合并日的净资产账面价值为负数的，长期股权投资成本按零确定。如果被合并方在被合并以前，是最终控制方通过非同一控制下的企业合并所控制的，则合并方长期股权投资的初始投资成本还应包含相关的商誉金额。公司取得的净资产账面价值与支付的合并对价账面价值的差额，应当调整资本公积；资本公积不足冲减的，调整留存收益。</w:t>
      </w:r>
    </w:p>
    <w:p w:rsidR="00E20B54" w:rsidRDefault="00733C9E" w:rsidP="00C57489">
      <w:pPr>
        <w:pStyle w:val="a3"/>
        <w:widowControl/>
        <w:spacing w:beforeLines="50" w:before="156" w:beforeAutospacing="0" w:after="10" w:afterAutospacing="0"/>
        <w:ind w:firstLine="420"/>
        <w:jc w:val="both"/>
        <w:rPr>
          <w:sz w:val="21"/>
          <w:szCs w:val="21"/>
        </w:rPr>
      </w:pPr>
      <w:r>
        <w:rPr>
          <w:sz w:val="21"/>
          <w:szCs w:val="21"/>
        </w:rPr>
        <w:t>公司为进行企业合并发生的各项直接相关费用，包括为进行企业合并而支付的审计费用、评估费用、法律服务费用等，应当于发生时计入当期管理费用。与发行权益性工具作为合并对价直接相关的交易费用，冲减资本公积（股本溢价），资本公积（股本溢价）不足冲减的，依次冲减盈余公积和未分配利润。与发行债务性工具作为合并对价直接相关的交易费用，计入债务性工具的初始确认金额。</w:t>
      </w:r>
    </w:p>
    <w:p w:rsidR="00E20B54" w:rsidRDefault="00733C9E" w:rsidP="00C57489">
      <w:pPr>
        <w:pStyle w:val="a3"/>
        <w:widowControl/>
        <w:spacing w:beforeLines="50" w:before="156" w:beforeAutospacing="0" w:after="10" w:afterAutospacing="0"/>
        <w:ind w:firstLine="420"/>
        <w:jc w:val="both"/>
        <w:rPr>
          <w:sz w:val="21"/>
          <w:szCs w:val="21"/>
        </w:rPr>
      </w:pPr>
      <w:r>
        <w:rPr>
          <w:sz w:val="21"/>
          <w:szCs w:val="21"/>
        </w:rPr>
        <w:t>在合并财务报表中，合并方在达到合并之前持有的长期股权投资，在取得日与合并方与被合并方向处于同一最终控制之日孰晚日与合并日之间已确认有关损益、其他综合收益和其他所有者权益变动，应分别冲减比较报表期间的期初留存收益或当期损益。</w:t>
      </w:r>
    </w:p>
    <w:p w:rsidR="00E20B54" w:rsidRDefault="00733C9E" w:rsidP="00C57489">
      <w:pPr>
        <w:pStyle w:val="a3"/>
        <w:widowControl/>
        <w:spacing w:beforeLines="50" w:before="156" w:beforeAutospacing="0" w:after="10" w:afterAutospacing="0"/>
        <w:ind w:left="840" w:hanging="420"/>
        <w:jc w:val="both"/>
        <w:rPr>
          <w:sz w:val="21"/>
          <w:szCs w:val="21"/>
        </w:rPr>
      </w:pPr>
      <w:r>
        <w:rPr>
          <w:sz w:val="21"/>
          <w:szCs w:val="21"/>
        </w:rPr>
        <w:t xml:space="preserve">6.2 </w:t>
      </w:r>
      <w:r>
        <w:rPr>
          <w:sz w:val="21"/>
          <w:szCs w:val="21"/>
        </w:rPr>
        <w:t>非同一控制下企业合并</w:t>
      </w:r>
    </w:p>
    <w:p w:rsidR="00E20B54" w:rsidRDefault="00733C9E" w:rsidP="00C57489">
      <w:pPr>
        <w:pStyle w:val="a3"/>
        <w:widowControl/>
        <w:spacing w:beforeLines="50" w:before="156" w:beforeAutospacing="0" w:after="10" w:afterAutospacing="0"/>
        <w:ind w:firstLine="420"/>
        <w:jc w:val="both"/>
        <w:rPr>
          <w:sz w:val="21"/>
          <w:szCs w:val="21"/>
        </w:rPr>
      </w:pPr>
      <w:r>
        <w:rPr>
          <w:sz w:val="21"/>
          <w:szCs w:val="21"/>
        </w:rPr>
        <w:t>参与合并的企业在合并前后不受同一方或相同的多方最终控制的，为非同一控制下的企业合并。非同一控制下的企业合并，在购买日取得对其他参与合并企业控制权的一方为购买方，参与合并的其他企业为被购买方。购买日，是指为购买方实际取得对被购买方控制权的日期。</w:t>
      </w:r>
    </w:p>
    <w:p w:rsidR="00E20B54" w:rsidRDefault="00733C9E" w:rsidP="00C57489">
      <w:pPr>
        <w:pStyle w:val="a3"/>
        <w:widowControl/>
        <w:spacing w:beforeLines="50" w:before="156" w:beforeAutospacing="0" w:after="10" w:afterAutospacing="0"/>
        <w:ind w:firstLine="420"/>
        <w:jc w:val="both"/>
        <w:rPr>
          <w:sz w:val="21"/>
          <w:szCs w:val="21"/>
        </w:rPr>
      </w:pPr>
      <w:r>
        <w:rPr>
          <w:sz w:val="21"/>
          <w:szCs w:val="21"/>
        </w:rPr>
        <w:t>对于非同一控制下的企业合并，合并成本包含购买日购买方为取得对被购买方的控制权而付出的资产、发生或承担的负债以及发行的权益性证券的公允价值，为企业合并发生的审计、法律服务、评估咨询等中介费用以及其他管理费用于发生时计入当期损益。购买方作为合并对价发行的权益性证券或债务性证券的交易费用，计入权益性证券或债务性证券的初始确认金额。所涉及的或有对价按其在购买日的公允价值计入合并成本，购买日后</w:t>
      </w:r>
      <w:r>
        <w:rPr>
          <w:sz w:val="21"/>
          <w:szCs w:val="21"/>
        </w:rPr>
        <w:t>12</w:t>
      </w:r>
      <w:r>
        <w:rPr>
          <w:sz w:val="21"/>
          <w:szCs w:val="21"/>
        </w:rPr>
        <w:t>个月内出现对购买日已存在情况的新的或进一步证据而需要调整或有对价的，相应调整合并商誉。购买方发生的合并成本及在合并中取得的可辨认净资产按购买日的公允价值计量。合并成本大于合并中取得的被购买方于购买日可辨认净资产公允价值份额的差额，确认为商誉。合并成本小于合并中取得的被购买方可辨认净资产公允价值份额的，首先对取得的被购买方各项可辨认资产、负债及或有负债的公允价值以及合并成本的计量进行复核，复核后合并成本仍小于合并中取得的被购买方可辨认净资产公允价值份额的，其差额计入当期损益。</w:t>
      </w:r>
    </w:p>
    <w:p w:rsidR="00E20B54" w:rsidRDefault="00733C9E" w:rsidP="00C57489">
      <w:pPr>
        <w:pStyle w:val="a3"/>
        <w:widowControl/>
        <w:spacing w:beforeLines="50" w:before="156" w:beforeAutospacing="0" w:after="10" w:afterAutospacing="0"/>
        <w:ind w:firstLine="420"/>
        <w:jc w:val="both"/>
        <w:rPr>
          <w:sz w:val="21"/>
          <w:szCs w:val="21"/>
        </w:rPr>
      </w:pPr>
      <w:r>
        <w:rPr>
          <w:sz w:val="21"/>
          <w:szCs w:val="21"/>
        </w:rPr>
        <w:t>购买方取得被购买方的可抵扣暂时性差异，在购买日因不符合递延所得税资产确认条件而未予确认的，在购买日后</w:t>
      </w:r>
      <w:r>
        <w:rPr>
          <w:sz w:val="21"/>
          <w:szCs w:val="21"/>
        </w:rPr>
        <w:t>12</w:t>
      </w:r>
      <w:r>
        <w:rPr>
          <w:sz w:val="21"/>
          <w:szCs w:val="21"/>
        </w:rPr>
        <w:t>个月内，如取得新的或进一步的信息表明购买日的相关情况已经存在，预期被购买方在购买日可抵扣暂时性差异带来的经济利益能够实现的，则确认相关的递延所得税资产，同时减少商誉，商誉不足冲减的，差额部分确认为当期损益；除上述情况以外，确认与企业合并相关的递延所得税资产的，计入当期损益。</w:t>
      </w:r>
    </w:p>
    <w:p w:rsidR="00E20B54" w:rsidRDefault="00733C9E" w:rsidP="00C57489">
      <w:pPr>
        <w:pStyle w:val="3"/>
        <w:spacing w:beforeLines="50" w:before="156" w:after="10" w:line="240" w:lineRule="auto"/>
        <w:jc w:val="left"/>
        <w:rPr>
          <w:b/>
          <w:bCs/>
        </w:rPr>
      </w:pPr>
      <w:bookmarkStart w:id="171" w:name="_Toc989059"/>
      <w:r>
        <w:rPr>
          <w:b/>
          <w:bCs/>
        </w:rPr>
        <w:t>7</w:t>
      </w:r>
      <w:r>
        <w:rPr>
          <w:b/>
          <w:bCs/>
        </w:rPr>
        <w:t>、控制的判断标准和合并财务报表的编制方法</w:t>
      </w:r>
      <w:bookmarkEnd w:id="171"/>
    </w:p>
    <w:p w:rsidR="00E20B54" w:rsidRDefault="00733C9E" w:rsidP="00C57489">
      <w:pPr>
        <w:pStyle w:val="a3"/>
        <w:widowControl/>
        <w:spacing w:beforeLines="50" w:before="156" w:beforeAutospacing="0" w:after="10" w:afterAutospacing="0"/>
        <w:ind w:firstLine="420"/>
        <w:jc w:val="both"/>
        <w:rPr>
          <w:sz w:val="21"/>
          <w:szCs w:val="21"/>
        </w:rPr>
      </w:pPr>
      <w:r>
        <w:rPr>
          <w:rStyle w:val="a4"/>
          <w:bCs/>
          <w:sz w:val="21"/>
          <w:szCs w:val="21"/>
        </w:rPr>
        <w:t>7.1</w:t>
      </w:r>
      <w:r>
        <w:rPr>
          <w:rStyle w:val="a4"/>
          <w:bCs/>
          <w:sz w:val="21"/>
          <w:szCs w:val="21"/>
        </w:rPr>
        <w:t>合并财务报表范围的确定原则</w:t>
      </w:r>
    </w:p>
    <w:p w:rsidR="00E20B54" w:rsidRDefault="00733C9E" w:rsidP="00C57489">
      <w:pPr>
        <w:pStyle w:val="a3"/>
        <w:widowControl/>
        <w:spacing w:beforeLines="50" w:before="156" w:beforeAutospacing="0" w:after="10" w:afterAutospacing="0"/>
        <w:ind w:firstLine="420"/>
        <w:jc w:val="both"/>
        <w:rPr>
          <w:sz w:val="21"/>
          <w:szCs w:val="21"/>
        </w:rPr>
      </w:pPr>
      <w:r>
        <w:rPr>
          <w:sz w:val="21"/>
          <w:szCs w:val="21"/>
        </w:rPr>
        <w:t>合并财务报表的合并范围以控制为基础予以确定。控制是指本公司拥有对被投资方的权力，通过参与被投资方的相关活动而享有可变回报，并且有能力运用对被投资方的权力影响该回报金额。合并范围包括本公司及全部子公司。子公司，是指被本公司控制的主体。</w:t>
      </w:r>
    </w:p>
    <w:p w:rsidR="00E20B54" w:rsidRDefault="00733C9E" w:rsidP="00C57489">
      <w:pPr>
        <w:pStyle w:val="a3"/>
        <w:widowControl/>
        <w:spacing w:beforeLines="50" w:before="156" w:beforeAutospacing="0" w:after="10" w:afterAutospacing="0"/>
        <w:ind w:firstLine="420"/>
        <w:jc w:val="both"/>
        <w:rPr>
          <w:sz w:val="21"/>
          <w:szCs w:val="21"/>
        </w:rPr>
      </w:pPr>
      <w:r>
        <w:rPr>
          <w:sz w:val="21"/>
          <w:szCs w:val="21"/>
        </w:rPr>
        <w:t>一旦相关事实和情况的变化导致上述控制定义涉及的相关要素发生了变化，本公司将进行重新评估。</w:t>
      </w:r>
    </w:p>
    <w:p w:rsidR="00E20B54" w:rsidRDefault="00733C9E" w:rsidP="00C57489">
      <w:pPr>
        <w:pStyle w:val="a3"/>
        <w:widowControl/>
        <w:spacing w:beforeLines="50" w:before="156" w:beforeAutospacing="0" w:after="10" w:afterAutospacing="0"/>
        <w:ind w:firstLine="420"/>
        <w:jc w:val="both"/>
        <w:rPr>
          <w:sz w:val="21"/>
          <w:szCs w:val="21"/>
        </w:rPr>
      </w:pPr>
      <w:r>
        <w:rPr>
          <w:rStyle w:val="a4"/>
          <w:bCs/>
          <w:sz w:val="21"/>
          <w:szCs w:val="21"/>
        </w:rPr>
        <w:lastRenderedPageBreak/>
        <w:t>7.2</w:t>
      </w:r>
      <w:r>
        <w:rPr>
          <w:rStyle w:val="a4"/>
          <w:bCs/>
          <w:sz w:val="21"/>
          <w:szCs w:val="21"/>
        </w:rPr>
        <w:t>合并财务报表编制的方法</w:t>
      </w:r>
    </w:p>
    <w:p w:rsidR="00E20B54" w:rsidRDefault="00733C9E" w:rsidP="00C57489">
      <w:pPr>
        <w:pStyle w:val="a3"/>
        <w:widowControl/>
        <w:spacing w:beforeLines="50" w:before="156" w:beforeAutospacing="0" w:after="10" w:afterAutospacing="0"/>
        <w:ind w:firstLine="420"/>
        <w:jc w:val="both"/>
        <w:rPr>
          <w:sz w:val="21"/>
          <w:szCs w:val="21"/>
        </w:rPr>
      </w:pPr>
      <w:r>
        <w:rPr>
          <w:sz w:val="21"/>
          <w:szCs w:val="21"/>
        </w:rPr>
        <w:t>从取得子公司的净资产和生产经营决策的实际控制权之日起，本公司开始将其纳入合并范围；从丧失实际控制权之日起停止纳入合并范围。对于处置的子公司，处置日前的经营成果和现金流量已经适当地包括在合并利润表和合并现金流量表中；当期处置的子公司，不调整合并资产负债表的期初数。非同一控制下企业合并增加的子公司，其购买日后的经营成果及现金流量已经适当地包括在合并利润表和合并现金流量表中，且不调整合并财务报表的期初数和对比数。同一控制下企业合并增加的子公司，其自合并当期期初至合并日的经营成果和现金流量已经适当地包括在合并利润表和合并现金流量表中，并且同时调整合并财务报表的对比数。</w:t>
      </w:r>
    </w:p>
    <w:p w:rsidR="00E20B54" w:rsidRDefault="00733C9E" w:rsidP="00C57489">
      <w:pPr>
        <w:pStyle w:val="a3"/>
        <w:widowControl/>
        <w:spacing w:beforeLines="50" w:before="156" w:beforeAutospacing="0" w:after="10" w:afterAutospacing="0"/>
        <w:ind w:firstLine="420"/>
        <w:jc w:val="both"/>
        <w:rPr>
          <w:sz w:val="21"/>
          <w:szCs w:val="21"/>
        </w:rPr>
      </w:pPr>
      <w:r>
        <w:rPr>
          <w:sz w:val="21"/>
          <w:szCs w:val="21"/>
        </w:rPr>
        <w:t>在编制合并财务报表时，子公司与本公司采用的会计政策或会计期间不一致的，按照本公司的会计政策和会计期间对子公司财务报表进行必要的调整。对于非同一控制下企业合并取得的子公司，以购买日可辨认净资产公允价值为基础对其财务报表进行调整。</w:t>
      </w:r>
    </w:p>
    <w:p w:rsidR="00E20B54" w:rsidRDefault="00733C9E" w:rsidP="00C57489">
      <w:pPr>
        <w:pStyle w:val="a3"/>
        <w:widowControl/>
        <w:spacing w:beforeLines="50" w:before="156" w:beforeAutospacing="0" w:after="10" w:afterAutospacing="0"/>
        <w:ind w:firstLine="420"/>
        <w:jc w:val="both"/>
        <w:rPr>
          <w:sz w:val="21"/>
          <w:szCs w:val="21"/>
        </w:rPr>
      </w:pPr>
      <w:r>
        <w:rPr>
          <w:sz w:val="21"/>
          <w:szCs w:val="21"/>
        </w:rPr>
        <w:t>公司内所有重大往来余额、交易及未实现利润在合并财务报表编制时予以抵销。</w:t>
      </w:r>
    </w:p>
    <w:p w:rsidR="00E20B54" w:rsidRDefault="00733C9E" w:rsidP="00C57489">
      <w:pPr>
        <w:pStyle w:val="a3"/>
        <w:widowControl/>
        <w:spacing w:beforeLines="50" w:before="156" w:beforeAutospacing="0" w:after="10" w:afterAutospacing="0"/>
        <w:ind w:firstLine="420"/>
        <w:jc w:val="both"/>
        <w:rPr>
          <w:sz w:val="21"/>
          <w:szCs w:val="21"/>
        </w:rPr>
      </w:pPr>
      <w:r>
        <w:rPr>
          <w:sz w:val="21"/>
          <w:szCs w:val="21"/>
        </w:rPr>
        <w:t>子公司的股东权益及当期净损益中不属于本公司所拥有的部分分别作为少数股东权益及少数股东损益在合并财务报表中股东权益及净利润项下单独列示。子公司当期净损益中属于少数股东权益的份额，在合并利润表中净利</w:t>
      </w:r>
      <w:r>
        <w:rPr>
          <w:rFonts w:ascii="宋体" w:hAnsi="宋体" w:cs="宋体" w:hint="eastAsia"/>
          <w:sz w:val="21"/>
          <w:szCs w:val="21"/>
        </w:rPr>
        <w:t>润项目下以“少数股东损益”项</w:t>
      </w:r>
      <w:r>
        <w:rPr>
          <w:sz w:val="21"/>
          <w:szCs w:val="21"/>
        </w:rPr>
        <w:t>目列示。少数股东分担的子公司的亏损超过了少数股东在该子公司期初股东权益中所享有的份额，仍冲减少数股东权益。</w:t>
      </w:r>
    </w:p>
    <w:p w:rsidR="00E20B54" w:rsidRDefault="00733C9E" w:rsidP="00C57489">
      <w:pPr>
        <w:pStyle w:val="3"/>
        <w:spacing w:beforeLines="50" w:before="156" w:after="10" w:line="240" w:lineRule="auto"/>
        <w:jc w:val="left"/>
        <w:rPr>
          <w:b/>
          <w:bCs/>
        </w:rPr>
      </w:pPr>
      <w:bookmarkStart w:id="172" w:name="_Toc989060"/>
      <w:r>
        <w:rPr>
          <w:b/>
          <w:bCs/>
        </w:rPr>
        <w:t>8</w:t>
      </w:r>
      <w:r>
        <w:rPr>
          <w:b/>
          <w:bCs/>
        </w:rPr>
        <w:t>、合营安排分类及共同经营会计处理方法</w:t>
      </w:r>
      <w:bookmarkEnd w:id="172"/>
    </w:p>
    <w:p w:rsidR="00E20B54" w:rsidRDefault="00733C9E" w:rsidP="00C57489">
      <w:pPr>
        <w:pStyle w:val="a3"/>
        <w:widowControl/>
        <w:spacing w:beforeLines="50" w:before="156" w:beforeAutospacing="0" w:after="10" w:afterAutospacing="0"/>
        <w:ind w:firstLine="420"/>
        <w:jc w:val="both"/>
        <w:rPr>
          <w:sz w:val="21"/>
          <w:szCs w:val="21"/>
        </w:rPr>
      </w:pPr>
      <w:r>
        <w:rPr>
          <w:sz w:val="21"/>
          <w:szCs w:val="21"/>
        </w:rPr>
        <w:t>合营安排，是指一项由两个或两个以上的参与方共同控制的安排。本公司根据在合营安排中享有的权利和承担的义务，将合营安排分为共同经营和合营企业。共同经营，是指本公司享有该安排相关资产且承担该安排相关负债的合营安排。合营企业，是指本公司仅对该安排的净资产享有权利的合营安排。</w:t>
      </w:r>
    </w:p>
    <w:p w:rsidR="00E20B54" w:rsidRDefault="00733C9E" w:rsidP="00C57489">
      <w:pPr>
        <w:pStyle w:val="a3"/>
        <w:widowControl/>
        <w:spacing w:beforeLines="50" w:before="156" w:beforeAutospacing="0" w:after="10" w:afterAutospacing="0"/>
        <w:ind w:firstLine="420"/>
        <w:jc w:val="both"/>
        <w:rPr>
          <w:sz w:val="21"/>
          <w:szCs w:val="21"/>
        </w:rPr>
      </w:pPr>
      <w:r>
        <w:rPr>
          <w:sz w:val="21"/>
          <w:szCs w:val="21"/>
        </w:rPr>
        <w:t>本公司对合营企业的投资采用权益法核算，按照本</w:t>
      </w:r>
      <w:r>
        <w:rPr>
          <w:rFonts w:ascii="宋体" w:hAnsi="宋体" w:cs="宋体"/>
          <w:sz w:val="21"/>
          <w:szCs w:val="21"/>
        </w:rPr>
        <w:t>节“五</w:t>
      </w:r>
      <w:r>
        <w:rPr>
          <w:sz w:val="21"/>
          <w:szCs w:val="21"/>
        </w:rPr>
        <w:t>、</w:t>
      </w:r>
      <w:r>
        <w:rPr>
          <w:sz w:val="21"/>
          <w:szCs w:val="21"/>
        </w:rPr>
        <w:t xml:space="preserve">22 </w:t>
      </w:r>
      <w:r>
        <w:rPr>
          <w:sz w:val="21"/>
          <w:szCs w:val="21"/>
        </w:rPr>
        <w:t>长期股权</w:t>
      </w:r>
      <w:r>
        <w:rPr>
          <w:rFonts w:ascii="宋体" w:hAnsi="宋体" w:cs="宋体"/>
          <w:sz w:val="21"/>
          <w:szCs w:val="21"/>
        </w:rPr>
        <w:t>投资”中</w:t>
      </w:r>
      <w:r>
        <w:rPr>
          <w:sz w:val="21"/>
          <w:szCs w:val="21"/>
        </w:rPr>
        <w:t>所述的会计政策处理。</w:t>
      </w:r>
    </w:p>
    <w:p w:rsidR="00E20B54" w:rsidRDefault="00733C9E" w:rsidP="00C57489">
      <w:pPr>
        <w:pStyle w:val="a3"/>
        <w:widowControl/>
        <w:spacing w:beforeLines="50" w:before="156" w:beforeAutospacing="0" w:after="10" w:afterAutospacing="0"/>
        <w:ind w:firstLine="420"/>
        <w:jc w:val="both"/>
        <w:rPr>
          <w:sz w:val="21"/>
          <w:szCs w:val="21"/>
        </w:rPr>
      </w:pPr>
      <w:r>
        <w:rPr>
          <w:sz w:val="21"/>
          <w:szCs w:val="21"/>
        </w:rPr>
        <w:t>本公司作为合营方对共同经营，确认本公司单独持有的资产、单独所承担的负债，以及按本公司份额确认共同持有的资产和共同承担的负债；确认出售本公司享有的共同经营产出份额所产生的收入；按本公司份额确认共同经营因出售产出所产生的收入；确认本公司单独所发生的费用，以及按本公司份额确认共同经营发生的费用。</w:t>
      </w:r>
    </w:p>
    <w:p w:rsidR="00E20B54" w:rsidRDefault="00733C9E" w:rsidP="00C57489">
      <w:pPr>
        <w:pStyle w:val="a3"/>
        <w:widowControl/>
        <w:spacing w:beforeLines="50" w:before="156" w:beforeAutospacing="0" w:after="10" w:afterAutospacing="0"/>
        <w:ind w:firstLine="420"/>
        <w:jc w:val="both"/>
        <w:rPr>
          <w:sz w:val="21"/>
          <w:szCs w:val="21"/>
        </w:rPr>
      </w:pPr>
      <w:r>
        <w:rPr>
          <w:sz w:val="21"/>
          <w:szCs w:val="21"/>
        </w:rPr>
        <w:t>当本公司作为合营方向共同经营投出或出售资产（该资产不构成业务，下同）、或者自共同经营购买资产时，在该等资产出售给第三方之前，本公司仅确认因该交易产生的损益中归属于共同经营其他参与方的部分。该等资产发生符合《企业会计准则第</w:t>
      </w:r>
      <w:r>
        <w:rPr>
          <w:sz w:val="21"/>
          <w:szCs w:val="21"/>
        </w:rPr>
        <w:t>8</w:t>
      </w:r>
      <w:r>
        <w:rPr>
          <w:sz w:val="21"/>
          <w:szCs w:val="21"/>
        </w:rPr>
        <w:t>号</w:t>
      </w:r>
      <w:r>
        <w:rPr>
          <w:sz w:val="21"/>
          <w:szCs w:val="21"/>
        </w:rPr>
        <w:t>——</w:t>
      </w:r>
      <w:r>
        <w:rPr>
          <w:sz w:val="21"/>
          <w:szCs w:val="21"/>
        </w:rPr>
        <w:t>资产减值》等规定的资产减值损失的，对于由本公司向共同经营投出或出售资产的情况，本公司全额确认该损失；对于本公司自共同经营购买资产的情况，本公司按承担的份额确认该损失。</w:t>
      </w:r>
    </w:p>
    <w:p w:rsidR="00E20B54" w:rsidRDefault="00733C9E" w:rsidP="00C57489">
      <w:pPr>
        <w:pStyle w:val="3"/>
        <w:spacing w:beforeLines="50" w:before="156" w:after="10" w:line="240" w:lineRule="auto"/>
        <w:jc w:val="left"/>
        <w:rPr>
          <w:b/>
          <w:bCs/>
        </w:rPr>
      </w:pPr>
      <w:bookmarkStart w:id="173" w:name="_Toc989061"/>
      <w:r>
        <w:rPr>
          <w:b/>
          <w:bCs/>
        </w:rPr>
        <w:t>9</w:t>
      </w:r>
      <w:r>
        <w:rPr>
          <w:b/>
          <w:bCs/>
        </w:rPr>
        <w:t>、现金及现金等价物的确定标准</w:t>
      </w:r>
      <w:bookmarkEnd w:id="173"/>
    </w:p>
    <w:p w:rsidR="00E20B54" w:rsidRDefault="00733C9E" w:rsidP="00C57489">
      <w:pPr>
        <w:pStyle w:val="a3"/>
        <w:widowControl/>
        <w:spacing w:beforeLines="50" w:before="156" w:beforeAutospacing="0" w:after="10" w:afterAutospacing="0"/>
        <w:ind w:firstLine="420"/>
        <w:jc w:val="both"/>
        <w:rPr>
          <w:sz w:val="21"/>
          <w:szCs w:val="21"/>
        </w:rPr>
      </w:pPr>
      <w:r>
        <w:rPr>
          <w:sz w:val="21"/>
          <w:szCs w:val="21"/>
        </w:rPr>
        <w:t>本公司现金及现金等价物包括库存现金、可以随时用于支付的存款以及本公司持有的期限短（一般为从购买日起三个月内到期）、流动性强、易于转换为已知金额现金、价值变动风险很小的投资。</w:t>
      </w:r>
    </w:p>
    <w:p w:rsidR="00E20B54" w:rsidRDefault="00733C9E" w:rsidP="00C57489">
      <w:pPr>
        <w:pStyle w:val="3"/>
        <w:spacing w:beforeLines="50" w:before="156" w:after="10" w:line="240" w:lineRule="auto"/>
        <w:jc w:val="left"/>
        <w:rPr>
          <w:b/>
          <w:bCs/>
        </w:rPr>
      </w:pPr>
      <w:bookmarkStart w:id="174" w:name="_Toc989062"/>
      <w:r>
        <w:rPr>
          <w:b/>
          <w:bCs/>
        </w:rPr>
        <w:t>10</w:t>
      </w:r>
      <w:r>
        <w:rPr>
          <w:b/>
          <w:bCs/>
        </w:rPr>
        <w:t>、外币业务和外币报表折算</w:t>
      </w:r>
      <w:bookmarkEnd w:id="174"/>
    </w:p>
    <w:p w:rsidR="00E20B54" w:rsidRDefault="00733C9E" w:rsidP="00C57489">
      <w:pPr>
        <w:pStyle w:val="a3"/>
        <w:widowControl/>
        <w:spacing w:beforeLines="50" w:before="156" w:beforeAutospacing="0" w:after="10" w:afterAutospacing="0"/>
        <w:ind w:left="420"/>
        <w:jc w:val="both"/>
      </w:pPr>
      <w:r>
        <w:rPr>
          <w:rStyle w:val="a4"/>
          <w:bCs/>
          <w:sz w:val="21"/>
          <w:szCs w:val="21"/>
        </w:rPr>
        <w:t>10.1</w:t>
      </w:r>
      <w:r>
        <w:rPr>
          <w:rStyle w:val="a4"/>
          <w:bCs/>
          <w:sz w:val="21"/>
          <w:szCs w:val="21"/>
        </w:rPr>
        <w:t>外币业务</w:t>
      </w:r>
    </w:p>
    <w:p w:rsidR="00E20B54" w:rsidRDefault="00733C9E" w:rsidP="00C57489">
      <w:pPr>
        <w:pStyle w:val="a3"/>
        <w:widowControl/>
        <w:spacing w:beforeLines="50" w:before="156" w:beforeAutospacing="0" w:after="10" w:afterAutospacing="0"/>
        <w:ind w:firstLine="420"/>
      </w:pPr>
      <w:r>
        <w:rPr>
          <w:sz w:val="21"/>
          <w:szCs w:val="21"/>
        </w:rPr>
        <w:t>外币业务交易在初始确认时，采用交易发生日的即期汇率作为折算汇率折合成人民币记账。</w:t>
      </w:r>
    </w:p>
    <w:p w:rsidR="00E20B54" w:rsidRDefault="00733C9E" w:rsidP="00C57489">
      <w:pPr>
        <w:pStyle w:val="a3"/>
        <w:widowControl/>
        <w:spacing w:beforeLines="50" w:before="156" w:beforeAutospacing="0" w:after="10" w:afterAutospacing="0"/>
        <w:ind w:firstLine="420"/>
      </w:pPr>
      <w:r>
        <w:rPr>
          <w:sz w:val="21"/>
          <w:szCs w:val="21"/>
        </w:rPr>
        <w:lastRenderedPageBreak/>
        <w:t>资产负债表日，外币货币性项目按资产负债表日即期汇率折算，由此产生的汇兑差额，除属于与购建符合资本化条件的资产相关的外币专门借款产生的汇兑差额按照借款费用资本化的原则处理外，均计入当期损益。以历史成本计量的外币非货币性项目，仍采用交易发生日的即期汇率折算，不改变其记账本位币金额。</w:t>
      </w:r>
    </w:p>
    <w:p w:rsidR="00E20B54" w:rsidRDefault="00733C9E" w:rsidP="00C57489">
      <w:pPr>
        <w:pStyle w:val="a3"/>
        <w:widowControl/>
        <w:spacing w:beforeLines="50" w:before="156" w:beforeAutospacing="0" w:after="10" w:afterAutospacing="0"/>
        <w:ind w:firstLine="420"/>
      </w:pPr>
      <w:r>
        <w:rPr>
          <w:sz w:val="21"/>
          <w:szCs w:val="21"/>
        </w:rPr>
        <w:t>以公允价值计量的外币非货币性项目，采用公允价值确定日的即期汇率折算，折算后的记账本位币金额与原记账本位币金额的差额，作为公允价值变动</w:t>
      </w:r>
      <w:r>
        <w:rPr>
          <w:sz w:val="21"/>
          <w:szCs w:val="21"/>
        </w:rPr>
        <w:t>(</w:t>
      </w:r>
      <w:r>
        <w:rPr>
          <w:sz w:val="21"/>
          <w:szCs w:val="21"/>
        </w:rPr>
        <w:t>含汇率变动</w:t>
      </w:r>
      <w:r>
        <w:rPr>
          <w:sz w:val="21"/>
          <w:szCs w:val="21"/>
        </w:rPr>
        <w:t>)</w:t>
      </w:r>
      <w:r>
        <w:rPr>
          <w:sz w:val="21"/>
          <w:szCs w:val="21"/>
        </w:rPr>
        <w:t>处理，计入当期损益或确认为其他综合收益。</w:t>
      </w:r>
    </w:p>
    <w:p w:rsidR="00E20B54" w:rsidRDefault="00733C9E" w:rsidP="00C57489">
      <w:pPr>
        <w:pStyle w:val="a3"/>
        <w:widowControl/>
        <w:spacing w:beforeLines="50" w:before="156" w:beforeAutospacing="0" w:after="10" w:afterAutospacing="0"/>
        <w:ind w:left="420"/>
        <w:jc w:val="both"/>
      </w:pPr>
      <w:r>
        <w:rPr>
          <w:rStyle w:val="a4"/>
          <w:bCs/>
          <w:sz w:val="21"/>
          <w:szCs w:val="21"/>
        </w:rPr>
        <w:t>10.2</w:t>
      </w:r>
      <w:r>
        <w:rPr>
          <w:rStyle w:val="a4"/>
          <w:bCs/>
          <w:sz w:val="21"/>
          <w:szCs w:val="21"/>
        </w:rPr>
        <w:t>外币财务报表的折算</w:t>
      </w:r>
    </w:p>
    <w:p w:rsidR="00E20B54" w:rsidRDefault="00733C9E" w:rsidP="00C57489">
      <w:pPr>
        <w:pStyle w:val="a3"/>
        <w:widowControl/>
        <w:spacing w:beforeLines="50" w:before="156" w:beforeAutospacing="0" w:after="10" w:afterAutospacing="0"/>
        <w:ind w:firstLine="420"/>
      </w:pPr>
      <w:r>
        <w:rPr>
          <w:sz w:val="21"/>
          <w:szCs w:val="21"/>
        </w:rPr>
        <w:t>资产负债表中的资产和负债项目，采用资产负债表日的即期汇率折算；所有者权益项目除</w:t>
      </w:r>
      <w:r>
        <w:rPr>
          <w:sz w:val="21"/>
          <w:szCs w:val="21"/>
        </w:rPr>
        <w:t>“</w:t>
      </w:r>
      <w:r>
        <w:rPr>
          <w:sz w:val="21"/>
          <w:szCs w:val="21"/>
        </w:rPr>
        <w:t>未分配利润</w:t>
      </w:r>
      <w:r>
        <w:rPr>
          <w:sz w:val="21"/>
          <w:szCs w:val="21"/>
        </w:rPr>
        <w:t>”</w:t>
      </w:r>
      <w:r>
        <w:rPr>
          <w:sz w:val="21"/>
          <w:szCs w:val="21"/>
        </w:rPr>
        <w:t>项目外，其他项目采用发生时的即期汇率折算。利润表中的收入和费用项目，采用交易发生日的即期汇率折算。按照上述折算产生的外币财务报表折算差额计入其他综合收益。</w:t>
      </w:r>
    </w:p>
    <w:p w:rsidR="00E20B54" w:rsidRDefault="00733C9E" w:rsidP="00C57489">
      <w:pPr>
        <w:pStyle w:val="a3"/>
        <w:widowControl/>
        <w:spacing w:beforeLines="50" w:before="156" w:beforeAutospacing="0" w:after="10" w:afterAutospacing="0"/>
        <w:ind w:firstLine="420"/>
      </w:pPr>
      <w:r>
        <w:rPr>
          <w:sz w:val="21"/>
          <w:szCs w:val="21"/>
        </w:rPr>
        <w:t>处置境外经营时，将资产负债表中其他综合收益项目中列示的、与该境外经营相关的外币财务报表折算差额，自其他综合收益项目转入处置当期损益；</w:t>
      </w:r>
      <w:r>
        <w:rPr>
          <w:color w:val="000000"/>
          <w:sz w:val="21"/>
          <w:szCs w:val="21"/>
        </w:rPr>
        <w:t>在处置部分股权投资或其他原因导致持有境外经营权益比例降低但不丧失对境外经营控制权时，与该境外经营处置部分相关的外币报表折算差额将归属于少数股东权益，不转入当期损益。在处置境外经营为联营企业或合营企业的部分股权时，与该境外经营相关的外币报表折算差额，按处置该境外经营的比例转入处置当期损益。</w:t>
      </w:r>
    </w:p>
    <w:p w:rsidR="00E20B54" w:rsidRDefault="00733C9E" w:rsidP="00C57489">
      <w:pPr>
        <w:pStyle w:val="3"/>
        <w:spacing w:beforeLines="50" w:before="156" w:after="10" w:line="240" w:lineRule="auto"/>
        <w:jc w:val="left"/>
        <w:rPr>
          <w:b/>
          <w:bCs/>
        </w:rPr>
      </w:pPr>
      <w:bookmarkStart w:id="175" w:name="_Toc989063"/>
      <w:r>
        <w:rPr>
          <w:b/>
          <w:bCs/>
        </w:rPr>
        <w:t>11</w:t>
      </w:r>
      <w:r>
        <w:rPr>
          <w:b/>
          <w:bCs/>
        </w:rPr>
        <w:t>、金融工具</w:t>
      </w:r>
      <w:bookmarkEnd w:id="175"/>
    </w:p>
    <w:p w:rsidR="00E20B54" w:rsidRDefault="00733C9E" w:rsidP="00C57489">
      <w:pPr>
        <w:pStyle w:val="a3"/>
        <w:widowControl/>
        <w:spacing w:beforeLines="50" w:before="156" w:beforeAutospacing="0" w:after="10" w:afterAutospacing="0"/>
        <w:ind w:firstLine="420"/>
        <w:jc w:val="both"/>
        <w:rPr>
          <w:sz w:val="21"/>
          <w:szCs w:val="21"/>
        </w:rPr>
      </w:pPr>
      <w:r>
        <w:rPr>
          <w:sz w:val="21"/>
          <w:szCs w:val="21"/>
        </w:rPr>
        <w:t>金融工具，是指形成一方的金融资产并形成其他方的金融负债或权益工具的合同。本公司成为金融工具合同的一方时，确认一项金融资产或金融负债。</w:t>
      </w:r>
    </w:p>
    <w:p w:rsidR="00E20B54" w:rsidRDefault="00733C9E" w:rsidP="00C57489">
      <w:pPr>
        <w:pStyle w:val="a3"/>
        <w:widowControl/>
        <w:spacing w:beforeLines="50" w:before="156" w:beforeAutospacing="0" w:after="10" w:afterAutospacing="0"/>
        <w:ind w:firstLine="420"/>
        <w:jc w:val="both"/>
        <w:rPr>
          <w:sz w:val="21"/>
          <w:szCs w:val="21"/>
        </w:rPr>
      </w:pPr>
      <w:r>
        <w:rPr>
          <w:rStyle w:val="a4"/>
          <w:bCs/>
          <w:sz w:val="21"/>
          <w:szCs w:val="21"/>
        </w:rPr>
        <w:t>11.1</w:t>
      </w:r>
      <w:r>
        <w:rPr>
          <w:rStyle w:val="a4"/>
          <w:bCs/>
          <w:sz w:val="21"/>
          <w:szCs w:val="21"/>
        </w:rPr>
        <w:t>金融资产的分类和计量</w:t>
      </w:r>
    </w:p>
    <w:p w:rsidR="00E20B54" w:rsidRDefault="00733C9E" w:rsidP="00C57489">
      <w:pPr>
        <w:pStyle w:val="a3"/>
        <w:widowControl/>
        <w:spacing w:beforeLines="50" w:before="156" w:beforeAutospacing="0" w:after="10" w:afterAutospacing="0"/>
        <w:ind w:firstLine="420"/>
        <w:jc w:val="both"/>
        <w:rPr>
          <w:sz w:val="21"/>
          <w:szCs w:val="21"/>
        </w:rPr>
      </w:pPr>
      <w:r>
        <w:rPr>
          <w:sz w:val="21"/>
          <w:szCs w:val="21"/>
        </w:rPr>
        <w:t>本公司根据管理金融资产的业务模式和金融资产的合同现金流量特征，将金融资产划分为：以摊余成本计量的金融资产、以公允价值计量且其变动计入其他综合收益的金融资产及以公允价值计量且其变动计入当期损益的金融资产。</w:t>
      </w:r>
    </w:p>
    <w:p w:rsidR="00E20B54" w:rsidRDefault="00733C9E" w:rsidP="00C57489">
      <w:pPr>
        <w:pStyle w:val="a3"/>
        <w:widowControl/>
        <w:spacing w:beforeLines="50" w:before="156" w:beforeAutospacing="0" w:after="10" w:afterAutospacing="0"/>
        <w:ind w:firstLine="420"/>
        <w:jc w:val="both"/>
        <w:rPr>
          <w:sz w:val="21"/>
          <w:szCs w:val="21"/>
        </w:rPr>
      </w:pPr>
      <w:r>
        <w:rPr>
          <w:sz w:val="21"/>
          <w:szCs w:val="21"/>
        </w:rPr>
        <w:t>11.1.1</w:t>
      </w:r>
      <w:r>
        <w:rPr>
          <w:sz w:val="21"/>
          <w:szCs w:val="21"/>
        </w:rPr>
        <w:t>以摊余成本计量的债务工具投资</w:t>
      </w:r>
    </w:p>
    <w:p w:rsidR="00E20B54" w:rsidRDefault="00733C9E" w:rsidP="00C57489">
      <w:pPr>
        <w:pStyle w:val="a3"/>
        <w:widowControl/>
        <w:spacing w:beforeLines="50" w:before="156" w:beforeAutospacing="0" w:after="10" w:afterAutospacing="0"/>
        <w:ind w:firstLine="420"/>
        <w:jc w:val="both"/>
        <w:rPr>
          <w:sz w:val="21"/>
          <w:szCs w:val="21"/>
        </w:rPr>
      </w:pPr>
      <w:r>
        <w:rPr>
          <w:sz w:val="21"/>
          <w:szCs w:val="21"/>
        </w:rPr>
        <w:t>金融资产同时符合以下条件的，分类为以摊余成本计量的金融资产：本公司管理此类金融资产的业务模式为以收取合同现金流量为目标；该金融资产的合同条款规定，在特定日期产生的现金流量，仅为对本金和以未偿付本金金额为基础的利息的支付。</w:t>
      </w:r>
    </w:p>
    <w:p w:rsidR="00E20B54" w:rsidRDefault="00733C9E" w:rsidP="00C57489">
      <w:pPr>
        <w:pStyle w:val="a3"/>
        <w:widowControl/>
        <w:spacing w:beforeLines="50" w:before="156" w:beforeAutospacing="0" w:after="10" w:afterAutospacing="0"/>
        <w:ind w:firstLine="420"/>
        <w:jc w:val="both"/>
        <w:rPr>
          <w:sz w:val="21"/>
          <w:szCs w:val="21"/>
        </w:rPr>
      </w:pPr>
      <w:r>
        <w:rPr>
          <w:sz w:val="21"/>
          <w:szCs w:val="21"/>
        </w:rPr>
        <w:t>以摊余成本计量的金融资产包括应收票据及应收账款、其他应收款、长期应收款、债权投资等，按公允价值进行初始计量，相关交易费用计入初始确认金额；不包含重大融资成分的应收账款以及本公司决定不考虑不超过一年的融资成分的应收账款，以合同交易价格进行初始计量。</w:t>
      </w:r>
    </w:p>
    <w:p w:rsidR="00E20B54" w:rsidRDefault="00733C9E" w:rsidP="00C57489">
      <w:pPr>
        <w:pStyle w:val="a3"/>
        <w:widowControl/>
        <w:spacing w:beforeLines="50" w:before="156" w:beforeAutospacing="0" w:after="10" w:afterAutospacing="0"/>
        <w:ind w:firstLine="420"/>
        <w:jc w:val="both"/>
        <w:rPr>
          <w:sz w:val="21"/>
          <w:szCs w:val="21"/>
        </w:rPr>
      </w:pPr>
      <w:r>
        <w:rPr>
          <w:sz w:val="21"/>
          <w:szCs w:val="21"/>
        </w:rPr>
        <w:t>此类金融资产按照实际利率法以摊余成本进行后续计量，持有期间采用实际利率法计算的利息计入当期损益。收回或处置时，将取得的价款与该金融资产账面价值之间的差额计入当期损益。其摊销或减值产生的利得或损失，均计入当期损益。</w:t>
      </w:r>
    </w:p>
    <w:p w:rsidR="00E20B54" w:rsidRDefault="00733C9E" w:rsidP="00C57489">
      <w:pPr>
        <w:pStyle w:val="a3"/>
        <w:widowControl/>
        <w:spacing w:beforeLines="50" w:before="156" w:beforeAutospacing="0" w:after="10" w:afterAutospacing="0"/>
        <w:ind w:firstLine="420"/>
        <w:jc w:val="both"/>
        <w:rPr>
          <w:sz w:val="21"/>
          <w:szCs w:val="21"/>
        </w:rPr>
      </w:pPr>
      <w:r>
        <w:rPr>
          <w:sz w:val="21"/>
          <w:szCs w:val="21"/>
        </w:rPr>
        <w:t>11.1.2</w:t>
      </w:r>
      <w:r>
        <w:rPr>
          <w:sz w:val="21"/>
          <w:szCs w:val="21"/>
        </w:rPr>
        <w:t>以公允价值计量且其变动计入其他综合收益的金融资产</w:t>
      </w:r>
    </w:p>
    <w:p w:rsidR="00E20B54" w:rsidRDefault="00733C9E" w:rsidP="00C57489">
      <w:pPr>
        <w:pStyle w:val="a3"/>
        <w:widowControl/>
        <w:spacing w:beforeLines="50" w:before="156" w:beforeAutospacing="0" w:after="10" w:afterAutospacing="0"/>
        <w:ind w:firstLine="420"/>
        <w:jc w:val="both"/>
        <w:rPr>
          <w:sz w:val="21"/>
          <w:szCs w:val="21"/>
        </w:rPr>
      </w:pPr>
      <w:r>
        <w:rPr>
          <w:sz w:val="21"/>
          <w:szCs w:val="21"/>
        </w:rPr>
        <w:t>11.1.2.1</w:t>
      </w:r>
      <w:r>
        <w:rPr>
          <w:sz w:val="21"/>
          <w:szCs w:val="21"/>
        </w:rPr>
        <w:t>以公允价值计量且其变动计入其他综合收益的债务工具投资</w:t>
      </w:r>
    </w:p>
    <w:p w:rsidR="00E20B54" w:rsidRDefault="00733C9E" w:rsidP="00C57489">
      <w:pPr>
        <w:pStyle w:val="a3"/>
        <w:widowControl/>
        <w:spacing w:beforeLines="50" w:before="156" w:beforeAutospacing="0" w:after="10" w:afterAutospacing="0"/>
        <w:ind w:firstLine="420"/>
        <w:jc w:val="both"/>
        <w:rPr>
          <w:sz w:val="21"/>
          <w:szCs w:val="21"/>
        </w:rPr>
      </w:pPr>
      <w:r>
        <w:rPr>
          <w:sz w:val="21"/>
          <w:szCs w:val="21"/>
        </w:rPr>
        <w:lastRenderedPageBreak/>
        <w:t>金融资产同时符合以下条件的，分类为以公允价值计量且其变动计入其他综合收益的金融资产：本公司管理此类金融资产的业务模式为既以收取合同现金流量为目标又以出售为目标；该金融资产的合同条款规定，在特定日期产生的现金流量，仅为对本金和以未偿付本金金额为基础的利息的支付。</w:t>
      </w:r>
    </w:p>
    <w:p w:rsidR="00E20B54" w:rsidRDefault="00733C9E" w:rsidP="00C57489">
      <w:pPr>
        <w:pStyle w:val="a3"/>
        <w:widowControl/>
        <w:spacing w:beforeLines="50" w:before="156" w:beforeAutospacing="0" w:after="10" w:afterAutospacing="0"/>
        <w:ind w:firstLine="420"/>
        <w:jc w:val="both"/>
        <w:rPr>
          <w:sz w:val="21"/>
          <w:szCs w:val="21"/>
        </w:rPr>
      </w:pPr>
      <w:r>
        <w:rPr>
          <w:sz w:val="21"/>
          <w:szCs w:val="21"/>
        </w:rPr>
        <w:t>以公允价值计量且其变动计入其他综合收益的金融资产（债务工具）包括其他债权投资等，按公允价值进行初始计量，相关交易费用计入初始确认金额。该金融资产按公允价值进行后续计量，公允价值变动除采用实际利率法计算的利息、减值损失或利得和汇兑损益之外，均计入其他综合收益。</w:t>
      </w:r>
    </w:p>
    <w:p w:rsidR="00E20B54" w:rsidRDefault="00733C9E" w:rsidP="00C57489">
      <w:pPr>
        <w:pStyle w:val="a3"/>
        <w:widowControl/>
        <w:spacing w:beforeLines="50" w:before="156" w:beforeAutospacing="0" w:after="10" w:afterAutospacing="0"/>
        <w:ind w:firstLine="420"/>
        <w:jc w:val="both"/>
        <w:rPr>
          <w:sz w:val="21"/>
          <w:szCs w:val="21"/>
        </w:rPr>
      </w:pPr>
      <w:r>
        <w:rPr>
          <w:sz w:val="21"/>
          <w:szCs w:val="21"/>
        </w:rPr>
        <w:t>终止确认时，之前计入其他综合收益的累计利得或损失从其他综合收益中转出，计入当期损益。</w:t>
      </w:r>
    </w:p>
    <w:p w:rsidR="00E20B54" w:rsidRDefault="00733C9E" w:rsidP="00C57489">
      <w:pPr>
        <w:pStyle w:val="a3"/>
        <w:widowControl/>
        <w:spacing w:beforeLines="50" w:before="156" w:beforeAutospacing="0" w:after="10" w:afterAutospacing="0"/>
        <w:ind w:firstLine="420"/>
        <w:jc w:val="both"/>
        <w:rPr>
          <w:sz w:val="21"/>
          <w:szCs w:val="21"/>
        </w:rPr>
      </w:pPr>
      <w:r>
        <w:rPr>
          <w:sz w:val="21"/>
          <w:szCs w:val="21"/>
        </w:rPr>
        <w:t>11.1.2.2</w:t>
      </w:r>
      <w:r>
        <w:rPr>
          <w:sz w:val="21"/>
          <w:szCs w:val="21"/>
        </w:rPr>
        <w:t>指定为以公允价值计量且其变动计入其他综合收益的权益工具投资</w:t>
      </w:r>
    </w:p>
    <w:p w:rsidR="00E20B54" w:rsidRDefault="00733C9E" w:rsidP="00C57489">
      <w:pPr>
        <w:pStyle w:val="a3"/>
        <w:widowControl/>
        <w:spacing w:beforeLines="50" w:before="156" w:beforeAutospacing="0" w:after="10" w:afterAutospacing="0"/>
        <w:ind w:firstLine="420"/>
        <w:jc w:val="both"/>
        <w:rPr>
          <w:sz w:val="21"/>
          <w:szCs w:val="21"/>
        </w:rPr>
      </w:pPr>
      <w:r>
        <w:rPr>
          <w:sz w:val="21"/>
          <w:szCs w:val="21"/>
        </w:rPr>
        <w:t>本公司不可撤销地选择将部分非交易性权益工具投资指定为以公允价值计量且其变动计入其他综合收益的金融资产，包括其他权益工具投资等，仅将相关股利收入计入当期损益，公允价值变动计入其他综合收益。当该金融资产终止确认时，之前计入其他综合收益的累计利得或损失从其他综合收益中转出，计入留存收益。</w:t>
      </w:r>
    </w:p>
    <w:p w:rsidR="00E20B54" w:rsidRDefault="00733C9E" w:rsidP="00C57489">
      <w:pPr>
        <w:pStyle w:val="a3"/>
        <w:widowControl/>
        <w:spacing w:beforeLines="50" w:before="156" w:beforeAutospacing="0" w:after="10" w:afterAutospacing="0"/>
        <w:ind w:firstLine="420"/>
        <w:jc w:val="both"/>
        <w:rPr>
          <w:sz w:val="21"/>
          <w:szCs w:val="21"/>
        </w:rPr>
      </w:pPr>
      <w:r>
        <w:rPr>
          <w:sz w:val="21"/>
          <w:szCs w:val="21"/>
        </w:rPr>
        <w:t>11.1.3</w:t>
      </w:r>
      <w:r>
        <w:rPr>
          <w:sz w:val="21"/>
          <w:szCs w:val="21"/>
        </w:rPr>
        <w:t>以公允价值计量且其变动计入当期损益的金融资产</w:t>
      </w:r>
    </w:p>
    <w:p w:rsidR="00E20B54" w:rsidRDefault="00733C9E" w:rsidP="00C57489">
      <w:pPr>
        <w:pStyle w:val="a3"/>
        <w:widowControl/>
        <w:spacing w:beforeLines="50" w:before="156" w:beforeAutospacing="0" w:after="10" w:afterAutospacing="0"/>
        <w:ind w:firstLine="420"/>
        <w:jc w:val="both"/>
        <w:rPr>
          <w:sz w:val="21"/>
          <w:szCs w:val="21"/>
        </w:rPr>
      </w:pPr>
      <w:r>
        <w:rPr>
          <w:sz w:val="21"/>
          <w:szCs w:val="21"/>
        </w:rPr>
        <w:t>本公司将持有的未划分为上述以摊余成本计量的金融资产和以公允价值计量且其变动计入其他综合收益的金融资产之外的金融资产，分类为以公允价值计量且其变动计入当期损益的金融资产。包括交易性金融资产、衍生金融资产、其他非流动金融资产等，按公允价值进行初始计量，相关交易费用计入当期损益。该金融资产按公允价值进行后续计量，公允价值变动计入当期损益。终止确认时，其公允价值与初始入账金额之间的差额确认为投资收益。</w:t>
      </w:r>
    </w:p>
    <w:p w:rsidR="00E20B54" w:rsidRDefault="00733C9E" w:rsidP="00C57489">
      <w:pPr>
        <w:pStyle w:val="a3"/>
        <w:widowControl/>
        <w:spacing w:beforeLines="50" w:before="156" w:beforeAutospacing="0" w:after="10" w:afterAutospacing="0"/>
        <w:ind w:firstLine="420"/>
        <w:jc w:val="both"/>
        <w:rPr>
          <w:sz w:val="21"/>
          <w:szCs w:val="21"/>
        </w:rPr>
      </w:pPr>
      <w:r>
        <w:rPr>
          <w:sz w:val="21"/>
          <w:szCs w:val="21"/>
        </w:rPr>
        <w:t>指定为以公允价值计量且其变动计入当期损益的金融资产情况。</w:t>
      </w:r>
    </w:p>
    <w:p w:rsidR="00E20B54" w:rsidRDefault="00733C9E" w:rsidP="00C57489">
      <w:pPr>
        <w:pStyle w:val="a3"/>
        <w:widowControl/>
        <w:spacing w:beforeLines="50" w:before="156" w:beforeAutospacing="0" w:after="10" w:afterAutospacing="0"/>
        <w:ind w:firstLine="420"/>
        <w:jc w:val="both"/>
        <w:rPr>
          <w:sz w:val="21"/>
          <w:szCs w:val="21"/>
        </w:rPr>
      </w:pPr>
      <w:r>
        <w:rPr>
          <w:rStyle w:val="a4"/>
          <w:bCs/>
          <w:sz w:val="21"/>
          <w:szCs w:val="21"/>
        </w:rPr>
        <w:t>11.2</w:t>
      </w:r>
      <w:r>
        <w:rPr>
          <w:rStyle w:val="a4"/>
          <w:bCs/>
          <w:sz w:val="21"/>
          <w:szCs w:val="21"/>
        </w:rPr>
        <w:t>金融工具的减值</w:t>
      </w:r>
    </w:p>
    <w:p w:rsidR="00E20B54" w:rsidRDefault="00733C9E" w:rsidP="00C57489">
      <w:pPr>
        <w:pStyle w:val="a3"/>
        <w:widowControl/>
        <w:spacing w:beforeLines="50" w:before="156" w:beforeAutospacing="0" w:after="10" w:afterAutospacing="0"/>
        <w:ind w:firstLine="420"/>
        <w:jc w:val="both"/>
        <w:rPr>
          <w:sz w:val="21"/>
          <w:szCs w:val="21"/>
        </w:rPr>
      </w:pPr>
      <w:r>
        <w:rPr>
          <w:sz w:val="21"/>
          <w:szCs w:val="21"/>
        </w:rPr>
        <w:t>本公司对分类为以摊余成本计量的金融工具、分类为以公允价值计量且其变动计入其他综合收益的金融工具（债务工具）、租赁应收款、合同资产、应收款项以及财务担保合同以预期信用损失为基础确认损失准备。</w:t>
      </w:r>
    </w:p>
    <w:p w:rsidR="00E20B54" w:rsidRDefault="00733C9E" w:rsidP="00C57489">
      <w:pPr>
        <w:pStyle w:val="a3"/>
        <w:widowControl/>
        <w:spacing w:beforeLines="50" w:before="156" w:beforeAutospacing="0" w:after="10" w:afterAutospacing="0"/>
        <w:ind w:firstLine="420"/>
        <w:jc w:val="both"/>
        <w:rPr>
          <w:sz w:val="21"/>
          <w:szCs w:val="21"/>
        </w:rPr>
      </w:pPr>
      <w:r>
        <w:rPr>
          <w:sz w:val="21"/>
          <w:szCs w:val="21"/>
        </w:rPr>
        <w:t>本公司按照下列方法确定相关金融工具的预期信用损失：</w:t>
      </w:r>
      <w:r>
        <w:rPr>
          <w:sz w:val="21"/>
          <w:szCs w:val="21"/>
        </w:rPr>
        <w:t>①</w:t>
      </w:r>
      <w:r>
        <w:rPr>
          <w:sz w:val="21"/>
          <w:szCs w:val="21"/>
        </w:rPr>
        <w:t>对于金融资产，信用损失应为本公司应收取的合同现金流量与预期收取的现金流量之间差额的现值；</w:t>
      </w:r>
      <w:r>
        <w:rPr>
          <w:sz w:val="21"/>
          <w:szCs w:val="21"/>
        </w:rPr>
        <w:t>②</w:t>
      </w:r>
      <w:r>
        <w:rPr>
          <w:sz w:val="21"/>
          <w:szCs w:val="21"/>
        </w:rPr>
        <w:t>对于租赁应收款项，信用损失应为本公司应收取的合同现金流量与预期收取的现金流量之间差额的现值；</w:t>
      </w:r>
      <w:r>
        <w:rPr>
          <w:sz w:val="21"/>
          <w:szCs w:val="21"/>
        </w:rPr>
        <w:t>③</w:t>
      </w:r>
      <w:r>
        <w:rPr>
          <w:sz w:val="21"/>
          <w:szCs w:val="21"/>
        </w:rPr>
        <w:t>对于财务担保合同，信用损失应为本公司就该合同持有人发生的信用损失向其做出赔付的预计付款额，减去本公司预期向该合同持有人、债务人或任何其他方收取的金额之间差额的现值；</w:t>
      </w:r>
      <w:r>
        <w:rPr>
          <w:sz w:val="21"/>
          <w:szCs w:val="21"/>
        </w:rPr>
        <w:t>④</w:t>
      </w:r>
      <w:r>
        <w:rPr>
          <w:sz w:val="21"/>
          <w:szCs w:val="21"/>
        </w:rPr>
        <w:t>对于未提用的贷款承诺，信用损失应为在贷款承诺持有人提用相应贷款的情况下，企业应收取的合同现金流量与预期收取的现金流量之间差额的现值。</w:t>
      </w:r>
      <w:r>
        <w:rPr>
          <w:sz w:val="21"/>
          <w:szCs w:val="21"/>
        </w:rPr>
        <w:t>⑤</w:t>
      </w:r>
      <w:r>
        <w:rPr>
          <w:sz w:val="21"/>
          <w:szCs w:val="21"/>
        </w:rPr>
        <w:t>对于资产负债表日已发生信用减值但并非购买或源生已发生信用减值的金融资产，信用损失为该金融资产账面余额与按原实际利率折现的估计未来现金流量的现值之间的差额。</w:t>
      </w:r>
    </w:p>
    <w:p w:rsidR="00E20B54" w:rsidRDefault="00733C9E" w:rsidP="00C57489">
      <w:pPr>
        <w:pStyle w:val="a3"/>
        <w:widowControl/>
        <w:spacing w:beforeLines="50" w:before="156" w:beforeAutospacing="0" w:after="10" w:afterAutospacing="0"/>
        <w:ind w:firstLine="420"/>
        <w:jc w:val="both"/>
        <w:rPr>
          <w:sz w:val="21"/>
          <w:szCs w:val="21"/>
        </w:rPr>
      </w:pPr>
      <w:r>
        <w:rPr>
          <w:sz w:val="21"/>
          <w:szCs w:val="21"/>
        </w:rPr>
        <w:t>本公司计量金融工具预期信用损失的方法反映的因素包括：通过评价一系列可能的结果而确定的无偏概率加权平均金额；货币时间价值；在资产负债表日无须付出不必要的额外成本或努力即可获得的有关过去事项、当前状况以及未来经济状况预测的合理且有依据的信息。</w:t>
      </w:r>
    </w:p>
    <w:p w:rsidR="00E20B54" w:rsidRDefault="00733C9E" w:rsidP="00C57489">
      <w:pPr>
        <w:pStyle w:val="a3"/>
        <w:widowControl/>
        <w:spacing w:beforeLines="50" w:before="156" w:beforeAutospacing="0" w:after="10" w:afterAutospacing="0"/>
        <w:ind w:firstLine="420"/>
        <w:jc w:val="both"/>
        <w:rPr>
          <w:sz w:val="21"/>
          <w:szCs w:val="21"/>
        </w:rPr>
      </w:pPr>
      <w:r>
        <w:rPr>
          <w:sz w:val="21"/>
          <w:szCs w:val="21"/>
        </w:rPr>
        <w:t>当本公司不再合理预期金融资产合同现金流量能够全部或部分收回的，直接减记该金融资产的账面余额。这种减记构成相关金融资产的终止确认。</w:t>
      </w:r>
    </w:p>
    <w:p w:rsidR="00E20B54" w:rsidRDefault="00733C9E" w:rsidP="00C57489">
      <w:pPr>
        <w:pStyle w:val="a3"/>
        <w:widowControl/>
        <w:spacing w:beforeLines="50" w:before="156" w:beforeAutospacing="0" w:after="10" w:afterAutospacing="0"/>
        <w:ind w:firstLine="420"/>
        <w:jc w:val="both"/>
        <w:rPr>
          <w:sz w:val="21"/>
          <w:szCs w:val="21"/>
        </w:rPr>
      </w:pPr>
      <w:r>
        <w:rPr>
          <w:sz w:val="21"/>
          <w:szCs w:val="21"/>
        </w:rPr>
        <w:lastRenderedPageBreak/>
        <w:t>本公司对由收入准则规范的交易形成的应收款项和合同资产（无论是否包含重大融资成分），对由租赁准则规范的交易形成的租赁应收款，具体预期信用损失的确定方法及会计处理方法，详见本节五、</w:t>
      </w:r>
      <w:r>
        <w:rPr>
          <w:sz w:val="21"/>
          <w:szCs w:val="21"/>
        </w:rPr>
        <w:t>12</w:t>
      </w:r>
      <w:r>
        <w:rPr>
          <w:sz w:val="21"/>
          <w:szCs w:val="21"/>
        </w:rPr>
        <w:t>应收票据、五、</w:t>
      </w:r>
      <w:r>
        <w:rPr>
          <w:sz w:val="21"/>
          <w:szCs w:val="21"/>
        </w:rPr>
        <w:t>13</w:t>
      </w:r>
      <w:r>
        <w:rPr>
          <w:sz w:val="21"/>
          <w:szCs w:val="21"/>
        </w:rPr>
        <w:t>应收账款、五、</w:t>
      </w:r>
      <w:r>
        <w:rPr>
          <w:sz w:val="21"/>
          <w:szCs w:val="21"/>
        </w:rPr>
        <w:t>16</w:t>
      </w:r>
      <w:r>
        <w:rPr>
          <w:sz w:val="21"/>
          <w:szCs w:val="21"/>
        </w:rPr>
        <w:t>合同资产、五、</w:t>
      </w:r>
      <w:r>
        <w:rPr>
          <w:sz w:val="21"/>
          <w:szCs w:val="21"/>
        </w:rPr>
        <w:t>21</w:t>
      </w:r>
      <w:r>
        <w:rPr>
          <w:sz w:val="21"/>
          <w:szCs w:val="21"/>
        </w:rPr>
        <w:t>长期应收款。</w:t>
      </w:r>
    </w:p>
    <w:p w:rsidR="00E20B54" w:rsidRDefault="00733C9E" w:rsidP="00C57489">
      <w:pPr>
        <w:pStyle w:val="a3"/>
        <w:widowControl/>
        <w:spacing w:beforeLines="50" w:before="156" w:beforeAutospacing="0" w:after="10" w:afterAutospacing="0"/>
        <w:ind w:firstLine="420"/>
        <w:jc w:val="both"/>
        <w:rPr>
          <w:sz w:val="21"/>
          <w:szCs w:val="21"/>
        </w:rPr>
      </w:pPr>
      <w:r>
        <w:rPr>
          <w:sz w:val="21"/>
          <w:szCs w:val="21"/>
        </w:rPr>
        <w:t>对于其他金融工具，除购买或源生的已发生信用减值的金融资产外，本公司在每个资产负债表日评估相关金融工具的信用风险自初始确认后的变动情况。若该金融工具的信用风险自初始确认后已显著增加，本公司按照相当于该金融工具整个存续期内预期信用损失的金额计量其损失准备；若该金融工具的信用风险自初始确认后并未显著增加，本公司按照相当于该金融工具未来</w:t>
      </w:r>
      <w:r>
        <w:rPr>
          <w:sz w:val="21"/>
          <w:szCs w:val="21"/>
        </w:rPr>
        <w:t>12</w:t>
      </w:r>
      <w:r>
        <w:rPr>
          <w:sz w:val="21"/>
          <w:szCs w:val="21"/>
        </w:rPr>
        <w:t>个月内预期信用损失的金额计量其损失准备。信用损失准备的增加或转回金额，除分类为以公允价值计量且其变动计入其他综合收益的金融资产外，作为减值损失或利得计入当期损益。对于分类为以公允价值计量且其变动计入其他综合收益的金融资产，本公司在其他综合收益中确认其信用损失准备，并将减值损失或利得计入当期损益，且不减少该金融资产在资产负债表中列示的账面价值。具体预期信用损失的确定方法及会计处理方法，详见本节五、</w:t>
      </w:r>
      <w:r>
        <w:rPr>
          <w:sz w:val="21"/>
          <w:szCs w:val="21"/>
        </w:rPr>
        <w:t>15</w:t>
      </w:r>
      <w:r>
        <w:rPr>
          <w:sz w:val="21"/>
          <w:szCs w:val="21"/>
        </w:rPr>
        <w:t>其他应收款、五、</w:t>
      </w:r>
      <w:r>
        <w:rPr>
          <w:sz w:val="21"/>
          <w:szCs w:val="21"/>
        </w:rPr>
        <w:t>19</w:t>
      </w:r>
      <w:r>
        <w:rPr>
          <w:sz w:val="21"/>
          <w:szCs w:val="21"/>
        </w:rPr>
        <w:t>债权投资、五、</w:t>
      </w:r>
      <w:r>
        <w:rPr>
          <w:sz w:val="21"/>
          <w:szCs w:val="21"/>
        </w:rPr>
        <w:t>20</w:t>
      </w:r>
      <w:r>
        <w:rPr>
          <w:sz w:val="21"/>
          <w:szCs w:val="21"/>
        </w:rPr>
        <w:t>其他债权投资、五、</w:t>
      </w:r>
      <w:r>
        <w:rPr>
          <w:sz w:val="21"/>
          <w:szCs w:val="21"/>
        </w:rPr>
        <w:t>21</w:t>
      </w:r>
      <w:r>
        <w:rPr>
          <w:sz w:val="21"/>
          <w:szCs w:val="21"/>
        </w:rPr>
        <w:t>长期应收款。</w:t>
      </w:r>
    </w:p>
    <w:p w:rsidR="00E20B54" w:rsidRDefault="00733C9E" w:rsidP="00C57489">
      <w:pPr>
        <w:pStyle w:val="a3"/>
        <w:widowControl/>
        <w:spacing w:beforeLines="50" w:before="156" w:beforeAutospacing="0" w:after="10" w:afterAutospacing="0"/>
        <w:ind w:firstLine="420"/>
        <w:jc w:val="both"/>
        <w:rPr>
          <w:sz w:val="21"/>
          <w:szCs w:val="21"/>
        </w:rPr>
      </w:pPr>
      <w:r>
        <w:rPr>
          <w:sz w:val="21"/>
          <w:szCs w:val="21"/>
        </w:rPr>
        <w:t>本公司在前一会计期间已经按照相当于金融工具整个存续期内预期信用损失的金额计量了损失准备，但在当期资产负债表日，该金融工具已不再属于自初始确认后信用风险显著增加的情形的，本公司在当期资产负债表日按照相当于未来</w:t>
      </w:r>
      <w:r>
        <w:rPr>
          <w:sz w:val="21"/>
          <w:szCs w:val="21"/>
        </w:rPr>
        <w:t>12</w:t>
      </w:r>
      <w:r>
        <w:rPr>
          <w:sz w:val="21"/>
          <w:szCs w:val="21"/>
        </w:rPr>
        <w:t>个月内预期信用损失的金额计量该金融工具的损失准备，由此形成的损失准备的转回金额作为减值利得计入当期损益。</w:t>
      </w:r>
    </w:p>
    <w:p w:rsidR="00E20B54" w:rsidRDefault="00733C9E" w:rsidP="00C57489">
      <w:pPr>
        <w:pStyle w:val="a3"/>
        <w:widowControl/>
        <w:spacing w:beforeLines="50" w:before="156" w:beforeAutospacing="0" w:after="10" w:afterAutospacing="0"/>
        <w:ind w:firstLine="420"/>
        <w:jc w:val="both"/>
        <w:rPr>
          <w:sz w:val="21"/>
          <w:szCs w:val="21"/>
        </w:rPr>
      </w:pPr>
      <w:r>
        <w:rPr>
          <w:sz w:val="21"/>
          <w:szCs w:val="21"/>
        </w:rPr>
        <w:t>11.2.1</w:t>
      </w:r>
      <w:r>
        <w:rPr>
          <w:sz w:val="21"/>
          <w:szCs w:val="21"/>
        </w:rPr>
        <w:t>信用风险显著增加</w:t>
      </w:r>
    </w:p>
    <w:p w:rsidR="00E20B54" w:rsidRDefault="00733C9E" w:rsidP="00C57489">
      <w:pPr>
        <w:pStyle w:val="a3"/>
        <w:widowControl/>
        <w:spacing w:beforeLines="50" w:before="156" w:beforeAutospacing="0" w:after="10" w:afterAutospacing="0"/>
        <w:ind w:firstLine="420"/>
        <w:jc w:val="both"/>
        <w:rPr>
          <w:sz w:val="21"/>
          <w:szCs w:val="21"/>
        </w:rPr>
      </w:pPr>
      <w:r>
        <w:rPr>
          <w:sz w:val="21"/>
          <w:szCs w:val="21"/>
        </w:rPr>
        <w:t>本公司利用可获得的合理且有依据的前瞻性信息，通过比较金融工具在资产负债表日发生违约的风险与在初始确认日发生违约的风险，以确定金融工具的信用风险自初始确认后是否已显著增加。</w:t>
      </w:r>
    </w:p>
    <w:p w:rsidR="00E20B54" w:rsidRDefault="00733C9E" w:rsidP="00C57489">
      <w:pPr>
        <w:pStyle w:val="a3"/>
        <w:widowControl/>
        <w:spacing w:beforeLines="50" w:before="156" w:beforeAutospacing="0" w:after="10" w:afterAutospacing="0"/>
        <w:ind w:firstLine="420"/>
        <w:jc w:val="both"/>
        <w:rPr>
          <w:sz w:val="21"/>
          <w:szCs w:val="21"/>
        </w:rPr>
      </w:pPr>
      <w:r>
        <w:rPr>
          <w:sz w:val="21"/>
          <w:szCs w:val="21"/>
        </w:rPr>
        <w:t>本公司在评估信用风险是否显著增加时会考虑如下因素：本公司判断信用风险显著增加的主要标准为逾期天数超过</w:t>
      </w:r>
      <w:r>
        <w:rPr>
          <w:sz w:val="21"/>
          <w:szCs w:val="21"/>
        </w:rPr>
        <w:t>30</w:t>
      </w:r>
      <w:r>
        <w:rPr>
          <w:sz w:val="21"/>
          <w:szCs w:val="21"/>
        </w:rPr>
        <w:t>日，或者以下一个或多个指标发生显著变化：债务人所处的经营环境、内外部信用评级、实际或预期经营成果的显著变化、担保物价值或担保方信用评级的显著下降等。</w:t>
      </w:r>
    </w:p>
    <w:p w:rsidR="00E20B54" w:rsidRDefault="00733C9E" w:rsidP="00C57489">
      <w:pPr>
        <w:pStyle w:val="a3"/>
        <w:widowControl/>
        <w:spacing w:beforeLines="50" w:before="156" w:beforeAutospacing="0" w:after="10" w:afterAutospacing="0"/>
        <w:ind w:firstLine="420"/>
        <w:jc w:val="both"/>
        <w:rPr>
          <w:sz w:val="21"/>
          <w:szCs w:val="21"/>
        </w:rPr>
      </w:pPr>
      <w:r>
        <w:rPr>
          <w:sz w:val="21"/>
          <w:szCs w:val="21"/>
        </w:rPr>
        <w:t>于资产负债表日，若本公司判断金融工具只具有较低的信用风险的，则假设该金融工具的信用风险自初始确认后并未显著增加。如果金融工具违约风险较低，借款人在短期内履行其合同现金流量义务的能力很强，并且即使较长时间内经济形势和经营环境存在不利变化但未必一定降低借款人履行其合同现金义务，则该金融工具被视为具有较低的信用风险。</w:t>
      </w:r>
    </w:p>
    <w:p w:rsidR="00E20B54" w:rsidRDefault="00733C9E" w:rsidP="00C57489">
      <w:pPr>
        <w:pStyle w:val="a3"/>
        <w:widowControl/>
        <w:spacing w:beforeLines="50" w:before="156" w:beforeAutospacing="0" w:after="10" w:afterAutospacing="0"/>
        <w:ind w:firstLine="420"/>
        <w:jc w:val="both"/>
        <w:rPr>
          <w:sz w:val="21"/>
          <w:szCs w:val="21"/>
        </w:rPr>
      </w:pPr>
      <w:r>
        <w:rPr>
          <w:sz w:val="21"/>
          <w:szCs w:val="21"/>
        </w:rPr>
        <w:t>11.2.2</w:t>
      </w:r>
      <w:r>
        <w:rPr>
          <w:sz w:val="21"/>
          <w:szCs w:val="21"/>
        </w:rPr>
        <w:t>已发生信用减值的金融资产</w:t>
      </w:r>
    </w:p>
    <w:p w:rsidR="00E20B54" w:rsidRDefault="00733C9E" w:rsidP="00C57489">
      <w:pPr>
        <w:pStyle w:val="a3"/>
        <w:widowControl/>
        <w:spacing w:beforeLines="50" w:before="156" w:beforeAutospacing="0" w:after="10" w:afterAutospacing="0"/>
        <w:ind w:firstLine="420"/>
        <w:jc w:val="both"/>
        <w:rPr>
          <w:sz w:val="21"/>
          <w:szCs w:val="21"/>
        </w:rPr>
      </w:pPr>
      <w:r>
        <w:rPr>
          <w:sz w:val="21"/>
          <w:szCs w:val="21"/>
        </w:rPr>
        <w:t>当本公司预期对金融资产未来现金流量具有不利影响的一项或多项事件发生时，该金融资产成为已发生信用减值的金融资产。金融资产已发生信用减值的证据包括下列可观察信息：</w:t>
      </w:r>
      <w:r>
        <w:rPr>
          <w:sz w:val="21"/>
          <w:szCs w:val="21"/>
        </w:rPr>
        <w:t>①</w:t>
      </w:r>
      <w:r>
        <w:rPr>
          <w:sz w:val="21"/>
          <w:szCs w:val="21"/>
        </w:rPr>
        <w:t>发行方或债务人发生重大财务困难；</w:t>
      </w:r>
      <w:r>
        <w:rPr>
          <w:sz w:val="21"/>
          <w:szCs w:val="21"/>
        </w:rPr>
        <w:t>②</w:t>
      </w:r>
      <w:r>
        <w:rPr>
          <w:sz w:val="21"/>
          <w:szCs w:val="21"/>
        </w:rPr>
        <w:t>债务人违反合同，如偿付利息或本金违约或逾期等；</w:t>
      </w:r>
      <w:r>
        <w:rPr>
          <w:sz w:val="21"/>
          <w:szCs w:val="21"/>
        </w:rPr>
        <w:t>③</w:t>
      </w:r>
      <w:r>
        <w:rPr>
          <w:sz w:val="21"/>
          <w:szCs w:val="21"/>
        </w:rPr>
        <w:t>债权人出于与债务人财务困难有关的经济或合同考虑，给予债务人在任何其他情况下都不会做出的让步；</w:t>
      </w:r>
      <w:r>
        <w:rPr>
          <w:sz w:val="21"/>
          <w:szCs w:val="21"/>
        </w:rPr>
        <w:t>④</w:t>
      </w:r>
      <w:r>
        <w:rPr>
          <w:sz w:val="21"/>
          <w:szCs w:val="21"/>
        </w:rPr>
        <w:t>债务人很可能破产或进行其他财务重组；</w:t>
      </w:r>
      <w:r>
        <w:rPr>
          <w:sz w:val="21"/>
          <w:szCs w:val="21"/>
        </w:rPr>
        <w:t>⑤</w:t>
      </w:r>
      <w:r>
        <w:rPr>
          <w:sz w:val="21"/>
          <w:szCs w:val="21"/>
        </w:rPr>
        <w:t>发行方或债务人财务困难导致该金融资产的活跃市场消失；</w:t>
      </w:r>
      <w:r>
        <w:rPr>
          <w:sz w:val="21"/>
          <w:szCs w:val="21"/>
        </w:rPr>
        <w:t>⑥</w:t>
      </w:r>
      <w:r>
        <w:rPr>
          <w:sz w:val="21"/>
          <w:szCs w:val="21"/>
        </w:rPr>
        <w:t>以大幅折扣购买或源生一项金融资产，该折扣反映了发生信用损失的事实。</w:t>
      </w:r>
    </w:p>
    <w:p w:rsidR="00E20B54" w:rsidRDefault="00733C9E" w:rsidP="00C57489">
      <w:pPr>
        <w:pStyle w:val="a3"/>
        <w:widowControl/>
        <w:spacing w:beforeLines="50" w:before="156" w:beforeAutospacing="0" w:after="10" w:afterAutospacing="0"/>
        <w:ind w:firstLine="420"/>
        <w:jc w:val="both"/>
        <w:rPr>
          <w:sz w:val="21"/>
          <w:szCs w:val="21"/>
        </w:rPr>
      </w:pPr>
      <w:r>
        <w:rPr>
          <w:sz w:val="21"/>
          <w:szCs w:val="21"/>
        </w:rPr>
        <w:t>当一项金融工具逾期超过（含）</w:t>
      </w:r>
      <w:r>
        <w:rPr>
          <w:sz w:val="21"/>
          <w:szCs w:val="21"/>
        </w:rPr>
        <w:t>90</w:t>
      </w:r>
      <w:r>
        <w:rPr>
          <w:sz w:val="21"/>
          <w:szCs w:val="21"/>
        </w:rPr>
        <w:t>日，本公司推定该金融工具已发生违约。</w:t>
      </w:r>
    </w:p>
    <w:p w:rsidR="00E20B54" w:rsidRDefault="00733C9E" w:rsidP="00C57489">
      <w:pPr>
        <w:pStyle w:val="a3"/>
        <w:widowControl/>
        <w:spacing w:beforeLines="50" w:before="156" w:beforeAutospacing="0" w:after="10" w:afterAutospacing="0"/>
        <w:ind w:firstLine="420"/>
        <w:jc w:val="both"/>
        <w:rPr>
          <w:sz w:val="21"/>
          <w:szCs w:val="21"/>
        </w:rPr>
      </w:pPr>
      <w:r>
        <w:rPr>
          <w:rStyle w:val="a4"/>
          <w:bCs/>
          <w:sz w:val="21"/>
          <w:szCs w:val="21"/>
        </w:rPr>
        <w:t>11.3</w:t>
      </w:r>
      <w:r>
        <w:rPr>
          <w:rStyle w:val="a4"/>
          <w:bCs/>
          <w:sz w:val="21"/>
          <w:szCs w:val="21"/>
        </w:rPr>
        <w:t>金融资产转移确认依据和计量</w:t>
      </w:r>
    </w:p>
    <w:p w:rsidR="00E20B54" w:rsidRDefault="00733C9E" w:rsidP="00C57489">
      <w:pPr>
        <w:pStyle w:val="a3"/>
        <w:widowControl/>
        <w:spacing w:beforeLines="50" w:before="156" w:beforeAutospacing="0" w:after="10" w:afterAutospacing="0"/>
        <w:ind w:firstLine="420"/>
        <w:jc w:val="both"/>
        <w:rPr>
          <w:sz w:val="21"/>
          <w:szCs w:val="21"/>
        </w:rPr>
      </w:pPr>
      <w:r>
        <w:rPr>
          <w:sz w:val="21"/>
          <w:szCs w:val="21"/>
        </w:rPr>
        <w:t>金融资产满足下列条件之一的，本公司予以终止对该项金融资产的确认：收取该金融资产现金流量的合同权利终止；该金融资产已转移，且本公司将金融资产所有权上几乎所有的风险和报酬转移给转入方；该金融资产已转移，虽然本公司既没有转移也没有保留金融资产所有权上几乎所有的风险和报酬，但是放弃了对该金融资产控制。</w:t>
      </w:r>
    </w:p>
    <w:p w:rsidR="00E20B54" w:rsidRDefault="00733C9E" w:rsidP="00C57489">
      <w:pPr>
        <w:pStyle w:val="a3"/>
        <w:widowControl/>
        <w:spacing w:beforeLines="50" w:before="156" w:beforeAutospacing="0" w:after="10" w:afterAutospacing="0"/>
        <w:ind w:firstLine="420"/>
        <w:jc w:val="both"/>
        <w:rPr>
          <w:sz w:val="21"/>
          <w:szCs w:val="21"/>
        </w:rPr>
      </w:pPr>
      <w:r>
        <w:rPr>
          <w:sz w:val="21"/>
          <w:szCs w:val="21"/>
        </w:rPr>
        <w:lastRenderedPageBreak/>
        <w:t>本公司的金融资产部分转移满足终止确认条件的，将所转移金融资产整体的账面价值，在终止确认部分和未终止确认部分之间按照转移日各自相对的公允价值进行分摊，并将终止确认部分收到的对价与原计入其他综合收益的公允价值变动累计额中对应终止确认部分的金额之和与终止确认部分在终止确认日的账面价值之差额计入当期损益或留存收益。</w:t>
      </w:r>
    </w:p>
    <w:p w:rsidR="00E20B54" w:rsidRDefault="00733C9E" w:rsidP="00C57489">
      <w:pPr>
        <w:pStyle w:val="a3"/>
        <w:widowControl/>
        <w:spacing w:beforeLines="50" w:before="156" w:beforeAutospacing="0" w:after="10" w:afterAutospacing="0"/>
        <w:ind w:firstLine="420"/>
        <w:jc w:val="both"/>
        <w:rPr>
          <w:sz w:val="21"/>
          <w:szCs w:val="21"/>
        </w:rPr>
      </w:pPr>
      <w:r>
        <w:rPr>
          <w:sz w:val="21"/>
          <w:szCs w:val="21"/>
        </w:rPr>
        <w:t>若本公司既没有转移也没有保留金融资产所有权上几乎所有的风险和报酬，且未放弃对该金融资产的控制的，则按照继续涉入所转移金融资产的程度确认有关金融资产，并相应确认有关负债。</w:t>
      </w:r>
    </w:p>
    <w:p w:rsidR="00E20B54" w:rsidRDefault="00733C9E" w:rsidP="00C57489">
      <w:pPr>
        <w:pStyle w:val="a3"/>
        <w:widowControl/>
        <w:spacing w:beforeLines="50" w:before="156" w:beforeAutospacing="0" w:after="10" w:afterAutospacing="0"/>
        <w:ind w:firstLine="420"/>
        <w:jc w:val="both"/>
        <w:rPr>
          <w:sz w:val="21"/>
          <w:szCs w:val="21"/>
        </w:rPr>
      </w:pPr>
      <w:r>
        <w:rPr>
          <w:sz w:val="21"/>
          <w:szCs w:val="21"/>
        </w:rPr>
        <w:t>被转移金融资产以摊余成本计量的，相关负债的账面价值等于继续涉入被转移金融资产的账面价值减去本公司保留的权利（如果本公司因金融资产转移保留了相关权利）的摊余成本并加上本公司承担的义务（如果本公司因金融资产转移承担了相关义务）的摊余成本，相关负债不指定为以公允价值计量且其变动计入当期损益的金融负债；</w:t>
      </w:r>
    </w:p>
    <w:p w:rsidR="00E20B54" w:rsidRDefault="00733C9E" w:rsidP="00C57489">
      <w:pPr>
        <w:pStyle w:val="a3"/>
        <w:widowControl/>
        <w:spacing w:beforeLines="50" w:before="156" w:beforeAutospacing="0" w:after="10" w:afterAutospacing="0"/>
        <w:ind w:firstLine="420"/>
        <w:jc w:val="both"/>
        <w:rPr>
          <w:sz w:val="21"/>
          <w:szCs w:val="21"/>
        </w:rPr>
      </w:pPr>
      <w:r>
        <w:rPr>
          <w:sz w:val="21"/>
          <w:szCs w:val="21"/>
        </w:rPr>
        <w:t>被转移金融资产以公允价值计量的，相关负债的账面价值等于继续涉入被转移金融资产的账面价值减去本公司保留的权利（如果本公司因金融资产转移保留了相关权利）的公允价值并加上本公司承担的义务（如果本公司因金融资产转移承担了相关义务）的公允价值，该权利和义务的公允价值应为按独立基础计量时的公允价值。</w:t>
      </w:r>
    </w:p>
    <w:p w:rsidR="00E20B54" w:rsidRDefault="00733C9E" w:rsidP="00C57489">
      <w:pPr>
        <w:pStyle w:val="a3"/>
        <w:widowControl/>
        <w:spacing w:beforeLines="50" w:before="156" w:beforeAutospacing="0" w:after="10" w:afterAutospacing="0"/>
        <w:ind w:firstLine="420"/>
        <w:jc w:val="both"/>
        <w:rPr>
          <w:sz w:val="21"/>
          <w:szCs w:val="21"/>
        </w:rPr>
      </w:pPr>
      <w:r>
        <w:rPr>
          <w:sz w:val="21"/>
          <w:szCs w:val="21"/>
        </w:rPr>
        <w:t>金融资产转移不满足终止确认条件的，继续确认所转移金融资产整体，并将所收到的对价确认为一项金融负债。</w:t>
      </w:r>
    </w:p>
    <w:p w:rsidR="00E20B54" w:rsidRDefault="00733C9E" w:rsidP="00C57489">
      <w:pPr>
        <w:pStyle w:val="a3"/>
        <w:widowControl/>
        <w:spacing w:beforeLines="50" w:before="156" w:beforeAutospacing="0" w:after="10" w:afterAutospacing="0"/>
        <w:ind w:firstLine="420"/>
        <w:jc w:val="both"/>
        <w:rPr>
          <w:sz w:val="21"/>
          <w:szCs w:val="21"/>
        </w:rPr>
      </w:pPr>
      <w:r>
        <w:rPr>
          <w:sz w:val="21"/>
          <w:szCs w:val="21"/>
        </w:rPr>
        <w:t>对于继续涉入条件下的金融资产转移，本公司根据继续涉入所转移金融资产的程度确认有关金融资产和金融负债，以充分反映本公司所保留的权利和承担的义务。</w:t>
      </w:r>
    </w:p>
    <w:p w:rsidR="00E20B54" w:rsidRDefault="00733C9E" w:rsidP="00C57489">
      <w:pPr>
        <w:pStyle w:val="a3"/>
        <w:widowControl/>
        <w:spacing w:beforeLines="50" w:before="156" w:beforeAutospacing="0" w:after="10" w:afterAutospacing="0"/>
        <w:ind w:firstLine="420"/>
        <w:jc w:val="both"/>
        <w:rPr>
          <w:sz w:val="21"/>
          <w:szCs w:val="21"/>
        </w:rPr>
      </w:pPr>
      <w:r>
        <w:rPr>
          <w:rStyle w:val="a4"/>
          <w:bCs/>
          <w:sz w:val="21"/>
          <w:szCs w:val="21"/>
        </w:rPr>
        <w:t>11.4</w:t>
      </w:r>
      <w:r>
        <w:rPr>
          <w:rStyle w:val="a4"/>
          <w:bCs/>
          <w:sz w:val="21"/>
          <w:szCs w:val="21"/>
        </w:rPr>
        <w:t>金融负债的分类和计量</w:t>
      </w:r>
    </w:p>
    <w:p w:rsidR="00E20B54" w:rsidRDefault="00733C9E" w:rsidP="00C57489">
      <w:pPr>
        <w:pStyle w:val="a3"/>
        <w:widowControl/>
        <w:spacing w:beforeLines="50" w:before="156" w:beforeAutospacing="0" w:after="10" w:afterAutospacing="0"/>
        <w:ind w:firstLine="420"/>
        <w:jc w:val="both"/>
        <w:rPr>
          <w:sz w:val="21"/>
          <w:szCs w:val="21"/>
        </w:rPr>
      </w:pPr>
      <w:r>
        <w:rPr>
          <w:sz w:val="21"/>
          <w:szCs w:val="21"/>
        </w:rPr>
        <w:t>本公司的金融负债于初始确认时分类为以公允价值计量且其变动计入当期损益的金融负债和以摊余成本计量的金融负债。金融负债在初始确认时以公允价值计量。</w:t>
      </w:r>
    </w:p>
    <w:p w:rsidR="00E20B54" w:rsidRDefault="00733C9E" w:rsidP="00C57489">
      <w:pPr>
        <w:pStyle w:val="a3"/>
        <w:widowControl/>
        <w:spacing w:beforeLines="50" w:before="156" w:beforeAutospacing="0" w:after="10" w:afterAutospacing="0"/>
        <w:ind w:firstLine="420"/>
        <w:jc w:val="both"/>
        <w:rPr>
          <w:sz w:val="21"/>
          <w:szCs w:val="21"/>
        </w:rPr>
      </w:pPr>
      <w:r>
        <w:rPr>
          <w:sz w:val="21"/>
          <w:szCs w:val="21"/>
        </w:rPr>
        <w:t>以公允价值计量且其变动计入当期损益的金融负债，包括交易性金融负债（含属于金融负债的衍生工具）和指定为以公允价值计量且其变动计入当期损益的金融负债。该类金融负债以公允价值计量，公允价值变动形成的利得或损失，计入当期损益。</w:t>
      </w:r>
    </w:p>
    <w:p w:rsidR="00E20B54" w:rsidRDefault="00733C9E" w:rsidP="00C57489">
      <w:pPr>
        <w:pStyle w:val="a3"/>
        <w:widowControl/>
        <w:spacing w:beforeLines="50" w:before="156" w:beforeAutospacing="0" w:after="10" w:afterAutospacing="0"/>
        <w:ind w:firstLine="420"/>
        <w:jc w:val="both"/>
        <w:rPr>
          <w:sz w:val="21"/>
          <w:szCs w:val="21"/>
        </w:rPr>
      </w:pPr>
      <w:r>
        <w:rPr>
          <w:sz w:val="21"/>
          <w:szCs w:val="21"/>
        </w:rPr>
        <w:t>以摊余成本计量的金融负债，采用实际利率法，按摊余成本进行后续计量。</w:t>
      </w:r>
    </w:p>
    <w:p w:rsidR="00E20B54" w:rsidRDefault="00733C9E" w:rsidP="00C57489">
      <w:pPr>
        <w:pStyle w:val="a3"/>
        <w:widowControl/>
        <w:spacing w:beforeLines="50" w:before="156" w:beforeAutospacing="0" w:after="10" w:afterAutospacing="0"/>
        <w:ind w:firstLine="420"/>
        <w:jc w:val="both"/>
        <w:rPr>
          <w:sz w:val="21"/>
          <w:szCs w:val="21"/>
        </w:rPr>
      </w:pPr>
      <w:r>
        <w:rPr>
          <w:sz w:val="21"/>
          <w:szCs w:val="21"/>
        </w:rPr>
        <w:t>本公司金融负债的现时义务全部或部分已经解除的，终止确认该金融负债或其一部分。本公司与债权人之间签订协议，以承担新金融负债方式替换现存金融负债，且新金融负债与现存金融负债的合同条款实质上不同的，终止确认现存金融负债，并同时确认新金融负债。</w:t>
      </w:r>
    </w:p>
    <w:p w:rsidR="00E20B54" w:rsidRDefault="00733C9E" w:rsidP="00C57489">
      <w:pPr>
        <w:pStyle w:val="a3"/>
        <w:widowControl/>
        <w:spacing w:beforeLines="50" w:before="156" w:beforeAutospacing="0" w:after="10" w:afterAutospacing="0"/>
        <w:ind w:firstLine="420"/>
        <w:jc w:val="both"/>
        <w:rPr>
          <w:sz w:val="21"/>
          <w:szCs w:val="21"/>
        </w:rPr>
      </w:pPr>
      <w:r>
        <w:rPr>
          <w:sz w:val="21"/>
          <w:szCs w:val="21"/>
        </w:rPr>
        <w:t>金融负债全部或部分终止确认的，将终止确认部分的账面价值与支付的对价（包括转出的非现金资产或承担的新金融负债）之间的差额，计入当期损益。</w:t>
      </w:r>
    </w:p>
    <w:p w:rsidR="00E20B54" w:rsidRDefault="00733C9E" w:rsidP="00C57489">
      <w:pPr>
        <w:pStyle w:val="a3"/>
        <w:widowControl/>
        <w:spacing w:beforeLines="50" w:before="156" w:beforeAutospacing="0" w:after="10" w:afterAutospacing="0"/>
        <w:ind w:firstLine="420"/>
        <w:jc w:val="both"/>
        <w:rPr>
          <w:sz w:val="21"/>
          <w:szCs w:val="21"/>
        </w:rPr>
      </w:pPr>
      <w:r>
        <w:rPr>
          <w:rStyle w:val="a4"/>
          <w:bCs/>
          <w:sz w:val="21"/>
          <w:szCs w:val="21"/>
        </w:rPr>
        <w:t>11.5</w:t>
      </w:r>
      <w:r>
        <w:rPr>
          <w:rStyle w:val="a4"/>
          <w:bCs/>
          <w:sz w:val="21"/>
          <w:szCs w:val="21"/>
        </w:rPr>
        <w:t>金融负债的终止确认</w:t>
      </w:r>
    </w:p>
    <w:p w:rsidR="00E20B54" w:rsidRDefault="00733C9E" w:rsidP="00C57489">
      <w:pPr>
        <w:pStyle w:val="a3"/>
        <w:widowControl/>
        <w:spacing w:beforeLines="50" w:before="156" w:beforeAutospacing="0" w:after="10" w:afterAutospacing="0"/>
        <w:ind w:firstLine="420"/>
        <w:jc w:val="both"/>
        <w:rPr>
          <w:sz w:val="21"/>
          <w:szCs w:val="21"/>
        </w:rPr>
      </w:pPr>
      <w:r>
        <w:rPr>
          <w:sz w:val="21"/>
          <w:szCs w:val="21"/>
        </w:rPr>
        <w:t>本公司金融负债的现时义务全部或部分已经解除的，终止确认该金融负债或其一部分。本公司与债权人之间签订协议，以承担新金融负债方式替换现存金融负债，且新金融负债与现存金融负债的合同条款实质上不同的，终止确认现存金融负债，并同时确认新金融负债。</w:t>
      </w:r>
    </w:p>
    <w:p w:rsidR="00E20B54" w:rsidRDefault="00733C9E" w:rsidP="00C57489">
      <w:pPr>
        <w:pStyle w:val="a3"/>
        <w:widowControl/>
        <w:spacing w:beforeLines="50" w:before="156" w:beforeAutospacing="0" w:after="10" w:afterAutospacing="0"/>
        <w:ind w:firstLine="420"/>
        <w:jc w:val="both"/>
        <w:rPr>
          <w:sz w:val="21"/>
          <w:szCs w:val="21"/>
        </w:rPr>
      </w:pPr>
      <w:r>
        <w:rPr>
          <w:sz w:val="21"/>
          <w:szCs w:val="21"/>
        </w:rPr>
        <w:t>金融负债全部或部分终止确认的，将终止确认部分的账面价值与支付的对价（包括转出的非现金资产或承担的新金融负债）之间的差额，计入当期损益。</w:t>
      </w:r>
    </w:p>
    <w:p w:rsidR="00E20B54" w:rsidRDefault="00733C9E" w:rsidP="00C57489">
      <w:pPr>
        <w:pStyle w:val="a3"/>
        <w:widowControl/>
        <w:spacing w:beforeLines="50" w:before="156" w:beforeAutospacing="0" w:after="10" w:afterAutospacing="0"/>
        <w:ind w:firstLine="420"/>
        <w:jc w:val="both"/>
        <w:rPr>
          <w:sz w:val="21"/>
          <w:szCs w:val="21"/>
        </w:rPr>
      </w:pPr>
      <w:r>
        <w:rPr>
          <w:rStyle w:val="a4"/>
          <w:bCs/>
          <w:sz w:val="21"/>
          <w:szCs w:val="21"/>
        </w:rPr>
        <w:t>11.6</w:t>
      </w:r>
      <w:r>
        <w:rPr>
          <w:rStyle w:val="a4"/>
          <w:bCs/>
          <w:sz w:val="21"/>
          <w:szCs w:val="21"/>
        </w:rPr>
        <w:t>金融资产和金融负债的抵销</w:t>
      </w:r>
    </w:p>
    <w:p w:rsidR="00E20B54" w:rsidRDefault="00733C9E" w:rsidP="00C57489">
      <w:pPr>
        <w:pStyle w:val="a3"/>
        <w:widowControl/>
        <w:spacing w:beforeLines="50" w:before="156" w:beforeAutospacing="0" w:after="10" w:afterAutospacing="0"/>
        <w:ind w:firstLine="420"/>
        <w:jc w:val="both"/>
        <w:rPr>
          <w:sz w:val="21"/>
          <w:szCs w:val="21"/>
        </w:rPr>
      </w:pPr>
      <w:r>
        <w:rPr>
          <w:sz w:val="21"/>
          <w:szCs w:val="21"/>
        </w:rPr>
        <w:lastRenderedPageBreak/>
        <w:t>金融资产和金融负债在资产负债表内分别列示，不相互抵销。但同时满足下列条件的，以相互抵销后的净额在资产负债表内列示：本公司具有抵销已确认金额的法定权利，且该种法定权利是当前可执行的；本公司计划以净额结算，或同时变现该金融资产和清偿该金融负债。不满足终止确认条件的金融资产转移，转出方不得将已转移的金融资产和相关负债进行抵销。</w:t>
      </w:r>
    </w:p>
    <w:p w:rsidR="00E20B54" w:rsidRDefault="00733C9E" w:rsidP="00C57489">
      <w:pPr>
        <w:pStyle w:val="3"/>
        <w:spacing w:beforeLines="50" w:before="156" w:after="10" w:line="240" w:lineRule="auto"/>
        <w:jc w:val="left"/>
        <w:rPr>
          <w:b/>
          <w:bCs/>
        </w:rPr>
      </w:pPr>
      <w:bookmarkStart w:id="176" w:name="_Toc989064"/>
      <w:r>
        <w:rPr>
          <w:b/>
          <w:bCs/>
        </w:rPr>
        <w:t>12</w:t>
      </w:r>
      <w:r>
        <w:rPr>
          <w:b/>
          <w:bCs/>
        </w:rPr>
        <w:t>、应收票据</w:t>
      </w:r>
      <w:bookmarkEnd w:id="176"/>
    </w:p>
    <w:p w:rsidR="00E20B54" w:rsidRDefault="00733C9E" w:rsidP="00C57489">
      <w:pPr>
        <w:pStyle w:val="a3"/>
        <w:widowControl/>
        <w:spacing w:beforeLines="50" w:before="156" w:beforeAutospacing="0" w:after="10" w:afterAutospacing="0"/>
        <w:ind w:firstLine="420"/>
        <w:jc w:val="both"/>
        <w:rPr>
          <w:sz w:val="21"/>
          <w:szCs w:val="21"/>
        </w:rPr>
      </w:pPr>
      <w:r>
        <w:rPr>
          <w:sz w:val="21"/>
          <w:szCs w:val="21"/>
        </w:rPr>
        <w:t>应收票据项目，反映资产负债表日以摊余成本计量的、企业因销售商品、提供服务等收到的商业汇票，包括银行承兑汇票和商业承兑汇票。</w:t>
      </w:r>
    </w:p>
    <w:p w:rsidR="00E20B54" w:rsidRDefault="00733C9E" w:rsidP="00C57489">
      <w:pPr>
        <w:pStyle w:val="a3"/>
        <w:widowControl/>
        <w:spacing w:beforeLines="50" w:before="156" w:beforeAutospacing="0" w:after="10" w:afterAutospacing="0"/>
        <w:ind w:firstLine="420"/>
        <w:jc w:val="both"/>
        <w:rPr>
          <w:sz w:val="21"/>
          <w:szCs w:val="21"/>
        </w:rPr>
      </w:pPr>
      <w:r>
        <w:rPr>
          <w:rStyle w:val="a4"/>
          <w:bCs/>
          <w:sz w:val="21"/>
          <w:szCs w:val="21"/>
        </w:rPr>
        <w:t xml:space="preserve">12.1 </w:t>
      </w:r>
      <w:r>
        <w:rPr>
          <w:rStyle w:val="a4"/>
          <w:bCs/>
          <w:sz w:val="21"/>
          <w:szCs w:val="21"/>
        </w:rPr>
        <w:t>预期信用损失的确定方法</w:t>
      </w:r>
    </w:p>
    <w:p w:rsidR="00E20B54" w:rsidRDefault="00733C9E" w:rsidP="00C57489">
      <w:pPr>
        <w:pStyle w:val="a3"/>
        <w:widowControl/>
        <w:spacing w:beforeLines="50" w:before="156" w:beforeAutospacing="0" w:after="10" w:afterAutospacing="0"/>
        <w:ind w:firstLine="420"/>
        <w:jc w:val="both"/>
        <w:rPr>
          <w:sz w:val="21"/>
          <w:szCs w:val="21"/>
        </w:rPr>
      </w:pPr>
      <w:r>
        <w:rPr>
          <w:sz w:val="21"/>
          <w:szCs w:val="21"/>
        </w:rPr>
        <w:t>本公司对由收入准则规范的交易形成的应收款项（无论是否包含重大融资成分），按照相当于整个存续期内预期信用损失的金额计量损失准备。</w:t>
      </w:r>
    </w:p>
    <w:p w:rsidR="00E20B54" w:rsidRDefault="00733C9E" w:rsidP="00C57489">
      <w:pPr>
        <w:pStyle w:val="a3"/>
        <w:widowControl/>
        <w:spacing w:beforeLines="50" w:before="156" w:beforeAutospacing="0" w:after="10" w:afterAutospacing="0"/>
        <w:ind w:firstLine="420"/>
        <w:jc w:val="both"/>
        <w:rPr>
          <w:sz w:val="21"/>
          <w:szCs w:val="21"/>
        </w:rPr>
      </w:pPr>
      <w:r>
        <w:rPr>
          <w:sz w:val="21"/>
          <w:szCs w:val="21"/>
        </w:rPr>
        <w:t>本公司基于单项和组合评估应收款项的预期信用损失。如果有客观证据表明某项应收款项已经发生信用减值，则本公司对该应收款项在单项资产的基础上确定预期信用损失。对于划分为组合的应收款项，本公司参考历史信用损失经验，结合当前状况以及对未来经济状况的预测，通过违约风险敞口和整个存续期预期信用损失率，计算预期信用损失。</w:t>
      </w:r>
    </w:p>
    <w:p w:rsidR="00E20B54" w:rsidRDefault="00733C9E">
      <w:pPr>
        <w:pStyle w:val="a3"/>
        <w:widowControl/>
        <w:spacing w:beforeAutospacing="0" w:afterAutospacing="0" w:line="360" w:lineRule="auto"/>
        <w:ind w:firstLine="420"/>
        <w:jc w:val="both"/>
        <w:rPr>
          <w:sz w:val="21"/>
          <w:szCs w:val="21"/>
        </w:rPr>
      </w:pPr>
      <w:r>
        <w:rPr>
          <w:sz w:val="21"/>
          <w:szCs w:val="21"/>
        </w:rPr>
        <w:t>基于应收票据的信用风险特征，将其划分为不同组合：</w:t>
      </w:r>
    </w:p>
    <w:tbl>
      <w:tblPr>
        <w:tblW w:w="4882" w:type="pct"/>
        <w:jc w:val="center"/>
        <w:tblBorders>
          <w:top w:val="none" w:sz="6" w:space="0" w:color="auto"/>
          <w:left w:val="none" w:sz="6" w:space="0" w:color="auto"/>
          <w:bottom w:val="none" w:sz="6" w:space="0" w:color="auto"/>
          <w:right w:val="none" w:sz="6" w:space="0" w:color="auto"/>
          <w:insideH w:val="outset" w:sz="6" w:space="0" w:color="auto"/>
          <w:insideV w:val="outset" w:sz="6" w:space="0" w:color="auto"/>
        </w:tblBorders>
        <w:tblCellMar>
          <w:top w:w="15" w:type="dxa"/>
          <w:left w:w="15" w:type="dxa"/>
          <w:bottom w:w="15" w:type="dxa"/>
          <w:right w:w="15" w:type="dxa"/>
        </w:tblCellMar>
        <w:tblLook w:val="04A0" w:firstRow="1" w:lastRow="0" w:firstColumn="1" w:lastColumn="0" w:noHBand="0" w:noVBand="1"/>
      </w:tblPr>
      <w:tblGrid>
        <w:gridCol w:w="3400"/>
        <w:gridCol w:w="6220"/>
      </w:tblGrid>
      <w:tr w:rsidR="00E20B54">
        <w:trPr>
          <w:trHeight w:val="170"/>
          <w:jc w:val="center"/>
        </w:trPr>
        <w:tc>
          <w:tcPr>
            <w:tcW w:w="1767" w:type="pct"/>
            <w:tcBorders>
              <w:top w:val="single" w:sz="8" w:space="0" w:color="auto"/>
              <w:left w:val="single" w:sz="8" w:space="0" w:color="auto"/>
              <w:bottom w:val="single" w:sz="8" w:space="0" w:color="auto"/>
              <w:right w:val="single" w:sz="8" w:space="0" w:color="auto"/>
            </w:tcBorders>
            <w:shd w:val="clear" w:color="auto" w:fill="D8D8D8" w:themeFill="background1" w:themeFillShade="D8"/>
            <w:tcMar>
              <w:top w:w="0" w:type="dxa"/>
              <w:left w:w="108" w:type="dxa"/>
              <w:bottom w:w="0" w:type="dxa"/>
              <w:right w:w="108" w:type="dxa"/>
            </w:tcMar>
            <w:vAlign w:val="center"/>
          </w:tcPr>
          <w:p w:rsidR="00E20B54" w:rsidRDefault="00733C9E">
            <w:pPr>
              <w:pStyle w:val="a3"/>
              <w:widowControl/>
              <w:spacing w:beforeAutospacing="0" w:afterAutospacing="0"/>
              <w:jc w:val="center"/>
              <w:rPr>
                <w:sz w:val="18"/>
                <w:szCs w:val="18"/>
              </w:rPr>
            </w:pPr>
            <w:r>
              <w:rPr>
                <w:sz w:val="18"/>
                <w:szCs w:val="18"/>
              </w:rPr>
              <w:t>组合名称</w:t>
            </w:r>
          </w:p>
        </w:tc>
        <w:tc>
          <w:tcPr>
            <w:tcW w:w="3232" w:type="pct"/>
            <w:tcBorders>
              <w:top w:val="single" w:sz="8" w:space="0" w:color="auto"/>
              <w:left w:val="nil"/>
              <w:bottom w:val="single" w:sz="8" w:space="0" w:color="auto"/>
              <w:right w:val="single" w:sz="8" w:space="0" w:color="auto"/>
            </w:tcBorders>
            <w:shd w:val="clear" w:color="auto" w:fill="D8D8D8" w:themeFill="background1" w:themeFillShade="D8"/>
            <w:tcMar>
              <w:top w:w="0" w:type="dxa"/>
              <w:left w:w="108" w:type="dxa"/>
              <w:bottom w:w="0" w:type="dxa"/>
              <w:right w:w="108" w:type="dxa"/>
            </w:tcMar>
          </w:tcPr>
          <w:p w:rsidR="00E20B54" w:rsidRDefault="00733C9E">
            <w:pPr>
              <w:pStyle w:val="a3"/>
              <w:widowControl/>
              <w:spacing w:beforeAutospacing="0" w:afterAutospacing="0"/>
              <w:jc w:val="center"/>
              <w:rPr>
                <w:sz w:val="18"/>
                <w:szCs w:val="18"/>
              </w:rPr>
            </w:pPr>
            <w:r>
              <w:rPr>
                <w:sz w:val="18"/>
                <w:szCs w:val="18"/>
              </w:rPr>
              <w:t>确定依据</w:t>
            </w:r>
          </w:p>
        </w:tc>
      </w:tr>
      <w:tr w:rsidR="00E20B54">
        <w:trPr>
          <w:trHeight w:val="170"/>
          <w:jc w:val="center"/>
        </w:trPr>
        <w:tc>
          <w:tcPr>
            <w:tcW w:w="1767" w:type="pct"/>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tcPr>
          <w:p w:rsidR="00E20B54" w:rsidRDefault="00733C9E">
            <w:pPr>
              <w:pStyle w:val="a3"/>
              <w:widowControl/>
              <w:spacing w:beforeAutospacing="0" w:afterAutospacing="0"/>
              <w:rPr>
                <w:sz w:val="18"/>
                <w:szCs w:val="18"/>
              </w:rPr>
            </w:pPr>
            <w:r>
              <w:rPr>
                <w:sz w:val="18"/>
                <w:szCs w:val="18"/>
              </w:rPr>
              <w:t>应收票据组合</w:t>
            </w:r>
            <w:r>
              <w:rPr>
                <w:sz w:val="18"/>
                <w:szCs w:val="18"/>
              </w:rPr>
              <w:t>1</w:t>
            </w:r>
          </w:p>
        </w:tc>
        <w:tc>
          <w:tcPr>
            <w:tcW w:w="3232" w:type="pct"/>
            <w:tcBorders>
              <w:top w:val="nil"/>
              <w:left w:val="nil"/>
              <w:bottom w:val="single" w:sz="8" w:space="0" w:color="auto"/>
              <w:right w:val="single" w:sz="8" w:space="0" w:color="auto"/>
            </w:tcBorders>
            <w:shd w:val="clear" w:color="auto" w:fill="auto"/>
            <w:tcMar>
              <w:top w:w="0" w:type="dxa"/>
              <w:left w:w="108" w:type="dxa"/>
              <w:bottom w:w="0" w:type="dxa"/>
              <w:right w:w="108" w:type="dxa"/>
            </w:tcMar>
          </w:tcPr>
          <w:p w:rsidR="00E20B54" w:rsidRDefault="00733C9E">
            <w:pPr>
              <w:pStyle w:val="a3"/>
              <w:widowControl/>
              <w:spacing w:beforeAutospacing="0" w:afterAutospacing="0"/>
              <w:rPr>
                <w:sz w:val="18"/>
                <w:szCs w:val="18"/>
              </w:rPr>
            </w:pPr>
            <w:r>
              <w:rPr>
                <w:sz w:val="18"/>
                <w:szCs w:val="18"/>
              </w:rPr>
              <w:t>本组合为信用等级较高银行承兑的银行承兑汇票</w:t>
            </w:r>
          </w:p>
        </w:tc>
      </w:tr>
      <w:tr w:rsidR="00E20B54">
        <w:trPr>
          <w:trHeight w:val="170"/>
          <w:jc w:val="center"/>
        </w:trPr>
        <w:tc>
          <w:tcPr>
            <w:tcW w:w="1767" w:type="pct"/>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tcPr>
          <w:p w:rsidR="00E20B54" w:rsidRDefault="00733C9E">
            <w:pPr>
              <w:pStyle w:val="a3"/>
              <w:widowControl/>
              <w:spacing w:beforeAutospacing="0" w:afterAutospacing="0"/>
              <w:rPr>
                <w:sz w:val="18"/>
                <w:szCs w:val="18"/>
              </w:rPr>
            </w:pPr>
            <w:r>
              <w:rPr>
                <w:sz w:val="18"/>
                <w:szCs w:val="18"/>
              </w:rPr>
              <w:t>应收票据组合</w:t>
            </w:r>
            <w:r>
              <w:rPr>
                <w:sz w:val="18"/>
                <w:szCs w:val="18"/>
              </w:rPr>
              <w:t>2</w:t>
            </w:r>
          </w:p>
        </w:tc>
        <w:tc>
          <w:tcPr>
            <w:tcW w:w="3232" w:type="pct"/>
            <w:tcBorders>
              <w:top w:val="nil"/>
              <w:left w:val="nil"/>
              <w:bottom w:val="single" w:sz="8" w:space="0" w:color="auto"/>
              <w:right w:val="single" w:sz="8" w:space="0" w:color="auto"/>
            </w:tcBorders>
            <w:shd w:val="clear" w:color="auto" w:fill="auto"/>
            <w:tcMar>
              <w:top w:w="0" w:type="dxa"/>
              <w:left w:w="108" w:type="dxa"/>
              <w:bottom w:w="0" w:type="dxa"/>
              <w:right w:w="108" w:type="dxa"/>
            </w:tcMar>
          </w:tcPr>
          <w:p w:rsidR="00E20B54" w:rsidRDefault="00733C9E">
            <w:pPr>
              <w:pStyle w:val="a3"/>
              <w:widowControl/>
              <w:spacing w:beforeAutospacing="0" w:afterAutospacing="0"/>
              <w:rPr>
                <w:sz w:val="18"/>
                <w:szCs w:val="18"/>
              </w:rPr>
            </w:pPr>
            <w:r>
              <w:rPr>
                <w:sz w:val="18"/>
                <w:szCs w:val="18"/>
              </w:rPr>
              <w:t>本组合为信用等级一般银行承兑的银行承兑汇票以及商业承兑汇票</w:t>
            </w:r>
          </w:p>
        </w:tc>
      </w:tr>
    </w:tbl>
    <w:p w:rsidR="00E20B54" w:rsidRDefault="00733C9E" w:rsidP="00C57489">
      <w:pPr>
        <w:pStyle w:val="a3"/>
        <w:widowControl/>
        <w:spacing w:beforeLines="50" w:before="156" w:beforeAutospacing="0" w:after="10" w:afterAutospacing="0"/>
        <w:ind w:firstLine="420"/>
        <w:jc w:val="both"/>
        <w:rPr>
          <w:sz w:val="21"/>
          <w:szCs w:val="21"/>
        </w:rPr>
      </w:pPr>
      <w:r>
        <w:rPr>
          <w:sz w:val="21"/>
          <w:szCs w:val="21"/>
        </w:rPr>
        <w:t>注：信用等级较高银行是指信用等级较高的</w:t>
      </w:r>
      <w:r>
        <w:rPr>
          <w:sz w:val="21"/>
          <w:szCs w:val="21"/>
        </w:rPr>
        <w:t>6</w:t>
      </w:r>
      <w:r>
        <w:rPr>
          <w:sz w:val="21"/>
          <w:szCs w:val="21"/>
        </w:rPr>
        <w:t>家大型商业银行和</w:t>
      </w:r>
      <w:r>
        <w:rPr>
          <w:sz w:val="21"/>
          <w:szCs w:val="21"/>
        </w:rPr>
        <w:t>9</w:t>
      </w:r>
      <w:r>
        <w:rPr>
          <w:sz w:val="21"/>
          <w:szCs w:val="21"/>
        </w:rPr>
        <w:t>家上市股份制商业银行。</w:t>
      </w:r>
      <w:r>
        <w:rPr>
          <w:sz w:val="21"/>
          <w:szCs w:val="21"/>
        </w:rPr>
        <w:t>6</w:t>
      </w:r>
      <w:r>
        <w:rPr>
          <w:sz w:val="21"/>
          <w:szCs w:val="21"/>
        </w:rPr>
        <w:t>家大型商业银行分别为中国银行、中国农业银行、中国建设银行、中国工商银行、中国邮政储蓄银行、交通银行，</w:t>
      </w:r>
      <w:r>
        <w:rPr>
          <w:sz w:val="21"/>
          <w:szCs w:val="21"/>
        </w:rPr>
        <w:t xml:space="preserve">9 </w:t>
      </w:r>
      <w:r>
        <w:rPr>
          <w:sz w:val="21"/>
          <w:szCs w:val="21"/>
        </w:rPr>
        <w:t>家上市股份制商业银行分别为招商银行、浦发银行、中信银行、中国光大银行、华夏银行、中国民生银行、平安银行、兴业银行、浙商银行。上述银行信用良好，拥有国资背景或为上市银行，资金实力雄厚，经营情况良好，根据银行主体评级情况，上述银行主体评级均达到</w:t>
      </w:r>
      <w:r>
        <w:rPr>
          <w:sz w:val="21"/>
          <w:szCs w:val="21"/>
        </w:rPr>
        <w:t xml:space="preserve"> AAA </w:t>
      </w:r>
      <w:r>
        <w:rPr>
          <w:sz w:val="21"/>
          <w:szCs w:val="21"/>
        </w:rPr>
        <w:t>级且未来展望稳定，公开信息未发现曾出现票据违约到期无法兑付的负面新闻，因此本集团将其划分为信用等级较高银行，且不计坏账准备。除上述信用等级较高银行以外的其他银行划分为信用等级一般银行。</w:t>
      </w:r>
    </w:p>
    <w:p w:rsidR="00E20B54" w:rsidRDefault="00733C9E" w:rsidP="00C57489">
      <w:pPr>
        <w:pStyle w:val="a3"/>
        <w:widowControl/>
        <w:spacing w:beforeLines="50" w:before="156" w:beforeAutospacing="0" w:after="10" w:afterAutospacing="0"/>
        <w:ind w:firstLine="420"/>
        <w:jc w:val="both"/>
        <w:rPr>
          <w:sz w:val="21"/>
          <w:szCs w:val="21"/>
        </w:rPr>
      </w:pPr>
      <w:r>
        <w:rPr>
          <w:sz w:val="21"/>
          <w:szCs w:val="21"/>
        </w:rPr>
        <w:t>基于账龄确认信用风险特征组合的账龄计算方法</w:t>
      </w:r>
    </w:p>
    <w:tbl>
      <w:tblPr>
        <w:tblW w:w="5000" w:type="pct"/>
        <w:tblBorders>
          <w:top w:val="none" w:sz="6" w:space="0" w:color="auto"/>
          <w:left w:val="none" w:sz="6" w:space="0" w:color="auto"/>
          <w:bottom w:val="none" w:sz="6" w:space="0" w:color="auto"/>
          <w:right w:val="none" w:sz="6" w:space="0" w:color="auto"/>
          <w:insideH w:val="outset" w:sz="6" w:space="0" w:color="auto"/>
          <w:insideV w:val="outset" w:sz="6" w:space="0" w:color="auto"/>
        </w:tblBorders>
        <w:tblCellMar>
          <w:top w:w="15" w:type="dxa"/>
          <w:left w:w="15" w:type="dxa"/>
          <w:bottom w:w="15" w:type="dxa"/>
          <w:right w:w="15" w:type="dxa"/>
        </w:tblCellMar>
        <w:tblLook w:val="04A0" w:firstRow="1" w:lastRow="0" w:firstColumn="1" w:lastColumn="0" w:noHBand="0" w:noVBand="1"/>
      </w:tblPr>
      <w:tblGrid>
        <w:gridCol w:w="3261"/>
        <w:gridCol w:w="3297"/>
        <w:gridCol w:w="3295"/>
      </w:tblGrid>
      <w:tr w:rsidR="00E20B54">
        <w:trPr>
          <w:trHeight w:val="340"/>
        </w:trPr>
        <w:tc>
          <w:tcPr>
            <w:tcW w:w="1655" w:type="pct"/>
            <w:tcBorders>
              <w:top w:val="single" w:sz="8" w:space="0" w:color="auto"/>
              <w:left w:val="single" w:sz="8" w:space="0" w:color="auto"/>
              <w:bottom w:val="single" w:sz="8" w:space="0" w:color="auto"/>
              <w:right w:val="single" w:sz="8" w:space="0" w:color="auto"/>
            </w:tcBorders>
            <w:shd w:val="clear" w:color="auto" w:fill="D8D8D8" w:themeFill="background1" w:themeFillShade="D8"/>
            <w:tcMar>
              <w:top w:w="0" w:type="dxa"/>
              <w:left w:w="108" w:type="dxa"/>
              <w:bottom w:w="0" w:type="dxa"/>
              <w:right w:w="108" w:type="dxa"/>
            </w:tcMar>
          </w:tcPr>
          <w:p w:rsidR="00E20B54" w:rsidRDefault="00733C9E">
            <w:pPr>
              <w:pStyle w:val="a3"/>
              <w:widowControl/>
              <w:spacing w:beforeAutospacing="0" w:afterAutospacing="0"/>
              <w:jc w:val="center"/>
              <w:rPr>
                <w:bCs/>
                <w:sz w:val="18"/>
                <w:szCs w:val="18"/>
              </w:rPr>
            </w:pPr>
            <w:r>
              <w:rPr>
                <w:rStyle w:val="a4"/>
                <w:b w:val="0"/>
                <w:bCs/>
                <w:sz w:val="18"/>
                <w:szCs w:val="18"/>
              </w:rPr>
              <w:t>账龄</w:t>
            </w:r>
          </w:p>
        </w:tc>
        <w:tc>
          <w:tcPr>
            <w:tcW w:w="1673" w:type="pct"/>
            <w:tcBorders>
              <w:top w:val="single" w:sz="8" w:space="0" w:color="auto"/>
              <w:left w:val="nil"/>
              <w:bottom w:val="single" w:sz="8" w:space="0" w:color="auto"/>
              <w:right w:val="single" w:sz="8" w:space="0" w:color="auto"/>
            </w:tcBorders>
            <w:shd w:val="clear" w:color="auto" w:fill="D8D8D8" w:themeFill="background1" w:themeFillShade="D8"/>
            <w:tcMar>
              <w:top w:w="0" w:type="dxa"/>
              <w:left w:w="108" w:type="dxa"/>
              <w:bottom w:w="0" w:type="dxa"/>
              <w:right w:w="108" w:type="dxa"/>
            </w:tcMar>
          </w:tcPr>
          <w:p w:rsidR="00E20B54" w:rsidRDefault="00733C9E">
            <w:pPr>
              <w:pStyle w:val="a3"/>
              <w:widowControl/>
              <w:spacing w:beforeAutospacing="0" w:afterAutospacing="0"/>
              <w:jc w:val="center"/>
              <w:rPr>
                <w:bCs/>
                <w:sz w:val="18"/>
                <w:szCs w:val="18"/>
              </w:rPr>
            </w:pPr>
            <w:r>
              <w:rPr>
                <w:rStyle w:val="a4"/>
                <w:b w:val="0"/>
                <w:bCs/>
                <w:sz w:val="18"/>
                <w:szCs w:val="18"/>
              </w:rPr>
              <w:t>应收票据组合</w:t>
            </w:r>
            <w:r>
              <w:rPr>
                <w:rStyle w:val="a4"/>
                <w:b w:val="0"/>
                <w:bCs/>
                <w:sz w:val="18"/>
                <w:szCs w:val="18"/>
              </w:rPr>
              <w:t>1</w:t>
            </w:r>
          </w:p>
          <w:p w:rsidR="00E20B54" w:rsidRDefault="00733C9E">
            <w:pPr>
              <w:pStyle w:val="a3"/>
              <w:widowControl/>
              <w:spacing w:beforeAutospacing="0" w:afterAutospacing="0"/>
              <w:jc w:val="center"/>
              <w:rPr>
                <w:bCs/>
                <w:sz w:val="18"/>
                <w:szCs w:val="18"/>
              </w:rPr>
            </w:pPr>
            <w:r>
              <w:rPr>
                <w:rStyle w:val="a4"/>
                <w:b w:val="0"/>
                <w:bCs/>
                <w:sz w:val="18"/>
                <w:szCs w:val="18"/>
              </w:rPr>
              <w:t>预期信用损失率（</w:t>
            </w:r>
            <w:r>
              <w:rPr>
                <w:rStyle w:val="a4"/>
                <w:b w:val="0"/>
                <w:bCs/>
                <w:sz w:val="18"/>
                <w:szCs w:val="18"/>
              </w:rPr>
              <w:t>%</w:t>
            </w:r>
            <w:r>
              <w:rPr>
                <w:rStyle w:val="a4"/>
                <w:b w:val="0"/>
                <w:bCs/>
                <w:sz w:val="18"/>
                <w:szCs w:val="18"/>
              </w:rPr>
              <w:t>）</w:t>
            </w:r>
          </w:p>
        </w:tc>
        <w:tc>
          <w:tcPr>
            <w:tcW w:w="1673" w:type="pct"/>
            <w:tcBorders>
              <w:top w:val="single" w:sz="8" w:space="0" w:color="auto"/>
              <w:left w:val="nil"/>
              <w:bottom w:val="single" w:sz="8" w:space="0" w:color="auto"/>
              <w:right w:val="single" w:sz="8" w:space="0" w:color="auto"/>
            </w:tcBorders>
            <w:shd w:val="clear" w:color="auto" w:fill="D8D8D8" w:themeFill="background1" w:themeFillShade="D8"/>
            <w:tcMar>
              <w:top w:w="0" w:type="dxa"/>
              <w:left w:w="108" w:type="dxa"/>
              <w:bottom w:w="0" w:type="dxa"/>
              <w:right w:w="108" w:type="dxa"/>
            </w:tcMar>
          </w:tcPr>
          <w:p w:rsidR="00E20B54" w:rsidRDefault="00733C9E">
            <w:pPr>
              <w:pStyle w:val="a3"/>
              <w:widowControl/>
              <w:spacing w:beforeAutospacing="0" w:afterAutospacing="0"/>
              <w:jc w:val="center"/>
              <w:rPr>
                <w:bCs/>
                <w:sz w:val="18"/>
                <w:szCs w:val="18"/>
              </w:rPr>
            </w:pPr>
            <w:r>
              <w:rPr>
                <w:rStyle w:val="a4"/>
                <w:b w:val="0"/>
                <w:bCs/>
                <w:sz w:val="18"/>
                <w:szCs w:val="18"/>
              </w:rPr>
              <w:t>应收票据组合</w:t>
            </w:r>
            <w:r>
              <w:rPr>
                <w:rStyle w:val="a4"/>
                <w:b w:val="0"/>
                <w:bCs/>
                <w:sz w:val="18"/>
                <w:szCs w:val="18"/>
              </w:rPr>
              <w:t>2</w:t>
            </w:r>
          </w:p>
          <w:p w:rsidR="00E20B54" w:rsidRDefault="00733C9E">
            <w:pPr>
              <w:pStyle w:val="a3"/>
              <w:widowControl/>
              <w:spacing w:beforeAutospacing="0" w:afterAutospacing="0"/>
              <w:jc w:val="center"/>
              <w:rPr>
                <w:bCs/>
                <w:sz w:val="18"/>
                <w:szCs w:val="18"/>
              </w:rPr>
            </w:pPr>
            <w:r>
              <w:rPr>
                <w:rStyle w:val="a4"/>
                <w:b w:val="0"/>
                <w:bCs/>
                <w:sz w:val="18"/>
                <w:szCs w:val="18"/>
              </w:rPr>
              <w:t>预期信用损失率（</w:t>
            </w:r>
            <w:r>
              <w:rPr>
                <w:rStyle w:val="a4"/>
                <w:b w:val="0"/>
                <w:bCs/>
                <w:sz w:val="18"/>
                <w:szCs w:val="18"/>
              </w:rPr>
              <w:t>%</w:t>
            </w:r>
            <w:r>
              <w:rPr>
                <w:rStyle w:val="a4"/>
                <w:b w:val="0"/>
                <w:bCs/>
                <w:sz w:val="18"/>
                <w:szCs w:val="18"/>
              </w:rPr>
              <w:t>）</w:t>
            </w:r>
          </w:p>
        </w:tc>
      </w:tr>
      <w:tr w:rsidR="00E20B54" w:rsidRPr="00295DC8" w:rsidTr="00295DC8">
        <w:trPr>
          <w:trHeight w:val="170"/>
        </w:trPr>
        <w:tc>
          <w:tcPr>
            <w:tcW w:w="1655" w:type="pct"/>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tcPr>
          <w:p w:rsidR="00E20B54" w:rsidRDefault="00733C9E" w:rsidP="00295DC8">
            <w:pPr>
              <w:jc w:val="center"/>
              <w:rPr>
                <w:sz w:val="18"/>
                <w:szCs w:val="18"/>
              </w:rPr>
            </w:pPr>
            <w:r>
              <w:rPr>
                <w:sz w:val="18"/>
                <w:szCs w:val="18"/>
              </w:rPr>
              <w:t>1</w:t>
            </w:r>
            <w:r>
              <w:rPr>
                <w:sz w:val="18"/>
                <w:szCs w:val="18"/>
              </w:rPr>
              <w:t>年以内（含</w:t>
            </w:r>
            <w:r>
              <w:rPr>
                <w:sz w:val="18"/>
                <w:szCs w:val="18"/>
              </w:rPr>
              <w:t>1</w:t>
            </w:r>
            <w:r>
              <w:rPr>
                <w:sz w:val="18"/>
                <w:szCs w:val="18"/>
              </w:rPr>
              <w:t>年）</w:t>
            </w:r>
          </w:p>
        </w:tc>
        <w:tc>
          <w:tcPr>
            <w:tcW w:w="1673" w:type="pct"/>
            <w:tcBorders>
              <w:top w:val="nil"/>
              <w:left w:val="nil"/>
              <w:bottom w:val="single" w:sz="8" w:space="0" w:color="auto"/>
              <w:right w:val="single" w:sz="8" w:space="0" w:color="auto"/>
            </w:tcBorders>
            <w:shd w:val="clear" w:color="auto" w:fill="auto"/>
            <w:tcMar>
              <w:top w:w="0" w:type="dxa"/>
              <w:left w:w="108" w:type="dxa"/>
              <w:bottom w:w="0" w:type="dxa"/>
              <w:right w:w="108" w:type="dxa"/>
            </w:tcMar>
          </w:tcPr>
          <w:p w:rsidR="00E20B54" w:rsidRDefault="00733C9E" w:rsidP="00295DC8">
            <w:pPr>
              <w:jc w:val="center"/>
              <w:rPr>
                <w:sz w:val="18"/>
                <w:szCs w:val="18"/>
              </w:rPr>
            </w:pPr>
            <w:r>
              <w:rPr>
                <w:sz w:val="18"/>
                <w:szCs w:val="18"/>
              </w:rPr>
              <w:t>-</w:t>
            </w:r>
          </w:p>
        </w:tc>
        <w:tc>
          <w:tcPr>
            <w:tcW w:w="1673" w:type="pct"/>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E20B54" w:rsidRDefault="00733C9E" w:rsidP="00295DC8">
            <w:pPr>
              <w:jc w:val="center"/>
              <w:rPr>
                <w:sz w:val="18"/>
                <w:szCs w:val="18"/>
              </w:rPr>
            </w:pPr>
            <w:r>
              <w:rPr>
                <w:sz w:val="18"/>
                <w:szCs w:val="18"/>
              </w:rPr>
              <w:t>5</w:t>
            </w:r>
          </w:p>
        </w:tc>
      </w:tr>
      <w:tr w:rsidR="00E20B54" w:rsidRPr="00295DC8" w:rsidTr="00295DC8">
        <w:trPr>
          <w:trHeight w:val="170"/>
        </w:trPr>
        <w:tc>
          <w:tcPr>
            <w:tcW w:w="1655" w:type="pct"/>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tcPr>
          <w:p w:rsidR="00E20B54" w:rsidRDefault="00733C9E" w:rsidP="00295DC8">
            <w:pPr>
              <w:jc w:val="center"/>
              <w:rPr>
                <w:sz w:val="18"/>
                <w:szCs w:val="18"/>
              </w:rPr>
            </w:pPr>
            <w:r>
              <w:rPr>
                <w:sz w:val="18"/>
                <w:szCs w:val="18"/>
              </w:rPr>
              <w:t>1-2</w:t>
            </w:r>
            <w:r>
              <w:rPr>
                <w:sz w:val="18"/>
                <w:szCs w:val="18"/>
              </w:rPr>
              <w:t>年</w:t>
            </w:r>
          </w:p>
        </w:tc>
        <w:tc>
          <w:tcPr>
            <w:tcW w:w="1673" w:type="pct"/>
            <w:tcBorders>
              <w:top w:val="nil"/>
              <w:left w:val="nil"/>
              <w:bottom w:val="single" w:sz="8" w:space="0" w:color="auto"/>
              <w:right w:val="single" w:sz="8" w:space="0" w:color="auto"/>
            </w:tcBorders>
            <w:shd w:val="clear" w:color="auto" w:fill="auto"/>
            <w:tcMar>
              <w:top w:w="0" w:type="dxa"/>
              <w:left w:w="108" w:type="dxa"/>
              <w:bottom w:w="0" w:type="dxa"/>
              <w:right w:w="108" w:type="dxa"/>
            </w:tcMar>
          </w:tcPr>
          <w:p w:rsidR="00E20B54" w:rsidRDefault="00733C9E" w:rsidP="00295DC8">
            <w:pPr>
              <w:jc w:val="center"/>
              <w:rPr>
                <w:sz w:val="18"/>
                <w:szCs w:val="18"/>
              </w:rPr>
            </w:pPr>
            <w:r>
              <w:rPr>
                <w:sz w:val="18"/>
                <w:szCs w:val="18"/>
              </w:rPr>
              <w:t>-</w:t>
            </w:r>
          </w:p>
        </w:tc>
        <w:tc>
          <w:tcPr>
            <w:tcW w:w="1673" w:type="pct"/>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E20B54" w:rsidRDefault="00733C9E" w:rsidP="00295DC8">
            <w:pPr>
              <w:jc w:val="center"/>
              <w:rPr>
                <w:sz w:val="18"/>
                <w:szCs w:val="18"/>
              </w:rPr>
            </w:pPr>
            <w:r>
              <w:rPr>
                <w:sz w:val="18"/>
                <w:szCs w:val="18"/>
              </w:rPr>
              <w:t>10</w:t>
            </w:r>
          </w:p>
        </w:tc>
      </w:tr>
      <w:tr w:rsidR="00E20B54" w:rsidRPr="00295DC8" w:rsidTr="00295DC8">
        <w:trPr>
          <w:trHeight w:val="170"/>
        </w:trPr>
        <w:tc>
          <w:tcPr>
            <w:tcW w:w="1655" w:type="pct"/>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tcPr>
          <w:p w:rsidR="00E20B54" w:rsidRDefault="00733C9E" w:rsidP="00295DC8">
            <w:pPr>
              <w:jc w:val="center"/>
              <w:rPr>
                <w:sz w:val="18"/>
                <w:szCs w:val="18"/>
              </w:rPr>
            </w:pPr>
            <w:r>
              <w:rPr>
                <w:sz w:val="18"/>
                <w:szCs w:val="18"/>
              </w:rPr>
              <w:t>2-3</w:t>
            </w:r>
            <w:r>
              <w:rPr>
                <w:sz w:val="18"/>
                <w:szCs w:val="18"/>
              </w:rPr>
              <w:t>年</w:t>
            </w:r>
          </w:p>
        </w:tc>
        <w:tc>
          <w:tcPr>
            <w:tcW w:w="1673" w:type="pct"/>
            <w:tcBorders>
              <w:top w:val="nil"/>
              <w:left w:val="nil"/>
              <w:bottom w:val="single" w:sz="8" w:space="0" w:color="auto"/>
              <w:right w:val="single" w:sz="8" w:space="0" w:color="auto"/>
            </w:tcBorders>
            <w:shd w:val="clear" w:color="auto" w:fill="auto"/>
            <w:tcMar>
              <w:top w:w="0" w:type="dxa"/>
              <w:left w:w="108" w:type="dxa"/>
              <w:bottom w:w="0" w:type="dxa"/>
              <w:right w:w="108" w:type="dxa"/>
            </w:tcMar>
          </w:tcPr>
          <w:p w:rsidR="00E20B54" w:rsidRDefault="00733C9E" w:rsidP="00295DC8">
            <w:pPr>
              <w:jc w:val="center"/>
              <w:rPr>
                <w:sz w:val="18"/>
                <w:szCs w:val="18"/>
              </w:rPr>
            </w:pPr>
            <w:r>
              <w:rPr>
                <w:sz w:val="18"/>
                <w:szCs w:val="18"/>
              </w:rPr>
              <w:t>-</w:t>
            </w:r>
          </w:p>
        </w:tc>
        <w:tc>
          <w:tcPr>
            <w:tcW w:w="1673" w:type="pct"/>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E20B54" w:rsidRDefault="00733C9E" w:rsidP="00295DC8">
            <w:pPr>
              <w:jc w:val="center"/>
              <w:rPr>
                <w:sz w:val="18"/>
                <w:szCs w:val="18"/>
              </w:rPr>
            </w:pPr>
            <w:r>
              <w:rPr>
                <w:sz w:val="18"/>
                <w:szCs w:val="18"/>
              </w:rPr>
              <w:t>30</w:t>
            </w:r>
          </w:p>
        </w:tc>
      </w:tr>
      <w:tr w:rsidR="00E20B54" w:rsidRPr="00295DC8" w:rsidTr="00295DC8">
        <w:trPr>
          <w:trHeight w:val="170"/>
        </w:trPr>
        <w:tc>
          <w:tcPr>
            <w:tcW w:w="1655" w:type="pct"/>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tcPr>
          <w:p w:rsidR="00E20B54" w:rsidRDefault="00733C9E" w:rsidP="00295DC8">
            <w:pPr>
              <w:jc w:val="center"/>
              <w:rPr>
                <w:sz w:val="18"/>
                <w:szCs w:val="18"/>
              </w:rPr>
            </w:pPr>
            <w:r>
              <w:rPr>
                <w:sz w:val="18"/>
                <w:szCs w:val="18"/>
              </w:rPr>
              <w:t>3-4</w:t>
            </w:r>
            <w:r>
              <w:rPr>
                <w:sz w:val="18"/>
                <w:szCs w:val="18"/>
              </w:rPr>
              <w:t>年</w:t>
            </w:r>
          </w:p>
        </w:tc>
        <w:tc>
          <w:tcPr>
            <w:tcW w:w="1673" w:type="pct"/>
            <w:tcBorders>
              <w:top w:val="nil"/>
              <w:left w:val="nil"/>
              <w:bottom w:val="single" w:sz="8" w:space="0" w:color="auto"/>
              <w:right w:val="single" w:sz="8" w:space="0" w:color="auto"/>
            </w:tcBorders>
            <w:shd w:val="clear" w:color="auto" w:fill="auto"/>
            <w:tcMar>
              <w:top w:w="0" w:type="dxa"/>
              <w:left w:w="108" w:type="dxa"/>
              <w:bottom w:w="0" w:type="dxa"/>
              <w:right w:w="108" w:type="dxa"/>
            </w:tcMar>
          </w:tcPr>
          <w:p w:rsidR="00E20B54" w:rsidRDefault="00733C9E" w:rsidP="00295DC8">
            <w:pPr>
              <w:jc w:val="center"/>
              <w:rPr>
                <w:sz w:val="18"/>
                <w:szCs w:val="18"/>
              </w:rPr>
            </w:pPr>
            <w:r>
              <w:rPr>
                <w:sz w:val="18"/>
                <w:szCs w:val="18"/>
              </w:rPr>
              <w:t>-</w:t>
            </w:r>
          </w:p>
        </w:tc>
        <w:tc>
          <w:tcPr>
            <w:tcW w:w="1673" w:type="pct"/>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E20B54" w:rsidRDefault="00733C9E" w:rsidP="00295DC8">
            <w:pPr>
              <w:jc w:val="center"/>
              <w:rPr>
                <w:sz w:val="18"/>
                <w:szCs w:val="18"/>
              </w:rPr>
            </w:pPr>
            <w:r>
              <w:rPr>
                <w:sz w:val="18"/>
                <w:szCs w:val="18"/>
              </w:rPr>
              <w:t>50</w:t>
            </w:r>
          </w:p>
        </w:tc>
      </w:tr>
      <w:tr w:rsidR="00E20B54" w:rsidRPr="00295DC8" w:rsidTr="00295DC8">
        <w:trPr>
          <w:trHeight w:val="170"/>
        </w:trPr>
        <w:tc>
          <w:tcPr>
            <w:tcW w:w="1655" w:type="pct"/>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tcPr>
          <w:p w:rsidR="00E20B54" w:rsidRDefault="00733C9E" w:rsidP="00295DC8">
            <w:pPr>
              <w:jc w:val="center"/>
              <w:rPr>
                <w:sz w:val="18"/>
                <w:szCs w:val="18"/>
              </w:rPr>
            </w:pPr>
            <w:r>
              <w:rPr>
                <w:sz w:val="18"/>
                <w:szCs w:val="18"/>
              </w:rPr>
              <w:t>4-5</w:t>
            </w:r>
            <w:r>
              <w:rPr>
                <w:sz w:val="18"/>
                <w:szCs w:val="18"/>
              </w:rPr>
              <w:t>年</w:t>
            </w:r>
          </w:p>
        </w:tc>
        <w:tc>
          <w:tcPr>
            <w:tcW w:w="1673" w:type="pct"/>
            <w:tcBorders>
              <w:top w:val="nil"/>
              <w:left w:val="nil"/>
              <w:bottom w:val="single" w:sz="8" w:space="0" w:color="auto"/>
              <w:right w:val="single" w:sz="8" w:space="0" w:color="auto"/>
            </w:tcBorders>
            <w:shd w:val="clear" w:color="auto" w:fill="auto"/>
            <w:tcMar>
              <w:top w:w="0" w:type="dxa"/>
              <w:left w:w="108" w:type="dxa"/>
              <w:bottom w:w="0" w:type="dxa"/>
              <w:right w:w="108" w:type="dxa"/>
            </w:tcMar>
          </w:tcPr>
          <w:p w:rsidR="00E20B54" w:rsidRDefault="00733C9E" w:rsidP="00295DC8">
            <w:pPr>
              <w:jc w:val="center"/>
              <w:rPr>
                <w:sz w:val="18"/>
                <w:szCs w:val="18"/>
              </w:rPr>
            </w:pPr>
            <w:r>
              <w:rPr>
                <w:sz w:val="18"/>
                <w:szCs w:val="18"/>
              </w:rPr>
              <w:t>-</w:t>
            </w:r>
          </w:p>
        </w:tc>
        <w:tc>
          <w:tcPr>
            <w:tcW w:w="1673" w:type="pct"/>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E20B54" w:rsidRDefault="00733C9E" w:rsidP="00295DC8">
            <w:pPr>
              <w:jc w:val="center"/>
              <w:rPr>
                <w:sz w:val="18"/>
                <w:szCs w:val="18"/>
              </w:rPr>
            </w:pPr>
            <w:r>
              <w:rPr>
                <w:sz w:val="18"/>
                <w:szCs w:val="18"/>
              </w:rPr>
              <w:t>80</w:t>
            </w:r>
          </w:p>
        </w:tc>
      </w:tr>
      <w:tr w:rsidR="00E20B54" w:rsidRPr="00295DC8" w:rsidTr="00295DC8">
        <w:trPr>
          <w:trHeight w:val="170"/>
        </w:trPr>
        <w:tc>
          <w:tcPr>
            <w:tcW w:w="1655" w:type="pct"/>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tcPr>
          <w:p w:rsidR="00E20B54" w:rsidRDefault="00733C9E" w:rsidP="00295DC8">
            <w:pPr>
              <w:jc w:val="center"/>
              <w:rPr>
                <w:sz w:val="18"/>
                <w:szCs w:val="18"/>
              </w:rPr>
            </w:pPr>
            <w:r>
              <w:rPr>
                <w:sz w:val="18"/>
                <w:szCs w:val="18"/>
              </w:rPr>
              <w:t>5</w:t>
            </w:r>
            <w:r>
              <w:rPr>
                <w:sz w:val="18"/>
                <w:szCs w:val="18"/>
              </w:rPr>
              <w:t>年以上</w:t>
            </w:r>
          </w:p>
        </w:tc>
        <w:tc>
          <w:tcPr>
            <w:tcW w:w="1673" w:type="pct"/>
            <w:tcBorders>
              <w:top w:val="nil"/>
              <w:left w:val="nil"/>
              <w:bottom w:val="single" w:sz="8" w:space="0" w:color="auto"/>
              <w:right w:val="single" w:sz="8" w:space="0" w:color="auto"/>
            </w:tcBorders>
            <w:shd w:val="clear" w:color="auto" w:fill="auto"/>
            <w:tcMar>
              <w:top w:w="0" w:type="dxa"/>
              <w:left w:w="108" w:type="dxa"/>
              <w:bottom w:w="0" w:type="dxa"/>
              <w:right w:w="108" w:type="dxa"/>
            </w:tcMar>
          </w:tcPr>
          <w:p w:rsidR="00E20B54" w:rsidRDefault="00733C9E" w:rsidP="00295DC8">
            <w:pPr>
              <w:jc w:val="center"/>
              <w:rPr>
                <w:sz w:val="18"/>
                <w:szCs w:val="18"/>
              </w:rPr>
            </w:pPr>
            <w:r>
              <w:rPr>
                <w:sz w:val="18"/>
                <w:szCs w:val="18"/>
              </w:rPr>
              <w:t>-</w:t>
            </w:r>
          </w:p>
        </w:tc>
        <w:tc>
          <w:tcPr>
            <w:tcW w:w="1673" w:type="pct"/>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E20B54" w:rsidRDefault="00733C9E" w:rsidP="00295DC8">
            <w:pPr>
              <w:jc w:val="center"/>
              <w:rPr>
                <w:sz w:val="18"/>
                <w:szCs w:val="18"/>
              </w:rPr>
            </w:pPr>
            <w:r>
              <w:rPr>
                <w:sz w:val="18"/>
                <w:szCs w:val="18"/>
              </w:rPr>
              <w:t>100</w:t>
            </w:r>
          </w:p>
        </w:tc>
      </w:tr>
    </w:tbl>
    <w:p w:rsidR="00E20B54" w:rsidRDefault="00733C9E" w:rsidP="00C57489">
      <w:pPr>
        <w:pStyle w:val="a3"/>
        <w:widowControl/>
        <w:spacing w:beforeLines="50" w:before="156" w:beforeAutospacing="0" w:after="10" w:afterAutospacing="0"/>
        <w:ind w:firstLine="420"/>
        <w:jc w:val="both"/>
        <w:rPr>
          <w:sz w:val="21"/>
          <w:szCs w:val="21"/>
        </w:rPr>
      </w:pPr>
      <w:r>
        <w:rPr>
          <w:sz w:val="21"/>
          <w:szCs w:val="21"/>
        </w:rPr>
        <w:t>对于存在客观证据表明存在减值，以及其他适用于单项评估的应收票据单独进行减值测试，确认预期信用损失，计提单项减值准备。</w:t>
      </w:r>
    </w:p>
    <w:p w:rsidR="00E20B54" w:rsidRDefault="00733C9E">
      <w:pPr>
        <w:pStyle w:val="a3"/>
        <w:widowControl/>
        <w:spacing w:beforeAutospacing="0" w:afterAutospacing="0" w:line="360" w:lineRule="auto"/>
        <w:ind w:firstLine="420"/>
        <w:jc w:val="both"/>
        <w:rPr>
          <w:sz w:val="21"/>
          <w:szCs w:val="21"/>
        </w:rPr>
      </w:pPr>
      <w:r>
        <w:rPr>
          <w:rStyle w:val="a4"/>
          <w:bCs/>
          <w:sz w:val="21"/>
          <w:szCs w:val="21"/>
        </w:rPr>
        <w:t>12.2</w:t>
      </w:r>
      <w:r>
        <w:rPr>
          <w:rStyle w:val="a4"/>
          <w:bCs/>
          <w:sz w:val="21"/>
          <w:szCs w:val="21"/>
        </w:rPr>
        <w:t>预期信用损失的会计处理方法</w:t>
      </w:r>
    </w:p>
    <w:p w:rsidR="00E20B54" w:rsidRDefault="00733C9E" w:rsidP="00C57489">
      <w:pPr>
        <w:pStyle w:val="a3"/>
        <w:widowControl/>
        <w:spacing w:beforeLines="50" w:before="156" w:beforeAutospacing="0" w:after="10" w:afterAutospacing="0"/>
        <w:ind w:firstLine="420"/>
        <w:jc w:val="both"/>
        <w:rPr>
          <w:sz w:val="21"/>
          <w:szCs w:val="21"/>
        </w:rPr>
      </w:pPr>
      <w:r>
        <w:rPr>
          <w:sz w:val="21"/>
          <w:szCs w:val="21"/>
        </w:rPr>
        <w:t>信用损失准备的增加或转回金额，作为减值损失或利得计入当期损益。</w:t>
      </w:r>
    </w:p>
    <w:p w:rsidR="00E20B54" w:rsidRDefault="00733C9E">
      <w:pPr>
        <w:pStyle w:val="3"/>
        <w:spacing w:line="280" w:lineRule="exact"/>
        <w:jc w:val="left"/>
        <w:rPr>
          <w:b/>
          <w:bCs/>
        </w:rPr>
      </w:pPr>
      <w:bookmarkStart w:id="177" w:name="_Toc989065"/>
      <w:r>
        <w:rPr>
          <w:b/>
          <w:bCs/>
        </w:rPr>
        <w:lastRenderedPageBreak/>
        <w:t>13</w:t>
      </w:r>
      <w:r>
        <w:rPr>
          <w:b/>
          <w:bCs/>
        </w:rPr>
        <w:t>、应收账款</w:t>
      </w:r>
      <w:bookmarkEnd w:id="177"/>
    </w:p>
    <w:p w:rsidR="00E20B54" w:rsidRDefault="00733C9E" w:rsidP="00C57489">
      <w:pPr>
        <w:pStyle w:val="a3"/>
        <w:widowControl/>
        <w:spacing w:beforeLines="50" w:before="156" w:beforeAutospacing="0" w:after="10" w:afterAutospacing="0"/>
        <w:ind w:firstLine="420"/>
        <w:jc w:val="both"/>
        <w:rPr>
          <w:sz w:val="21"/>
          <w:szCs w:val="21"/>
        </w:rPr>
      </w:pPr>
      <w:r>
        <w:rPr>
          <w:sz w:val="21"/>
          <w:szCs w:val="21"/>
        </w:rPr>
        <w:t>应收账款项目，反映资产负债表日以摊余成本计量的、企业因销售商品、提供服务等经营活动应收取的款项。</w:t>
      </w:r>
    </w:p>
    <w:p w:rsidR="00E20B54" w:rsidRDefault="00733C9E" w:rsidP="00C57489">
      <w:pPr>
        <w:pStyle w:val="a3"/>
        <w:widowControl/>
        <w:spacing w:beforeLines="50" w:before="156" w:beforeAutospacing="0" w:after="10" w:afterAutospacing="0"/>
        <w:ind w:firstLine="420"/>
        <w:jc w:val="both"/>
        <w:rPr>
          <w:sz w:val="21"/>
          <w:szCs w:val="21"/>
        </w:rPr>
      </w:pPr>
      <w:r>
        <w:rPr>
          <w:sz w:val="21"/>
          <w:szCs w:val="21"/>
        </w:rPr>
        <w:t>13.1</w:t>
      </w:r>
      <w:r>
        <w:rPr>
          <w:sz w:val="21"/>
          <w:szCs w:val="21"/>
        </w:rPr>
        <w:t>预期信用损失的确定方法</w:t>
      </w:r>
    </w:p>
    <w:p w:rsidR="00E20B54" w:rsidRDefault="00733C9E" w:rsidP="00C57489">
      <w:pPr>
        <w:pStyle w:val="a3"/>
        <w:widowControl/>
        <w:spacing w:beforeLines="50" w:before="156" w:beforeAutospacing="0" w:after="10" w:afterAutospacing="0"/>
        <w:ind w:firstLine="420"/>
        <w:jc w:val="both"/>
        <w:rPr>
          <w:sz w:val="21"/>
          <w:szCs w:val="21"/>
        </w:rPr>
      </w:pPr>
      <w:r>
        <w:rPr>
          <w:sz w:val="21"/>
          <w:szCs w:val="21"/>
        </w:rPr>
        <w:t>本公司对由收入准则规范的交易形成的应收款项（无论是否包含重大融资成分），按照相当于整个存续期内预期信用损失的金额计量损失准备。</w:t>
      </w:r>
    </w:p>
    <w:p w:rsidR="00E20B54" w:rsidRDefault="00733C9E" w:rsidP="00C57489">
      <w:pPr>
        <w:pStyle w:val="a3"/>
        <w:widowControl/>
        <w:spacing w:beforeLines="50" w:before="156" w:beforeAutospacing="0" w:after="10" w:afterAutospacing="0"/>
        <w:ind w:firstLine="420"/>
        <w:jc w:val="both"/>
        <w:rPr>
          <w:sz w:val="21"/>
          <w:szCs w:val="21"/>
        </w:rPr>
      </w:pPr>
      <w:r>
        <w:rPr>
          <w:sz w:val="21"/>
          <w:szCs w:val="21"/>
        </w:rPr>
        <w:t>本公司基于单项和组合评估应收款项的预期信用损失。如果有客观证据表明某项应收款项已经发生信用减值，则本公司对该应收款项在单项资产的基础上确定预期信用损失。对于划分为组合的应收款项，本公司参考历史信用损失经验，结合当前状况以及对未来经济状况的预测，通过违约风险敞口和整个存续期预期信用损失率，计算预期信用损失。</w:t>
      </w:r>
    </w:p>
    <w:tbl>
      <w:tblPr>
        <w:tblpPr w:leftFromText="180" w:rightFromText="180" w:vertAnchor="text" w:horzAnchor="page" w:tblpX="1108" w:tblpY="312"/>
        <w:tblOverlap w:val="never"/>
        <w:tblW w:w="4881" w:type="pct"/>
        <w:tblBorders>
          <w:top w:val="none" w:sz="6" w:space="0" w:color="auto"/>
          <w:left w:val="none" w:sz="6" w:space="0" w:color="auto"/>
          <w:bottom w:val="none" w:sz="6" w:space="0" w:color="auto"/>
          <w:right w:val="none" w:sz="6" w:space="0" w:color="auto"/>
          <w:insideH w:val="outset" w:sz="6" w:space="0" w:color="auto"/>
          <w:insideV w:val="outset" w:sz="6" w:space="0" w:color="auto"/>
        </w:tblBorders>
        <w:tblCellMar>
          <w:top w:w="15" w:type="dxa"/>
          <w:left w:w="15" w:type="dxa"/>
          <w:bottom w:w="15" w:type="dxa"/>
          <w:right w:w="15" w:type="dxa"/>
        </w:tblCellMar>
        <w:tblLook w:val="04A0" w:firstRow="1" w:lastRow="0" w:firstColumn="1" w:lastColumn="0" w:noHBand="0" w:noVBand="1"/>
      </w:tblPr>
      <w:tblGrid>
        <w:gridCol w:w="3399"/>
        <w:gridCol w:w="6219"/>
      </w:tblGrid>
      <w:tr w:rsidR="00E20B54">
        <w:trPr>
          <w:trHeight w:val="227"/>
        </w:trPr>
        <w:tc>
          <w:tcPr>
            <w:tcW w:w="1767" w:type="pct"/>
            <w:tcBorders>
              <w:top w:val="single" w:sz="8" w:space="0" w:color="auto"/>
              <w:left w:val="single" w:sz="8" w:space="0" w:color="auto"/>
              <w:bottom w:val="single" w:sz="8" w:space="0" w:color="auto"/>
              <w:right w:val="single" w:sz="8" w:space="0" w:color="auto"/>
            </w:tcBorders>
            <w:shd w:val="clear" w:color="auto" w:fill="D8D8D8" w:themeFill="background1" w:themeFillShade="D8"/>
            <w:tcMar>
              <w:top w:w="0" w:type="dxa"/>
              <w:left w:w="108" w:type="dxa"/>
              <w:bottom w:w="0" w:type="dxa"/>
              <w:right w:w="108" w:type="dxa"/>
            </w:tcMar>
            <w:vAlign w:val="center"/>
          </w:tcPr>
          <w:p w:rsidR="00E20B54" w:rsidRDefault="00733C9E">
            <w:pPr>
              <w:pStyle w:val="a3"/>
              <w:widowControl/>
              <w:spacing w:beforeAutospacing="0" w:afterAutospacing="0"/>
              <w:jc w:val="center"/>
              <w:rPr>
                <w:sz w:val="18"/>
                <w:szCs w:val="18"/>
              </w:rPr>
            </w:pPr>
            <w:r>
              <w:rPr>
                <w:rStyle w:val="a4"/>
                <w:sz w:val="18"/>
                <w:szCs w:val="18"/>
              </w:rPr>
              <w:t>组合名称</w:t>
            </w:r>
          </w:p>
        </w:tc>
        <w:tc>
          <w:tcPr>
            <w:tcW w:w="3232" w:type="pct"/>
            <w:tcBorders>
              <w:top w:val="single" w:sz="8" w:space="0" w:color="auto"/>
              <w:left w:val="nil"/>
              <w:bottom w:val="single" w:sz="8" w:space="0" w:color="auto"/>
              <w:right w:val="single" w:sz="8" w:space="0" w:color="auto"/>
            </w:tcBorders>
            <w:shd w:val="clear" w:color="auto" w:fill="D8D8D8" w:themeFill="background1" w:themeFillShade="D8"/>
            <w:tcMar>
              <w:top w:w="0" w:type="dxa"/>
              <w:left w:w="108" w:type="dxa"/>
              <w:bottom w:w="0" w:type="dxa"/>
              <w:right w:w="108" w:type="dxa"/>
            </w:tcMar>
            <w:vAlign w:val="center"/>
          </w:tcPr>
          <w:p w:rsidR="00E20B54" w:rsidRDefault="00733C9E">
            <w:pPr>
              <w:pStyle w:val="a3"/>
              <w:widowControl/>
              <w:spacing w:beforeAutospacing="0" w:afterAutospacing="0"/>
              <w:jc w:val="center"/>
              <w:rPr>
                <w:sz w:val="18"/>
                <w:szCs w:val="18"/>
              </w:rPr>
            </w:pPr>
            <w:r>
              <w:rPr>
                <w:rStyle w:val="a4"/>
                <w:sz w:val="18"/>
                <w:szCs w:val="18"/>
              </w:rPr>
              <w:t>确定依据</w:t>
            </w:r>
          </w:p>
        </w:tc>
      </w:tr>
      <w:tr w:rsidR="00E20B54">
        <w:trPr>
          <w:trHeight w:val="227"/>
        </w:trPr>
        <w:tc>
          <w:tcPr>
            <w:tcW w:w="1767" w:type="pct"/>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tcPr>
          <w:p w:rsidR="00E20B54" w:rsidRDefault="00733C9E">
            <w:pPr>
              <w:pStyle w:val="a3"/>
              <w:widowControl/>
              <w:spacing w:beforeAutospacing="0" w:afterAutospacing="0"/>
              <w:jc w:val="both"/>
              <w:rPr>
                <w:sz w:val="18"/>
                <w:szCs w:val="18"/>
              </w:rPr>
            </w:pPr>
            <w:r>
              <w:rPr>
                <w:sz w:val="18"/>
                <w:szCs w:val="18"/>
              </w:rPr>
              <w:t>应收账款组合</w:t>
            </w:r>
            <w:r>
              <w:rPr>
                <w:sz w:val="18"/>
                <w:szCs w:val="18"/>
              </w:rPr>
              <w:t>1</w:t>
            </w:r>
          </w:p>
        </w:tc>
        <w:tc>
          <w:tcPr>
            <w:tcW w:w="3232" w:type="pct"/>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E20B54" w:rsidRDefault="00733C9E">
            <w:pPr>
              <w:pStyle w:val="a3"/>
              <w:widowControl/>
              <w:spacing w:beforeAutospacing="0" w:afterAutospacing="0"/>
              <w:rPr>
                <w:sz w:val="18"/>
                <w:szCs w:val="18"/>
              </w:rPr>
            </w:pPr>
            <w:r>
              <w:rPr>
                <w:sz w:val="18"/>
                <w:szCs w:val="18"/>
              </w:rPr>
              <w:t>本组合为政府部门、教育医疗单位的应收款项</w:t>
            </w:r>
          </w:p>
        </w:tc>
      </w:tr>
      <w:tr w:rsidR="00E20B54">
        <w:trPr>
          <w:trHeight w:val="227"/>
        </w:trPr>
        <w:tc>
          <w:tcPr>
            <w:tcW w:w="1767" w:type="pct"/>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tcPr>
          <w:p w:rsidR="00E20B54" w:rsidRDefault="00733C9E">
            <w:pPr>
              <w:pStyle w:val="a3"/>
              <w:widowControl/>
              <w:spacing w:beforeAutospacing="0" w:afterAutospacing="0"/>
              <w:jc w:val="both"/>
              <w:rPr>
                <w:sz w:val="18"/>
                <w:szCs w:val="18"/>
              </w:rPr>
            </w:pPr>
            <w:r>
              <w:rPr>
                <w:sz w:val="18"/>
                <w:szCs w:val="18"/>
              </w:rPr>
              <w:t>应收账款组合</w:t>
            </w:r>
            <w:r>
              <w:rPr>
                <w:sz w:val="18"/>
                <w:szCs w:val="18"/>
              </w:rPr>
              <w:t>2</w:t>
            </w:r>
          </w:p>
        </w:tc>
        <w:tc>
          <w:tcPr>
            <w:tcW w:w="3232" w:type="pct"/>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E20B54" w:rsidRDefault="00733C9E">
            <w:pPr>
              <w:pStyle w:val="a3"/>
              <w:widowControl/>
              <w:spacing w:beforeAutospacing="0" w:afterAutospacing="0"/>
              <w:rPr>
                <w:sz w:val="18"/>
                <w:szCs w:val="18"/>
              </w:rPr>
            </w:pPr>
            <w:r>
              <w:rPr>
                <w:sz w:val="18"/>
                <w:szCs w:val="18"/>
              </w:rPr>
              <w:t>本组合为企业及其他单位的应收款项</w:t>
            </w:r>
          </w:p>
        </w:tc>
      </w:tr>
    </w:tbl>
    <w:p w:rsidR="00E20B54" w:rsidRDefault="00733C9E" w:rsidP="00C57489">
      <w:pPr>
        <w:pStyle w:val="a3"/>
        <w:widowControl/>
        <w:spacing w:beforeLines="50" w:before="156" w:beforeAutospacing="0" w:after="10" w:afterAutospacing="0"/>
        <w:ind w:firstLine="420"/>
        <w:jc w:val="both"/>
        <w:rPr>
          <w:sz w:val="21"/>
          <w:szCs w:val="21"/>
        </w:rPr>
      </w:pPr>
      <w:r>
        <w:rPr>
          <w:sz w:val="21"/>
          <w:szCs w:val="21"/>
        </w:rPr>
        <w:t>除了单项评估信用风险的应收账款外，基于其信用风险特征，将其划分为不同组合：</w:t>
      </w:r>
    </w:p>
    <w:p w:rsidR="00E20B54" w:rsidRDefault="00733C9E" w:rsidP="00C57489">
      <w:pPr>
        <w:pStyle w:val="a3"/>
        <w:widowControl/>
        <w:spacing w:beforeLines="50" w:before="156" w:beforeAutospacing="0" w:after="10" w:afterAutospacing="0"/>
        <w:ind w:firstLine="420"/>
        <w:jc w:val="both"/>
        <w:rPr>
          <w:sz w:val="21"/>
          <w:szCs w:val="21"/>
        </w:rPr>
      </w:pPr>
      <w:r>
        <w:rPr>
          <w:sz w:val="21"/>
          <w:szCs w:val="21"/>
        </w:rPr>
        <w:t>基于账龄确认信用风险特征组合的账龄计算方法如下：</w:t>
      </w:r>
    </w:p>
    <w:tbl>
      <w:tblPr>
        <w:tblW w:w="5000" w:type="pct"/>
        <w:tblBorders>
          <w:top w:val="none" w:sz="6" w:space="0" w:color="auto"/>
          <w:left w:val="none" w:sz="6" w:space="0" w:color="auto"/>
          <w:bottom w:val="none" w:sz="6" w:space="0" w:color="auto"/>
          <w:right w:val="none" w:sz="6" w:space="0" w:color="auto"/>
          <w:insideH w:val="outset" w:sz="6" w:space="0" w:color="auto"/>
          <w:insideV w:val="outset" w:sz="6" w:space="0" w:color="auto"/>
        </w:tblBorders>
        <w:tblCellMar>
          <w:top w:w="15" w:type="dxa"/>
          <w:left w:w="15" w:type="dxa"/>
          <w:bottom w:w="15" w:type="dxa"/>
          <w:right w:w="15" w:type="dxa"/>
        </w:tblCellMar>
        <w:tblLook w:val="04A0" w:firstRow="1" w:lastRow="0" w:firstColumn="1" w:lastColumn="0" w:noHBand="0" w:noVBand="1"/>
      </w:tblPr>
      <w:tblGrid>
        <w:gridCol w:w="3262"/>
        <w:gridCol w:w="3298"/>
        <w:gridCol w:w="3293"/>
      </w:tblGrid>
      <w:tr w:rsidR="00E20B54">
        <w:trPr>
          <w:trHeight w:val="227"/>
        </w:trPr>
        <w:tc>
          <w:tcPr>
            <w:tcW w:w="1655" w:type="pct"/>
            <w:tcBorders>
              <w:top w:val="single" w:sz="8" w:space="0" w:color="auto"/>
              <w:left w:val="single" w:sz="8" w:space="0" w:color="auto"/>
              <w:bottom w:val="single" w:sz="8" w:space="0" w:color="auto"/>
              <w:right w:val="single" w:sz="8" w:space="0" w:color="auto"/>
            </w:tcBorders>
            <w:shd w:val="clear" w:color="auto" w:fill="D8D8D8" w:themeFill="background1" w:themeFillShade="D8"/>
            <w:tcMar>
              <w:top w:w="0" w:type="dxa"/>
              <w:left w:w="108" w:type="dxa"/>
              <w:bottom w:w="0" w:type="dxa"/>
              <w:right w:w="108" w:type="dxa"/>
            </w:tcMar>
            <w:vAlign w:val="center"/>
          </w:tcPr>
          <w:p w:rsidR="00E20B54" w:rsidRDefault="00733C9E">
            <w:pPr>
              <w:pStyle w:val="a3"/>
              <w:widowControl/>
              <w:spacing w:beforeAutospacing="0" w:afterAutospacing="0"/>
              <w:jc w:val="center"/>
              <w:rPr>
                <w:sz w:val="18"/>
                <w:szCs w:val="18"/>
              </w:rPr>
            </w:pPr>
            <w:r>
              <w:rPr>
                <w:rStyle w:val="a4"/>
                <w:b w:val="0"/>
                <w:bCs/>
                <w:sz w:val="18"/>
                <w:szCs w:val="18"/>
              </w:rPr>
              <w:t>账龄</w:t>
            </w:r>
          </w:p>
        </w:tc>
        <w:tc>
          <w:tcPr>
            <w:tcW w:w="1673" w:type="pct"/>
            <w:tcBorders>
              <w:top w:val="single" w:sz="8" w:space="0" w:color="auto"/>
              <w:left w:val="nil"/>
              <w:bottom w:val="single" w:sz="8" w:space="0" w:color="auto"/>
              <w:right w:val="single" w:sz="8" w:space="0" w:color="auto"/>
            </w:tcBorders>
            <w:shd w:val="clear" w:color="auto" w:fill="D8D8D8" w:themeFill="background1" w:themeFillShade="D8"/>
            <w:tcMar>
              <w:top w:w="0" w:type="dxa"/>
              <w:left w:w="108" w:type="dxa"/>
              <w:bottom w:w="0" w:type="dxa"/>
              <w:right w:w="108" w:type="dxa"/>
            </w:tcMar>
            <w:vAlign w:val="center"/>
          </w:tcPr>
          <w:p w:rsidR="00E20B54" w:rsidRDefault="00733C9E">
            <w:pPr>
              <w:pStyle w:val="a3"/>
              <w:widowControl/>
              <w:spacing w:beforeAutospacing="0" w:afterAutospacing="0" w:line="360" w:lineRule="atLeast"/>
              <w:jc w:val="center"/>
              <w:rPr>
                <w:sz w:val="18"/>
                <w:szCs w:val="18"/>
              </w:rPr>
            </w:pPr>
            <w:r>
              <w:rPr>
                <w:sz w:val="18"/>
                <w:szCs w:val="18"/>
              </w:rPr>
              <w:t>应收账款组合</w:t>
            </w:r>
            <w:r>
              <w:rPr>
                <w:sz w:val="18"/>
                <w:szCs w:val="18"/>
              </w:rPr>
              <w:t>1</w:t>
            </w:r>
          </w:p>
          <w:p w:rsidR="00E20B54" w:rsidRDefault="00733C9E">
            <w:pPr>
              <w:pStyle w:val="a3"/>
              <w:widowControl/>
              <w:spacing w:beforeAutospacing="0" w:afterAutospacing="0"/>
              <w:jc w:val="center"/>
              <w:rPr>
                <w:sz w:val="18"/>
                <w:szCs w:val="18"/>
              </w:rPr>
            </w:pPr>
            <w:r>
              <w:rPr>
                <w:sz w:val="18"/>
                <w:szCs w:val="18"/>
              </w:rPr>
              <w:t>预期信用损失率（</w:t>
            </w:r>
            <w:r>
              <w:rPr>
                <w:sz w:val="18"/>
                <w:szCs w:val="18"/>
              </w:rPr>
              <w:t>%</w:t>
            </w:r>
            <w:r>
              <w:rPr>
                <w:sz w:val="18"/>
                <w:szCs w:val="18"/>
              </w:rPr>
              <w:t>）</w:t>
            </w:r>
          </w:p>
        </w:tc>
        <w:tc>
          <w:tcPr>
            <w:tcW w:w="1671" w:type="pct"/>
            <w:tcBorders>
              <w:top w:val="single" w:sz="8" w:space="0" w:color="auto"/>
              <w:left w:val="nil"/>
              <w:bottom w:val="single" w:sz="8" w:space="0" w:color="auto"/>
              <w:right w:val="single" w:sz="8" w:space="0" w:color="auto"/>
            </w:tcBorders>
            <w:shd w:val="clear" w:color="auto" w:fill="D8D8D8" w:themeFill="background1" w:themeFillShade="D8"/>
            <w:tcMar>
              <w:top w:w="0" w:type="dxa"/>
              <w:left w:w="108" w:type="dxa"/>
              <w:bottom w:w="0" w:type="dxa"/>
              <w:right w:w="108" w:type="dxa"/>
            </w:tcMar>
            <w:vAlign w:val="center"/>
          </w:tcPr>
          <w:p w:rsidR="00E20B54" w:rsidRDefault="00733C9E">
            <w:pPr>
              <w:pStyle w:val="a3"/>
              <w:widowControl/>
              <w:spacing w:beforeAutospacing="0" w:afterAutospacing="0" w:line="360" w:lineRule="atLeast"/>
              <w:jc w:val="center"/>
              <w:rPr>
                <w:sz w:val="18"/>
                <w:szCs w:val="18"/>
              </w:rPr>
            </w:pPr>
            <w:r>
              <w:rPr>
                <w:sz w:val="18"/>
                <w:szCs w:val="18"/>
              </w:rPr>
              <w:t>应收账款组合</w:t>
            </w:r>
            <w:r>
              <w:rPr>
                <w:sz w:val="18"/>
                <w:szCs w:val="18"/>
              </w:rPr>
              <w:t>2</w:t>
            </w:r>
          </w:p>
          <w:p w:rsidR="00E20B54" w:rsidRDefault="00733C9E">
            <w:pPr>
              <w:pStyle w:val="a3"/>
              <w:widowControl/>
              <w:spacing w:beforeAutospacing="0" w:afterAutospacing="0"/>
              <w:jc w:val="center"/>
              <w:rPr>
                <w:sz w:val="18"/>
                <w:szCs w:val="18"/>
              </w:rPr>
            </w:pPr>
            <w:r>
              <w:rPr>
                <w:sz w:val="18"/>
                <w:szCs w:val="18"/>
              </w:rPr>
              <w:t>预期信用损失率（</w:t>
            </w:r>
            <w:r>
              <w:rPr>
                <w:sz w:val="18"/>
                <w:szCs w:val="18"/>
              </w:rPr>
              <w:t>%</w:t>
            </w:r>
            <w:r>
              <w:rPr>
                <w:sz w:val="18"/>
                <w:szCs w:val="18"/>
              </w:rPr>
              <w:t>）</w:t>
            </w:r>
          </w:p>
        </w:tc>
      </w:tr>
      <w:tr w:rsidR="00E20B54">
        <w:trPr>
          <w:trHeight w:val="227"/>
        </w:trPr>
        <w:tc>
          <w:tcPr>
            <w:tcW w:w="1655" w:type="pct"/>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tcPr>
          <w:p w:rsidR="00E20B54" w:rsidRDefault="00733C9E">
            <w:pPr>
              <w:pStyle w:val="a3"/>
              <w:widowControl/>
              <w:spacing w:beforeAutospacing="0" w:afterAutospacing="0"/>
              <w:jc w:val="both"/>
              <w:rPr>
                <w:sz w:val="18"/>
                <w:szCs w:val="18"/>
              </w:rPr>
            </w:pPr>
            <w:r>
              <w:rPr>
                <w:sz w:val="18"/>
                <w:szCs w:val="18"/>
              </w:rPr>
              <w:t>1</w:t>
            </w:r>
            <w:r>
              <w:rPr>
                <w:sz w:val="18"/>
                <w:szCs w:val="18"/>
              </w:rPr>
              <w:t>年以内（含</w:t>
            </w:r>
            <w:r>
              <w:rPr>
                <w:sz w:val="18"/>
                <w:szCs w:val="18"/>
              </w:rPr>
              <w:t>1</w:t>
            </w:r>
            <w:r>
              <w:rPr>
                <w:sz w:val="18"/>
                <w:szCs w:val="18"/>
              </w:rPr>
              <w:t>年）</w:t>
            </w:r>
          </w:p>
        </w:tc>
        <w:tc>
          <w:tcPr>
            <w:tcW w:w="1673" w:type="pct"/>
            <w:tcBorders>
              <w:top w:val="nil"/>
              <w:left w:val="nil"/>
              <w:bottom w:val="single" w:sz="8" w:space="0" w:color="auto"/>
              <w:right w:val="single" w:sz="8" w:space="0" w:color="auto"/>
            </w:tcBorders>
            <w:shd w:val="clear" w:color="auto" w:fill="auto"/>
            <w:tcMar>
              <w:top w:w="0" w:type="dxa"/>
              <w:left w:w="108" w:type="dxa"/>
              <w:bottom w:w="0" w:type="dxa"/>
              <w:right w:w="108" w:type="dxa"/>
            </w:tcMar>
          </w:tcPr>
          <w:p w:rsidR="00E20B54" w:rsidRDefault="00733C9E">
            <w:pPr>
              <w:pStyle w:val="a3"/>
              <w:widowControl/>
              <w:spacing w:beforeAutospacing="0" w:afterAutospacing="0"/>
              <w:jc w:val="both"/>
              <w:rPr>
                <w:sz w:val="18"/>
                <w:szCs w:val="18"/>
              </w:rPr>
            </w:pPr>
            <w:r>
              <w:rPr>
                <w:sz w:val="18"/>
                <w:szCs w:val="18"/>
              </w:rPr>
              <w:t>5</w:t>
            </w:r>
          </w:p>
        </w:tc>
        <w:tc>
          <w:tcPr>
            <w:tcW w:w="1671" w:type="pct"/>
            <w:tcBorders>
              <w:top w:val="nil"/>
              <w:left w:val="nil"/>
              <w:bottom w:val="single" w:sz="8" w:space="0" w:color="auto"/>
              <w:right w:val="single" w:sz="8" w:space="0" w:color="auto"/>
            </w:tcBorders>
            <w:shd w:val="clear" w:color="auto" w:fill="auto"/>
            <w:tcMar>
              <w:top w:w="0" w:type="dxa"/>
              <w:left w:w="108" w:type="dxa"/>
              <w:bottom w:w="0" w:type="dxa"/>
              <w:right w:w="108" w:type="dxa"/>
            </w:tcMar>
          </w:tcPr>
          <w:p w:rsidR="00E20B54" w:rsidRDefault="00733C9E">
            <w:pPr>
              <w:pStyle w:val="a3"/>
              <w:widowControl/>
              <w:spacing w:beforeAutospacing="0" w:afterAutospacing="0"/>
              <w:jc w:val="both"/>
              <w:rPr>
                <w:sz w:val="18"/>
                <w:szCs w:val="18"/>
              </w:rPr>
            </w:pPr>
            <w:r>
              <w:rPr>
                <w:sz w:val="18"/>
                <w:szCs w:val="18"/>
              </w:rPr>
              <w:t>5</w:t>
            </w:r>
          </w:p>
        </w:tc>
      </w:tr>
      <w:tr w:rsidR="00E20B54">
        <w:trPr>
          <w:trHeight w:val="227"/>
        </w:trPr>
        <w:tc>
          <w:tcPr>
            <w:tcW w:w="1655" w:type="pct"/>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tcPr>
          <w:p w:rsidR="00E20B54" w:rsidRDefault="00733C9E">
            <w:pPr>
              <w:pStyle w:val="a3"/>
              <w:widowControl/>
              <w:spacing w:beforeAutospacing="0" w:afterAutospacing="0"/>
              <w:jc w:val="both"/>
              <w:rPr>
                <w:sz w:val="18"/>
                <w:szCs w:val="18"/>
              </w:rPr>
            </w:pPr>
            <w:r>
              <w:rPr>
                <w:sz w:val="18"/>
                <w:szCs w:val="18"/>
              </w:rPr>
              <w:t>1-2</w:t>
            </w:r>
            <w:r>
              <w:rPr>
                <w:sz w:val="18"/>
                <w:szCs w:val="18"/>
              </w:rPr>
              <w:t>年</w:t>
            </w:r>
          </w:p>
        </w:tc>
        <w:tc>
          <w:tcPr>
            <w:tcW w:w="1673" w:type="pct"/>
            <w:tcBorders>
              <w:top w:val="nil"/>
              <w:left w:val="nil"/>
              <w:bottom w:val="single" w:sz="8" w:space="0" w:color="auto"/>
              <w:right w:val="single" w:sz="8" w:space="0" w:color="auto"/>
            </w:tcBorders>
            <w:shd w:val="clear" w:color="auto" w:fill="auto"/>
            <w:tcMar>
              <w:top w:w="0" w:type="dxa"/>
              <w:left w:w="108" w:type="dxa"/>
              <w:bottom w:w="0" w:type="dxa"/>
              <w:right w:w="108" w:type="dxa"/>
            </w:tcMar>
          </w:tcPr>
          <w:p w:rsidR="00E20B54" w:rsidRDefault="00733C9E">
            <w:pPr>
              <w:pStyle w:val="a3"/>
              <w:widowControl/>
              <w:spacing w:beforeAutospacing="0" w:afterAutospacing="0"/>
              <w:jc w:val="both"/>
              <w:rPr>
                <w:sz w:val="18"/>
                <w:szCs w:val="18"/>
              </w:rPr>
            </w:pPr>
            <w:r>
              <w:rPr>
                <w:sz w:val="18"/>
                <w:szCs w:val="18"/>
              </w:rPr>
              <w:t>10</w:t>
            </w:r>
          </w:p>
        </w:tc>
        <w:tc>
          <w:tcPr>
            <w:tcW w:w="1671" w:type="pct"/>
            <w:tcBorders>
              <w:top w:val="nil"/>
              <w:left w:val="nil"/>
              <w:bottom w:val="single" w:sz="8" w:space="0" w:color="auto"/>
              <w:right w:val="single" w:sz="8" w:space="0" w:color="auto"/>
            </w:tcBorders>
            <w:shd w:val="clear" w:color="auto" w:fill="auto"/>
            <w:tcMar>
              <w:top w:w="0" w:type="dxa"/>
              <w:left w:w="108" w:type="dxa"/>
              <w:bottom w:w="0" w:type="dxa"/>
              <w:right w:w="108" w:type="dxa"/>
            </w:tcMar>
          </w:tcPr>
          <w:p w:rsidR="00E20B54" w:rsidRDefault="00733C9E">
            <w:pPr>
              <w:pStyle w:val="a3"/>
              <w:widowControl/>
              <w:spacing w:beforeAutospacing="0" w:afterAutospacing="0"/>
              <w:jc w:val="both"/>
              <w:rPr>
                <w:sz w:val="18"/>
                <w:szCs w:val="18"/>
              </w:rPr>
            </w:pPr>
            <w:r>
              <w:rPr>
                <w:sz w:val="18"/>
                <w:szCs w:val="18"/>
              </w:rPr>
              <w:t>10</w:t>
            </w:r>
          </w:p>
        </w:tc>
      </w:tr>
      <w:tr w:rsidR="00E20B54">
        <w:trPr>
          <w:trHeight w:val="227"/>
        </w:trPr>
        <w:tc>
          <w:tcPr>
            <w:tcW w:w="1655" w:type="pct"/>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tcPr>
          <w:p w:rsidR="00E20B54" w:rsidRDefault="00733C9E">
            <w:pPr>
              <w:pStyle w:val="a3"/>
              <w:widowControl/>
              <w:spacing w:beforeAutospacing="0" w:afterAutospacing="0"/>
              <w:jc w:val="both"/>
              <w:rPr>
                <w:sz w:val="18"/>
                <w:szCs w:val="18"/>
              </w:rPr>
            </w:pPr>
            <w:r>
              <w:rPr>
                <w:sz w:val="18"/>
                <w:szCs w:val="18"/>
              </w:rPr>
              <w:t>2-3</w:t>
            </w:r>
            <w:r>
              <w:rPr>
                <w:sz w:val="18"/>
                <w:szCs w:val="18"/>
              </w:rPr>
              <w:t>年</w:t>
            </w:r>
          </w:p>
        </w:tc>
        <w:tc>
          <w:tcPr>
            <w:tcW w:w="1673" w:type="pct"/>
            <w:tcBorders>
              <w:top w:val="nil"/>
              <w:left w:val="nil"/>
              <w:bottom w:val="single" w:sz="8" w:space="0" w:color="auto"/>
              <w:right w:val="single" w:sz="8" w:space="0" w:color="auto"/>
            </w:tcBorders>
            <w:shd w:val="clear" w:color="auto" w:fill="auto"/>
            <w:tcMar>
              <w:top w:w="0" w:type="dxa"/>
              <w:left w:w="108" w:type="dxa"/>
              <w:bottom w:w="0" w:type="dxa"/>
              <w:right w:w="108" w:type="dxa"/>
            </w:tcMar>
          </w:tcPr>
          <w:p w:rsidR="00E20B54" w:rsidRDefault="00733C9E">
            <w:pPr>
              <w:pStyle w:val="a3"/>
              <w:widowControl/>
              <w:spacing w:beforeAutospacing="0" w:afterAutospacing="0"/>
              <w:jc w:val="both"/>
              <w:rPr>
                <w:sz w:val="18"/>
                <w:szCs w:val="18"/>
              </w:rPr>
            </w:pPr>
            <w:r>
              <w:rPr>
                <w:sz w:val="18"/>
                <w:szCs w:val="18"/>
              </w:rPr>
              <w:t>30</w:t>
            </w:r>
          </w:p>
        </w:tc>
        <w:tc>
          <w:tcPr>
            <w:tcW w:w="1671" w:type="pct"/>
            <w:tcBorders>
              <w:top w:val="nil"/>
              <w:left w:val="nil"/>
              <w:bottom w:val="single" w:sz="8" w:space="0" w:color="auto"/>
              <w:right w:val="single" w:sz="8" w:space="0" w:color="auto"/>
            </w:tcBorders>
            <w:shd w:val="clear" w:color="auto" w:fill="auto"/>
            <w:tcMar>
              <w:top w:w="0" w:type="dxa"/>
              <w:left w:w="108" w:type="dxa"/>
              <w:bottom w:w="0" w:type="dxa"/>
              <w:right w:w="108" w:type="dxa"/>
            </w:tcMar>
          </w:tcPr>
          <w:p w:rsidR="00E20B54" w:rsidRDefault="00733C9E">
            <w:pPr>
              <w:pStyle w:val="a3"/>
              <w:widowControl/>
              <w:spacing w:beforeAutospacing="0" w:afterAutospacing="0"/>
              <w:jc w:val="both"/>
              <w:rPr>
                <w:sz w:val="18"/>
                <w:szCs w:val="18"/>
              </w:rPr>
            </w:pPr>
            <w:r>
              <w:rPr>
                <w:sz w:val="18"/>
                <w:szCs w:val="18"/>
              </w:rPr>
              <w:t>30</w:t>
            </w:r>
          </w:p>
        </w:tc>
      </w:tr>
      <w:tr w:rsidR="00E20B54">
        <w:trPr>
          <w:trHeight w:val="227"/>
        </w:trPr>
        <w:tc>
          <w:tcPr>
            <w:tcW w:w="1655" w:type="pct"/>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tcPr>
          <w:p w:rsidR="00E20B54" w:rsidRDefault="00733C9E">
            <w:pPr>
              <w:pStyle w:val="a3"/>
              <w:widowControl/>
              <w:spacing w:beforeAutospacing="0" w:afterAutospacing="0"/>
              <w:jc w:val="both"/>
              <w:rPr>
                <w:sz w:val="18"/>
                <w:szCs w:val="18"/>
              </w:rPr>
            </w:pPr>
            <w:r>
              <w:rPr>
                <w:sz w:val="18"/>
                <w:szCs w:val="18"/>
              </w:rPr>
              <w:t>3-4</w:t>
            </w:r>
            <w:r>
              <w:rPr>
                <w:sz w:val="18"/>
                <w:szCs w:val="18"/>
              </w:rPr>
              <w:t>年</w:t>
            </w:r>
          </w:p>
        </w:tc>
        <w:tc>
          <w:tcPr>
            <w:tcW w:w="1673" w:type="pct"/>
            <w:tcBorders>
              <w:top w:val="nil"/>
              <w:left w:val="nil"/>
              <w:bottom w:val="single" w:sz="8" w:space="0" w:color="auto"/>
              <w:right w:val="single" w:sz="8" w:space="0" w:color="auto"/>
            </w:tcBorders>
            <w:shd w:val="clear" w:color="auto" w:fill="auto"/>
            <w:tcMar>
              <w:top w:w="0" w:type="dxa"/>
              <w:left w:w="108" w:type="dxa"/>
              <w:bottom w:w="0" w:type="dxa"/>
              <w:right w:w="108" w:type="dxa"/>
            </w:tcMar>
          </w:tcPr>
          <w:p w:rsidR="00E20B54" w:rsidRDefault="00733C9E">
            <w:pPr>
              <w:pStyle w:val="a3"/>
              <w:widowControl/>
              <w:spacing w:beforeAutospacing="0" w:afterAutospacing="0"/>
              <w:jc w:val="both"/>
              <w:rPr>
                <w:sz w:val="18"/>
                <w:szCs w:val="18"/>
              </w:rPr>
            </w:pPr>
            <w:r>
              <w:rPr>
                <w:sz w:val="18"/>
                <w:szCs w:val="18"/>
              </w:rPr>
              <w:t>50</w:t>
            </w:r>
          </w:p>
        </w:tc>
        <w:tc>
          <w:tcPr>
            <w:tcW w:w="1671" w:type="pct"/>
            <w:tcBorders>
              <w:top w:val="nil"/>
              <w:left w:val="nil"/>
              <w:bottom w:val="single" w:sz="8" w:space="0" w:color="auto"/>
              <w:right w:val="single" w:sz="8" w:space="0" w:color="auto"/>
            </w:tcBorders>
            <w:shd w:val="clear" w:color="auto" w:fill="auto"/>
            <w:tcMar>
              <w:top w:w="0" w:type="dxa"/>
              <w:left w:w="108" w:type="dxa"/>
              <w:bottom w:w="0" w:type="dxa"/>
              <w:right w:w="108" w:type="dxa"/>
            </w:tcMar>
          </w:tcPr>
          <w:p w:rsidR="00E20B54" w:rsidRDefault="00733C9E">
            <w:pPr>
              <w:pStyle w:val="a3"/>
              <w:widowControl/>
              <w:spacing w:beforeAutospacing="0" w:afterAutospacing="0"/>
              <w:jc w:val="both"/>
              <w:rPr>
                <w:sz w:val="18"/>
                <w:szCs w:val="18"/>
              </w:rPr>
            </w:pPr>
            <w:r>
              <w:rPr>
                <w:sz w:val="18"/>
                <w:szCs w:val="18"/>
              </w:rPr>
              <w:t>50</w:t>
            </w:r>
          </w:p>
        </w:tc>
      </w:tr>
      <w:tr w:rsidR="00E20B54">
        <w:trPr>
          <w:trHeight w:val="227"/>
        </w:trPr>
        <w:tc>
          <w:tcPr>
            <w:tcW w:w="1655" w:type="pct"/>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tcPr>
          <w:p w:rsidR="00E20B54" w:rsidRDefault="00733C9E">
            <w:pPr>
              <w:pStyle w:val="a3"/>
              <w:widowControl/>
              <w:spacing w:beforeAutospacing="0" w:afterAutospacing="0"/>
              <w:jc w:val="both"/>
              <w:rPr>
                <w:sz w:val="18"/>
                <w:szCs w:val="18"/>
              </w:rPr>
            </w:pPr>
            <w:r>
              <w:rPr>
                <w:sz w:val="18"/>
                <w:szCs w:val="18"/>
              </w:rPr>
              <w:t>4-5</w:t>
            </w:r>
            <w:r>
              <w:rPr>
                <w:sz w:val="18"/>
                <w:szCs w:val="18"/>
              </w:rPr>
              <w:t>年</w:t>
            </w:r>
          </w:p>
        </w:tc>
        <w:tc>
          <w:tcPr>
            <w:tcW w:w="1673" w:type="pct"/>
            <w:tcBorders>
              <w:top w:val="nil"/>
              <w:left w:val="nil"/>
              <w:bottom w:val="single" w:sz="8" w:space="0" w:color="auto"/>
              <w:right w:val="single" w:sz="8" w:space="0" w:color="auto"/>
            </w:tcBorders>
            <w:shd w:val="clear" w:color="auto" w:fill="auto"/>
            <w:tcMar>
              <w:top w:w="0" w:type="dxa"/>
              <w:left w:w="108" w:type="dxa"/>
              <w:bottom w:w="0" w:type="dxa"/>
              <w:right w:w="108" w:type="dxa"/>
            </w:tcMar>
          </w:tcPr>
          <w:p w:rsidR="00E20B54" w:rsidRDefault="00733C9E">
            <w:pPr>
              <w:pStyle w:val="a3"/>
              <w:widowControl/>
              <w:spacing w:beforeAutospacing="0" w:afterAutospacing="0"/>
              <w:jc w:val="both"/>
              <w:rPr>
                <w:sz w:val="18"/>
                <w:szCs w:val="18"/>
              </w:rPr>
            </w:pPr>
            <w:r>
              <w:rPr>
                <w:sz w:val="18"/>
                <w:szCs w:val="18"/>
              </w:rPr>
              <w:t>80</w:t>
            </w:r>
          </w:p>
        </w:tc>
        <w:tc>
          <w:tcPr>
            <w:tcW w:w="1671" w:type="pct"/>
            <w:tcBorders>
              <w:top w:val="nil"/>
              <w:left w:val="nil"/>
              <w:bottom w:val="single" w:sz="8" w:space="0" w:color="auto"/>
              <w:right w:val="single" w:sz="8" w:space="0" w:color="auto"/>
            </w:tcBorders>
            <w:shd w:val="clear" w:color="auto" w:fill="auto"/>
            <w:tcMar>
              <w:top w:w="0" w:type="dxa"/>
              <w:left w:w="108" w:type="dxa"/>
              <w:bottom w:w="0" w:type="dxa"/>
              <w:right w:w="108" w:type="dxa"/>
            </w:tcMar>
          </w:tcPr>
          <w:p w:rsidR="00E20B54" w:rsidRDefault="00733C9E">
            <w:pPr>
              <w:pStyle w:val="a3"/>
              <w:widowControl/>
              <w:spacing w:beforeAutospacing="0" w:afterAutospacing="0"/>
              <w:jc w:val="both"/>
              <w:rPr>
                <w:sz w:val="18"/>
                <w:szCs w:val="18"/>
              </w:rPr>
            </w:pPr>
            <w:r>
              <w:rPr>
                <w:sz w:val="18"/>
                <w:szCs w:val="18"/>
              </w:rPr>
              <w:t>100</w:t>
            </w:r>
          </w:p>
        </w:tc>
      </w:tr>
      <w:tr w:rsidR="00E20B54">
        <w:trPr>
          <w:trHeight w:val="227"/>
        </w:trPr>
        <w:tc>
          <w:tcPr>
            <w:tcW w:w="1655" w:type="pct"/>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tcPr>
          <w:p w:rsidR="00E20B54" w:rsidRDefault="00733C9E">
            <w:pPr>
              <w:pStyle w:val="a3"/>
              <w:widowControl/>
              <w:spacing w:beforeAutospacing="0" w:afterAutospacing="0"/>
              <w:jc w:val="both"/>
              <w:rPr>
                <w:sz w:val="18"/>
                <w:szCs w:val="18"/>
              </w:rPr>
            </w:pPr>
            <w:r>
              <w:rPr>
                <w:sz w:val="18"/>
                <w:szCs w:val="18"/>
              </w:rPr>
              <w:t>5</w:t>
            </w:r>
            <w:r>
              <w:rPr>
                <w:sz w:val="18"/>
                <w:szCs w:val="18"/>
              </w:rPr>
              <w:t>年以上</w:t>
            </w:r>
          </w:p>
        </w:tc>
        <w:tc>
          <w:tcPr>
            <w:tcW w:w="1673" w:type="pct"/>
            <w:tcBorders>
              <w:top w:val="nil"/>
              <w:left w:val="nil"/>
              <w:bottom w:val="single" w:sz="8" w:space="0" w:color="auto"/>
              <w:right w:val="single" w:sz="8" w:space="0" w:color="auto"/>
            </w:tcBorders>
            <w:shd w:val="clear" w:color="auto" w:fill="auto"/>
            <w:tcMar>
              <w:top w:w="0" w:type="dxa"/>
              <w:left w:w="108" w:type="dxa"/>
              <w:bottom w:w="0" w:type="dxa"/>
              <w:right w:w="108" w:type="dxa"/>
            </w:tcMar>
          </w:tcPr>
          <w:p w:rsidR="00E20B54" w:rsidRDefault="00733C9E">
            <w:pPr>
              <w:pStyle w:val="a3"/>
              <w:widowControl/>
              <w:spacing w:beforeAutospacing="0" w:afterAutospacing="0"/>
              <w:jc w:val="both"/>
              <w:rPr>
                <w:sz w:val="18"/>
                <w:szCs w:val="18"/>
              </w:rPr>
            </w:pPr>
            <w:r>
              <w:rPr>
                <w:sz w:val="18"/>
                <w:szCs w:val="18"/>
              </w:rPr>
              <w:t>100</w:t>
            </w:r>
          </w:p>
        </w:tc>
        <w:tc>
          <w:tcPr>
            <w:tcW w:w="1671" w:type="pct"/>
            <w:tcBorders>
              <w:top w:val="nil"/>
              <w:left w:val="nil"/>
              <w:bottom w:val="single" w:sz="8" w:space="0" w:color="auto"/>
              <w:right w:val="single" w:sz="8" w:space="0" w:color="auto"/>
            </w:tcBorders>
            <w:shd w:val="clear" w:color="auto" w:fill="auto"/>
            <w:tcMar>
              <w:top w:w="0" w:type="dxa"/>
              <w:left w:w="108" w:type="dxa"/>
              <w:bottom w:w="0" w:type="dxa"/>
              <w:right w:w="108" w:type="dxa"/>
            </w:tcMar>
          </w:tcPr>
          <w:p w:rsidR="00E20B54" w:rsidRDefault="00733C9E">
            <w:pPr>
              <w:pStyle w:val="a3"/>
              <w:widowControl/>
              <w:spacing w:beforeAutospacing="0" w:afterAutospacing="0"/>
              <w:jc w:val="both"/>
              <w:rPr>
                <w:sz w:val="18"/>
                <w:szCs w:val="18"/>
              </w:rPr>
            </w:pPr>
            <w:r>
              <w:rPr>
                <w:sz w:val="18"/>
                <w:szCs w:val="18"/>
              </w:rPr>
              <w:t>100</w:t>
            </w:r>
          </w:p>
        </w:tc>
      </w:tr>
    </w:tbl>
    <w:p w:rsidR="00E20B54" w:rsidRDefault="00733C9E" w:rsidP="00C57489">
      <w:pPr>
        <w:pStyle w:val="a3"/>
        <w:widowControl/>
        <w:spacing w:beforeLines="50" w:before="156" w:beforeAutospacing="0" w:after="10" w:afterAutospacing="0"/>
        <w:ind w:firstLine="420"/>
        <w:jc w:val="both"/>
        <w:rPr>
          <w:sz w:val="21"/>
          <w:szCs w:val="21"/>
        </w:rPr>
      </w:pPr>
      <w:r>
        <w:rPr>
          <w:sz w:val="21"/>
          <w:szCs w:val="21"/>
        </w:rPr>
        <w:t>对于存在客观证据表明存在减值，以及其他适用于单项评估的应收账款单独进行减值测试，确认预期信用损失，计提单项减值准备。</w:t>
      </w:r>
    </w:p>
    <w:p w:rsidR="00E20B54" w:rsidRDefault="00733C9E" w:rsidP="00C57489">
      <w:pPr>
        <w:pStyle w:val="a3"/>
        <w:widowControl/>
        <w:spacing w:beforeLines="50" w:before="156" w:beforeAutospacing="0" w:after="10" w:afterAutospacing="0"/>
        <w:ind w:firstLine="420"/>
        <w:jc w:val="both"/>
        <w:rPr>
          <w:sz w:val="21"/>
          <w:szCs w:val="21"/>
        </w:rPr>
      </w:pPr>
      <w:r>
        <w:rPr>
          <w:sz w:val="21"/>
          <w:szCs w:val="21"/>
        </w:rPr>
        <w:t>13.2</w:t>
      </w:r>
      <w:r>
        <w:rPr>
          <w:sz w:val="21"/>
          <w:szCs w:val="21"/>
        </w:rPr>
        <w:t>预期信用损失的会计处理方法</w:t>
      </w:r>
    </w:p>
    <w:p w:rsidR="00E20B54" w:rsidRDefault="00733C9E" w:rsidP="00C57489">
      <w:pPr>
        <w:pStyle w:val="a3"/>
        <w:widowControl/>
        <w:spacing w:beforeLines="50" w:before="156" w:beforeAutospacing="0" w:after="10" w:afterAutospacing="0"/>
        <w:ind w:firstLine="420"/>
        <w:jc w:val="both"/>
        <w:rPr>
          <w:sz w:val="21"/>
          <w:szCs w:val="21"/>
        </w:rPr>
      </w:pPr>
      <w:r>
        <w:rPr>
          <w:sz w:val="21"/>
          <w:szCs w:val="21"/>
        </w:rPr>
        <w:t>信用损失准备的增加或转回金额，作为减值损失或利得计入当期损益。</w:t>
      </w:r>
    </w:p>
    <w:p w:rsidR="00E20B54" w:rsidRDefault="00733C9E">
      <w:pPr>
        <w:pStyle w:val="3"/>
        <w:spacing w:line="280" w:lineRule="exact"/>
        <w:jc w:val="left"/>
        <w:rPr>
          <w:b/>
          <w:bCs/>
        </w:rPr>
      </w:pPr>
      <w:bookmarkStart w:id="178" w:name="_Toc989066"/>
      <w:r>
        <w:rPr>
          <w:b/>
          <w:bCs/>
        </w:rPr>
        <w:t>14</w:t>
      </w:r>
      <w:r>
        <w:rPr>
          <w:b/>
          <w:bCs/>
        </w:rPr>
        <w:t>、应收款项融资</w:t>
      </w:r>
      <w:bookmarkEnd w:id="178"/>
    </w:p>
    <w:p w:rsidR="00E20B54" w:rsidRDefault="00733C9E" w:rsidP="00C57489">
      <w:pPr>
        <w:pStyle w:val="a3"/>
        <w:widowControl/>
        <w:spacing w:beforeLines="50" w:before="156" w:beforeAutospacing="0" w:after="10" w:afterAutospacing="0"/>
        <w:ind w:firstLine="420"/>
        <w:jc w:val="both"/>
        <w:rPr>
          <w:sz w:val="21"/>
          <w:szCs w:val="21"/>
        </w:rPr>
      </w:pPr>
      <w:r>
        <w:rPr>
          <w:sz w:val="21"/>
          <w:szCs w:val="21"/>
        </w:rPr>
        <w:t>应收款项融资项目，反映资产负债表日以公允价值计量且其变动计入其他综合收益的应收票据和应收账款等。</w:t>
      </w:r>
    </w:p>
    <w:p w:rsidR="00E20B54" w:rsidRDefault="00733C9E" w:rsidP="00C57489">
      <w:pPr>
        <w:pStyle w:val="a3"/>
        <w:widowControl/>
        <w:spacing w:beforeLines="50" w:before="156" w:beforeAutospacing="0" w:after="10" w:afterAutospacing="0"/>
        <w:ind w:firstLine="420"/>
        <w:jc w:val="both"/>
        <w:rPr>
          <w:sz w:val="21"/>
          <w:szCs w:val="21"/>
        </w:rPr>
      </w:pPr>
      <w:r>
        <w:rPr>
          <w:sz w:val="21"/>
          <w:szCs w:val="21"/>
        </w:rPr>
        <w:t>此类金融资产的业务模式为既以收取合同现金流量为目标又以出售为目标，且此类金融资产的合同现金流量特征与基本借贷安排相一致。按照公允价值计量且其变动计入其他综合收益，但减值损失或利得、汇兑损益和按照实际利率法计算的利息收入计入当期损益。</w:t>
      </w:r>
    </w:p>
    <w:p w:rsidR="00E20B54" w:rsidRDefault="00733C9E" w:rsidP="00C57489">
      <w:pPr>
        <w:pStyle w:val="a3"/>
        <w:widowControl/>
        <w:spacing w:beforeLines="50" w:before="156" w:beforeAutospacing="0" w:after="10" w:afterAutospacing="0"/>
        <w:ind w:firstLine="420"/>
        <w:jc w:val="both"/>
        <w:rPr>
          <w:sz w:val="21"/>
          <w:szCs w:val="21"/>
        </w:rPr>
      </w:pPr>
      <w:r>
        <w:rPr>
          <w:sz w:val="21"/>
          <w:szCs w:val="21"/>
        </w:rPr>
        <w:t>除了单项评估信用风险的应收款项融资外，基于其信用风险特征，将其划分为不同组合：</w:t>
      </w:r>
    </w:p>
    <w:tbl>
      <w:tblPr>
        <w:tblW w:w="5000" w:type="pct"/>
        <w:tblBorders>
          <w:top w:val="none" w:sz="6" w:space="0" w:color="auto"/>
          <w:left w:val="none" w:sz="6" w:space="0" w:color="auto"/>
          <w:bottom w:val="none" w:sz="6" w:space="0" w:color="auto"/>
          <w:right w:val="none" w:sz="6" w:space="0" w:color="auto"/>
          <w:insideH w:val="outset" w:sz="6" w:space="0" w:color="auto"/>
          <w:insideV w:val="outset" w:sz="6" w:space="0" w:color="auto"/>
        </w:tblBorders>
        <w:tblCellMar>
          <w:top w:w="15" w:type="dxa"/>
          <w:left w:w="15" w:type="dxa"/>
          <w:bottom w:w="15" w:type="dxa"/>
          <w:right w:w="15" w:type="dxa"/>
        </w:tblCellMar>
        <w:tblLook w:val="04A0" w:firstRow="1" w:lastRow="0" w:firstColumn="1" w:lastColumn="0" w:noHBand="0" w:noVBand="1"/>
      </w:tblPr>
      <w:tblGrid>
        <w:gridCol w:w="2909"/>
        <w:gridCol w:w="6944"/>
      </w:tblGrid>
      <w:tr w:rsidR="00E20B54">
        <w:trPr>
          <w:trHeight w:val="378"/>
        </w:trPr>
        <w:tc>
          <w:tcPr>
            <w:tcW w:w="1476" w:type="pct"/>
            <w:tcBorders>
              <w:top w:val="single" w:sz="8" w:space="0" w:color="auto"/>
              <w:left w:val="single" w:sz="8" w:space="0" w:color="auto"/>
              <w:bottom w:val="single" w:sz="8" w:space="0" w:color="auto"/>
              <w:right w:val="single" w:sz="8" w:space="0" w:color="auto"/>
            </w:tcBorders>
            <w:shd w:val="clear" w:color="auto" w:fill="D8D8D8" w:themeFill="background1" w:themeFillShade="D8"/>
            <w:tcMar>
              <w:top w:w="0" w:type="dxa"/>
              <w:left w:w="108" w:type="dxa"/>
              <w:bottom w:w="0" w:type="dxa"/>
              <w:right w:w="108" w:type="dxa"/>
            </w:tcMar>
          </w:tcPr>
          <w:p w:rsidR="00E20B54" w:rsidRDefault="00733C9E">
            <w:pPr>
              <w:pStyle w:val="a3"/>
              <w:widowControl/>
              <w:spacing w:beforeAutospacing="0" w:afterAutospacing="0"/>
              <w:ind w:firstLine="420"/>
              <w:jc w:val="center"/>
              <w:rPr>
                <w:sz w:val="18"/>
                <w:szCs w:val="18"/>
              </w:rPr>
            </w:pPr>
            <w:r>
              <w:rPr>
                <w:sz w:val="18"/>
                <w:szCs w:val="18"/>
              </w:rPr>
              <w:t>项</w:t>
            </w:r>
            <w:r>
              <w:rPr>
                <w:sz w:val="18"/>
                <w:szCs w:val="18"/>
              </w:rPr>
              <w:t xml:space="preserve">  </w:t>
            </w:r>
            <w:r>
              <w:rPr>
                <w:sz w:val="18"/>
                <w:szCs w:val="18"/>
              </w:rPr>
              <w:t>目</w:t>
            </w:r>
          </w:p>
        </w:tc>
        <w:tc>
          <w:tcPr>
            <w:tcW w:w="3524" w:type="pct"/>
            <w:tcBorders>
              <w:top w:val="single" w:sz="8" w:space="0" w:color="auto"/>
              <w:left w:val="nil"/>
              <w:bottom w:val="single" w:sz="8" w:space="0" w:color="auto"/>
              <w:right w:val="single" w:sz="8" w:space="0" w:color="auto"/>
            </w:tcBorders>
            <w:shd w:val="clear" w:color="auto" w:fill="D8D8D8" w:themeFill="background1" w:themeFillShade="D8"/>
            <w:tcMar>
              <w:top w:w="0" w:type="dxa"/>
              <w:left w:w="108" w:type="dxa"/>
              <w:bottom w:w="0" w:type="dxa"/>
              <w:right w:w="108" w:type="dxa"/>
            </w:tcMar>
          </w:tcPr>
          <w:p w:rsidR="00E20B54" w:rsidRDefault="00733C9E">
            <w:pPr>
              <w:pStyle w:val="a3"/>
              <w:widowControl/>
              <w:spacing w:beforeAutospacing="0" w:afterAutospacing="0"/>
              <w:ind w:firstLine="420"/>
              <w:jc w:val="center"/>
              <w:rPr>
                <w:sz w:val="18"/>
                <w:szCs w:val="18"/>
              </w:rPr>
            </w:pPr>
            <w:r>
              <w:rPr>
                <w:sz w:val="18"/>
                <w:szCs w:val="18"/>
              </w:rPr>
              <w:t>确定组合的依据</w:t>
            </w:r>
          </w:p>
        </w:tc>
      </w:tr>
      <w:tr w:rsidR="00E20B54" w:rsidRPr="00295DC8">
        <w:trPr>
          <w:trHeight w:val="300"/>
        </w:trPr>
        <w:tc>
          <w:tcPr>
            <w:tcW w:w="1476" w:type="pct"/>
            <w:tcBorders>
              <w:top w:val="nil"/>
              <w:left w:val="single" w:sz="8" w:space="0" w:color="auto"/>
              <w:bottom w:val="single" w:sz="8" w:space="0" w:color="auto"/>
              <w:right w:val="single" w:sz="8" w:space="0" w:color="auto"/>
            </w:tcBorders>
            <w:shd w:val="clear" w:color="auto" w:fill="auto"/>
            <w:noWrap/>
            <w:tcMar>
              <w:top w:w="0" w:type="dxa"/>
              <w:left w:w="108" w:type="dxa"/>
              <w:bottom w:w="0" w:type="dxa"/>
              <w:right w:w="108" w:type="dxa"/>
            </w:tcMar>
            <w:vAlign w:val="center"/>
          </w:tcPr>
          <w:p w:rsidR="00E20B54" w:rsidRDefault="00733C9E" w:rsidP="00295DC8">
            <w:pPr>
              <w:jc w:val="center"/>
              <w:rPr>
                <w:sz w:val="18"/>
                <w:szCs w:val="18"/>
              </w:rPr>
            </w:pPr>
            <w:r>
              <w:rPr>
                <w:sz w:val="18"/>
                <w:szCs w:val="18"/>
              </w:rPr>
              <w:t>应收款项融资组合</w:t>
            </w:r>
            <w:r>
              <w:rPr>
                <w:sz w:val="18"/>
                <w:szCs w:val="18"/>
              </w:rPr>
              <w:t>1</w:t>
            </w:r>
          </w:p>
        </w:tc>
        <w:tc>
          <w:tcPr>
            <w:tcW w:w="3524" w:type="pct"/>
            <w:tcBorders>
              <w:top w:val="nil"/>
              <w:left w:val="nil"/>
              <w:bottom w:val="single" w:sz="8" w:space="0" w:color="auto"/>
              <w:right w:val="single" w:sz="8" w:space="0" w:color="auto"/>
            </w:tcBorders>
            <w:shd w:val="clear" w:color="auto" w:fill="auto"/>
            <w:noWrap/>
            <w:tcMar>
              <w:top w:w="0" w:type="dxa"/>
              <w:left w:w="108" w:type="dxa"/>
              <w:bottom w:w="0" w:type="dxa"/>
              <w:right w:w="108" w:type="dxa"/>
            </w:tcMar>
            <w:vAlign w:val="center"/>
          </w:tcPr>
          <w:p w:rsidR="00E20B54" w:rsidRDefault="00733C9E" w:rsidP="00295DC8">
            <w:pPr>
              <w:jc w:val="center"/>
              <w:rPr>
                <w:sz w:val="18"/>
                <w:szCs w:val="18"/>
              </w:rPr>
            </w:pPr>
            <w:r>
              <w:rPr>
                <w:sz w:val="18"/>
                <w:szCs w:val="18"/>
              </w:rPr>
              <w:t>本组合为信用等级较高银行承兑的银行承兑汇票</w:t>
            </w:r>
          </w:p>
        </w:tc>
      </w:tr>
      <w:tr w:rsidR="00E20B54" w:rsidRPr="00295DC8">
        <w:trPr>
          <w:trHeight w:val="300"/>
        </w:trPr>
        <w:tc>
          <w:tcPr>
            <w:tcW w:w="1476" w:type="pct"/>
            <w:tcBorders>
              <w:top w:val="nil"/>
              <w:left w:val="single" w:sz="8" w:space="0" w:color="auto"/>
              <w:bottom w:val="single" w:sz="8" w:space="0" w:color="auto"/>
              <w:right w:val="single" w:sz="8" w:space="0" w:color="auto"/>
            </w:tcBorders>
            <w:shd w:val="clear" w:color="auto" w:fill="auto"/>
            <w:noWrap/>
            <w:tcMar>
              <w:top w:w="0" w:type="dxa"/>
              <w:left w:w="108" w:type="dxa"/>
              <w:bottom w:w="0" w:type="dxa"/>
              <w:right w:w="108" w:type="dxa"/>
            </w:tcMar>
            <w:vAlign w:val="center"/>
          </w:tcPr>
          <w:p w:rsidR="00E20B54" w:rsidRDefault="00733C9E" w:rsidP="00295DC8">
            <w:pPr>
              <w:jc w:val="center"/>
              <w:rPr>
                <w:sz w:val="18"/>
                <w:szCs w:val="18"/>
              </w:rPr>
            </w:pPr>
            <w:r>
              <w:rPr>
                <w:sz w:val="18"/>
                <w:szCs w:val="18"/>
              </w:rPr>
              <w:t>应收款项融资组合</w:t>
            </w:r>
            <w:r>
              <w:rPr>
                <w:sz w:val="18"/>
                <w:szCs w:val="18"/>
              </w:rPr>
              <w:t>2</w:t>
            </w:r>
          </w:p>
        </w:tc>
        <w:tc>
          <w:tcPr>
            <w:tcW w:w="3524" w:type="pct"/>
            <w:tcBorders>
              <w:top w:val="nil"/>
              <w:left w:val="nil"/>
              <w:bottom w:val="single" w:sz="8" w:space="0" w:color="auto"/>
              <w:right w:val="single" w:sz="8" w:space="0" w:color="auto"/>
            </w:tcBorders>
            <w:shd w:val="clear" w:color="auto" w:fill="auto"/>
            <w:noWrap/>
            <w:tcMar>
              <w:top w:w="0" w:type="dxa"/>
              <w:left w:w="108" w:type="dxa"/>
              <w:bottom w:w="0" w:type="dxa"/>
              <w:right w:w="108" w:type="dxa"/>
            </w:tcMar>
            <w:vAlign w:val="center"/>
          </w:tcPr>
          <w:p w:rsidR="00E20B54" w:rsidRDefault="00733C9E" w:rsidP="00295DC8">
            <w:pPr>
              <w:jc w:val="center"/>
              <w:rPr>
                <w:sz w:val="18"/>
                <w:szCs w:val="18"/>
              </w:rPr>
            </w:pPr>
            <w:r>
              <w:rPr>
                <w:sz w:val="18"/>
                <w:szCs w:val="18"/>
              </w:rPr>
              <w:t>本组合为应收客户账款</w:t>
            </w:r>
          </w:p>
        </w:tc>
      </w:tr>
    </w:tbl>
    <w:p w:rsidR="00E20B54" w:rsidRDefault="00733C9E">
      <w:pPr>
        <w:pStyle w:val="3"/>
        <w:spacing w:line="280" w:lineRule="exact"/>
        <w:jc w:val="left"/>
        <w:rPr>
          <w:b/>
          <w:bCs/>
        </w:rPr>
      </w:pPr>
      <w:bookmarkStart w:id="179" w:name="_Toc989067"/>
      <w:r>
        <w:rPr>
          <w:b/>
          <w:bCs/>
        </w:rPr>
        <w:lastRenderedPageBreak/>
        <w:t>15</w:t>
      </w:r>
      <w:r>
        <w:rPr>
          <w:b/>
          <w:bCs/>
        </w:rPr>
        <w:t>、其他应收款</w:t>
      </w:r>
      <w:bookmarkEnd w:id="179"/>
    </w:p>
    <w:p w:rsidR="00E20B54" w:rsidRDefault="00733C9E" w:rsidP="00C57489">
      <w:pPr>
        <w:pStyle w:val="a3"/>
        <w:widowControl/>
        <w:spacing w:beforeLines="50" w:before="156" w:beforeAutospacing="0" w:after="10" w:afterAutospacing="0"/>
        <w:ind w:firstLine="420"/>
        <w:jc w:val="both"/>
        <w:rPr>
          <w:sz w:val="21"/>
          <w:szCs w:val="21"/>
        </w:rPr>
      </w:pPr>
      <w:r>
        <w:rPr>
          <w:sz w:val="21"/>
          <w:szCs w:val="21"/>
        </w:rPr>
        <w:t>其他应收款项目，反映资产负债表日</w:t>
      </w:r>
      <w:r>
        <w:rPr>
          <w:sz w:val="21"/>
          <w:szCs w:val="21"/>
        </w:rPr>
        <w:t>“</w:t>
      </w:r>
      <w:r>
        <w:rPr>
          <w:sz w:val="21"/>
          <w:szCs w:val="21"/>
        </w:rPr>
        <w:t>应收利息</w:t>
      </w:r>
      <w:r>
        <w:rPr>
          <w:sz w:val="21"/>
          <w:szCs w:val="21"/>
        </w:rPr>
        <w:t>”</w:t>
      </w:r>
      <w:r>
        <w:rPr>
          <w:sz w:val="21"/>
          <w:szCs w:val="21"/>
        </w:rPr>
        <w:t>、</w:t>
      </w:r>
      <w:r>
        <w:rPr>
          <w:sz w:val="21"/>
          <w:szCs w:val="21"/>
        </w:rPr>
        <w:t>“</w:t>
      </w:r>
      <w:r>
        <w:rPr>
          <w:sz w:val="21"/>
          <w:szCs w:val="21"/>
        </w:rPr>
        <w:t>应收股利</w:t>
      </w:r>
      <w:r>
        <w:rPr>
          <w:sz w:val="21"/>
          <w:szCs w:val="21"/>
        </w:rPr>
        <w:t>”</w:t>
      </w:r>
      <w:r>
        <w:rPr>
          <w:sz w:val="21"/>
          <w:szCs w:val="21"/>
        </w:rPr>
        <w:t>和</w:t>
      </w:r>
      <w:r>
        <w:rPr>
          <w:sz w:val="21"/>
          <w:szCs w:val="21"/>
        </w:rPr>
        <w:t>“</w:t>
      </w:r>
      <w:r>
        <w:rPr>
          <w:sz w:val="21"/>
          <w:szCs w:val="21"/>
        </w:rPr>
        <w:t>其他应收款</w:t>
      </w:r>
      <w:r>
        <w:rPr>
          <w:sz w:val="21"/>
          <w:szCs w:val="21"/>
        </w:rPr>
        <w:t>”</w:t>
      </w:r>
      <w:r>
        <w:rPr>
          <w:sz w:val="21"/>
          <w:szCs w:val="21"/>
        </w:rPr>
        <w:t>。其中的</w:t>
      </w:r>
      <w:r>
        <w:rPr>
          <w:sz w:val="21"/>
          <w:szCs w:val="21"/>
        </w:rPr>
        <w:t>“</w:t>
      </w:r>
      <w:r>
        <w:rPr>
          <w:sz w:val="21"/>
          <w:szCs w:val="21"/>
        </w:rPr>
        <w:t>应收利息</w:t>
      </w:r>
      <w:r>
        <w:rPr>
          <w:sz w:val="21"/>
          <w:szCs w:val="21"/>
        </w:rPr>
        <w:t>”</w:t>
      </w:r>
      <w:r>
        <w:rPr>
          <w:sz w:val="21"/>
          <w:szCs w:val="21"/>
        </w:rPr>
        <w:t>仅反映相关金融工具已到期可收取但于资产负债表日尚未收到的利息。</w:t>
      </w:r>
    </w:p>
    <w:p w:rsidR="00E20B54" w:rsidRDefault="00733C9E">
      <w:pPr>
        <w:pStyle w:val="a3"/>
        <w:widowControl/>
        <w:spacing w:beforeAutospacing="0" w:afterAutospacing="0" w:line="360" w:lineRule="auto"/>
        <w:ind w:firstLine="420"/>
        <w:jc w:val="both"/>
        <w:rPr>
          <w:sz w:val="21"/>
          <w:szCs w:val="21"/>
        </w:rPr>
      </w:pPr>
      <w:r>
        <w:rPr>
          <w:rStyle w:val="a4"/>
          <w:bCs/>
          <w:sz w:val="21"/>
          <w:szCs w:val="21"/>
        </w:rPr>
        <w:t>15.1</w:t>
      </w:r>
      <w:r>
        <w:rPr>
          <w:rStyle w:val="a4"/>
          <w:bCs/>
          <w:sz w:val="21"/>
          <w:szCs w:val="21"/>
        </w:rPr>
        <w:t>预期信用损失的确定方法</w:t>
      </w:r>
    </w:p>
    <w:p w:rsidR="00E20B54" w:rsidRDefault="00733C9E" w:rsidP="00C57489">
      <w:pPr>
        <w:pStyle w:val="a3"/>
        <w:widowControl/>
        <w:spacing w:beforeLines="50" w:before="156" w:beforeAutospacing="0" w:after="10" w:afterAutospacing="0"/>
        <w:ind w:firstLine="420"/>
        <w:jc w:val="both"/>
        <w:rPr>
          <w:sz w:val="21"/>
          <w:szCs w:val="21"/>
        </w:rPr>
      </w:pPr>
      <w:r>
        <w:rPr>
          <w:sz w:val="21"/>
          <w:szCs w:val="21"/>
        </w:rPr>
        <w:t>本公司基于单项和组合评估其他应收款的预期信用损失。如果有客观证据表明某项其他应收款已经发生信用减值，则本公司对该其他应收款在单项资产的基础上确定预期信用损失。</w:t>
      </w:r>
    </w:p>
    <w:p w:rsidR="00E20B54" w:rsidRDefault="00733C9E" w:rsidP="00C57489">
      <w:pPr>
        <w:pStyle w:val="a3"/>
        <w:widowControl/>
        <w:spacing w:beforeLines="50" w:before="156" w:beforeAutospacing="0" w:after="10" w:afterAutospacing="0"/>
        <w:ind w:firstLine="420"/>
        <w:jc w:val="both"/>
        <w:rPr>
          <w:sz w:val="21"/>
          <w:szCs w:val="21"/>
        </w:rPr>
      </w:pPr>
      <w:r>
        <w:rPr>
          <w:sz w:val="21"/>
          <w:szCs w:val="21"/>
        </w:rPr>
        <w:t>对于划分为组合的其他应收款，本公司依据其信用风险自初始确认后是否已经显著增加，采用相当于未来</w:t>
      </w:r>
      <w:r>
        <w:rPr>
          <w:sz w:val="21"/>
          <w:szCs w:val="21"/>
        </w:rPr>
        <w:t>12</w:t>
      </w:r>
      <w:r>
        <w:rPr>
          <w:sz w:val="21"/>
          <w:szCs w:val="21"/>
        </w:rPr>
        <w:t>个月内或整个存续期的预期信用损失的金额计量减值损失。</w:t>
      </w:r>
    </w:p>
    <w:p w:rsidR="00E20B54" w:rsidRDefault="00733C9E" w:rsidP="00C57489">
      <w:pPr>
        <w:pStyle w:val="a3"/>
        <w:widowControl/>
        <w:spacing w:beforeLines="50" w:before="156" w:beforeAutospacing="0" w:after="10" w:afterAutospacing="0"/>
        <w:ind w:firstLine="420"/>
        <w:jc w:val="both"/>
        <w:rPr>
          <w:sz w:val="21"/>
          <w:szCs w:val="21"/>
        </w:rPr>
      </w:pPr>
      <w:r>
        <w:rPr>
          <w:sz w:val="21"/>
          <w:szCs w:val="21"/>
        </w:rPr>
        <w:t>除了单项评估信用风险的其他应收款外，基于其信用风险特征，将其划分为不同组合：</w:t>
      </w:r>
    </w:p>
    <w:tbl>
      <w:tblPr>
        <w:tblW w:w="4882" w:type="pct"/>
        <w:tblBorders>
          <w:top w:val="none" w:sz="6" w:space="0" w:color="auto"/>
          <w:left w:val="none" w:sz="6" w:space="0" w:color="auto"/>
          <w:bottom w:val="none" w:sz="6" w:space="0" w:color="auto"/>
          <w:right w:val="none" w:sz="6" w:space="0" w:color="auto"/>
          <w:insideH w:val="outset" w:sz="6" w:space="0" w:color="auto"/>
          <w:insideV w:val="outset" w:sz="6" w:space="0" w:color="auto"/>
        </w:tblBorders>
        <w:tblCellMar>
          <w:top w:w="15" w:type="dxa"/>
          <w:left w:w="15" w:type="dxa"/>
          <w:bottom w:w="15" w:type="dxa"/>
          <w:right w:w="15" w:type="dxa"/>
        </w:tblCellMar>
        <w:tblLook w:val="04A0" w:firstRow="1" w:lastRow="0" w:firstColumn="1" w:lastColumn="0" w:noHBand="0" w:noVBand="1"/>
      </w:tblPr>
      <w:tblGrid>
        <w:gridCol w:w="3563"/>
        <w:gridCol w:w="6057"/>
      </w:tblGrid>
      <w:tr w:rsidR="00E20B54" w:rsidTr="00295DC8">
        <w:trPr>
          <w:trHeight w:val="20"/>
        </w:trPr>
        <w:tc>
          <w:tcPr>
            <w:tcW w:w="1852" w:type="pct"/>
            <w:tcBorders>
              <w:top w:val="single" w:sz="8" w:space="0" w:color="auto"/>
              <w:left w:val="single" w:sz="8" w:space="0" w:color="auto"/>
              <w:bottom w:val="single" w:sz="8" w:space="0" w:color="auto"/>
              <w:right w:val="single" w:sz="8" w:space="0" w:color="auto"/>
            </w:tcBorders>
            <w:shd w:val="clear" w:color="auto" w:fill="D8D8D8" w:themeFill="background1" w:themeFillShade="D8"/>
            <w:tcMar>
              <w:top w:w="0" w:type="dxa"/>
              <w:left w:w="108" w:type="dxa"/>
              <w:bottom w:w="0" w:type="dxa"/>
              <w:right w:w="108" w:type="dxa"/>
            </w:tcMar>
            <w:vAlign w:val="center"/>
          </w:tcPr>
          <w:p w:rsidR="00E20B54" w:rsidRDefault="00733C9E">
            <w:pPr>
              <w:pStyle w:val="a3"/>
              <w:widowControl/>
              <w:adjustRightInd w:val="0"/>
              <w:snapToGrid w:val="0"/>
              <w:spacing w:beforeAutospacing="0" w:afterAutospacing="0"/>
              <w:jc w:val="center"/>
              <w:rPr>
                <w:sz w:val="18"/>
                <w:szCs w:val="18"/>
              </w:rPr>
            </w:pPr>
            <w:r>
              <w:rPr>
                <w:rStyle w:val="a4"/>
                <w:sz w:val="18"/>
                <w:szCs w:val="18"/>
              </w:rPr>
              <w:t>组合名称</w:t>
            </w:r>
          </w:p>
        </w:tc>
        <w:tc>
          <w:tcPr>
            <w:tcW w:w="3148" w:type="pct"/>
            <w:tcBorders>
              <w:top w:val="single" w:sz="8" w:space="0" w:color="auto"/>
              <w:left w:val="nil"/>
              <w:bottom w:val="single" w:sz="8" w:space="0" w:color="auto"/>
              <w:right w:val="single" w:sz="8" w:space="0" w:color="auto"/>
            </w:tcBorders>
            <w:shd w:val="clear" w:color="auto" w:fill="D8D8D8" w:themeFill="background1" w:themeFillShade="D8"/>
            <w:tcMar>
              <w:top w:w="0" w:type="dxa"/>
              <w:left w:w="108" w:type="dxa"/>
              <w:bottom w:w="0" w:type="dxa"/>
              <w:right w:w="108" w:type="dxa"/>
            </w:tcMar>
            <w:vAlign w:val="center"/>
          </w:tcPr>
          <w:p w:rsidR="00E20B54" w:rsidRDefault="00733C9E">
            <w:pPr>
              <w:pStyle w:val="a3"/>
              <w:widowControl/>
              <w:adjustRightInd w:val="0"/>
              <w:snapToGrid w:val="0"/>
              <w:spacing w:beforeAutospacing="0" w:afterAutospacing="0"/>
              <w:jc w:val="center"/>
              <w:rPr>
                <w:sz w:val="18"/>
                <w:szCs w:val="18"/>
              </w:rPr>
            </w:pPr>
            <w:r>
              <w:rPr>
                <w:rStyle w:val="a4"/>
                <w:sz w:val="18"/>
                <w:szCs w:val="18"/>
              </w:rPr>
              <w:t>确定依据</w:t>
            </w:r>
          </w:p>
        </w:tc>
      </w:tr>
      <w:tr w:rsidR="00E20B54" w:rsidTr="00295DC8">
        <w:trPr>
          <w:trHeight w:val="20"/>
        </w:trPr>
        <w:tc>
          <w:tcPr>
            <w:tcW w:w="1852" w:type="pct"/>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tcPr>
          <w:p w:rsidR="00E20B54" w:rsidRDefault="00733C9E">
            <w:pPr>
              <w:pStyle w:val="a3"/>
              <w:widowControl/>
              <w:adjustRightInd w:val="0"/>
              <w:snapToGrid w:val="0"/>
              <w:spacing w:beforeAutospacing="0" w:afterAutospacing="0"/>
              <w:jc w:val="both"/>
              <w:rPr>
                <w:sz w:val="18"/>
                <w:szCs w:val="18"/>
              </w:rPr>
            </w:pPr>
            <w:r>
              <w:rPr>
                <w:sz w:val="18"/>
                <w:szCs w:val="18"/>
              </w:rPr>
              <w:t>其他应收款组合</w:t>
            </w:r>
            <w:r>
              <w:rPr>
                <w:sz w:val="18"/>
                <w:szCs w:val="18"/>
              </w:rPr>
              <w:t>1</w:t>
            </w:r>
          </w:p>
        </w:tc>
        <w:tc>
          <w:tcPr>
            <w:tcW w:w="3148" w:type="pct"/>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E20B54" w:rsidRDefault="00733C9E">
            <w:pPr>
              <w:pStyle w:val="a3"/>
              <w:widowControl/>
              <w:adjustRightInd w:val="0"/>
              <w:snapToGrid w:val="0"/>
              <w:spacing w:beforeAutospacing="0" w:afterAutospacing="0"/>
              <w:rPr>
                <w:sz w:val="18"/>
                <w:szCs w:val="18"/>
              </w:rPr>
            </w:pPr>
            <w:r>
              <w:rPr>
                <w:sz w:val="18"/>
                <w:szCs w:val="18"/>
              </w:rPr>
              <w:t>本组合为日常经常活动中应收取的各类押金、投标保证金、履约保证金、质量保证金等应收款项</w:t>
            </w:r>
          </w:p>
        </w:tc>
      </w:tr>
      <w:tr w:rsidR="00E20B54" w:rsidTr="00295DC8">
        <w:trPr>
          <w:trHeight w:val="20"/>
        </w:trPr>
        <w:tc>
          <w:tcPr>
            <w:tcW w:w="1852" w:type="pct"/>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tcPr>
          <w:p w:rsidR="00E20B54" w:rsidRDefault="00733C9E">
            <w:pPr>
              <w:pStyle w:val="a3"/>
              <w:widowControl/>
              <w:adjustRightInd w:val="0"/>
              <w:snapToGrid w:val="0"/>
              <w:spacing w:beforeAutospacing="0" w:afterAutospacing="0"/>
              <w:jc w:val="both"/>
              <w:rPr>
                <w:sz w:val="18"/>
                <w:szCs w:val="18"/>
              </w:rPr>
            </w:pPr>
            <w:r>
              <w:rPr>
                <w:sz w:val="18"/>
                <w:szCs w:val="18"/>
              </w:rPr>
              <w:t>其他应收款组合</w:t>
            </w:r>
            <w:r>
              <w:rPr>
                <w:sz w:val="18"/>
                <w:szCs w:val="18"/>
              </w:rPr>
              <w:t>2</w:t>
            </w:r>
          </w:p>
        </w:tc>
        <w:tc>
          <w:tcPr>
            <w:tcW w:w="3148" w:type="pct"/>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E20B54" w:rsidRDefault="00733C9E">
            <w:pPr>
              <w:pStyle w:val="a3"/>
              <w:widowControl/>
              <w:adjustRightInd w:val="0"/>
              <w:snapToGrid w:val="0"/>
              <w:spacing w:beforeAutospacing="0" w:afterAutospacing="0"/>
              <w:rPr>
                <w:sz w:val="18"/>
                <w:szCs w:val="18"/>
              </w:rPr>
            </w:pPr>
            <w:r>
              <w:rPr>
                <w:sz w:val="18"/>
                <w:szCs w:val="18"/>
              </w:rPr>
              <w:t>本组合为应向员工收取的备用金、代垫社保公积金、代垫费用等应收款项</w:t>
            </w:r>
          </w:p>
        </w:tc>
      </w:tr>
      <w:tr w:rsidR="00E20B54" w:rsidTr="00295DC8">
        <w:trPr>
          <w:trHeight w:val="20"/>
        </w:trPr>
        <w:tc>
          <w:tcPr>
            <w:tcW w:w="1852" w:type="pct"/>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tcPr>
          <w:p w:rsidR="00E20B54" w:rsidRDefault="00733C9E">
            <w:pPr>
              <w:pStyle w:val="a3"/>
              <w:widowControl/>
              <w:adjustRightInd w:val="0"/>
              <w:snapToGrid w:val="0"/>
              <w:spacing w:beforeAutospacing="0" w:afterAutospacing="0"/>
              <w:rPr>
                <w:sz w:val="18"/>
                <w:szCs w:val="18"/>
              </w:rPr>
            </w:pPr>
            <w:r>
              <w:rPr>
                <w:sz w:val="18"/>
                <w:szCs w:val="18"/>
              </w:rPr>
              <w:t>其他应收款组合</w:t>
            </w:r>
            <w:r>
              <w:rPr>
                <w:sz w:val="18"/>
                <w:szCs w:val="18"/>
              </w:rPr>
              <w:t>3</w:t>
            </w:r>
          </w:p>
        </w:tc>
        <w:tc>
          <w:tcPr>
            <w:tcW w:w="3148" w:type="pct"/>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E20B54" w:rsidRDefault="00733C9E">
            <w:pPr>
              <w:pStyle w:val="a3"/>
              <w:widowControl/>
              <w:adjustRightInd w:val="0"/>
              <w:snapToGrid w:val="0"/>
              <w:spacing w:beforeAutospacing="0" w:afterAutospacing="0"/>
              <w:rPr>
                <w:sz w:val="18"/>
                <w:szCs w:val="18"/>
              </w:rPr>
            </w:pPr>
            <w:r>
              <w:rPr>
                <w:sz w:val="18"/>
                <w:szCs w:val="18"/>
              </w:rPr>
              <w:t>本组合为应收其他款项</w:t>
            </w:r>
          </w:p>
        </w:tc>
      </w:tr>
    </w:tbl>
    <w:p w:rsidR="00E20B54" w:rsidRDefault="00733C9E" w:rsidP="00C57489">
      <w:pPr>
        <w:pStyle w:val="a3"/>
        <w:widowControl/>
        <w:spacing w:beforeLines="50" w:before="156" w:beforeAutospacing="0" w:afterLines="50" w:after="156" w:afterAutospacing="0"/>
        <w:ind w:firstLine="420"/>
        <w:jc w:val="both"/>
        <w:rPr>
          <w:sz w:val="21"/>
          <w:szCs w:val="21"/>
        </w:rPr>
      </w:pPr>
      <w:r>
        <w:rPr>
          <w:sz w:val="21"/>
          <w:szCs w:val="21"/>
        </w:rPr>
        <w:t>本公司在每个资产负债表日评估相关其他应收款的信用风险自初始确认后的变动情况。若该其他应收款的信用风险自初始确认后已显著增加，本公司按照相当于该其他应收款整个存续期内预期信用损失的金额计量其损失准备；若该其他应收款的信用风险自初始确认后并未显著增加，本公司按照相当于该其他应收款未来</w:t>
      </w:r>
      <w:r>
        <w:rPr>
          <w:sz w:val="21"/>
          <w:szCs w:val="21"/>
        </w:rPr>
        <w:t>12</w:t>
      </w:r>
      <w:r>
        <w:rPr>
          <w:sz w:val="21"/>
          <w:szCs w:val="21"/>
        </w:rPr>
        <w:t>个月内预期信用损失的金额计量其损失准备。</w:t>
      </w:r>
    </w:p>
    <w:p w:rsidR="00E20B54" w:rsidRDefault="00733C9E" w:rsidP="00C57489">
      <w:pPr>
        <w:pStyle w:val="a3"/>
        <w:widowControl/>
        <w:spacing w:beforeLines="50" w:before="156" w:beforeAutospacing="0" w:afterLines="50" w:after="156" w:afterAutospacing="0"/>
        <w:ind w:firstLine="420"/>
        <w:jc w:val="both"/>
        <w:rPr>
          <w:sz w:val="21"/>
          <w:szCs w:val="21"/>
        </w:rPr>
      </w:pPr>
      <w:r>
        <w:rPr>
          <w:rStyle w:val="a4"/>
          <w:bCs/>
          <w:sz w:val="21"/>
          <w:szCs w:val="21"/>
        </w:rPr>
        <w:t>15.2</w:t>
      </w:r>
      <w:r>
        <w:rPr>
          <w:rStyle w:val="a4"/>
          <w:bCs/>
          <w:sz w:val="21"/>
          <w:szCs w:val="21"/>
        </w:rPr>
        <w:t>预期信用损失的会计处理方法</w:t>
      </w:r>
    </w:p>
    <w:p w:rsidR="00E20B54" w:rsidRDefault="00733C9E" w:rsidP="00C57489">
      <w:pPr>
        <w:pStyle w:val="a3"/>
        <w:widowControl/>
        <w:spacing w:beforeLines="50" w:before="156" w:beforeAutospacing="0" w:afterLines="50" w:after="156" w:afterAutospacing="0"/>
        <w:ind w:firstLine="420"/>
        <w:jc w:val="both"/>
        <w:rPr>
          <w:sz w:val="21"/>
          <w:szCs w:val="21"/>
        </w:rPr>
      </w:pPr>
      <w:r>
        <w:rPr>
          <w:sz w:val="21"/>
          <w:szCs w:val="21"/>
        </w:rPr>
        <w:t>信用损失准备的增加或转回金额，作为减值损失或利得计入当期损益。</w:t>
      </w:r>
    </w:p>
    <w:p w:rsidR="00E20B54" w:rsidRDefault="00733C9E" w:rsidP="00C57489">
      <w:pPr>
        <w:pStyle w:val="a3"/>
        <w:widowControl/>
        <w:spacing w:beforeLines="50" w:before="156" w:beforeAutospacing="0" w:afterLines="50" w:after="156" w:afterAutospacing="0"/>
        <w:ind w:firstLine="420"/>
        <w:jc w:val="both"/>
        <w:rPr>
          <w:sz w:val="21"/>
          <w:szCs w:val="21"/>
        </w:rPr>
      </w:pPr>
      <w:r>
        <w:rPr>
          <w:sz w:val="21"/>
          <w:szCs w:val="21"/>
        </w:rPr>
        <w:t>本公司在前一会计期间已经按照相当于其他应收款整个存续期内预期信用损失的金额计量了损失准备，但在当期资产负债表日，该其他应收款已不再属于自初始确认后信用风险显著增加的情形的，本公司在当期资产负债表日按照相当于未来</w:t>
      </w:r>
      <w:r>
        <w:rPr>
          <w:sz w:val="21"/>
          <w:szCs w:val="21"/>
        </w:rPr>
        <w:t>12</w:t>
      </w:r>
      <w:r>
        <w:rPr>
          <w:sz w:val="21"/>
          <w:szCs w:val="21"/>
        </w:rPr>
        <w:t>个月内预期信用损失的金额计量该其他应收款的损失准备，由此形成的损失准备的转回金额作为减值利得计入当期损益。</w:t>
      </w:r>
    </w:p>
    <w:p w:rsidR="00E20B54" w:rsidRDefault="00733C9E" w:rsidP="00C57489">
      <w:pPr>
        <w:pStyle w:val="3"/>
        <w:spacing w:beforeLines="50" w:before="156" w:afterLines="50" w:after="156" w:line="240" w:lineRule="auto"/>
        <w:jc w:val="left"/>
        <w:rPr>
          <w:b/>
          <w:bCs/>
        </w:rPr>
      </w:pPr>
      <w:bookmarkStart w:id="180" w:name="_Toc989068"/>
      <w:r>
        <w:rPr>
          <w:b/>
          <w:bCs/>
        </w:rPr>
        <w:t>16</w:t>
      </w:r>
      <w:r>
        <w:rPr>
          <w:b/>
          <w:bCs/>
        </w:rPr>
        <w:t>、合同资产</w:t>
      </w:r>
      <w:bookmarkEnd w:id="180"/>
    </w:p>
    <w:p w:rsidR="00E20B54" w:rsidRDefault="00733C9E" w:rsidP="00C57489">
      <w:pPr>
        <w:pStyle w:val="a3"/>
        <w:widowControl/>
        <w:spacing w:beforeLines="50" w:before="156" w:beforeAutospacing="0" w:afterLines="50" w:after="156" w:afterAutospacing="0"/>
        <w:ind w:firstLine="420"/>
        <w:jc w:val="both"/>
        <w:rPr>
          <w:sz w:val="21"/>
          <w:szCs w:val="21"/>
        </w:rPr>
      </w:pPr>
      <w:r>
        <w:rPr>
          <w:rStyle w:val="a4"/>
          <w:bCs/>
          <w:sz w:val="21"/>
          <w:szCs w:val="21"/>
        </w:rPr>
        <w:t>（</w:t>
      </w:r>
      <w:r>
        <w:rPr>
          <w:rStyle w:val="a4"/>
          <w:bCs/>
          <w:sz w:val="21"/>
          <w:szCs w:val="21"/>
        </w:rPr>
        <w:t>1</w:t>
      </w:r>
      <w:r>
        <w:rPr>
          <w:rStyle w:val="a4"/>
          <w:bCs/>
          <w:sz w:val="21"/>
          <w:szCs w:val="21"/>
        </w:rPr>
        <w:t>）合同资产的确认方法及标准</w:t>
      </w:r>
    </w:p>
    <w:p w:rsidR="00E20B54" w:rsidRDefault="00733C9E" w:rsidP="00C57489">
      <w:pPr>
        <w:pStyle w:val="a3"/>
        <w:widowControl/>
        <w:spacing w:beforeLines="50" w:before="156" w:beforeAutospacing="0" w:afterLines="50" w:after="156" w:afterAutospacing="0"/>
        <w:ind w:firstLine="420"/>
        <w:jc w:val="both"/>
        <w:rPr>
          <w:sz w:val="21"/>
          <w:szCs w:val="21"/>
        </w:rPr>
      </w:pPr>
      <w:r>
        <w:rPr>
          <w:sz w:val="21"/>
          <w:szCs w:val="21"/>
        </w:rPr>
        <w:t>合同资产，是指本公司已向客户转让商品而有权收取对价的权利，且该权利取决于时间流逝之外的其他因素。本公司已向客户转移商品而拥有的、无条件（仅取决于时间流逝）向客户收取对价的权利作为应收款项列示。同一合同下的合同资产和合同负债以净额列示，不同合同下的合同资产和合同负债不予抵销。</w:t>
      </w:r>
    </w:p>
    <w:p w:rsidR="00E20B54" w:rsidRDefault="00733C9E" w:rsidP="00C57489">
      <w:pPr>
        <w:pStyle w:val="a3"/>
        <w:widowControl/>
        <w:spacing w:beforeLines="50" w:before="156" w:beforeAutospacing="0" w:afterLines="50" w:after="156" w:afterAutospacing="0"/>
        <w:ind w:firstLine="420"/>
        <w:jc w:val="both"/>
        <w:rPr>
          <w:sz w:val="21"/>
          <w:szCs w:val="21"/>
        </w:rPr>
      </w:pPr>
      <w:r>
        <w:rPr>
          <w:rStyle w:val="a4"/>
          <w:bCs/>
          <w:sz w:val="21"/>
          <w:szCs w:val="21"/>
        </w:rPr>
        <w:t>（</w:t>
      </w:r>
      <w:r>
        <w:rPr>
          <w:rStyle w:val="a4"/>
          <w:bCs/>
          <w:sz w:val="21"/>
          <w:szCs w:val="21"/>
        </w:rPr>
        <w:t>2</w:t>
      </w:r>
      <w:r>
        <w:rPr>
          <w:rStyle w:val="a4"/>
          <w:bCs/>
          <w:sz w:val="21"/>
          <w:szCs w:val="21"/>
        </w:rPr>
        <w:t>）合同资产预期信用损失的确定方法及会计处理方法</w:t>
      </w:r>
    </w:p>
    <w:p w:rsidR="00E20B54" w:rsidRDefault="00733C9E" w:rsidP="00C57489">
      <w:pPr>
        <w:pStyle w:val="a3"/>
        <w:widowControl/>
        <w:spacing w:beforeLines="50" w:before="156" w:beforeAutospacing="0" w:afterLines="50" w:after="156" w:afterAutospacing="0"/>
        <w:ind w:firstLine="420"/>
        <w:jc w:val="both"/>
        <w:rPr>
          <w:sz w:val="21"/>
          <w:szCs w:val="21"/>
        </w:rPr>
      </w:pPr>
      <w:r>
        <w:rPr>
          <w:sz w:val="21"/>
          <w:szCs w:val="21"/>
        </w:rPr>
        <w:t>本公司对由收入准则规范的交易形成的合同资产（无论是否包含重大融资成分），按照相当于整个存续期内预期信用损失的金额计量损失准备。</w:t>
      </w:r>
    </w:p>
    <w:p w:rsidR="00E20B54" w:rsidRDefault="00733C9E" w:rsidP="00C57489">
      <w:pPr>
        <w:pStyle w:val="a3"/>
        <w:widowControl/>
        <w:spacing w:beforeLines="50" w:before="156" w:beforeAutospacing="0" w:afterLines="50" w:after="156" w:afterAutospacing="0"/>
        <w:ind w:firstLine="420"/>
        <w:jc w:val="both"/>
        <w:rPr>
          <w:sz w:val="21"/>
          <w:szCs w:val="21"/>
        </w:rPr>
      </w:pPr>
      <w:r>
        <w:rPr>
          <w:sz w:val="21"/>
          <w:szCs w:val="21"/>
        </w:rPr>
        <w:t>本公司基于单项和组合评估合同资产的预期信用损失。如果有客观证据表明某项合同资产已经发生信用减值，则本公司对该合同资产在单项资产的基础上确定预期信用损失。对于划分为组合的合同资产，本公司参考历史信用损失经验，结合当前状况以及对未来经济状况的预测，通过违约风险敞口和整个存续期预期信用损失率，计算预期信用损失。</w:t>
      </w:r>
    </w:p>
    <w:p w:rsidR="00E20B54" w:rsidRDefault="00733C9E" w:rsidP="00C57489">
      <w:pPr>
        <w:pStyle w:val="a3"/>
        <w:widowControl/>
        <w:spacing w:beforeLines="50" w:before="156" w:beforeAutospacing="0" w:afterLines="50" w:after="156" w:afterAutospacing="0"/>
        <w:ind w:firstLine="420"/>
        <w:jc w:val="both"/>
        <w:rPr>
          <w:sz w:val="21"/>
          <w:szCs w:val="21"/>
        </w:rPr>
      </w:pPr>
      <w:r>
        <w:rPr>
          <w:sz w:val="21"/>
          <w:szCs w:val="21"/>
        </w:rPr>
        <w:lastRenderedPageBreak/>
        <w:t>按照信用风险特征组合计提坏账准备的组合类别及确定依据如下：</w:t>
      </w:r>
    </w:p>
    <w:tbl>
      <w:tblPr>
        <w:tblW w:w="4882" w:type="pct"/>
        <w:tblBorders>
          <w:top w:val="none" w:sz="6" w:space="0" w:color="auto"/>
          <w:left w:val="none" w:sz="6" w:space="0" w:color="auto"/>
          <w:bottom w:val="none" w:sz="6" w:space="0" w:color="auto"/>
          <w:right w:val="none" w:sz="6" w:space="0" w:color="auto"/>
          <w:insideH w:val="outset" w:sz="6" w:space="0" w:color="auto"/>
          <w:insideV w:val="outset" w:sz="6" w:space="0" w:color="auto"/>
        </w:tblBorders>
        <w:tblCellMar>
          <w:top w:w="15" w:type="dxa"/>
          <w:left w:w="15" w:type="dxa"/>
          <w:bottom w:w="15" w:type="dxa"/>
          <w:right w:w="15" w:type="dxa"/>
        </w:tblCellMar>
        <w:tblLook w:val="04A0" w:firstRow="1" w:lastRow="0" w:firstColumn="1" w:lastColumn="0" w:noHBand="0" w:noVBand="1"/>
      </w:tblPr>
      <w:tblGrid>
        <w:gridCol w:w="3563"/>
        <w:gridCol w:w="6057"/>
      </w:tblGrid>
      <w:tr w:rsidR="00E20B54" w:rsidRPr="00295DC8" w:rsidTr="00295DC8">
        <w:trPr>
          <w:trHeight w:val="227"/>
        </w:trPr>
        <w:tc>
          <w:tcPr>
            <w:tcW w:w="1852" w:type="pct"/>
            <w:tcBorders>
              <w:top w:val="single" w:sz="8" w:space="0" w:color="auto"/>
              <w:left w:val="single" w:sz="8" w:space="0" w:color="auto"/>
              <w:bottom w:val="single" w:sz="8" w:space="0" w:color="auto"/>
              <w:right w:val="single" w:sz="8" w:space="0" w:color="auto"/>
            </w:tcBorders>
            <w:shd w:val="clear" w:color="auto" w:fill="D9D9D9" w:themeFill="background1" w:themeFillShade="D9"/>
            <w:tcMar>
              <w:top w:w="0" w:type="dxa"/>
              <w:left w:w="108" w:type="dxa"/>
              <w:bottom w:w="0" w:type="dxa"/>
              <w:right w:w="108" w:type="dxa"/>
            </w:tcMar>
            <w:vAlign w:val="center"/>
          </w:tcPr>
          <w:p w:rsidR="00E20B54" w:rsidRPr="00295DC8" w:rsidRDefault="00733C9E">
            <w:pPr>
              <w:pStyle w:val="a3"/>
              <w:widowControl/>
              <w:spacing w:beforeAutospacing="0" w:afterAutospacing="0"/>
              <w:jc w:val="center"/>
              <w:rPr>
                <w:sz w:val="18"/>
                <w:szCs w:val="21"/>
              </w:rPr>
            </w:pPr>
            <w:r w:rsidRPr="00295DC8">
              <w:rPr>
                <w:rStyle w:val="a4"/>
                <w:sz w:val="18"/>
                <w:szCs w:val="21"/>
              </w:rPr>
              <w:t>组合名称</w:t>
            </w:r>
          </w:p>
        </w:tc>
        <w:tc>
          <w:tcPr>
            <w:tcW w:w="3148" w:type="pct"/>
            <w:tcBorders>
              <w:top w:val="single" w:sz="8" w:space="0" w:color="auto"/>
              <w:left w:val="nil"/>
              <w:bottom w:val="single" w:sz="8" w:space="0" w:color="auto"/>
              <w:right w:val="single" w:sz="8" w:space="0" w:color="auto"/>
            </w:tcBorders>
            <w:shd w:val="clear" w:color="auto" w:fill="D9D9D9" w:themeFill="background1" w:themeFillShade="D9"/>
            <w:tcMar>
              <w:top w:w="0" w:type="dxa"/>
              <w:left w:w="108" w:type="dxa"/>
              <w:bottom w:w="0" w:type="dxa"/>
              <w:right w:w="108" w:type="dxa"/>
            </w:tcMar>
            <w:vAlign w:val="center"/>
          </w:tcPr>
          <w:p w:rsidR="00E20B54" w:rsidRPr="00295DC8" w:rsidRDefault="00733C9E">
            <w:pPr>
              <w:pStyle w:val="a3"/>
              <w:widowControl/>
              <w:spacing w:beforeAutospacing="0" w:afterAutospacing="0"/>
              <w:jc w:val="center"/>
              <w:rPr>
                <w:sz w:val="18"/>
                <w:szCs w:val="21"/>
              </w:rPr>
            </w:pPr>
            <w:r w:rsidRPr="00295DC8">
              <w:rPr>
                <w:rStyle w:val="a4"/>
                <w:sz w:val="18"/>
                <w:szCs w:val="21"/>
              </w:rPr>
              <w:t>确定依据</w:t>
            </w:r>
          </w:p>
        </w:tc>
      </w:tr>
      <w:tr w:rsidR="00E20B54" w:rsidRPr="00295DC8" w:rsidTr="00295DC8">
        <w:trPr>
          <w:trHeight w:val="227"/>
        </w:trPr>
        <w:tc>
          <w:tcPr>
            <w:tcW w:w="1852" w:type="pct"/>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tcPr>
          <w:p w:rsidR="00E20B54" w:rsidRPr="00295DC8" w:rsidRDefault="00733C9E">
            <w:pPr>
              <w:pStyle w:val="a3"/>
              <w:widowControl/>
              <w:spacing w:beforeAutospacing="0" w:afterAutospacing="0"/>
              <w:jc w:val="both"/>
              <w:rPr>
                <w:sz w:val="18"/>
                <w:szCs w:val="21"/>
              </w:rPr>
            </w:pPr>
            <w:r w:rsidRPr="00295DC8">
              <w:rPr>
                <w:sz w:val="18"/>
                <w:szCs w:val="21"/>
              </w:rPr>
              <w:t>合同资产组合</w:t>
            </w:r>
            <w:r w:rsidRPr="00295DC8">
              <w:rPr>
                <w:sz w:val="18"/>
                <w:szCs w:val="21"/>
              </w:rPr>
              <w:t>1</w:t>
            </w:r>
          </w:p>
        </w:tc>
        <w:tc>
          <w:tcPr>
            <w:tcW w:w="3148" w:type="pct"/>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E20B54" w:rsidRPr="00295DC8" w:rsidRDefault="00733C9E">
            <w:pPr>
              <w:pStyle w:val="a3"/>
              <w:widowControl/>
              <w:spacing w:beforeAutospacing="0" w:afterAutospacing="0"/>
              <w:rPr>
                <w:sz w:val="18"/>
                <w:szCs w:val="21"/>
              </w:rPr>
            </w:pPr>
            <w:r w:rsidRPr="00295DC8">
              <w:rPr>
                <w:sz w:val="18"/>
                <w:szCs w:val="21"/>
              </w:rPr>
              <w:t>本组合为政府部门、教育医疗单位的应收款项</w:t>
            </w:r>
          </w:p>
        </w:tc>
      </w:tr>
      <w:tr w:rsidR="00E20B54" w:rsidRPr="00295DC8" w:rsidTr="00295DC8">
        <w:trPr>
          <w:trHeight w:val="227"/>
        </w:trPr>
        <w:tc>
          <w:tcPr>
            <w:tcW w:w="1852" w:type="pct"/>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tcPr>
          <w:p w:rsidR="00E20B54" w:rsidRPr="00295DC8" w:rsidRDefault="00733C9E">
            <w:pPr>
              <w:pStyle w:val="a3"/>
              <w:widowControl/>
              <w:spacing w:beforeAutospacing="0" w:afterAutospacing="0"/>
              <w:jc w:val="both"/>
              <w:rPr>
                <w:sz w:val="18"/>
                <w:szCs w:val="21"/>
              </w:rPr>
            </w:pPr>
            <w:r w:rsidRPr="00295DC8">
              <w:rPr>
                <w:sz w:val="18"/>
                <w:szCs w:val="21"/>
              </w:rPr>
              <w:t>合同资产组合</w:t>
            </w:r>
            <w:r w:rsidRPr="00295DC8">
              <w:rPr>
                <w:sz w:val="18"/>
                <w:szCs w:val="21"/>
              </w:rPr>
              <w:t>2</w:t>
            </w:r>
          </w:p>
        </w:tc>
        <w:tc>
          <w:tcPr>
            <w:tcW w:w="3148" w:type="pct"/>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E20B54" w:rsidRPr="00295DC8" w:rsidRDefault="00733C9E">
            <w:pPr>
              <w:pStyle w:val="a3"/>
              <w:widowControl/>
              <w:spacing w:beforeAutospacing="0" w:afterAutospacing="0"/>
              <w:rPr>
                <w:sz w:val="18"/>
                <w:szCs w:val="21"/>
              </w:rPr>
            </w:pPr>
            <w:r w:rsidRPr="00295DC8">
              <w:rPr>
                <w:sz w:val="18"/>
                <w:szCs w:val="21"/>
              </w:rPr>
              <w:t>本组合为企业及其他单位的应收款项</w:t>
            </w:r>
          </w:p>
        </w:tc>
      </w:tr>
    </w:tbl>
    <w:p w:rsidR="00E20B54" w:rsidRDefault="00733C9E">
      <w:pPr>
        <w:pStyle w:val="a3"/>
        <w:widowControl/>
        <w:spacing w:before="145" w:beforeAutospacing="0" w:afterAutospacing="0" w:line="360" w:lineRule="auto"/>
        <w:ind w:firstLine="420"/>
        <w:jc w:val="both"/>
        <w:rPr>
          <w:sz w:val="21"/>
          <w:szCs w:val="21"/>
        </w:rPr>
      </w:pPr>
      <w:r>
        <w:rPr>
          <w:sz w:val="21"/>
          <w:szCs w:val="21"/>
        </w:rPr>
        <w:t>预期信用损失的会计处理方法，信用损失准备的增加或转回金额，作为减值损失或利得计入当期损益。</w:t>
      </w:r>
    </w:p>
    <w:p w:rsidR="00E20B54" w:rsidRDefault="00733C9E">
      <w:pPr>
        <w:pStyle w:val="a3"/>
        <w:widowControl/>
        <w:spacing w:beforeAutospacing="0" w:afterAutospacing="0" w:line="360" w:lineRule="auto"/>
        <w:ind w:firstLine="420"/>
        <w:jc w:val="both"/>
        <w:rPr>
          <w:sz w:val="21"/>
          <w:szCs w:val="21"/>
        </w:rPr>
      </w:pPr>
      <w:r>
        <w:rPr>
          <w:sz w:val="21"/>
          <w:szCs w:val="21"/>
        </w:rPr>
        <w:t>基于账龄确认信用风险特征组合的账龄计算方法如下：</w:t>
      </w:r>
    </w:p>
    <w:tbl>
      <w:tblPr>
        <w:tblW w:w="5000" w:type="pct"/>
        <w:tblBorders>
          <w:top w:val="none" w:sz="6" w:space="0" w:color="auto"/>
          <w:left w:val="none" w:sz="6" w:space="0" w:color="auto"/>
          <w:bottom w:val="none" w:sz="6" w:space="0" w:color="auto"/>
          <w:right w:val="none" w:sz="6" w:space="0" w:color="auto"/>
          <w:insideH w:val="outset" w:sz="6" w:space="0" w:color="auto"/>
          <w:insideV w:val="outset" w:sz="6" w:space="0" w:color="auto"/>
        </w:tblBorders>
        <w:tblCellMar>
          <w:top w:w="15" w:type="dxa"/>
          <w:left w:w="15" w:type="dxa"/>
          <w:bottom w:w="15" w:type="dxa"/>
          <w:right w:w="15" w:type="dxa"/>
        </w:tblCellMar>
        <w:tblLook w:val="04A0" w:firstRow="1" w:lastRow="0" w:firstColumn="1" w:lastColumn="0" w:noHBand="0" w:noVBand="1"/>
      </w:tblPr>
      <w:tblGrid>
        <w:gridCol w:w="3262"/>
        <w:gridCol w:w="3298"/>
        <w:gridCol w:w="3293"/>
      </w:tblGrid>
      <w:tr w:rsidR="00E20B54" w:rsidRPr="00295DC8" w:rsidTr="00295DC8">
        <w:trPr>
          <w:trHeight w:val="170"/>
        </w:trPr>
        <w:tc>
          <w:tcPr>
            <w:tcW w:w="1655" w:type="pct"/>
            <w:tcBorders>
              <w:top w:val="single" w:sz="8" w:space="0" w:color="auto"/>
              <w:left w:val="single" w:sz="8" w:space="0" w:color="auto"/>
              <w:bottom w:val="single" w:sz="8" w:space="0" w:color="auto"/>
              <w:right w:val="single" w:sz="8" w:space="0" w:color="auto"/>
            </w:tcBorders>
            <w:shd w:val="clear" w:color="auto" w:fill="D9D9D9" w:themeFill="background1" w:themeFillShade="D9"/>
            <w:tcMar>
              <w:top w:w="0" w:type="dxa"/>
              <w:left w:w="108" w:type="dxa"/>
              <w:bottom w:w="0" w:type="dxa"/>
              <w:right w:w="108" w:type="dxa"/>
            </w:tcMar>
            <w:vAlign w:val="center"/>
          </w:tcPr>
          <w:p w:rsidR="00E20B54" w:rsidRPr="00295DC8" w:rsidRDefault="00733C9E">
            <w:pPr>
              <w:pStyle w:val="a3"/>
              <w:widowControl/>
              <w:spacing w:beforeAutospacing="0" w:afterAutospacing="0"/>
              <w:jc w:val="center"/>
              <w:rPr>
                <w:sz w:val="18"/>
                <w:szCs w:val="21"/>
              </w:rPr>
            </w:pPr>
            <w:r w:rsidRPr="00295DC8">
              <w:rPr>
                <w:rStyle w:val="a4"/>
                <w:sz w:val="18"/>
                <w:szCs w:val="21"/>
              </w:rPr>
              <w:t>账龄</w:t>
            </w:r>
          </w:p>
        </w:tc>
        <w:tc>
          <w:tcPr>
            <w:tcW w:w="1673" w:type="pct"/>
            <w:tcBorders>
              <w:top w:val="single" w:sz="8" w:space="0" w:color="auto"/>
              <w:left w:val="nil"/>
              <w:bottom w:val="single" w:sz="8" w:space="0" w:color="auto"/>
              <w:right w:val="single" w:sz="8" w:space="0" w:color="auto"/>
            </w:tcBorders>
            <w:shd w:val="clear" w:color="auto" w:fill="D9D9D9" w:themeFill="background1" w:themeFillShade="D9"/>
            <w:tcMar>
              <w:top w:w="0" w:type="dxa"/>
              <w:left w:w="108" w:type="dxa"/>
              <w:bottom w:w="0" w:type="dxa"/>
              <w:right w:w="108" w:type="dxa"/>
            </w:tcMar>
            <w:vAlign w:val="center"/>
          </w:tcPr>
          <w:p w:rsidR="00E20B54" w:rsidRPr="00295DC8" w:rsidRDefault="00733C9E">
            <w:pPr>
              <w:pStyle w:val="a3"/>
              <w:widowControl/>
              <w:spacing w:beforeAutospacing="0" w:afterAutospacing="0" w:line="360" w:lineRule="atLeast"/>
              <w:ind w:firstLine="420"/>
              <w:jc w:val="center"/>
              <w:rPr>
                <w:sz w:val="18"/>
                <w:szCs w:val="21"/>
              </w:rPr>
            </w:pPr>
            <w:r w:rsidRPr="00295DC8">
              <w:rPr>
                <w:sz w:val="18"/>
                <w:szCs w:val="21"/>
              </w:rPr>
              <w:t>合同资产组合</w:t>
            </w:r>
            <w:r w:rsidRPr="00295DC8">
              <w:rPr>
                <w:sz w:val="18"/>
                <w:szCs w:val="21"/>
              </w:rPr>
              <w:t>1</w:t>
            </w:r>
          </w:p>
          <w:p w:rsidR="00E20B54" w:rsidRPr="00295DC8" w:rsidRDefault="00733C9E">
            <w:pPr>
              <w:pStyle w:val="a3"/>
              <w:widowControl/>
              <w:spacing w:beforeAutospacing="0" w:afterAutospacing="0" w:line="360" w:lineRule="atLeast"/>
              <w:ind w:firstLine="420"/>
              <w:jc w:val="center"/>
              <w:rPr>
                <w:sz w:val="18"/>
                <w:szCs w:val="21"/>
              </w:rPr>
            </w:pPr>
            <w:r w:rsidRPr="00295DC8">
              <w:rPr>
                <w:sz w:val="18"/>
                <w:szCs w:val="21"/>
              </w:rPr>
              <w:t>预期信用损失率（</w:t>
            </w:r>
            <w:r w:rsidRPr="00295DC8">
              <w:rPr>
                <w:sz w:val="18"/>
                <w:szCs w:val="21"/>
              </w:rPr>
              <w:t>%</w:t>
            </w:r>
            <w:r w:rsidRPr="00295DC8">
              <w:rPr>
                <w:sz w:val="18"/>
                <w:szCs w:val="21"/>
              </w:rPr>
              <w:t>）</w:t>
            </w:r>
          </w:p>
        </w:tc>
        <w:tc>
          <w:tcPr>
            <w:tcW w:w="1671" w:type="pct"/>
            <w:tcBorders>
              <w:top w:val="single" w:sz="8" w:space="0" w:color="auto"/>
              <w:left w:val="nil"/>
              <w:bottom w:val="single" w:sz="8" w:space="0" w:color="auto"/>
              <w:right w:val="single" w:sz="8" w:space="0" w:color="auto"/>
            </w:tcBorders>
            <w:shd w:val="clear" w:color="auto" w:fill="D9D9D9" w:themeFill="background1" w:themeFillShade="D9"/>
            <w:tcMar>
              <w:top w:w="0" w:type="dxa"/>
              <w:left w:w="108" w:type="dxa"/>
              <w:bottom w:w="0" w:type="dxa"/>
              <w:right w:w="108" w:type="dxa"/>
            </w:tcMar>
            <w:vAlign w:val="center"/>
          </w:tcPr>
          <w:p w:rsidR="00E20B54" w:rsidRPr="00295DC8" w:rsidRDefault="00733C9E">
            <w:pPr>
              <w:pStyle w:val="a3"/>
              <w:widowControl/>
              <w:spacing w:beforeAutospacing="0" w:afterAutospacing="0" w:line="360" w:lineRule="atLeast"/>
              <w:ind w:firstLine="420"/>
              <w:jc w:val="center"/>
              <w:rPr>
                <w:sz w:val="18"/>
                <w:szCs w:val="21"/>
              </w:rPr>
            </w:pPr>
            <w:r w:rsidRPr="00295DC8">
              <w:rPr>
                <w:sz w:val="18"/>
                <w:szCs w:val="21"/>
              </w:rPr>
              <w:t>合同资产组合</w:t>
            </w:r>
            <w:r w:rsidRPr="00295DC8">
              <w:rPr>
                <w:sz w:val="18"/>
                <w:szCs w:val="21"/>
              </w:rPr>
              <w:t>2</w:t>
            </w:r>
          </w:p>
          <w:p w:rsidR="00E20B54" w:rsidRPr="00295DC8" w:rsidRDefault="00733C9E">
            <w:pPr>
              <w:pStyle w:val="a3"/>
              <w:widowControl/>
              <w:spacing w:beforeAutospacing="0" w:afterAutospacing="0" w:line="360" w:lineRule="atLeast"/>
              <w:ind w:firstLine="420"/>
              <w:jc w:val="center"/>
              <w:rPr>
                <w:sz w:val="18"/>
                <w:szCs w:val="21"/>
              </w:rPr>
            </w:pPr>
            <w:r w:rsidRPr="00295DC8">
              <w:rPr>
                <w:sz w:val="18"/>
                <w:szCs w:val="21"/>
              </w:rPr>
              <w:t>预期信用损失率（</w:t>
            </w:r>
            <w:r w:rsidRPr="00295DC8">
              <w:rPr>
                <w:sz w:val="18"/>
                <w:szCs w:val="21"/>
              </w:rPr>
              <w:t>%</w:t>
            </w:r>
            <w:r w:rsidRPr="00295DC8">
              <w:rPr>
                <w:sz w:val="18"/>
                <w:szCs w:val="21"/>
              </w:rPr>
              <w:t>）</w:t>
            </w:r>
          </w:p>
        </w:tc>
      </w:tr>
      <w:tr w:rsidR="00E20B54" w:rsidRPr="00295DC8" w:rsidTr="00295DC8">
        <w:trPr>
          <w:trHeight w:val="170"/>
        </w:trPr>
        <w:tc>
          <w:tcPr>
            <w:tcW w:w="1655" w:type="pct"/>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tcPr>
          <w:p w:rsidR="00E20B54" w:rsidRPr="00295DC8" w:rsidRDefault="00733C9E">
            <w:pPr>
              <w:pStyle w:val="a3"/>
              <w:widowControl/>
              <w:spacing w:beforeAutospacing="0" w:afterAutospacing="0"/>
              <w:rPr>
                <w:sz w:val="18"/>
                <w:szCs w:val="21"/>
              </w:rPr>
            </w:pPr>
            <w:r w:rsidRPr="00295DC8">
              <w:rPr>
                <w:sz w:val="18"/>
                <w:szCs w:val="21"/>
              </w:rPr>
              <w:t>1</w:t>
            </w:r>
            <w:r w:rsidRPr="00295DC8">
              <w:rPr>
                <w:sz w:val="18"/>
                <w:szCs w:val="21"/>
              </w:rPr>
              <w:t>年以内（含</w:t>
            </w:r>
            <w:r w:rsidRPr="00295DC8">
              <w:rPr>
                <w:sz w:val="18"/>
                <w:szCs w:val="21"/>
              </w:rPr>
              <w:t>1</w:t>
            </w:r>
            <w:r w:rsidRPr="00295DC8">
              <w:rPr>
                <w:sz w:val="18"/>
                <w:szCs w:val="21"/>
              </w:rPr>
              <w:t>年）</w:t>
            </w:r>
          </w:p>
        </w:tc>
        <w:tc>
          <w:tcPr>
            <w:tcW w:w="1673" w:type="pct"/>
            <w:tcBorders>
              <w:top w:val="nil"/>
              <w:left w:val="nil"/>
              <w:bottom w:val="single" w:sz="8" w:space="0" w:color="auto"/>
              <w:right w:val="single" w:sz="8" w:space="0" w:color="auto"/>
            </w:tcBorders>
            <w:shd w:val="clear" w:color="auto" w:fill="auto"/>
            <w:tcMar>
              <w:top w:w="0" w:type="dxa"/>
              <w:left w:w="108" w:type="dxa"/>
              <w:bottom w:w="0" w:type="dxa"/>
              <w:right w:w="108" w:type="dxa"/>
            </w:tcMar>
          </w:tcPr>
          <w:p w:rsidR="00E20B54" w:rsidRPr="00295DC8" w:rsidRDefault="00733C9E">
            <w:pPr>
              <w:pStyle w:val="a3"/>
              <w:widowControl/>
              <w:spacing w:beforeAutospacing="0" w:afterAutospacing="0"/>
              <w:jc w:val="center"/>
              <w:rPr>
                <w:sz w:val="18"/>
                <w:szCs w:val="21"/>
              </w:rPr>
            </w:pPr>
            <w:r w:rsidRPr="00295DC8">
              <w:rPr>
                <w:sz w:val="18"/>
                <w:szCs w:val="21"/>
              </w:rPr>
              <w:t>5</w:t>
            </w:r>
          </w:p>
        </w:tc>
        <w:tc>
          <w:tcPr>
            <w:tcW w:w="1671" w:type="pct"/>
            <w:tcBorders>
              <w:top w:val="nil"/>
              <w:left w:val="nil"/>
              <w:bottom w:val="single" w:sz="8" w:space="0" w:color="auto"/>
              <w:right w:val="single" w:sz="8" w:space="0" w:color="auto"/>
            </w:tcBorders>
            <w:shd w:val="clear" w:color="auto" w:fill="auto"/>
            <w:tcMar>
              <w:top w:w="0" w:type="dxa"/>
              <w:left w:w="108" w:type="dxa"/>
              <w:bottom w:w="0" w:type="dxa"/>
              <w:right w:w="108" w:type="dxa"/>
            </w:tcMar>
          </w:tcPr>
          <w:p w:rsidR="00E20B54" w:rsidRPr="00295DC8" w:rsidRDefault="00733C9E">
            <w:pPr>
              <w:pStyle w:val="a3"/>
              <w:widowControl/>
              <w:spacing w:beforeAutospacing="0" w:afterAutospacing="0"/>
              <w:jc w:val="center"/>
              <w:rPr>
                <w:sz w:val="18"/>
                <w:szCs w:val="21"/>
              </w:rPr>
            </w:pPr>
            <w:r w:rsidRPr="00295DC8">
              <w:rPr>
                <w:sz w:val="18"/>
                <w:szCs w:val="21"/>
              </w:rPr>
              <w:t>5</w:t>
            </w:r>
          </w:p>
        </w:tc>
      </w:tr>
      <w:tr w:rsidR="00E20B54" w:rsidRPr="00295DC8" w:rsidTr="00295DC8">
        <w:trPr>
          <w:trHeight w:val="170"/>
        </w:trPr>
        <w:tc>
          <w:tcPr>
            <w:tcW w:w="1655" w:type="pct"/>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tcPr>
          <w:p w:rsidR="00E20B54" w:rsidRPr="00295DC8" w:rsidRDefault="00733C9E">
            <w:pPr>
              <w:pStyle w:val="a3"/>
              <w:widowControl/>
              <w:spacing w:beforeAutospacing="0" w:afterAutospacing="0"/>
              <w:rPr>
                <w:sz w:val="18"/>
                <w:szCs w:val="21"/>
              </w:rPr>
            </w:pPr>
            <w:r w:rsidRPr="00295DC8">
              <w:rPr>
                <w:sz w:val="18"/>
                <w:szCs w:val="21"/>
              </w:rPr>
              <w:t>1-2</w:t>
            </w:r>
            <w:r w:rsidRPr="00295DC8">
              <w:rPr>
                <w:sz w:val="18"/>
                <w:szCs w:val="21"/>
              </w:rPr>
              <w:t>年</w:t>
            </w:r>
          </w:p>
        </w:tc>
        <w:tc>
          <w:tcPr>
            <w:tcW w:w="1673" w:type="pct"/>
            <w:tcBorders>
              <w:top w:val="nil"/>
              <w:left w:val="nil"/>
              <w:bottom w:val="single" w:sz="8" w:space="0" w:color="auto"/>
              <w:right w:val="single" w:sz="8" w:space="0" w:color="auto"/>
            </w:tcBorders>
            <w:shd w:val="clear" w:color="auto" w:fill="auto"/>
            <w:tcMar>
              <w:top w:w="0" w:type="dxa"/>
              <w:left w:w="108" w:type="dxa"/>
              <w:bottom w:w="0" w:type="dxa"/>
              <w:right w:w="108" w:type="dxa"/>
            </w:tcMar>
          </w:tcPr>
          <w:p w:rsidR="00E20B54" w:rsidRPr="00295DC8" w:rsidRDefault="00733C9E">
            <w:pPr>
              <w:pStyle w:val="a3"/>
              <w:widowControl/>
              <w:spacing w:beforeAutospacing="0" w:afterAutospacing="0"/>
              <w:jc w:val="center"/>
              <w:rPr>
                <w:sz w:val="18"/>
                <w:szCs w:val="21"/>
              </w:rPr>
            </w:pPr>
            <w:r w:rsidRPr="00295DC8">
              <w:rPr>
                <w:sz w:val="18"/>
                <w:szCs w:val="21"/>
              </w:rPr>
              <w:t>10</w:t>
            </w:r>
          </w:p>
        </w:tc>
        <w:tc>
          <w:tcPr>
            <w:tcW w:w="1671" w:type="pct"/>
            <w:tcBorders>
              <w:top w:val="nil"/>
              <w:left w:val="nil"/>
              <w:bottom w:val="single" w:sz="8" w:space="0" w:color="auto"/>
              <w:right w:val="single" w:sz="8" w:space="0" w:color="auto"/>
            </w:tcBorders>
            <w:shd w:val="clear" w:color="auto" w:fill="auto"/>
            <w:tcMar>
              <w:top w:w="0" w:type="dxa"/>
              <w:left w:w="108" w:type="dxa"/>
              <w:bottom w:w="0" w:type="dxa"/>
              <w:right w:w="108" w:type="dxa"/>
            </w:tcMar>
          </w:tcPr>
          <w:p w:rsidR="00E20B54" w:rsidRPr="00295DC8" w:rsidRDefault="00733C9E">
            <w:pPr>
              <w:pStyle w:val="a3"/>
              <w:widowControl/>
              <w:spacing w:beforeAutospacing="0" w:afterAutospacing="0"/>
              <w:jc w:val="center"/>
              <w:rPr>
                <w:sz w:val="18"/>
                <w:szCs w:val="21"/>
              </w:rPr>
            </w:pPr>
            <w:r w:rsidRPr="00295DC8">
              <w:rPr>
                <w:sz w:val="18"/>
                <w:szCs w:val="21"/>
              </w:rPr>
              <w:t>10</w:t>
            </w:r>
          </w:p>
        </w:tc>
      </w:tr>
      <w:tr w:rsidR="00E20B54" w:rsidRPr="00295DC8" w:rsidTr="00295DC8">
        <w:trPr>
          <w:trHeight w:val="170"/>
        </w:trPr>
        <w:tc>
          <w:tcPr>
            <w:tcW w:w="1655" w:type="pct"/>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tcPr>
          <w:p w:rsidR="00E20B54" w:rsidRPr="00295DC8" w:rsidRDefault="00733C9E">
            <w:pPr>
              <w:pStyle w:val="a3"/>
              <w:widowControl/>
              <w:spacing w:beforeAutospacing="0" w:afterAutospacing="0"/>
              <w:rPr>
                <w:sz w:val="18"/>
                <w:szCs w:val="21"/>
              </w:rPr>
            </w:pPr>
            <w:r w:rsidRPr="00295DC8">
              <w:rPr>
                <w:sz w:val="18"/>
                <w:szCs w:val="21"/>
              </w:rPr>
              <w:t>2-3</w:t>
            </w:r>
            <w:r w:rsidRPr="00295DC8">
              <w:rPr>
                <w:sz w:val="18"/>
                <w:szCs w:val="21"/>
              </w:rPr>
              <w:t>年</w:t>
            </w:r>
          </w:p>
        </w:tc>
        <w:tc>
          <w:tcPr>
            <w:tcW w:w="1673" w:type="pct"/>
            <w:tcBorders>
              <w:top w:val="nil"/>
              <w:left w:val="nil"/>
              <w:bottom w:val="single" w:sz="8" w:space="0" w:color="auto"/>
              <w:right w:val="single" w:sz="8" w:space="0" w:color="auto"/>
            </w:tcBorders>
            <w:shd w:val="clear" w:color="auto" w:fill="auto"/>
            <w:tcMar>
              <w:top w:w="0" w:type="dxa"/>
              <w:left w:w="108" w:type="dxa"/>
              <w:bottom w:w="0" w:type="dxa"/>
              <w:right w:w="108" w:type="dxa"/>
            </w:tcMar>
          </w:tcPr>
          <w:p w:rsidR="00E20B54" w:rsidRPr="00295DC8" w:rsidRDefault="00733C9E">
            <w:pPr>
              <w:pStyle w:val="a3"/>
              <w:widowControl/>
              <w:spacing w:beforeAutospacing="0" w:afterAutospacing="0"/>
              <w:jc w:val="center"/>
              <w:rPr>
                <w:sz w:val="18"/>
                <w:szCs w:val="21"/>
              </w:rPr>
            </w:pPr>
            <w:r w:rsidRPr="00295DC8">
              <w:rPr>
                <w:sz w:val="18"/>
                <w:szCs w:val="21"/>
              </w:rPr>
              <w:t>30</w:t>
            </w:r>
          </w:p>
        </w:tc>
        <w:tc>
          <w:tcPr>
            <w:tcW w:w="1671" w:type="pct"/>
            <w:tcBorders>
              <w:top w:val="nil"/>
              <w:left w:val="nil"/>
              <w:bottom w:val="single" w:sz="8" w:space="0" w:color="auto"/>
              <w:right w:val="single" w:sz="8" w:space="0" w:color="auto"/>
            </w:tcBorders>
            <w:shd w:val="clear" w:color="auto" w:fill="auto"/>
            <w:tcMar>
              <w:top w:w="0" w:type="dxa"/>
              <w:left w:w="108" w:type="dxa"/>
              <w:bottom w:w="0" w:type="dxa"/>
              <w:right w:w="108" w:type="dxa"/>
            </w:tcMar>
          </w:tcPr>
          <w:p w:rsidR="00E20B54" w:rsidRPr="00295DC8" w:rsidRDefault="00733C9E">
            <w:pPr>
              <w:pStyle w:val="a3"/>
              <w:widowControl/>
              <w:spacing w:beforeAutospacing="0" w:afterAutospacing="0"/>
              <w:jc w:val="center"/>
              <w:rPr>
                <w:sz w:val="18"/>
                <w:szCs w:val="21"/>
              </w:rPr>
            </w:pPr>
            <w:r w:rsidRPr="00295DC8">
              <w:rPr>
                <w:sz w:val="18"/>
                <w:szCs w:val="21"/>
              </w:rPr>
              <w:t>30</w:t>
            </w:r>
          </w:p>
        </w:tc>
      </w:tr>
      <w:tr w:rsidR="00E20B54" w:rsidRPr="00295DC8" w:rsidTr="00295DC8">
        <w:trPr>
          <w:trHeight w:val="170"/>
        </w:trPr>
        <w:tc>
          <w:tcPr>
            <w:tcW w:w="1655" w:type="pct"/>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tcPr>
          <w:p w:rsidR="00E20B54" w:rsidRPr="00295DC8" w:rsidRDefault="00733C9E">
            <w:pPr>
              <w:pStyle w:val="a3"/>
              <w:widowControl/>
              <w:spacing w:beforeAutospacing="0" w:afterAutospacing="0"/>
              <w:rPr>
                <w:sz w:val="18"/>
                <w:szCs w:val="21"/>
              </w:rPr>
            </w:pPr>
            <w:r w:rsidRPr="00295DC8">
              <w:rPr>
                <w:sz w:val="18"/>
                <w:szCs w:val="21"/>
              </w:rPr>
              <w:t>3-4</w:t>
            </w:r>
            <w:r w:rsidRPr="00295DC8">
              <w:rPr>
                <w:sz w:val="18"/>
                <w:szCs w:val="21"/>
              </w:rPr>
              <w:t>年</w:t>
            </w:r>
          </w:p>
        </w:tc>
        <w:tc>
          <w:tcPr>
            <w:tcW w:w="1673" w:type="pct"/>
            <w:tcBorders>
              <w:top w:val="nil"/>
              <w:left w:val="nil"/>
              <w:bottom w:val="single" w:sz="8" w:space="0" w:color="auto"/>
              <w:right w:val="single" w:sz="8" w:space="0" w:color="auto"/>
            </w:tcBorders>
            <w:shd w:val="clear" w:color="auto" w:fill="auto"/>
            <w:tcMar>
              <w:top w:w="0" w:type="dxa"/>
              <w:left w:w="108" w:type="dxa"/>
              <w:bottom w:w="0" w:type="dxa"/>
              <w:right w:w="108" w:type="dxa"/>
            </w:tcMar>
          </w:tcPr>
          <w:p w:rsidR="00E20B54" w:rsidRPr="00295DC8" w:rsidRDefault="00733C9E">
            <w:pPr>
              <w:pStyle w:val="a3"/>
              <w:widowControl/>
              <w:spacing w:beforeAutospacing="0" w:afterAutospacing="0"/>
              <w:jc w:val="center"/>
              <w:rPr>
                <w:sz w:val="18"/>
                <w:szCs w:val="21"/>
              </w:rPr>
            </w:pPr>
            <w:r w:rsidRPr="00295DC8">
              <w:rPr>
                <w:sz w:val="18"/>
                <w:szCs w:val="21"/>
              </w:rPr>
              <w:t>50</w:t>
            </w:r>
          </w:p>
        </w:tc>
        <w:tc>
          <w:tcPr>
            <w:tcW w:w="1671" w:type="pct"/>
            <w:tcBorders>
              <w:top w:val="nil"/>
              <w:left w:val="nil"/>
              <w:bottom w:val="single" w:sz="8" w:space="0" w:color="auto"/>
              <w:right w:val="single" w:sz="8" w:space="0" w:color="auto"/>
            </w:tcBorders>
            <w:shd w:val="clear" w:color="auto" w:fill="auto"/>
            <w:tcMar>
              <w:top w:w="0" w:type="dxa"/>
              <w:left w:w="108" w:type="dxa"/>
              <w:bottom w:w="0" w:type="dxa"/>
              <w:right w:w="108" w:type="dxa"/>
            </w:tcMar>
          </w:tcPr>
          <w:p w:rsidR="00E20B54" w:rsidRPr="00295DC8" w:rsidRDefault="00733C9E">
            <w:pPr>
              <w:pStyle w:val="a3"/>
              <w:widowControl/>
              <w:spacing w:beforeAutospacing="0" w:afterAutospacing="0"/>
              <w:jc w:val="center"/>
              <w:rPr>
                <w:sz w:val="18"/>
                <w:szCs w:val="21"/>
              </w:rPr>
            </w:pPr>
            <w:r w:rsidRPr="00295DC8">
              <w:rPr>
                <w:sz w:val="18"/>
                <w:szCs w:val="21"/>
              </w:rPr>
              <w:t>50</w:t>
            </w:r>
          </w:p>
        </w:tc>
      </w:tr>
      <w:tr w:rsidR="00E20B54" w:rsidRPr="00295DC8" w:rsidTr="00295DC8">
        <w:trPr>
          <w:trHeight w:val="170"/>
        </w:trPr>
        <w:tc>
          <w:tcPr>
            <w:tcW w:w="1655" w:type="pct"/>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tcPr>
          <w:p w:rsidR="00E20B54" w:rsidRPr="00295DC8" w:rsidRDefault="00733C9E">
            <w:pPr>
              <w:pStyle w:val="a3"/>
              <w:widowControl/>
              <w:spacing w:beforeAutospacing="0" w:afterAutospacing="0"/>
              <w:rPr>
                <w:sz w:val="18"/>
                <w:szCs w:val="21"/>
              </w:rPr>
            </w:pPr>
            <w:r w:rsidRPr="00295DC8">
              <w:rPr>
                <w:sz w:val="18"/>
                <w:szCs w:val="21"/>
              </w:rPr>
              <w:t>4-5</w:t>
            </w:r>
            <w:r w:rsidRPr="00295DC8">
              <w:rPr>
                <w:sz w:val="18"/>
                <w:szCs w:val="21"/>
              </w:rPr>
              <w:t>年</w:t>
            </w:r>
          </w:p>
        </w:tc>
        <w:tc>
          <w:tcPr>
            <w:tcW w:w="1673" w:type="pct"/>
            <w:tcBorders>
              <w:top w:val="nil"/>
              <w:left w:val="nil"/>
              <w:bottom w:val="single" w:sz="8" w:space="0" w:color="auto"/>
              <w:right w:val="single" w:sz="8" w:space="0" w:color="auto"/>
            </w:tcBorders>
            <w:shd w:val="clear" w:color="auto" w:fill="auto"/>
            <w:tcMar>
              <w:top w:w="0" w:type="dxa"/>
              <w:left w:w="108" w:type="dxa"/>
              <w:bottom w:w="0" w:type="dxa"/>
              <w:right w:w="108" w:type="dxa"/>
            </w:tcMar>
          </w:tcPr>
          <w:p w:rsidR="00E20B54" w:rsidRPr="00295DC8" w:rsidRDefault="00733C9E">
            <w:pPr>
              <w:pStyle w:val="a3"/>
              <w:widowControl/>
              <w:spacing w:beforeAutospacing="0" w:afterAutospacing="0"/>
              <w:jc w:val="center"/>
              <w:rPr>
                <w:sz w:val="18"/>
                <w:szCs w:val="21"/>
              </w:rPr>
            </w:pPr>
            <w:r w:rsidRPr="00295DC8">
              <w:rPr>
                <w:sz w:val="18"/>
                <w:szCs w:val="21"/>
              </w:rPr>
              <w:t>80</w:t>
            </w:r>
          </w:p>
        </w:tc>
        <w:tc>
          <w:tcPr>
            <w:tcW w:w="1671" w:type="pct"/>
            <w:tcBorders>
              <w:top w:val="nil"/>
              <w:left w:val="nil"/>
              <w:bottom w:val="single" w:sz="8" w:space="0" w:color="auto"/>
              <w:right w:val="single" w:sz="8" w:space="0" w:color="auto"/>
            </w:tcBorders>
            <w:shd w:val="clear" w:color="auto" w:fill="auto"/>
            <w:tcMar>
              <w:top w:w="0" w:type="dxa"/>
              <w:left w:w="108" w:type="dxa"/>
              <w:bottom w:w="0" w:type="dxa"/>
              <w:right w:w="108" w:type="dxa"/>
            </w:tcMar>
          </w:tcPr>
          <w:p w:rsidR="00E20B54" w:rsidRPr="00295DC8" w:rsidRDefault="00733C9E">
            <w:pPr>
              <w:pStyle w:val="a3"/>
              <w:widowControl/>
              <w:spacing w:beforeAutospacing="0" w:afterAutospacing="0"/>
              <w:jc w:val="center"/>
              <w:rPr>
                <w:sz w:val="18"/>
                <w:szCs w:val="21"/>
              </w:rPr>
            </w:pPr>
            <w:r w:rsidRPr="00295DC8">
              <w:rPr>
                <w:sz w:val="18"/>
                <w:szCs w:val="21"/>
              </w:rPr>
              <w:t>100</w:t>
            </w:r>
          </w:p>
        </w:tc>
      </w:tr>
      <w:tr w:rsidR="00E20B54" w:rsidRPr="00295DC8" w:rsidTr="00295DC8">
        <w:trPr>
          <w:trHeight w:val="170"/>
        </w:trPr>
        <w:tc>
          <w:tcPr>
            <w:tcW w:w="1655" w:type="pct"/>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tcPr>
          <w:p w:rsidR="00E20B54" w:rsidRPr="00295DC8" w:rsidRDefault="00733C9E">
            <w:pPr>
              <w:pStyle w:val="a3"/>
              <w:widowControl/>
              <w:spacing w:beforeAutospacing="0" w:afterAutospacing="0"/>
              <w:rPr>
                <w:sz w:val="18"/>
                <w:szCs w:val="21"/>
              </w:rPr>
            </w:pPr>
            <w:r w:rsidRPr="00295DC8">
              <w:rPr>
                <w:sz w:val="18"/>
                <w:szCs w:val="21"/>
              </w:rPr>
              <w:t>5</w:t>
            </w:r>
            <w:r w:rsidRPr="00295DC8">
              <w:rPr>
                <w:sz w:val="18"/>
                <w:szCs w:val="21"/>
              </w:rPr>
              <w:t>年以上</w:t>
            </w:r>
          </w:p>
        </w:tc>
        <w:tc>
          <w:tcPr>
            <w:tcW w:w="1673" w:type="pct"/>
            <w:tcBorders>
              <w:top w:val="nil"/>
              <w:left w:val="nil"/>
              <w:bottom w:val="single" w:sz="8" w:space="0" w:color="auto"/>
              <w:right w:val="single" w:sz="8" w:space="0" w:color="auto"/>
            </w:tcBorders>
            <w:shd w:val="clear" w:color="auto" w:fill="auto"/>
            <w:tcMar>
              <w:top w:w="0" w:type="dxa"/>
              <w:left w:w="108" w:type="dxa"/>
              <w:bottom w:w="0" w:type="dxa"/>
              <w:right w:w="108" w:type="dxa"/>
            </w:tcMar>
          </w:tcPr>
          <w:p w:rsidR="00E20B54" w:rsidRPr="00295DC8" w:rsidRDefault="00733C9E">
            <w:pPr>
              <w:pStyle w:val="a3"/>
              <w:widowControl/>
              <w:spacing w:beforeAutospacing="0" w:afterAutospacing="0"/>
              <w:jc w:val="center"/>
              <w:rPr>
                <w:sz w:val="18"/>
                <w:szCs w:val="21"/>
              </w:rPr>
            </w:pPr>
            <w:r w:rsidRPr="00295DC8">
              <w:rPr>
                <w:sz w:val="18"/>
                <w:szCs w:val="21"/>
              </w:rPr>
              <w:t>100</w:t>
            </w:r>
          </w:p>
        </w:tc>
        <w:tc>
          <w:tcPr>
            <w:tcW w:w="1671" w:type="pct"/>
            <w:tcBorders>
              <w:top w:val="nil"/>
              <w:left w:val="nil"/>
              <w:bottom w:val="single" w:sz="8" w:space="0" w:color="auto"/>
              <w:right w:val="single" w:sz="8" w:space="0" w:color="auto"/>
            </w:tcBorders>
            <w:shd w:val="clear" w:color="auto" w:fill="auto"/>
            <w:tcMar>
              <w:top w:w="0" w:type="dxa"/>
              <w:left w:w="108" w:type="dxa"/>
              <w:bottom w:w="0" w:type="dxa"/>
              <w:right w:w="108" w:type="dxa"/>
            </w:tcMar>
          </w:tcPr>
          <w:p w:rsidR="00E20B54" w:rsidRPr="00295DC8" w:rsidRDefault="00733C9E">
            <w:pPr>
              <w:pStyle w:val="a3"/>
              <w:widowControl/>
              <w:spacing w:beforeAutospacing="0" w:afterAutospacing="0"/>
              <w:jc w:val="center"/>
              <w:rPr>
                <w:sz w:val="18"/>
                <w:szCs w:val="21"/>
              </w:rPr>
            </w:pPr>
            <w:r w:rsidRPr="00295DC8">
              <w:rPr>
                <w:sz w:val="18"/>
                <w:szCs w:val="21"/>
              </w:rPr>
              <w:t>100</w:t>
            </w:r>
          </w:p>
        </w:tc>
      </w:tr>
    </w:tbl>
    <w:p w:rsidR="00E20B54" w:rsidRDefault="00733C9E" w:rsidP="00C57489">
      <w:pPr>
        <w:pStyle w:val="a3"/>
        <w:widowControl/>
        <w:spacing w:beforeLines="50" w:before="156" w:beforeAutospacing="0" w:after="10" w:afterAutospacing="0"/>
        <w:ind w:firstLine="420"/>
        <w:jc w:val="both"/>
        <w:rPr>
          <w:sz w:val="21"/>
          <w:szCs w:val="21"/>
        </w:rPr>
      </w:pPr>
      <w:r>
        <w:rPr>
          <w:sz w:val="21"/>
          <w:szCs w:val="21"/>
        </w:rPr>
        <w:t>对于存在客观证据表明存在减值，以及其他适用于单项评估的合同资产单独进行减值测试，确认预期信用损失，计提单项减值准备</w:t>
      </w:r>
    </w:p>
    <w:p w:rsidR="00E20B54" w:rsidRDefault="00733C9E">
      <w:pPr>
        <w:pStyle w:val="3"/>
        <w:spacing w:line="280" w:lineRule="exact"/>
        <w:jc w:val="left"/>
        <w:rPr>
          <w:b/>
          <w:bCs/>
        </w:rPr>
      </w:pPr>
      <w:bookmarkStart w:id="181" w:name="_Toc989069"/>
      <w:r>
        <w:rPr>
          <w:b/>
          <w:bCs/>
        </w:rPr>
        <w:t>17</w:t>
      </w:r>
      <w:r>
        <w:rPr>
          <w:b/>
          <w:bCs/>
        </w:rPr>
        <w:t>、存货</w:t>
      </w:r>
      <w:bookmarkEnd w:id="181"/>
    </w:p>
    <w:p w:rsidR="00E20B54" w:rsidRDefault="00733C9E">
      <w:pPr>
        <w:pStyle w:val="a3"/>
        <w:widowControl/>
        <w:spacing w:beforeAutospacing="0" w:afterAutospacing="0" w:line="360" w:lineRule="auto"/>
        <w:ind w:firstLine="420"/>
        <w:jc w:val="both"/>
        <w:rPr>
          <w:sz w:val="21"/>
          <w:szCs w:val="21"/>
        </w:rPr>
      </w:pPr>
      <w:r>
        <w:rPr>
          <w:rStyle w:val="a4"/>
          <w:bCs/>
          <w:sz w:val="21"/>
          <w:szCs w:val="21"/>
        </w:rPr>
        <w:t>17.1</w:t>
      </w:r>
      <w:r>
        <w:rPr>
          <w:rStyle w:val="a4"/>
          <w:bCs/>
          <w:sz w:val="21"/>
          <w:szCs w:val="21"/>
        </w:rPr>
        <w:t>存货的分类</w:t>
      </w:r>
    </w:p>
    <w:p w:rsidR="00E20B54" w:rsidRDefault="00733C9E" w:rsidP="00C57489">
      <w:pPr>
        <w:pStyle w:val="a3"/>
        <w:widowControl/>
        <w:spacing w:beforeLines="50" w:before="156" w:beforeAutospacing="0" w:after="10" w:afterAutospacing="0"/>
        <w:ind w:firstLine="420"/>
        <w:jc w:val="both"/>
        <w:rPr>
          <w:sz w:val="21"/>
          <w:szCs w:val="21"/>
        </w:rPr>
      </w:pPr>
      <w:r>
        <w:rPr>
          <w:sz w:val="21"/>
          <w:szCs w:val="21"/>
        </w:rPr>
        <w:t>存货主要包括原材料、在产品、库存商品、发出商品等。</w:t>
      </w:r>
    </w:p>
    <w:p w:rsidR="00E20B54" w:rsidRDefault="00733C9E">
      <w:pPr>
        <w:pStyle w:val="a3"/>
        <w:widowControl/>
        <w:spacing w:beforeAutospacing="0" w:afterAutospacing="0" w:line="360" w:lineRule="auto"/>
        <w:ind w:firstLine="420"/>
        <w:jc w:val="both"/>
        <w:rPr>
          <w:sz w:val="21"/>
          <w:szCs w:val="21"/>
        </w:rPr>
      </w:pPr>
      <w:r>
        <w:rPr>
          <w:rStyle w:val="a4"/>
          <w:bCs/>
          <w:sz w:val="21"/>
          <w:szCs w:val="21"/>
        </w:rPr>
        <w:t>17.2</w:t>
      </w:r>
      <w:r>
        <w:rPr>
          <w:rStyle w:val="a4"/>
          <w:bCs/>
          <w:sz w:val="21"/>
          <w:szCs w:val="21"/>
        </w:rPr>
        <w:t>存货取得和发出的计价方法</w:t>
      </w:r>
    </w:p>
    <w:p w:rsidR="00E20B54" w:rsidRDefault="00733C9E" w:rsidP="00C57489">
      <w:pPr>
        <w:pStyle w:val="a3"/>
        <w:widowControl/>
        <w:spacing w:beforeLines="50" w:before="156" w:beforeAutospacing="0" w:after="10" w:afterAutospacing="0"/>
        <w:ind w:firstLine="420"/>
        <w:jc w:val="both"/>
        <w:rPr>
          <w:sz w:val="21"/>
          <w:szCs w:val="21"/>
        </w:rPr>
      </w:pPr>
      <w:r>
        <w:rPr>
          <w:sz w:val="21"/>
          <w:szCs w:val="21"/>
        </w:rPr>
        <w:t>存货在取得时按实际成本计价，存货成本包括采购成本、加工成本和其他成本。领用和发出时按加权平均法计价</w:t>
      </w:r>
      <w:r w:rsidRPr="00C57489">
        <w:rPr>
          <w:i/>
        </w:rPr>
        <w:t>。</w:t>
      </w:r>
    </w:p>
    <w:p w:rsidR="00E20B54" w:rsidRDefault="00733C9E">
      <w:pPr>
        <w:pStyle w:val="a3"/>
        <w:widowControl/>
        <w:spacing w:beforeAutospacing="0" w:afterAutospacing="0" w:line="360" w:lineRule="auto"/>
        <w:ind w:firstLine="420"/>
        <w:jc w:val="both"/>
        <w:rPr>
          <w:sz w:val="21"/>
          <w:szCs w:val="21"/>
        </w:rPr>
      </w:pPr>
      <w:r>
        <w:rPr>
          <w:rStyle w:val="a4"/>
          <w:bCs/>
          <w:sz w:val="21"/>
          <w:szCs w:val="21"/>
        </w:rPr>
        <w:t>17.3</w:t>
      </w:r>
      <w:r>
        <w:rPr>
          <w:rStyle w:val="a4"/>
          <w:bCs/>
          <w:sz w:val="21"/>
          <w:szCs w:val="21"/>
        </w:rPr>
        <w:t>存货可变现净值的确认和跌价准备的计提方法</w:t>
      </w:r>
    </w:p>
    <w:p w:rsidR="00E20B54" w:rsidRDefault="00733C9E" w:rsidP="00C57489">
      <w:pPr>
        <w:pStyle w:val="a3"/>
        <w:widowControl/>
        <w:spacing w:beforeLines="50" w:before="156" w:beforeAutospacing="0" w:after="10" w:afterAutospacing="0"/>
        <w:ind w:firstLine="420"/>
        <w:jc w:val="both"/>
        <w:rPr>
          <w:sz w:val="21"/>
          <w:szCs w:val="21"/>
        </w:rPr>
      </w:pPr>
      <w:r>
        <w:rPr>
          <w:sz w:val="21"/>
          <w:szCs w:val="21"/>
        </w:rPr>
        <w:t>可变现净值是指在日常活动中，存货的估计售价减去至完工时估计将要发生的成本、估计的销售费用以及相关税费后的金额。在确定存货的可变现净值时，以取得的确凿证据为基础，同时考虑持有存货的目的以及资产负债表日后事项的影响。</w:t>
      </w:r>
    </w:p>
    <w:p w:rsidR="00E20B54" w:rsidRDefault="00733C9E" w:rsidP="00C57489">
      <w:pPr>
        <w:pStyle w:val="a3"/>
        <w:widowControl/>
        <w:spacing w:beforeLines="50" w:before="156" w:beforeAutospacing="0" w:after="10" w:afterAutospacing="0"/>
        <w:ind w:firstLine="420"/>
        <w:jc w:val="both"/>
        <w:rPr>
          <w:sz w:val="21"/>
          <w:szCs w:val="21"/>
        </w:rPr>
      </w:pPr>
      <w:r>
        <w:rPr>
          <w:sz w:val="21"/>
          <w:szCs w:val="21"/>
        </w:rPr>
        <w:t>在资产负债表日，存货按照成本与可变现净值孰低计量。当其可变现净值低于成本时，提取存货跌价准备。存货跌价准备通常按单个存货项目的成本高于其可变现净值的差额提取。</w:t>
      </w:r>
    </w:p>
    <w:p w:rsidR="00E20B54" w:rsidRDefault="00733C9E" w:rsidP="00C57489">
      <w:pPr>
        <w:pStyle w:val="a3"/>
        <w:widowControl/>
        <w:spacing w:beforeLines="50" w:before="156" w:beforeAutospacing="0" w:after="10" w:afterAutospacing="0"/>
        <w:ind w:firstLine="420"/>
        <w:jc w:val="both"/>
        <w:rPr>
          <w:sz w:val="21"/>
          <w:szCs w:val="21"/>
        </w:rPr>
      </w:pPr>
      <w:r>
        <w:rPr>
          <w:sz w:val="21"/>
          <w:szCs w:val="21"/>
        </w:rPr>
        <w:t>本公司的在产品均是按照订单生产，按照订单售价减去销售费用及应缴纳的税费后的金额作为可变现净值，将可变现净值与账面成本进行对比，当其可变现净值低于成本时，提取存货跌价准备。对于原材料、库存商品、发出商品，由于本公司项目建设期一般情况下</w:t>
      </w:r>
      <w:r>
        <w:rPr>
          <w:sz w:val="21"/>
          <w:szCs w:val="21"/>
        </w:rPr>
        <w:t>12</w:t>
      </w:r>
      <w:r>
        <w:rPr>
          <w:sz w:val="21"/>
          <w:szCs w:val="21"/>
        </w:rPr>
        <w:t>个月内可以完成，因此对于库龄超过一年以上的存货计提跌价，计提比例如下：</w:t>
      </w:r>
    </w:p>
    <w:tbl>
      <w:tblPr>
        <w:tblW w:w="5000" w:type="pct"/>
        <w:tblBorders>
          <w:top w:val="none" w:sz="6" w:space="0" w:color="auto"/>
          <w:left w:val="none" w:sz="6" w:space="0" w:color="auto"/>
          <w:bottom w:val="none" w:sz="6" w:space="0" w:color="auto"/>
          <w:right w:val="none" w:sz="6" w:space="0" w:color="auto"/>
          <w:insideH w:val="outset" w:sz="6" w:space="0" w:color="auto"/>
          <w:insideV w:val="outset" w:sz="6" w:space="0" w:color="auto"/>
        </w:tblBorders>
        <w:tblCellMar>
          <w:top w:w="15" w:type="dxa"/>
          <w:left w:w="15" w:type="dxa"/>
          <w:bottom w:w="15" w:type="dxa"/>
          <w:right w:w="15" w:type="dxa"/>
        </w:tblCellMar>
        <w:tblLook w:val="04A0" w:firstRow="1" w:lastRow="0" w:firstColumn="1" w:lastColumn="0" w:noHBand="0" w:noVBand="1"/>
      </w:tblPr>
      <w:tblGrid>
        <w:gridCol w:w="4926"/>
        <w:gridCol w:w="4927"/>
      </w:tblGrid>
      <w:tr w:rsidR="00E20B54" w:rsidTr="00295DC8">
        <w:trPr>
          <w:trHeight w:val="284"/>
          <w:tblHeader/>
        </w:trPr>
        <w:tc>
          <w:tcPr>
            <w:tcW w:w="2500" w:type="pct"/>
            <w:tcBorders>
              <w:top w:val="single" w:sz="8" w:space="0" w:color="auto"/>
              <w:left w:val="single" w:sz="8" w:space="0" w:color="auto"/>
              <w:bottom w:val="single" w:sz="8" w:space="0" w:color="auto"/>
              <w:right w:val="single" w:sz="8" w:space="0" w:color="auto"/>
            </w:tcBorders>
            <w:shd w:val="clear" w:color="auto" w:fill="D9D9D9" w:themeFill="background1" w:themeFillShade="D9"/>
            <w:tcMar>
              <w:top w:w="0" w:type="dxa"/>
              <w:left w:w="108" w:type="dxa"/>
              <w:bottom w:w="0" w:type="dxa"/>
              <w:right w:w="108" w:type="dxa"/>
            </w:tcMar>
            <w:vAlign w:val="center"/>
          </w:tcPr>
          <w:p w:rsidR="00E20B54" w:rsidRDefault="00733C9E">
            <w:pPr>
              <w:pStyle w:val="a3"/>
              <w:widowControl/>
              <w:spacing w:beforeAutospacing="0" w:afterAutospacing="0"/>
              <w:ind w:firstLine="361"/>
              <w:jc w:val="center"/>
              <w:rPr>
                <w:sz w:val="21"/>
                <w:szCs w:val="21"/>
              </w:rPr>
            </w:pPr>
            <w:r>
              <w:rPr>
                <w:rStyle w:val="a4"/>
                <w:sz w:val="18"/>
                <w:szCs w:val="18"/>
              </w:rPr>
              <w:t>库龄</w:t>
            </w:r>
          </w:p>
        </w:tc>
        <w:tc>
          <w:tcPr>
            <w:tcW w:w="2500" w:type="pct"/>
            <w:tcBorders>
              <w:top w:val="single" w:sz="8" w:space="0" w:color="auto"/>
              <w:left w:val="nil"/>
              <w:bottom w:val="single" w:sz="8" w:space="0" w:color="auto"/>
              <w:right w:val="single" w:sz="8" w:space="0" w:color="auto"/>
            </w:tcBorders>
            <w:shd w:val="clear" w:color="auto" w:fill="D9D9D9" w:themeFill="background1" w:themeFillShade="D9"/>
            <w:tcMar>
              <w:top w:w="0" w:type="dxa"/>
              <w:left w:w="108" w:type="dxa"/>
              <w:bottom w:w="0" w:type="dxa"/>
              <w:right w:w="108" w:type="dxa"/>
            </w:tcMar>
            <w:vAlign w:val="center"/>
          </w:tcPr>
          <w:p w:rsidR="00E20B54" w:rsidRDefault="00733C9E">
            <w:pPr>
              <w:pStyle w:val="a3"/>
              <w:widowControl/>
              <w:spacing w:beforeAutospacing="0" w:afterAutospacing="0"/>
              <w:ind w:firstLine="361"/>
              <w:jc w:val="center"/>
              <w:rPr>
                <w:sz w:val="21"/>
                <w:szCs w:val="21"/>
              </w:rPr>
            </w:pPr>
            <w:r>
              <w:rPr>
                <w:rStyle w:val="a4"/>
                <w:sz w:val="18"/>
                <w:szCs w:val="18"/>
              </w:rPr>
              <w:t>计提比例</w:t>
            </w:r>
          </w:p>
        </w:tc>
      </w:tr>
      <w:tr w:rsidR="00E20B54">
        <w:trPr>
          <w:trHeight w:val="284"/>
        </w:trPr>
        <w:tc>
          <w:tcPr>
            <w:tcW w:w="2500" w:type="pct"/>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tcPr>
          <w:p w:rsidR="00E20B54" w:rsidRDefault="00733C9E">
            <w:pPr>
              <w:pStyle w:val="a3"/>
              <w:widowControl/>
              <w:spacing w:beforeAutospacing="0" w:afterAutospacing="0"/>
              <w:ind w:firstLine="360"/>
              <w:jc w:val="both"/>
              <w:rPr>
                <w:sz w:val="21"/>
                <w:szCs w:val="21"/>
              </w:rPr>
            </w:pPr>
            <w:r>
              <w:rPr>
                <w:sz w:val="18"/>
                <w:szCs w:val="18"/>
              </w:rPr>
              <w:t>1</w:t>
            </w:r>
            <w:r>
              <w:rPr>
                <w:sz w:val="18"/>
                <w:szCs w:val="18"/>
              </w:rPr>
              <w:t>年以内</w:t>
            </w:r>
          </w:p>
        </w:tc>
        <w:tc>
          <w:tcPr>
            <w:tcW w:w="2500" w:type="pct"/>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E20B54" w:rsidRDefault="00733C9E">
            <w:pPr>
              <w:pStyle w:val="a3"/>
              <w:widowControl/>
              <w:spacing w:beforeAutospacing="0" w:afterAutospacing="0"/>
              <w:ind w:firstLine="360"/>
              <w:jc w:val="right"/>
              <w:rPr>
                <w:sz w:val="21"/>
                <w:szCs w:val="21"/>
              </w:rPr>
            </w:pPr>
            <w:r>
              <w:rPr>
                <w:sz w:val="18"/>
                <w:szCs w:val="18"/>
              </w:rPr>
              <w:t>0%</w:t>
            </w:r>
          </w:p>
        </w:tc>
      </w:tr>
      <w:tr w:rsidR="00E20B54">
        <w:trPr>
          <w:trHeight w:val="284"/>
        </w:trPr>
        <w:tc>
          <w:tcPr>
            <w:tcW w:w="2500" w:type="pct"/>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tcPr>
          <w:p w:rsidR="00E20B54" w:rsidRDefault="00733C9E">
            <w:pPr>
              <w:pStyle w:val="a3"/>
              <w:widowControl/>
              <w:spacing w:beforeAutospacing="0" w:afterAutospacing="0"/>
              <w:ind w:firstLine="360"/>
              <w:rPr>
                <w:sz w:val="21"/>
                <w:szCs w:val="21"/>
              </w:rPr>
            </w:pPr>
            <w:r>
              <w:rPr>
                <w:sz w:val="18"/>
                <w:szCs w:val="18"/>
              </w:rPr>
              <w:t>1-2</w:t>
            </w:r>
            <w:r>
              <w:rPr>
                <w:sz w:val="18"/>
                <w:szCs w:val="18"/>
              </w:rPr>
              <w:t>年</w:t>
            </w:r>
          </w:p>
        </w:tc>
        <w:tc>
          <w:tcPr>
            <w:tcW w:w="2500" w:type="pct"/>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E20B54" w:rsidRDefault="00733C9E">
            <w:pPr>
              <w:pStyle w:val="a3"/>
              <w:widowControl/>
              <w:spacing w:beforeAutospacing="0" w:afterAutospacing="0"/>
              <w:ind w:firstLine="360"/>
              <w:jc w:val="right"/>
              <w:rPr>
                <w:sz w:val="21"/>
                <w:szCs w:val="21"/>
              </w:rPr>
            </w:pPr>
            <w:r>
              <w:rPr>
                <w:sz w:val="18"/>
                <w:szCs w:val="18"/>
              </w:rPr>
              <w:t>5%</w:t>
            </w:r>
          </w:p>
        </w:tc>
      </w:tr>
      <w:tr w:rsidR="00E20B54">
        <w:trPr>
          <w:trHeight w:val="284"/>
        </w:trPr>
        <w:tc>
          <w:tcPr>
            <w:tcW w:w="2500" w:type="pct"/>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tcPr>
          <w:p w:rsidR="00E20B54" w:rsidRDefault="00733C9E">
            <w:pPr>
              <w:pStyle w:val="a3"/>
              <w:widowControl/>
              <w:spacing w:beforeAutospacing="0" w:afterAutospacing="0"/>
              <w:ind w:firstLine="360"/>
              <w:jc w:val="both"/>
              <w:rPr>
                <w:sz w:val="21"/>
                <w:szCs w:val="21"/>
              </w:rPr>
            </w:pPr>
            <w:r>
              <w:rPr>
                <w:sz w:val="18"/>
                <w:szCs w:val="18"/>
              </w:rPr>
              <w:t>2-3</w:t>
            </w:r>
            <w:r>
              <w:rPr>
                <w:sz w:val="18"/>
                <w:szCs w:val="18"/>
              </w:rPr>
              <w:t>年</w:t>
            </w:r>
          </w:p>
        </w:tc>
        <w:tc>
          <w:tcPr>
            <w:tcW w:w="2500" w:type="pct"/>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E20B54" w:rsidRDefault="00733C9E">
            <w:pPr>
              <w:pStyle w:val="a3"/>
              <w:widowControl/>
              <w:spacing w:beforeAutospacing="0" w:afterAutospacing="0"/>
              <w:ind w:firstLine="360"/>
              <w:jc w:val="right"/>
              <w:rPr>
                <w:sz w:val="21"/>
                <w:szCs w:val="21"/>
              </w:rPr>
            </w:pPr>
            <w:r>
              <w:rPr>
                <w:sz w:val="18"/>
                <w:szCs w:val="18"/>
              </w:rPr>
              <w:t>10%</w:t>
            </w:r>
          </w:p>
        </w:tc>
      </w:tr>
      <w:tr w:rsidR="00E20B54">
        <w:trPr>
          <w:trHeight w:val="284"/>
        </w:trPr>
        <w:tc>
          <w:tcPr>
            <w:tcW w:w="2500" w:type="pct"/>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tcPr>
          <w:p w:rsidR="00E20B54" w:rsidRDefault="00733C9E">
            <w:pPr>
              <w:pStyle w:val="a3"/>
              <w:widowControl/>
              <w:spacing w:beforeAutospacing="0" w:afterAutospacing="0"/>
              <w:ind w:firstLine="360"/>
              <w:jc w:val="both"/>
              <w:rPr>
                <w:sz w:val="21"/>
                <w:szCs w:val="21"/>
              </w:rPr>
            </w:pPr>
            <w:r>
              <w:rPr>
                <w:sz w:val="18"/>
                <w:szCs w:val="18"/>
              </w:rPr>
              <w:lastRenderedPageBreak/>
              <w:t>3-4</w:t>
            </w:r>
            <w:r>
              <w:rPr>
                <w:sz w:val="18"/>
                <w:szCs w:val="18"/>
              </w:rPr>
              <w:t>年</w:t>
            </w:r>
          </w:p>
        </w:tc>
        <w:tc>
          <w:tcPr>
            <w:tcW w:w="2500" w:type="pct"/>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E20B54" w:rsidRDefault="00733C9E">
            <w:pPr>
              <w:pStyle w:val="a3"/>
              <w:widowControl/>
              <w:spacing w:beforeAutospacing="0" w:afterAutospacing="0"/>
              <w:ind w:firstLine="360"/>
              <w:jc w:val="right"/>
              <w:rPr>
                <w:sz w:val="21"/>
                <w:szCs w:val="21"/>
              </w:rPr>
            </w:pPr>
            <w:r>
              <w:rPr>
                <w:sz w:val="18"/>
                <w:szCs w:val="18"/>
              </w:rPr>
              <w:t>30%</w:t>
            </w:r>
          </w:p>
        </w:tc>
      </w:tr>
    </w:tbl>
    <w:p w:rsidR="00E20B54" w:rsidRDefault="00733C9E" w:rsidP="00C57489">
      <w:pPr>
        <w:pStyle w:val="a3"/>
        <w:widowControl/>
        <w:spacing w:beforeLines="50" w:before="156" w:beforeAutospacing="0" w:after="10" w:afterAutospacing="0"/>
        <w:ind w:firstLine="420"/>
        <w:jc w:val="both"/>
        <w:rPr>
          <w:sz w:val="21"/>
          <w:szCs w:val="21"/>
        </w:rPr>
      </w:pPr>
      <w:r>
        <w:rPr>
          <w:sz w:val="21"/>
          <w:szCs w:val="21"/>
        </w:rPr>
        <w:t>计提存货跌价准备后，如果以前减记存货价值的影响因素已经消失，导致存货的可变现净值高于其账面价值的，在原已计提的存货跌价准备金额内予以转回，转回的金额计入当期损益。</w:t>
      </w:r>
    </w:p>
    <w:p w:rsidR="00E20B54" w:rsidRDefault="00733C9E">
      <w:pPr>
        <w:pStyle w:val="a3"/>
        <w:widowControl/>
        <w:spacing w:beforeAutospacing="0" w:afterAutospacing="0" w:line="360" w:lineRule="auto"/>
        <w:ind w:firstLine="420"/>
        <w:jc w:val="both"/>
        <w:rPr>
          <w:sz w:val="21"/>
          <w:szCs w:val="21"/>
        </w:rPr>
      </w:pPr>
      <w:r>
        <w:rPr>
          <w:rStyle w:val="a4"/>
          <w:bCs/>
          <w:sz w:val="21"/>
          <w:szCs w:val="21"/>
        </w:rPr>
        <w:t>17.4</w:t>
      </w:r>
      <w:r>
        <w:rPr>
          <w:rStyle w:val="a4"/>
          <w:bCs/>
          <w:sz w:val="21"/>
          <w:szCs w:val="21"/>
        </w:rPr>
        <w:t>存货的盘存制度</w:t>
      </w:r>
    </w:p>
    <w:p w:rsidR="00E20B54" w:rsidRDefault="00733C9E">
      <w:pPr>
        <w:pStyle w:val="a3"/>
        <w:widowControl/>
        <w:spacing w:beforeAutospacing="0" w:afterAutospacing="0" w:line="360" w:lineRule="auto"/>
        <w:ind w:firstLine="420"/>
        <w:jc w:val="both"/>
        <w:rPr>
          <w:sz w:val="21"/>
          <w:szCs w:val="21"/>
        </w:rPr>
      </w:pPr>
      <w:r>
        <w:rPr>
          <w:sz w:val="21"/>
          <w:szCs w:val="21"/>
        </w:rPr>
        <w:t>本公司存货的盘存制度为永续盘存制。</w:t>
      </w:r>
    </w:p>
    <w:p w:rsidR="00E20B54" w:rsidRDefault="00733C9E">
      <w:pPr>
        <w:pStyle w:val="a3"/>
        <w:widowControl/>
        <w:spacing w:beforeAutospacing="0" w:afterAutospacing="0" w:line="360" w:lineRule="auto"/>
        <w:ind w:firstLine="420"/>
        <w:jc w:val="both"/>
        <w:rPr>
          <w:sz w:val="21"/>
          <w:szCs w:val="21"/>
        </w:rPr>
      </w:pPr>
      <w:r>
        <w:rPr>
          <w:rStyle w:val="a4"/>
          <w:bCs/>
          <w:sz w:val="21"/>
          <w:szCs w:val="21"/>
        </w:rPr>
        <w:t>17.5</w:t>
      </w:r>
      <w:r>
        <w:rPr>
          <w:rStyle w:val="a4"/>
          <w:bCs/>
          <w:sz w:val="21"/>
          <w:szCs w:val="21"/>
        </w:rPr>
        <w:t>低值易耗品和包装物的摊销方法</w:t>
      </w:r>
    </w:p>
    <w:p w:rsidR="00E20B54" w:rsidRDefault="00733C9E">
      <w:pPr>
        <w:pStyle w:val="a3"/>
        <w:widowControl/>
        <w:spacing w:beforeAutospacing="0" w:afterAutospacing="0" w:line="360" w:lineRule="auto"/>
        <w:ind w:firstLine="420"/>
        <w:jc w:val="both"/>
        <w:rPr>
          <w:sz w:val="21"/>
          <w:szCs w:val="21"/>
        </w:rPr>
      </w:pPr>
      <w:r>
        <w:rPr>
          <w:sz w:val="21"/>
          <w:szCs w:val="21"/>
        </w:rPr>
        <w:t>低值易耗品于领用时按一次摊销法摊销；包装物于领用时按一次摊销法摊销。</w:t>
      </w:r>
    </w:p>
    <w:p w:rsidR="00E20B54" w:rsidRDefault="00733C9E">
      <w:pPr>
        <w:pStyle w:val="3"/>
        <w:spacing w:line="280" w:lineRule="exact"/>
        <w:jc w:val="left"/>
        <w:rPr>
          <w:b/>
          <w:bCs/>
        </w:rPr>
      </w:pPr>
      <w:bookmarkStart w:id="182" w:name="_Toc989070"/>
      <w:r>
        <w:rPr>
          <w:b/>
          <w:bCs/>
        </w:rPr>
        <w:t>18</w:t>
      </w:r>
      <w:r>
        <w:rPr>
          <w:b/>
          <w:bCs/>
        </w:rPr>
        <w:t>、持有待售资产</w:t>
      </w:r>
      <w:bookmarkEnd w:id="182"/>
    </w:p>
    <w:p w:rsidR="00E20B54" w:rsidRDefault="00733C9E" w:rsidP="00C57489">
      <w:pPr>
        <w:pStyle w:val="a3"/>
        <w:widowControl/>
        <w:spacing w:beforeLines="50" w:before="156" w:beforeAutospacing="0" w:after="10" w:afterAutospacing="0"/>
        <w:ind w:firstLine="420"/>
        <w:jc w:val="both"/>
        <w:rPr>
          <w:sz w:val="21"/>
          <w:szCs w:val="21"/>
        </w:rPr>
      </w:pPr>
      <w:r>
        <w:rPr>
          <w:sz w:val="21"/>
          <w:szCs w:val="21"/>
        </w:rPr>
        <w:t>本公司若主要通过出售（包括具有商业实质的非货币性资产交换，下同）而非持续使用一项非流动资产或处置组收回其账面价值的，则将其划分为持有待售类别。具体标准为同时满足以下条件：某项非流动资产或处置组根据类似交易中出售此类资产或处置组的惯例，在当前状况下即可立即出售；本公司已经就出售计划作出决议且获得确定的购买承诺；预计出售将在一年内完成。其中，处置组是指在一项交易中作为整体通过出售或其他方式一并处置的一组资产，以及在该交易中转让的与这些资产直接相关的负债。处置组所属的资产组或资产组组合按照《企业会计准则第</w:t>
      </w:r>
      <w:r>
        <w:rPr>
          <w:sz w:val="21"/>
          <w:szCs w:val="21"/>
        </w:rPr>
        <w:t>8</w:t>
      </w:r>
      <w:r>
        <w:rPr>
          <w:sz w:val="21"/>
          <w:szCs w:val="21"/>
        </w:rPr>
        <w:t>号</w:t>
      </w:r>
      <w:r>
        <w:rPr>
          <w:sz w:val="21"/>
          <w:szCs w:val="21"/>
        </w:rPr>
        <w:t>——</w:t>
      </w:r>
      <w:r>
        <w:rPr>
          <w:sz w:val="21"/>
          <w:szCs w:val="21"/>
        </w:rPr>
        <w:t>资产减值》分摊了企业合并中取得的商誉的，该处置组应当包含分摊至处置组的商誉。</w:t>
      </w:r>
    </w:p>
    <w:p w:rsidR="00E20B54" w:rsidRDefault="00733C9E" w:rsidP="00C57489">
      <w:pPr>
        <w:pStyle w:val="a3"/>
        <w:widowControl/>
        <w:spacing w:beforeLines="50" w:before="156" w:beforeAutospacing="0" w:after="10" w:afterAutospacing="0"/>
        <w:ind w:firstLine="420"/>
        <w:jc w:val="both"/>
        <w:rPr>
          <w:sz w:val="21"/>
          <w:szCs w:val="21"/>
        </w:rPr>
      </w:pPr>
      <w:r>
        <w:rPr>
          <w:sz w:val="21"/>
          <w:szCs w:val="21"/>
        </w:rPr>
        <w:t>本公司初始计量或在资产负债表日重新计量划分为持有待售的非流动资产和处置组时，其账面价值高于公允价值减去出售费用后的净额的，将账面价值减记至公允价值减去出售费用后的净额，减记的金额确认为资产减值损失，计入当期损益，同时计提持有待售资产减值准备。对于处置组，所确认的资产减值损失先抵减处置组中商誉的账面价值，再按比例抵减该处置组内适用《企业会计准则第</w:t>
      </w:r>
      <w:r>
        <w:rPr>
          <w:sz w:val="21"/>
          <w:szCs w:val="21"/>
        </w:rPr>
        <w:t>42</w:t>
      </w:r>
      <w:r>
        <w:rPr>
          <w:sz w:val="21"/>
          <w:szCs w:val="21"/>
        </w:rPr>
        <w:t>号</w:t>
      </w:r>
      <w:r>
        <w:rPr>
          <w:sz w:val="21"/>
          <w:szCs w:val="21"/>
        </w:rPr>
        <w:t>——</w:t>
      </w:r>
      <w:r>
        <w:rPr>
          <w:sz w:val="21"/>
          <w:szCs w:val="21"/>
        </w:rPr>
        <w:t>持有待售的非流动资产、处置组和终止经营》（以下简称</w:t>
      </w:r>
      <w:r>
        <w:rPr>
          <w:sz w:val="21"/>
          <w:szCs w:val="21"/>
        </w:rPr>
        <w:t>“</w:t>
      </w:r>
      <w:r>
        <w:rPr>
          <w:sz w:val="21"/>
          <w:szCs w:val="21"/>
        </w:rPr>
        <w:t>持有待售准则</w:t>
      </w:r>
      <w:r>
        <w:rPr>
          <w:sz w:val="21"/>
          <w:szCs w:val="21"/>
        </w:rPr>
        <w:t>”</w:t>
      </w:r>
      <w:r>
        <w:rPr>
          <w:sz w:val="21"/>
          <w:szCs w:val="21"/>
        </w:rPr>
        <w:t>）的计量规定的各项非流动资产的账面价值。后续资产负债表日持有待售的处置组公允价值减去出售费用后的净额增加的，以前减记的金额应当予以恢复，并在划分为持有待售类别后适用持有待售准则计量规定的非流动资产确认的资产减值损失金额内转回，转回金额计入当期损益，并根据处置组中除商誉外适用持有待售准则计量规定的各项非流动资产账面价值所占比重按比例增加其账面价值；已抵减的商誉账面价值，以及适用持有待售准则计量规定的非流动资产在划分为持有待售类别前确认的资产减值损失不得转回。</w:t>
      </w:r>
    </w:p>
    <w:p w:rsidR="00E20B54" w:rsidRDefault="00733C9E" w:rsidP="00C57489">
      <w:pPr>
        <w:pStyle w:val="a3"/>
        <w:widowControl/>
        <w:spacing w:beforeLines="50" w:before="156" w:beforeAutospacing="0" w:after="10" w:afterAutospacing="0"/>
        <w:ind w:firstLine="420"/>
        <w:jc w:val="both"/>
        <w:rPr>
          <w:sz w:val="21"/>
          <w:szCs w:val="21"/>
        </w:rPr>
      </w:pPr>
      <w:r>
        <w:rPr>
          <w:sz w:val="21"/>
          <w:szCs w:val="21"/>
        </w:rPr>
        <w:t>持有待售的非流动资产或处置组中的非流动资产不计提折旧或摊销，持有待售的处置组中负债的利息和其他费用继续予以确认。</w:t>
      </w:r>
    </w:p>
    <w:p w:rsidR="00E20B54" w:rsidRDefault="00733C9E" w:rsidP="00C57489">
      <w:pPr>
        <w:pStyle w:val="a3"/>
        <w:widowControl/>
        <w:spacing w:beforeLines="50" w:before="156" w:beforeAutospacing="0" w:after="10" w:afterAutospacing="0"/>
        <w:ind w:firstLine="420"/>
        <w:jc w:val="both"/>
        <w:rPr>
          <w:sz w:val="21"/>
          <w:szCs w:val="21"/>
        </w:rPr>
      </w:pPr>
      <w:r>
        <w:rPr>
          <w:sz w:val="21"/>
          <w:szCs w:val="21"/>
        </w:rPr>
        <w:t>非流动资产或处置组不再满足持有待售类别的划分条件时，本公司不再将其继续划分为持有待售类别或将非流动资产从持有待售的处置组中移除，并按照以下两者孰低计量：</w:t>
      </w:r>
      <w:r>
        <w:rPr>
          <w:sz w:val="21"/>
          <w:szCs w:val="21"/>
        </w:rPr>
        <w:t>①</w:t>
      </w:r>
      <w:r>
        <w:rPr>
          <w:sz w:val="21"/>
          <w:szCs w:val="21"/>
        </w:rPr>
        <w:t>划分为持有待售类别前的账面价值，按照假定不划分为持有待售类别情况下本应确认的折旧、摊销或减值等进行调整后的金额；</w:t>
      </w:r>
      <w:r>
        <w:rPr>
          <w:sz w:val="21"/>
          <w:szCs w:val="21"/>
        </w:rPr>
        <w:t>②</w:t>
      </w:r>
      <w:r>
        <w:rPr>
          <w:sz w:val="21"/>
          <w:szCs w:val="21"/>
        </w:rPr>
        <w:t>可收回金额。</w:t>
      </w:r>
    </w:p>
    <w:p w:rsidR="00E20B54" w:rsidRDefault="00733C9E" w:rsidP="00C57489">
      <w:pPr>
        <w:pStyle w:val="a3"/>
        <w:widowControl/>
        <w:spacing w:beforeLines="50" w:before="156" w:beforeAutospacing="0" w:after="10" w:afterAutospacing="0"/>
        <w:ind w:firstLine="420"/>
        <w:jc w:val="both"/>
        <w:rPr>
          <w:sz w:val="21"/>
          <w:szCs w:val="21"/>
        </w:rPr>
      </w:pPr>
      <w:r>
        <w:rPr>
          <w:sz w:val="21"/>
          <w:szCs w:val="21"/>
        </w:rPr>
        <w:t>终止经营，是指企业满足下列条件之一的、能够单独区分的组成部分，且该组成部分已经处置或划分为持有待售类别：（一）该组成部分代表一项独立的主要业务或一个单独的主要经营地区；（二）该组成部分是拟对一项独立的主要业务或一个单独的主要经营地区进行处置的一项相关联计划的一部分；（三）该组成部分是专为转售而取得的子公司。</w:t>
      </w:r>
    </w:p>
    <w:p w:rsidR="00E20B54" w:rsidRDefault="00733C9E" w:rsidP="00C57489">
      <w:pPr>
        <w:pStyle w:val="a3"/>
        <w:widowControl/>
        <w:spacing w:beforeLines="50" w:before="156" w:beforeAutospacing="0" w:after="10" w:afterAutospacing="0"/>
        <w:ind w:firstLine="420"/>
        <w:jc w:val="both"/>
        <w:rPr>
          <w:sz w:val="21"/>
          <w:szCs w:val="21"/>
        </w:rPr>
      </w:pPr>
      <w:r>
        <w:rPr>
          <w:sz w:val="21"/>
          <w:szCs w:val="21"/>
        </w:rPr>
        <w:lastRenderedPageBreak/>
        <w:t>企业应当在资产负债表中区别于其他资产单独列示持有待售的非流动资产或持有待售的处置组中的资产，区别于其他负债单独列示持有待售的处置组中的负债。持有待售的非流动资产或持有待售的处置组中的资产与持有待售的处置组中的负债不应当相互抵销，应当分别作为流动资产和流动负债列示。</w:t>
      </w:r>
    </w:p>
    <w:p w:rsidR="00E20B54" w:rsidRDefault="00733C9E" w:rsidP="00C57489">
      <w:pPr>
        <w:pStyle w:val="a3"/>
        <w:widowControl/>
        <w:spacing w:beforeLines="50" w:before="156" w:beforeAutospacing="0" w:after="10" w:afterAutospacing="0"/>
        <w:ind w:firstLine="420"/>
        <w:jc w:val="both"/>
        <w:rPr>
          <w:sz w:val="21"/>
          <w:szCs w:val="21"/>
        </w:rPr>
      </w:pPr>
      <w:r>
        <w:rPr>
          <w:sz w:val="21"/>
          <w:szCs w:val="21"/>
        </w:rPr>
        <w:t>企业应当在利润表中分别列示持续经营损益和终止经营损益。不符合终止经营定义的持有待售的非流动资产或处置组，其减值损失和转回金额及处置损益应当作为持续经营损益列报。终止经营的减值损失和转回金额等经营损益及处置损益应当作为终止经营损益列报。</w:t>
      </w:r>
    </w:p>
    <w:p w:rsidR="00E20B54" w:rsidRDefault="00733C9E">
      <w:pPr>
        <w:pStyle w:val="3"/>
        <w:spacing w:line="280" w:lineRule="exact"/>
        <w:jc w:val="left"/>
        <w:rPr>
          <w:b/>
          <w:bCs/>
        </w:rPr>
      </w:pPr>
      <w:bookmarkStart w:id="183" w:name="_Toc989071"/>
      <w:r>
        <w:rPr>
          <w:b/>
          <w:bCs/>
        </w:rPr>
        <w:t>19</w:t>
      </w:r>
      <w:r>
        <w:rPr>
          <w:b/>
          <w:bCs/>
        </w:rPr>
        <w:t>、债权投资</w:t>
      </w:r>
      <w:bookmarkEnd w:id="183"/>
    </w:p>
    <w:p w:rsidR="00E20B54" w:rsidRDefault="00733C9E" w:rsidP="00C57489">
      <w:pPr>
        <w:pStyle w:val="a3"/>
        <w:widowControl/>
        <w:spacing w:beforeLines="50" w:before="156" w:beforeAutospacing="0" w:after="10" w:afterAutospacing="0"/>
        <w:ind w:firstLine="420"/>
        <w:jc w:val="both"/>
        <w:rPr>
          <w:sz w:val="21"/>
          <w:szCs w:val="21"/>
        </w:rPr>
      </w:pPr>
      <w:r>
        <w:rPr>
          <w:sz w:val="21"/>
          <w:szCs w:val="21"/>
        </w:rPr>
        <w:t>债权投资项目，反映资产负债表日企业以摊余成本计量的长期债权投资的期末账面价值。自资产负债表日起一年内到期的长期债权投资的期末账面价值，在</w:t>
      </w:r>
      <w:r>
        <w:rPr>
          <w:sz w:val="21"/>
          <w:szCs w:val="21"/>
        </w:rPr>
        <w:t>“</w:t>
      </w:r>
      <w:r>
        <w:rPr>
          <w:sz w:val="21"/>
          <w:szCs w:val="21"/>
        </w:rPr>
        <w:t>一年内到期的非流动资产</w:t>
      </w:r>
      <w:r>
        <w:rPr>
          <w:sz w:val="21"/>
          <w:szCs w:val="21"/>
        </w:rPr>
        <w:t>”</w:t>
      </w:r>
      <w:r>
        <w:rPr>
          <w:sz w:val="21"/>
          <w:szCs w:val="21"/>
        </w:rPr>
        <w:t>项目反映。企业购入的以摊余成本计量的一年内到期的债权投资的期末账面价值，在</w:t>
      </w:r>
      <w:r>
        <w:rPr>
          <w:sz w:val="21"/>
          <w:szCs w:val="21"/>
        </w:rPr>
        <w:t>“</w:t>
      </w:r>
      <w:r>
        <w:rPr>
          <w:sz w:val="21"/>
          <w:szCs w:val="21"/>
        </w:rPr>
        <w:t>其他流动资产</w:t>
      </w:r>
      <w:r>
        <w:rPr>
          <w:sz w:val="21"/>
          <w:szCs w:val="21"/>
        </w:rPr>
        <w:t>”</w:t>
      </w:r>
      <w:r>
        <w:rPr>
          <w:sz w:val="21"/>
          <w:szCs w:val="21"/>
        </w:rPr>
        <w:t>项目反映。</w:t>
      </w:r>
    </w:p>
    <w:p w:rsidR="00E20B54" w:rsidRDefault="00733C9E">
      <w:pPr>
        <w:pStyle w:val="a3"/>
        <w:widowControl/>
        <w:spacing w:beforeAutospacing="0" w:afterAutospacing="0" w:line="360" w:lineRule="auto"/>
        <w:ind w:firstLine="420"/>
        <w:jc w:val="both"/>
        <w:rPr>
          <w:sz w:val="21"/>
          <w:szCs w:val="21"/>
        </w:rPr>
      </w:pPr>
      <w:r>
        <w:rPr>
          <w:rStyle w:val="a4"/>
          <w:bCs/>
          <w:sz w:val="21"/>
          <w:szCs w:val="21"/>
        </w:rPr>
        <w:t xml:space="preserve">19.1 </w:t>
      </w:r>
      <w:r>
        <w:rPr>
          <w:rStyle w:val="a4"/>
          <w:bCs/>
          <w:sz w:val="21"/>
          <w:szCs w:val="21"/>
        </w:rPr>
        <w:t>预期信用损失的确定方法</w:t>
      </w:r>
    </w:p>
    <w:p w:rsidR="00E20B54" w:rsidRDefault="00733C9E" w:rsidP="00C57489">
      <w:pPr>
        <w:pStyle w:val="a3"/>
        <w:widowControl/>
        <w:spacing w:beforeLines="50" w:before="156" w:beforeAutospacing="0" w:after="10" w:afterAutospacing="0"/>
        <w:ind w:firstLine="420"/>
        <w:jc w:val="both"/>
        <w:rPr>
          <w:sz w:val="21"/>
          <w:szCs w:val="21"/>
        </w:rPr>
      </w:pPr>
      <w:r>
        <w:rPr>
          <w:sz w:val="21"/>
          <w:szCs w:val="21"/>
        </w:rPr>
        <w:t>本公司基于单项和组合评估债权投资的预期信用损失。如果有客观证据表明某项债权投资已经发生信用减值，则本公司对该债权投资在单项资产的基础上确定预期信用损失。对于划分为组合的债权投资，本公司依据其信用风险自初始确认后是否已经显著增加，采用相当于未来</w:t>
      </w:r>
      <w:r>
        <w:rPr>
          <w:sz w:val="21"/>
          <w:szCs w:val="21"/>
        </w:rPr>
        <w:t>12</w:t>
      </w:r>
      <w:r>
        <w:rPr>
          <w:sz w:val="21"/>
          <w:szCs w:val="21"/>
        </w:rPr>
        <w:t>个月内或整个存续期的预期信用损失的金额计量减值损失。</w:t>
      </w:r>
    </w:p>
    <w:p w:rsidR="00E20B54" w:rsidRDefault="00733C9E" w:rsidP="00C57489">
      <w:pPr>
        <w:pStyle w:val="a3"/>
        <w:widowControl/>
        <w:spacing w:beforeLines="50" w:before="156" w:beforeAutospacing="0" w:after="10" w:afterAutospacing="0"/>
        <w:ind w:firstLine="420"/>
        <w:jc w:val="both"/>
        <w:rPr>
          <w:sz w:val="21"/>
          <w:szCs w:val="21"/>
        </w:rPr>
      </w:pPr>
      <w:r>
        <w:rPr>
          <w:sz w:val="21"/>
          <w:szCs w:val="21"/>
        </w:rPr>
        <w:t>本公司在每个资产负债表日评估相关债权投资的信用风险自初始确认后的变动情况。若该债权投资的信用风险自初始确认后已显著增加，本公司按照相当于该债权投资整个存续期内预期信用损失的金额计量其损失准备；若该债权投资的信用风险自初始确认后并未显著增加，本公司按照相当于该债权投资未来</w:t>
      </w:r>
      <w:r>
        <w:rPr>
          <w:sz w:val="21"/>
          <w:szCs w:val="21"/>
        </w:rPr>
        <w:t>12</w:t>
      </w:r>
      <w:r>
        <w:rPr>
          <w:sz w:val="21"/>
          <w:szCs w:val="21"/>
        </w:rPr>
        <w:t>个月内预期信用损失的金额计量其损失准备。</w:t>
      </w:r>
    </w:p>
    <w:p w:rsidR="00E20B54" w:rsidRDefault="00733C9E">
      <w:pPr>
        <w:pStyle w:val="a3"/>
        <w:widowControl/>
        <w:spacing w:beforeAutospacing="0" w:afterAutospacing="0" w:line="360" w:lineRule="auto"/>
        <w:ind w:firstLine="420"/>
        <w:jc w:val="both"/>
        <w:rPr>
          <w:sz w:val="21"/>
          <w:szCs w:val="21"/>
        </w:rPr>
      </w:pPr>
      <w:r>
        <w:rPr>
          <w:rStyle w:val="a4"/>
          <w:bCs/>
          <w:sz w:val="21"/>
          <w:szCs w:val="21"/>
        </w:rPr>
        <w:t xml:space="preserve">19.2 </w:t>
      </w:r>
      <w:r>
        <w:rPr>
          <w:rStyle w:val="a4"/>
          <w:bCs/>
          <w:sz w:val="21"/>
          <w:szCs w:val="21"/>
        </w:rPr>
        <w:t>预期信用损失的会计处理方法</w:t>
      </w:r>
    </w:p>
    <w:p w:rsidR="00E20B54" w:rsidRDefault="00733C9E" w:rsidP="00C57489">
      <w:pPr>
        <w:pStyle w:val="a3"/>
        <w:widowControl/>
        <w:spacing w:beforeLines="50" w:before="156" w:beforeAutospacing="0" w:after="10" w:afterAutospacing="0"/>
        <w:ind w:firstLine="420"/>
        <w:jc w:val="both"/>
        <w:rPr>
          <w:sz w:val="21"/>
          <w:szCs w:val="21"/>
        </w:rPr>
      </w:pPr>
      <w:r>
        <w:rPr>
          <w:sz w:val="21"/>
          <w:szCs w:val="21"/>
        </w:rPr>
        <w:t>信用损失准备的增加或转回金额，作为减值损失或利得计入当期损益。</w:t>
      </w:r>
    </w:p>
    <w:p w:rsidR="00E20B54" w:rsidRDefault="00733C9E" w:rsidP="00C57489">
      <w:pPr>
        <w:pStyle w:val="a3"/>
        <w:widowControl/>
        <w:spacing w:beforeLines="50" w:before="156" w:beforeAutospacing="0" w:after="10" w:afterAutospacing="0"/>
        <w:ind w:firstLine="420"/>
        <w:jc w:val="both"/>
        <w:rPr>
          <w:sz w:val="21"/>
          <w:szCs w:val="21"/>
        </w:rPr>
      </w:pPr>
      <w:r>
        <w:rPr>
          <w:sz w:val="21"/>
          <w:szCs w:val="21"/>
        </w:rPr>
        <w:t>本公司在前一会计期间已经按照相当于债权投资整个存续期内预期信用损失的金额计量了损失准备，但在当期资产负债表日，该债权投资已不再属于自初始确认后信用风险显著增加的情形的，本公司在当期资产负债表日按照相当于未来</w:t>
      </w:r>
      <w:r>
        <w:rPr>
          <w:sz w:val="21"/>
          <w:szCs w:val="21"/>
        </w:rPr>
        <w:t>12</w:t>
      </w:r>
      <w:r>
        <w:rPr>
          <w:sz w:val="21"/>
          <w:szCs w:val="21"/>
        </w:rPr>
        <w:t>个月内预期信用损失的金额计量该债权投资的损失准备，由此形成的损失准备的转回金额作为减值利得计入当期损益。</w:t>
      </w:r>
    </w:p>
    <w:p w:rsidR="00E20B54" w:rsidRDefault="00733C9E">
      <w:pPr>
        <w:pStyle w:val="3"/>
        <w:spacing w:line="280" w:lineRule="exact"/>
        <w:jc w:val="left"/>
        <w:rPr>
          <w:b/>
          <w:bCs/>
        </w:rPr>
      </w:pPr>
      <w:bookmarkStart w:id="184" w:name="_Toc989072"/>
      <w:r>
        <w:rPr>
          <w:b/>
          <w:bCs/>
        </w:rPr>
        <w:t>20</w:t>
      </w:r>
      <w:r>
        <w:rPr>
          <w:b/>
          <w:bCs/>
        </w:rPr>
        <w:t>、其他债权投资</w:t>
      </w:r>
      <w:bookmarkEnd w:id="184"/>
    </w:p>
    <w:p w:rsidR="00E20B54" w:rsidRDefault="00733C9E" w:rsidP="00C57489">
      <w:pPr>
        <w:pStyle w:val="a3"/>
        <w:widowControl/>
        <w:spacing w:beforeLines="50" w:before="156" w:beforeAutospacing="0" w:after="10" w:afterAutospacing="0"/>
        <w:ind w:firstLine="420"/>
        <w:jc w:val="both"/>
        <w:rPr>
          <w:sz w:val="21"/>
          <w:szCs w:val="21"/>
        </w:rPr>
      </w:pPr>
      <w:r>
        <w:rPr>
          <w:sz w:val="21"/>
          <w:szCs w:val="21"/>
        </w:rPr>
        <w:t>其他债权投资项目，反映资产负债表日企业分类为以公允价值计量且其变动计入其他综合收益的长期债权投资的期末账面价值。自资产负债表日起一年内到期的长期债权投资的期末账面价值，在</w:t>
      </w:r>
      <w:r>
        <w:rPr>
          <w:sz w:val="21"/>
          <w:szCs w:val="21"/>
        </w:rPr>
        <w:t>“</w:t>
      </w:r>
      <w:r>
        <w:rPr>
          <w:sz w:val="21"/>
          <w:szCs w:val="21"/>
        </w:rPr>
        <w:t>一年内到期的非流动资产</w:t>
      </w:r>
      <w:r>
        <w:rPr>
          <w:sz w:val="21"/>
          <w:szCs w:val="21"/>
        </w:rPr>
        <w:t>”</w:t>
      </w:r>
      <w:r>
        <w:rPr>
          <w:sz w:val="21"/>
          <w:szCs w:val="21"/>
        </w:rPr>
        <w:t>项目反映。企业购入的以公允价值计量且其变动计入其他综合收益的一年内到期的债权投资的期末账面价值，在</w:t>
      </w:r>
      <w:r>
        <w:rPr>
          <w:sz w:val="21"/>
          <w:szCs w:val="21"/>
        </w:rPr>
        <w:t>“</w:t>
      </w:r>
      <w:r>
        <w:rPr>
          <w:sz w:val="21"/>
          <w:szCs w:val="21"/>
        </w:rPr>
        <w:t>其他流动资产</w:t>
      </w:r>
      <w:r>
        <w:rPr>
          <w:sz w:val="21"/>
          <w:szCs w:val="21"/>
        </w:rPr>
        <w:t>”</w:t>
      </w:r>
      <w:r>
        <w:rPr>
          <w:sz w:val="21"/>
          <w:szCs w:val="21"/>
        </w:rPr>
        <w:t>项目反映。</w:t>
      </w:r>
    </w:p>
    <w:p w:rsidR="00E20B54" w:rsidRDefault="00733C9E" w:rsidP="00C57489">
      <w:pPr>
        <w:pStyle w:val="a3"/>
        <w:widowControl/>
        <w:spacing w:beforeLines="50" w:before="156" w:beforeAutospacing="0" w:after="10" w:afterAutospacing="0"/>
        <w:ind w:firstLine="420"/>
        <w:jc w:val="both"/>
        <w:rPr>
          <w:sz w:val="21"/>
          <w:szCs w:val="21"/>
        </w:rPr>
      </w:pPr>
      <w:r>
        <w:rPr>
          <w:sz w:val="21"/>
          <w:szCs w:val="21"/>
        </w:rPr>
        <w:t xml:space="preserve">20.1 </w:t>
      </w:r>
      <w:r>
        <w:rPr>
          <w:sz w:val="21"/>
          <w:szCs w:val="21"/>
        </w:rPr>
        <w:t>预期信用损失的确定方法</w:t>
      </w:r>
    </w:p>
    <w:p w:rsidR="00E20B54" w:rsidRDefault="00733C9E" w:rsidP="00C57489">
      <w:pPr>
        <w:pStyle w:val="a3"/>
        <w:widowControl/>
        <w:spacing w:beforeLines="50" w:before="156" w:beforeAutospacing="0" w:after="10" w:afterAutospacing="0"/>
        <w:ind w:firstLine="420"/>
        <w:jc w:val="both"/>
        <w:rPr>
          <w:sz w:val="21"/>
          <w:szCs w:val="21"/>
        </w:rPr>
      </w:pPr>
      <w:r>
        <w:rPr>
          <w:sz w:val="21"/>
          <w:szCs w:val="21"/>
        </w:rPr>
        <w:t>本公司基于单项和组合评估其他债权投资的预期信用损失。如果有客观证据表明某项其他债权投资已经发生信用减值，则本公司对该其他债权投资在单项资产的基础上确定预期信用损失。对于划分为组合的其他债权投资，本公司依据其信用风险自初始确认后是否已经显著增加，采用相当于未来</w:t>
      </w:r>
      <w:r>
        <w:rPr>
          <w:sz w:val="21"/>
          <w:szCs w:val="21"/>
        </w:rPr>
        <w:t>12</w:t>
      </w:r>
      <w:r>
        <w:rPr>
          <w:sz w:val="21"/>
          <w:szCs w:val="21"/>
        </w:rPr>
        <w:t>个月内或整个存续期的预期信用损失的金额计量减值损失。</w:t>
      </w:r>
    </w:p>
    <w:p w:rsidR="00E20B54" w:rsidRDefault="00733C9E" w:rsidP="00C57489">
      <w:pPr>
        <w:pStyle w:val="a3"/>
        <w:widowControl/>
        <w:spacing w:beforeLines="50" w:before="156" w:beforeAutospacing="0" w:after="10" w:afterAutospacing="0"/>
        <w:ind w:firstLine="420"/>
        <w:jc w:val="both"/>
        <w:rPr>
          <w:sz w:val="21"/>
          <w:szCs w:val="21"/>
        </w:rPr>
      </w:pPr>
      <w:r>
        <w:rPr>
          <w:sz w:val="21"/>
          <w:szCs w:val="21"/>
        </w:rPr>
        <w:lastRenderedPageBreak/>
        <w:t>本公司在每个资产负债表日评估相关其他债权投资的信用风险自初始确认后的变动情况。若该其他债权投资的信用风险自初始确认后已显著增加，本公司按照相当于该其他债权投资整个存续期内预期信用损失的金额计量其损失准备；若该其他债权投资的信用风险自初始确认后并未显著增加，本公司按照相当于该其他债权投资未来</w:t>
      </w:r>
      <w:r>
        <w:rPr>
          <w:sz w:val="21"/>
          <w:szCs w:val="21"/>
        </w:rPr>
        <w:t>12</w:t>
      </w:r>
      <w:r>
        <w:rPr>
          <w:sz w:val="21"/>
          <w:szCs w:val="21"/>
        </w:rPr>
        <w:t>个月内预期信用损失的金额计量其损失准备。</w:t>
      </w:r>
    </w:p>
    <w:p w:rsidR="00E20B54" w:rsidRDefault="00733C9E" w:rsidP="00C57489">
      <w:pPr>
        <w:pStyle w:val="a3"/>
        <w:widowControl/>
        <w:spacing w:beforeLines="50" w:before="156" w:beforeAutospacing="0" w:after="10" w:afterAutospacing="0"/>
        <w:ind w:firstLine="420"/>
        <w:jc w:val="both"/>
        <w:rPr>
          <w:sz w:val="21"/>
          <w:szCs w:val="21"/>
        </w:rPr>
      </w:pPr>
      <w:r>
        <w:rPr>
          <w:sz w:val="21"/>
          <w:szCs w:val="21"/>
        </w:rPr>
        <w:t xml:space="preserve">20.2 </w:t>
      </w:r>
      <w:r>
        <w:rPr>
          <w:sz w:val="21"/>
          <w:szCs w:val="21"/>
        </w:rPr>
        <w:t>预期信用损失的会计处理方法</w:t>
      </w:r>
    </w:p>
    <w:p w:rsidR="00E20B54" w:rsidRDefault="00733C9E" w:rsidP="00C57489">
      <w:pPr>
        <w:pStyle w:val="a3"/>
        <w:widowControl/>
        <w:spacing w:beforeLines="50" w:before="156" w:beforeAutospacing="0" w:after="10" w:afterAutospacing="0"/>
        <w:ind w:firstLine="420"/>
        <w:jc w:val="both"/>
        <w:rPr>
          <w:sz w:val="21"/>
          <w:szCs w:val="21"/>
        </w:rPr>
      </w:pPr>
      <w:r>
        <w:rPr>
          <w:sz w:val="21"/>
          <w:szCs w:val="21"/>
        </w:rPr>
        <w:t>对于分类为以公允价值计量且其变动计入其他综合收益的金融资产，本公司在其他综合收益中确认其信用损失准备，并将减值损失或利得计入当期损益，且不减少该金融资产在资产负债表中列示的账面价值。</w:t>
      </w:r>
    </w:p>
    <w:p w:rsidR="00E20B54" w:rsidRDefault="00733C9E" w:rsidP="00C57489">
      <w:pPr>
        <w:pStyle w:val="a3"/>
        <w:widowControl/>
        <w:spacing w:beforeLines="50" w:before="156" w:beforeAutospacing="0" w:after="10" w:afterAutospacing="0"/>
        <w:ind w:firstLine="420"/>
        <w:jc w:val="both"/>
        <w:rPr>
          <w:sz w:val="21"/>
          <w:szCs w:val="21"/>
        </w:rPr>
      </w:pPr>
      <w:r>
        <w:rPr>
          <w:sz w:val="21"/>
          <w:szCs w:val="21"/>
        </w:rPr>
        <w:t>本公司在前一会计期间已经按照相当于其他债权投资整个存续期内预期信用损失的金额计量了损失准备，但在当期资产负债表日，该其他债权投资已不再属于自初始确认后信用风险显著增加的情形的，本公司在当期资产负债表日按照相当于未来</w:t>
      </w:r>
      <w:r>
        <w:rPr>
          <w:sz w:val="21"/>
          <w:szCs w:val="21"/>
        </w:rPr>
        <w:t>12</w:t>
      </w:r>
      <w:r>
        <w:rPr>
          <w:sz w:val="21"/>
          <w:szCs w:val="21"/>
        </w:rPr>
        <w:t>个月内预期信用损失的金额计量该其他债权投资的损失准备，由此形成的损失准备的转回金额作为减值利得计入当期损益。</w:t>
      </w:r>
    </w:p>
    <w:p w:rsidR="00E20B54" w:rsidRDefault="00733C9E">
      <w:pPr>
        <w:pStyle w:val="3"/>
        <w:spacing w:line="280" w:lineRule="exact"/>
        <w:jc w:val="left"/>
        <w:rPr>
          <w:b/>
          <w:bCs/>
        </w:rPr>
      </w:pPr>
      <w:bookmarkStart w:id="185" w:name="_Toc989073"/>
      <w:r>
        <w:rPr>
          <w:b/>
          <w:bCs/>
        </w:rPr>
        <w:t>21</w:t>
      </w:r>
      <w:r>
        <w:rPr>
          <w:b/>
          <w:bCs/>
        </w:rPr>
        <w:t>、长期应收款</w:t>
      </w:r>
      <w:bookmarkEnd w:id="185"/>
    </w:p>
    <w:p w:rsidR="00E20B54" w:rsidRDefault="00733C9E" w:rsidP="00C57489">
      <w:pPr>
        <w:pStyle w:val="a3"/>
        <w:widowControl/>
        <w:spacing w:beforeLines="50" w:before="156" w:beforeAutospacing="0" w:after="10" w:afterAutospacing="0"/>
        <w:ind w:firstLine="420"/>
        <w:jc w:val="both"/>
        <w:rPr>
          <w:sz w:val="21"/>
          <w:szCs w:val="21"/>
        </w:rPr>
      </w:pPr>
      <w:r>
        <w:rPr>
          <w:sz w:val="21"/>
          <w:szCs w:val="21"/>
        </w:rPr>
        <w:t>长期应收款项目，反映资产负债表日企业的长期应收款项，包括融资租赁产生的应收款项、采用递延方式具有融资性质的销售商品和提供劳务等产生的应收款项等。</w:t>
      </w:r>
    </w:p>
    <w:p w:rsidR="00E20B54" w:rsidRDefault="00733C9E">
      <w:pPr>
        <w:pStyle w:val="a3"/>
        <w:widowControl/>
        <w:spacing w:beforeAutospacing="0" w:afterAutospacing="0" w:line="360" w:lineRule="auto"/>
        <w:ind w:firstLine="420"/>
        <w:jc w:val="both"/>
        <w:rPr>
          <w:sz w:val="21"/>
          <w:szCs w:val="21"/>
        </w:rPr>
      </w:pPr>
      <w:r>
        <w:rPr>
          <w:rStyle w:val="a4"/>
          <w:bCs/>
          <w:sz w:val="21"/>
          <w:szCs w:val="21"/>
        </w:rPr>
        <w:t xml:space="preserve">21.1 </w:t>
      </w:r>
      <w:r>
        <w:rPr>
          <w:rStyle w:val="a4"/>
          <w:bCs/>
          <w:sz w:val="21"/>
          <w:szCs w:val="21"/>
        </w:rPr>
        <w:t>预期信用损失的确定方法</w:t>
      </w:r>
    </w:p>
    <w:p w:rsidR="00E20B54" w:rsidRDefault="00733C9E" w:rsidP="00C57489">
      <w:pPr>
        <w:pStyle w:val="a3"/>
        <w:widowControl/>
        <w:spacing w:beforeLines="50" w:before="156" w:beforeAutospacing="0" w:after="10" w:afterAutospacing="0"/>
        <w:ind w:firstLine="420"/>
        <w:jc w:val="both"/>
        <w:rPr>
          <w:sz w:val="21"/>
          <w:szCs w:val="21"/>
        </w:rPr>
      </w:pPr>
      <w:r>
        <w:rPr>
          <w:sz w:val="21"/>
          <w:szCs w:val="21"/>
        </w:rPr>
        <w:t>本公司基于单项和组合评估长期应收款的预期信用损失。如果有客观证据表明某项长期应收款已经发生信用减值，则本公司对该长期应收款在单项资产的基础上确定预期信用损失。划分为组合的长期应收款，对应收租赁款，当公司选择全部按照简化方法计量损失准备时，本公司在每个资产负债表日评估相关长期应收款的信用风险自初始确认后的变动情况。本公司对租赁应收款项，按照相当于整个存续期内预期信用损失的金额计量损失准备；对于应收租赁款以外的其他长期应收款，若该长期应收款的信用风险自初始确认后已显著增加，本公司按照相当于该长期应收款整个存续期内预期信用损失的金额计量其损失准备；若该长期应收款的信用风险自初始确认后并未显著增加，本公司按照相当于该长期应收款未来</w:t>
      </w:r>
      <w:r>
        <w:rPr>
          <w:sz w:val="21"/>
          <w:szCs w:val="21"/>
        </w:rPr>
        <w:t>12</w:t>
      </w:r>
      <w:r>
        <w:rPr>
          <w:sz w:val="21"/>
          <w:szCs w:val="21"/>
        </w:rPr>
        <w:t>个月内预期信用损失的金额计量其损失准备。</w:t>
      </w:r>
    </w:p>
    <w:p w:rsidR="00E20B54" w:rsidRDefault="00733C9E" w:rsidP="00C57489">
      <w:pPr>
        <w:pStyle w:val="a3"/>
        <w:widowControl/>
        <w:spacing w:beforeLines="50" w:before="156" w:beforeAutospacing="0" w:after="10" w:afterAutospacing="0"/>
        <w:ind w:firstLine="420"/>
        <w:jc w:val="both"/>
        <w:rPr>
          <w:sz w:val="21"/>
          <w:szCs w:val="21"/>
        </w:rPr>
      </w:pPr>
      <w:r>
        <w:rPr>
          <w:sz w:val="21"/>
          <w:szCs w:val="21"/>
        </w:rPr>
        <w:t>应收租赁款，由《企业会计准则第</w:t>
      </w:r>
      <w:r>
        <w:rPr>
          <w:sz w:val="21"/>
          <w:szCs w:val="21"/>
        </w:rPr>
        <w:t>21</w:t>
      </w:r>
      <w:r>
        <w:rPr>
          <w:sz w:val="21"/>
          <w:szCs w:val="21"/>
        </w:rPr>
        <w:t>号</w:t>
      </w:r>
      <w:r>
        <w:rPr>
          <w:sz w:val="21"/>
          <w:szCs w:val="21"/>
        </w:rPr>
        <w:t>——</w:t>
      </w:r>
      <w:r>
        <w:rPr>
          <w:sz w:val="21"/>
          <w:szCs w:val="21"/>
        </w:rPr>
        <w:t>租赁》规范的交易形成的租赁应收款，同时企业做出会计政策选择，按照相当于整个存续期内预期信用损失的金额计量损失准备。企业应当将该会计政策选择适用于所有租赁应收款，但可对应收融资租赁款和应收经营租赁款分别做出会计政策选择。</w:t>
      </w:r>
    </w:p>
    <w:p w:rsidR="00E20B54" w:rsidRDefault="00733C9E" w:rsidP="00C57489">
      <w:pPr>
        <w:pStyle w:val="a3"/>
        <w:widowControl/>
        <w:spacing w:beforeLines="50" w:before="156" w:beforeAutospacing="0" w:after="10" w:afterAutospacing="0"/>
        <w:ind w:firstLine="420"/>
        <w:jc w:val="both"/>
        <w:rPr>
          <w:sz w:val="21"/>
          <w:szCs w:val="21"/>
        </w:rPr>
      </w:pPr>
      <w:r>
        <w:rPr>
          <w:sz w:val="21"/>
          <w:szCs w:val="21"/>
        </w:rPr>
        <w:t>除了单项评估信用风险的长期应收款外，基于其信用风险特征，将其划分为不同组合：</w:t>
      </w:r>
    </w:p>
    <w:tbl>
      <w:tblPr>
        <w:tblW w:w="5000" w:type="pct"/>
        <w:tblBorders>
          <w:top w:val="none" w:sz="6" w:space="0" w:color="auto"/>
          <w:left w:val="none" w:sz="6" w:space="0" w:color="auto"/>
          <w:bottom w:val="none" w:sz="6" w:space="0" w:color="auto"/>
          <w:right w:val="none" w:sz="6" w:space="0" w:color="auto"/>
          <w:insideH w:val="outset" w:sz="6" w:space="0" w:color="auto"/>
          <w:insideV w:val="outset" w:sz="6" w:space="0" w:color="auto"/>
        </w:tblBorders>
        <w:tblCellMar>
          <w:top w:w="15" w:type="dxa"/>
          <w:left w:w="15" w:type="dxa"/>
          <w:bottom w:w="15" w:type="dxa"/>
          <w:right w:w="15" w:type="dxa"/>
        </w:tblCellMar>
        <w:tblLook w:val="04A0" w:firstRow="1" w:lastRow="0" w:firstColumn="1" w:lastColumn="0" w:noHBand="0" w:noVBand="1"/>
      </w:tblPr>
      <w:tblGrid>
        <w:gridCol w:w="3892"/>
        <w:gridCol w:w="5961"/>
      </w:tblGrid>
      <w:tr w:rsidR="00E20B54" w:rsidRPr="00295DC8" w:rsidTr="00295DC8">
        <w:trPr>
          <w:trHeight w:val="227"/>
        </w:trPr>
        <w:tc>
          <w:tcPr>
            <w:tcW w:w="1975" w:type="pct"/>
            <w:tcBorders>
              <w:top w:val="single" w:sz="8" w:space="0" w:color="auto"/>
              <w:left w:val="single" w:sz="8" w:space="0" w:color="auto"/>
              <w:bottom w:val="single" w:sz="8" w:space="0" w:color="auto"/>
              <w:right w:val="single" w:sz="8" w:space="0" w:color="auto"/>
            </w:tcBorders>
            <w:shd w:val="clear" w:color="auto" w:fill="D9D9D9" w:themeFill="background1" w:themeFillShade="D9"/>
            <w:tcMar>
              <w:top w:w="0" w:type="dxa"/>
              <w:left w:w="108" w:type="dxa"/>
              <w:bottom w:w="0" w:type="dxa"/>
              <w:right w:w="108" w:type="dxa"/>
            </w:tcMar>
            <w:vAlign w:val="center"/>
          </w:tcPr>
          <w:p w:rsidR="00E20B54" w:rsidRPr="00295DC8" w:rsidRDefault="00733C9E">
            <w:pPr>
              <w:pStyle w:val="a3"/>
              <w:widowControl/>
              <w:spacing w:beforeAutospacing="0" w:afterAutospacing="0"/>
              <w:jc w:val="center"/>
              <w:rPr>
                <w:sz w:val="18"/>
                <w:szCs w:val="21"/>
              </w:rPr>
            </w:pPr>
            <w:r w:rsidRPr="00295DC8">
              <w:rPr>
                <w:rStyle w:val="a4"/>
                <w:sz w:val="18"/>
                <w:szCs w:val="21"/>
              </w:rPr>
              <w:t>组合名称</w:t>
            </w:r>
          </w:p>
        </w:tc>
        <w:tc>
          <w:tcPr>
            <w:tcW w:w="3025" w:type="pct"/>
            <w:tcBorders>
              <w:top w:val="single" w:sz="8" w:space="0" w:color="auto"/>
              <w:left w:val="nil"/>
              <w:bottom w:val="single" w:sz="8" w:space="0" w:color="auto"/>
              <w:right w:val="single" w:sz="8" w:space="0" w:color="auto"/>
            </w:tcBorders>
            <w:shd w:val="clear" w:color="auto" w:fill="D9D9D9" w:themeFill="background1" w:themeFillShade="D9"/>
            <w:tcMar>
              <w:top w:w="0" w:type="dxa"/>
              <w:left w:w="108" w:type="dxa"/>
              <w:bottom w:w="0" w:type="dxa"/>
              <w:right w:w="108" w:type="dxa"/>
            </w:tcMar>
            <w:vAlign w:val="center"/>
          </w:tcPr>
          <w:p w:rsidR="00E20B54" w:rsidRPr="00295DC8" w:rsidRDefault="00733C9E">
            <w:pPr>
              <w:pStyle w:val="a3"/>
              <w:widowControl/>
              <w:spacing w:beforeAutospacing="0" w:afterAutospacing="0"/>
              <w:jc w:val="center"/>
              <w:rPr>
                <w:sz w:val="18"/>
                <w:szCs w:val="21"/>
              </w:rPr>
            </w:pPr>
            <w:r w:rsidRPr="00295DC8">
              <w:rPr>
                <w:rStyle w:val="a4"/>
                <w:sz w:val="18"/>
                <w:szCs w:val="21"/>
              </w:rPr>
              <w:t>组合内容</w:t>
            </w:r>
          </w:p>
        </w:tc>
      </w:tr>
      <w:tr w:rsidR="00E20B54" w:rsidRPr="00295DC8" w:rsidTr="00295DC8">
        <w:trPr>
          <w:trHeight w:val="227"/>
        </w:trPr>
        <w:tc>
          <w:tcPr>
            <w:tcW w:w="1975" w:type="pct"/>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tcPr>
          <w:p w:rsidR="00E20B54" w:rsidRPr="00295DC8" w:rsidRDefault="00733C9E">
            <w:pPr>
              <w:pStyle w:val="a3"/>
              <w:widowControl/>
              <w:spacing w:beforeAutospacing="0" w:afterAutospacing="0"/>
              <w:rPr>
                <w:sz w:val="18"/>
                <w:szCs w:val="21"/>
              </w:rPr>
            </w:pPr>
            <w:r w:rsidRPr="00295DC8">
              <w:rPr>
                <w:sz w:val="18"/>
                <w:szCs w:val="21"/>
              </w:rPr>
              <w:t>长期应收款组合</w:t>
            </w:r>
            <w:r w:rsidRPr="00295DC8">
              <w:rPr>
                <w:sz w:val="18"/>
                <w:szCs w:val="21"/>
              </w:rPr>
              <w:t>1</w:t>
            </w:r>
          </w:p>
        </w:tc>
        <w:tc>
          <w:tcPr>
            <w:tcW w:w="3025" w:type="pct"/>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E20B54" w:rsidRPr="00295DC8" w:rsidRDefault="00733C9E">
            <w:pPr>
              <w:pStyle w:val="a3"/>
              <w:widowControl/>
              <w:spacing w:beforeAutospacing="0" w:afterAutospacing="0"/>
              <w:rPr>
                <w:sz w:val="18"/>
                <w:szCs w:val="21"/>
              </w:rPr>
            </w:pPr>
            <w:r w:rsidRPr="00295DC8">
              <w:rPr>
                <w:sz w:val="18"/>
                <w:szCs w:val="21"/>
              </w:rPr>
              <w:t>本组合为政府部门、教育医疗单位的应收款项</w:t>
            </w:r>
          </w:p>
        </w:tc>
      </w:tr>
      <w:tr w:rsidR="00E20B54" w:rsidRPr="00295DC8" w:rsidTr="00295DC8">
        <w:trPr>
          <w:trHeight w:val="227"/>
        </w:trPr>
        <w:tc>
          <w:tcPr>
            <w:tcW w:w="1975" w:type="pct"/>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tcPr>
          <w:p w:rsidR="00E20B54" w:rsidRPr="00295DC8" w:rsidRDefault="00733C9E">
            <w:pPr>
              <w:pStyle w:val="a3"/>
              <w:widowControl/>
              <w:spacing w:beforeAutospacing="0" w:afterAutospacing="0"/>
              <w:rPr>
                <w:sz w:val="18"/>
                <w:szCs w:val="21"/>
              </w:rPr>
            </w:pPr>
            <w:r w:rsidRPr="00295DC8">
              <w:rPr>
                <w:sz w:val="18"/>
                <w:szCs w:val="21"/>
              </w:rPr>
              <w:t>长期应收款组合</w:t>
            </w:r>
            <w:r w:rsidRPr="00295DC8">
              <w:rPr>
                <w:sz w:val="18"/>
                <w:szCs w:val="21"/>
              </w:rPr>
              <w:t>2</w:t>
            </w:r>
          </w:p>
        </w:tc>
        <w:tc>
          <w:tcPr>
            <w:tcW w:w="3025" w:type="pct"/>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E20B54" w:rsidRPr="00295DC8" w:rsidRDefault="00733C9E">
            <w:pPr>
              <w:pStyle w:val="a3"/>
              <w:widowControl/>
              <w:spacing w:beforeAutospacing="0" w:afterAutospacing="0"/>
              <w:rPr>
                <w:sz w:val="18"/>
                <w:szCs w:val="21"/>
              </w:rPr>
            </w:pPr>
            <w:r w:rsidRPr="00295DC8">
              <w:rPr>
                <w:sz w:val="18"/>
                <w:szCs w:val="21"/>
              </w:rPr>
              <w:t>本组合为企业及其他单位的应收款项</w:t>
            </w:r>
          </w:p>
        </w:tc>
      </w:tr>
    </w:tbl>
    <w:p w:rsidR="00E20B54" w:rsidRDefault="00733C9E">
      <w:pPr>
        <w:pStyle w:val="a3"/>
        <w:widowControl/>
        <w:spacing w:before="145" w:beforeAutospacing="0" w:afterAutospacing="0" w:line="360" w:lineRule="auto"/>
        <w:ind w:firstLine="420"/>
        <w:jc w:val="both"/>
        <w:rPr>
          <w:sz w:val="21"/>
          <w:szCs w:val="21"/>
        </w:rPr>
      </w:pPr>
      <w:r>
        <w:rPr>
          <w:rStyle w:val="a4"/>
          <w:bCs/>
          <w:sz w:val="21"/>
          <w:szCs w:val="21"/>
        </w:rPr>
        <w:t xml:space="preserve">21.2 </w:t>
      </w:r>
      <w:r>
        <w:rPr>
          <w:rStyle w:val="a4"/>
          <w:bCs/>
          <w:sz w:val="21"/>
          <w:szCs w:val="21"/>
        </w:rPr>
        <w:t>预期信用损失的会计处理方法</w:t>
      </w:r>
    </w:p>
    <w:p w:rsidR="00E20B54" w:rsidRDefault="00733C9E" w:rsidP="00C57489">
      <w:pPr>
        <w:pStyle w:val="a3"/>
        <w:widowControl/>
        <w:spacing w:beforeLines="50" w:before="156" w:beforeAutospacing="0" w:after="10" w:afterAutospacing="0"/>
        <w:ind w:firstLine="420"/>
        <w:jc w:val="both"/>
        <w:rPr>
          <w:sz w:val="21"/>
          <w:szCs w:val="21"/>
        </w:rPr>
      </w:pPr>
      <w:r>
        <w:rPr>
          <w:sz w:val="21"/>
          <w:szCs w:val="21"/>
        </w:rPr>
        <w:t>信用损失准备的增加或转回金额，作为减值损失或利得计入当期损益。对于应收租赁款以外的其他长期应收款，本公司在前一会计期间已经按照相当于长期应收款整个存续期内预期信用损失的金额计量了损失准备，但在当期资产负债表日，该长期应收款已不再属于自初始确认后信用风险显著增加的情形的，本公司在当期资产负债表日按照相当于未来</w:t>
      </w:r>
      <w:r>
        <w:rPr>
          <w:sz w:val="21"/>
          <w:szCs w:val="21"/>
        </w:rPr>
        <w:t>12</w:t>
      </w:r>
      <w:r>
        <w:rPr>
          <w:sz w:val="21"/>
          <w:szCs w:val="21"/>
        </w:rPr>
        <w:t>个月内预期信用损失的金额计量该长期应收款的损失准备，由此形成的损失准备的转回金额作为减值利得计入当期损益。</w:t>
      </w:r>
    </w:p>
    <w:p w:rsidR="00E20B54" w:rsidRDefault="00733C9E">
      <w:pPr>
        <w:pStyle w:val="3"/>
        <w:spacing w:line="280" w:lineRule="exact"/>
        <w:jc w:val="left"/>
        <w:rPr>
          <w:b/>
          <w:bCs/>
        </w:rPr>
      </w:pPr>
      <w:bookmarkStart w:id="186" w:name="_Toc989074"/>
      <w:r>
        <w:rPr>
          <w:b/>
          <w:bCs/>
        </w:rPr>
        <w:lastRenderedPageBreak/>
        <w:t>22</w:t>
      </w:r>
      <w:r>
        <w:rPr>
          <w:b/>
          <w:bCs/>
        </w:rPr>
        <w:t>、长期股权投资</w:t>
      </w:r>
      <w:bookmarkEnd w:id="186"/>
    </w:p>
    <w:p w:rsidR="00E20B54" w:rsidRDefault="00733C9E" w:rsidP="00C57489">
      <w:pPr>
        <w:pStyle w:val="a3"/>
        <w:widowControl/>
        <w:spacing w:beforeLines="50" w:before="156" w:beforeAutospacing="0" w:after="10" w:afterAutospacing="0"/>
        <w:ind w:firstLine="420"/>
        <w:jc w:val="both"/>
        <w:rPr>
          <w:sz w:val="21"/>
          <w:szCs w:val="21"/>
        </w:rPr>
      </w:pPr>
      <w:r>
        <w:rPr>
          <w:sz w:val="21"/>
          <w:szCs w:val="21"/>
        </w:rPr>
        <w:t>本部分所指的长期股权投资是指本公司对被投资单位具有控制、共同控制或重大影响的长期股权投资。</w:t>
      </w:r>
    </w:p>
    <w:p w:rsidR="00E20B54" w:rsidRDefault="00733C9E">
      <w:pPr>
        <w:pStyle w:val="a3"/>
        <w:widowControl/>
        <w:spacing w:beforeAutospacing="0" w:afterAutospacing="0" w:line="360" w:lineRule="auto"/>
        <w:ind w:firstLine="420"/>
        <w:jc w:val="both"/>
        <w:rPr>
          <w:sz w:val="21"/>
          <w:szCs w:val="21"/>
        </w:rPr>
      </w:pPr>
      <w:r>
        <w:rPr>
          <w:rStyle w:val="a4"/>
          <w:bCs/>
          <w:sz w:val="21"/>
          <w:szCs w:val="21"/>
        </w:rPr>
        <w:t>22.1</w:t>
      </w:r>
      <w:r>
        <w:rPr>
          <w:rStyle w:val="a4"/>
          <w:bCs/>
          <w:sz w:val="21"/>
          <w:szCs w:val="21"/>
        </w:rPr>
        <w:t>共同控制、重要影响的判断标准</w:t>
      </w:r>
    </w:p>
    <w:p w:rsidR="00E20B54" w:rsidRDefault="00733C9E" w:rsidP="00C57489">
      <w:pPr>
        <w:pStyle w:val="a3"/>
        <w:widowControl/>
        <w:spacing w:beforeLines="50" w:before="156" w:beforeAutospacing="0" w:after="10" w:afterAutospacing="0"/>
        <w:ind w:firstLine="420"/>
        <w:jc w:val="both"/>
        <w:rPr>
          <w:sz w:val="21"/>
          <w:szCs w:val="21"/>
        </w:rPr>
      </w:pPr>
      <w:r>
        <w:rPr>
          <w:sz w:val="21"/>
          <w:szCs w:val="21"/>
        </w:rPr>
        <w:t>共同控制，是指按照相关约定对某项安排所共有的控制，并且该安排的相关活动必须经过分享控制权的参与方一致同意后才能决策。</w:t>
      </w:r>
    </w:p>
    <w:p w:rsidR="00E20B54" w:rsidRDefault="00733C9E" w:rsidP="00C57489">
      <w:pPr>
        <w:pStyle w:val="a3"/>
        <w:widowControl/>
        <w:spacing w:beforeLines="50" w:before="156" w:beforeAutospacing="0" w:after="10" w:afterAutospacing="0"/>
        <w:ind w:firstLine="420"/>
        <w:jc w:val="both"/>
        <w:rPr>
          <w:sz w:val="21"/>
          <w:szCs w:val="21"/>
        </w:rPr>
      </w:pPr>
      <w:r>
        <w:rPr>
          <w:sz w:val="21"/>
          <w:szCs w:val="21"/>
        </w:rPr>
        <w:t>重大影响，是指投资方对被投资单位的财务和经营政策有参与决策的权力，但并不能够控制或者与其他方一起共同控制这些政策的制定。在确定能否对被投资单位施加重大影响时，应当考虑投资方和其他方持有的被投资单位当期可转换公司债券、当期可执行认股权证等潜在表决权因素。投资方能够对被投资单位施加重大影响的，被投资单位为其联营企业。</w:t>
      </w:r>
    </w:p>
    <w:p w:rsidR="00E20B54" w:rsidRDefault="00733C9E" w:rsidP="00C57489">
      <w:pPr>
        <w:pStyle w:val="a3"/>
        <w:widowControl/>
        <w:adjustRightInd w:val="0"/>
        <w:snapToGrid w:val="0"/>
        <w:spacing w:beforeLines="50" w:before="156" w:beforeAutospacing="0" w:afterLines="50" w:after="156" w:afterAutospacing="0"/>
        <w:ind w:firstLine="420"/>
        <w:jc w:val="both"/>
        <w:rPr>
          <w:sz w:val="21"/>
          <w:szCs w:val="21"/>
        </w:rPr>
      </w:pPr>
      <w:r>
        <w:rPr>
          <w:rStyle w:val="a4"/>
          <w:bCs/>
          <w:sz w:val="21"/>
          <w:szCs w:val="21"/>
        </w:rPr>
        <w:t>22.2</w:t>
      </w:r>
      <w:r>
        <w:rPr>
          <w:rStyle w:val="a4"/>
          <w:bCs/>
          <w:sz w:val="21"/>
          <w:szCs w:val="21"/>
        </w:rPr>
        <w:t>投资成本的确定</w:t>
      </w:r>
    </w:p>
    <w:p w:rsidR="00E20B54" w:rsidRDefault="00733C9E" w:rsidP="00C57489">
      <w:pPr>
        <w:pStyle w:val="a3"/>
        <w:widowControl/>
        <w:adjustRightInd w:val="0"/>
        <w:snapToGrid w:val="0"/>
        <w:spacing w:beforeLines="50" w:before="156" w:beforeAutospacing="0" w:afterLines="50" w:after="156" w:afterAutospacing="0"/>
        <w:ind w:firstLine="420"/>
        <w:jc w:val="both"/>
        <w:rPr>
          <w:sz w:val="21"/>
          <w:szCs w:val="21"/>
        </w:rPr>
      </w:pPr>
      <w:r>
        <w:rPr>
          <w:sz w:val="21"/>
          <w:szCs w:val="21"/>
        </w:rPr>
        <w:t>对于企业合并取得的长期股权投资，详见本节</w:t>
      </w:r>
      <w:r>
        <w:rPr>
          <w:sz w:val="21"/>
          <w:szCs w:val="21"/>
        </w:rPr>
        <w:t>“</w:t>
      </w:r>
      <w:r>
        <w:rPr>
          <w:sz w:val="21"/>
          <w:szCs w:val="21"/>
        </w:rPr>
        <w:t>五、</w:t>
      </w:r>
      <w:r>
        <w:rPr>
          <w:sz w:val="21"/>
          <w:szCs w:val="21"/>
        </w:rPr>
        <w:t xml:space="preserve">6 </w:t>
      </w:r>
      <w:r>
        <w:rPr>
          <w:sz w:val="21"/>
          <w:szCs w:val="21"/>
        </w:rPr>
        <w:t>同一控制下和非同一控制下企业合并的会计处理方法</w:t>
      </w:r>
      <w:r>
        <w:rPr>
          <w:sz w:val="21"/>
          <w:szCs w:val="21"/>
        </w:rPr>
        <w:t>”</w:t>
      </w:r>
      <w:r>
        <w:rPr>
          <w:sz w:val="21"/>
          <w:szCs w:val="21"/>
        </w:rPr>
        <w:t>。</w:t>
      </w:r>
    </w:p>
    <w:p w:rsidR="00E20B54" w:rsidRDefault="00733C9E" w:rsidP="00C57489">
      <w:pPr>
        <w:pStyle w:val="a3"/>
        <w:widowControl/>
        <w:adjustRightInd w:val="0"/>
        <w:snapToGrid w:val="0"/>
        <w:spacing w:beforeLines="50" w:before="156" w:beforeAutospacing="0" w:afterLines="50" w:after="156" w:afterAutospacing="0"/>
        <w:ind w:firstLine="420"/>
        <w:jc w:val="both"/>
        <w:rPr>
          <w:sz w:val="21"/>
          <w:szCs w:val="21"/>
        </w:rPr>
      </w:pPr>
      <w:r>
        <w:rPr>
          <w:sz w:val="21"/>
          <w:szCs w:val="21"/>
        </w:rPr>
        <w:t>除企业合并形成的长期股权投资外的其他股权投资，按成本进行初始计量，该成本视长期股权投资取得方式的不同，分别按照本公司实际支付的现金购买价款、本公司发行的权益性证券的公允价值、投资合同或协议约定的价值、非货币性资产交换交易中换出资产的公允价值或原账面价值、该项长期股权投资自身的公允价值等方式确定。与取得长期股权投资直接相关的费用、税金及其他必要支出也计入投资成本。</w:t>
      </w:r>
    </w:p>
    <w:p w:rsidR="00E20B54" w:rsidRDefault="00733C9E" w:rsidP="00C57489">
      <w:pPr>
        <w:pStyle w:val="a3"/>
        <w:widowControl/>
        <w:adjustRightInd w:val="0"/>
        <w:snapToGrid w:val="0"/>
        <w:spacing w:beforeLines="50" w:before="156" w:beforeAutospacing="0" w:afterLines="50" w:after="156" w:afterAutospacing="0"/>
        <w:ind w:firstLine="420"/>
        <w:jc w:val="both"/>
        <w:rPr>
          <w:sz w:val="21"/>
          <w:szCs w:val="21"/>
        </w:rPr>
      </w:pPr>
      <w:r>
        <w:rPr>
          <w:rStyle w:val="a4"/>
          <w:bCs/>
          <w:sz w:val="21"/>
          <w:szCs w:val="21"/>
        </w:rPr>
        <w:t>22.3</w:t>
      </w:r>
      <w:r>
        <w:rPr>
          <w:rStyle w:val="a4"/>
          <w:bCs/>
          <w:sz w:val="21"/>
          <w:szCs w:val="21"/>
        </w:rPr>
        <w:t>后续计量及损益确认方法</w:t>
      </w:r>
    </w:p>
    <w:p w:rsidR="00E20B54" w:rsidRDefault="00733C9E" w:rsidP="00C57489">
      <w:pPr>
        <w:pStyle w:val="a3"/>
        <w:widowControl/>
        <w:adjustRightInd w:val="0"/>
        <w:snapToGrid w:val="0"/>
        <w:spacing w:beforeLines="50" w:before="156" w:beforeAutospacing="0" w:afterLines="50" w:after="156" w:afterAutospacing="0"/>
        <w:ind w:firstLine="420"/>
        <w:jc w:val="both"/>
        <w:rPr>
          <w:sz w:val="21"/>
          <w:szCs w:val="21"/>
        </w:rPr>
      </w:pPr>
      <w:r>
        <w:rPr>
          <w:sz w:val="21"/>
          <w:szCs w:val="21"/>
        </w:rPr>
        <w:t>对被投资单位具有共同控制（构成共同经营者除外）或重大影响的长期股权投资，采用权益法核算。此外，公司财务报表采用成本法核算能够对被投资单位实施控制的长期股权投资。</w:t>
      </w:r>
    </w:p>
    <w:p w:rsidR="00E20B54" w:rsidRDefault="00733C9E" w:rsidP="00C57489">
      <w:pPr>
        <w:pStyle w:val="a3"/>
        <w:widowControl/>
        <w:adjustRightInd w:val="0"/>
        <w:snapToGrid w:val="0"/>
        <w:spacing w:beforeLines="50" w:before="156" w:beforeAutospacing="0" w:afterLines="50" w:after="156" w:afterAutospacing="0"/>
        <w:ind w:firstLine="420"/>
        <w:jc w:val="both"/>
        <w:rPr>
          <w:sz w:val="21"/>
          <w:szCs w:val="21"/>
        </w:rPr>
      </w:pPr>
      <w:r>
        <w:rPr>
          <w:sz w:val="21"/>
          <w:szCs w:val="21"/>
        </w:rPr>
        <w:t>22.3.1</w:t>
      </w:r>
      <w:r>
        <w:rPr>
          <w:sz w:val="21"/>
          <w:szCs w:val="21"/>
        </w:rPr>
        <w:t>成本法核算的长期股权投资</w:t>
      </w:r>
    </w:p>
    <w:p w:rsidR="00E20B54" w:rsidRDefault="00733C9E" w:rsidP="00C57489">
      <w:pPr>
        <w:pStyle w:val="a3"/>
        <w:widowControl/>
        <w:adjustRightInd w:val="0"/>
        <w:snapToGrid w:val="0"/>
        <w:spacing w:beforeLines="50" w:before="156" w:beforeAutospacing="0" w:afterLines="50" w:after="156" w:afterAutospacing="0"/>
        <w:ind w:firstLine="420"/>
        <w:jc w:val="both"/>
        <w:rPr>
          <w:sz w:val="21"/>
          <w:szCs w:val="21"/>
        </w:rPr>
      </w:pPr>
      <w:r>
        <w:rPr>
          <w:sz w:val="21"/>
          <w:szCs w:val="21"/>
        </w:rPr>
        <w:t>采用成本法核算时，长期股权投资按初始投资成本计价，追加或收回投资调整长期股权投资的成本。除取得投资时实际支付的价款或者对价中包含的已宣告但尚未发放的现金股利或者利润外，当期投资收益按照享有被投资单位宣告发放的现金股利或利润确认。</w:t>
      </w:r>
    </w:p>
    <w:p w:rsidR="00E20B54" w:rsidRDefault="00733C9E" w:rsidP="00C57489">
      <w:pPr>
        <w:pStyle w:val="a3"/>
        <w:widowControl/>
        <w:adjustRightInd w:val="0"/>
        <w:snapToGrid w:val="0"/>
        <w:spacing w:beforeLines="50" w:before="156" w:beforeAutospacing="0" w:afterLines="50" w:after="156" w:afterAutospacing="0"/>
        <w:ind w:firstLine="420"/>
        <w:jc w:val="both"/>
        <w:rPr>
          <w:sz w:val="21"/>
          <w:szCs w:val="21"/>
        </w:rPr>
      </w:pPr>
      <w:r>
        <w:rPr>
          <w:sz w:val="21"/>
          <w:szCs w:val="21"/>
        </w:rPr>
        <w:t>22.3.2</w:t>
      </w:r>
      <w:r>
        <w:rPr>
          <w:sz w:val="21"/>
          <w:szCs w:val="21"/>
        </w:rPr>
        <w:t>权益法核算的长期股权投资</w:t>
      </w:r>
    </w:p>
    <w:p w:rsidR="00E20B54" w:rsidRDefault="00733C9E" w:rsidP="00C57489">
      <w:pPr>
        <w:pStyle w:val="a3"/>
        <w:widowControl/>
        <w:adjustRightInd w:val="0"/>
        <w:snapToGrid w:val="0"/>
        <w:spacing w:beforeLines="50" w:before="156" w:beforeAutospacing="0" w:afterLines="50" w:after="156" w:afterAutospacing="0"/>
        <w:ind w:firstLine="420"/>
        <w:jc w:val="both"/>
        <w:rPr>
          <w:sz w:val="21"/>
          <w:szCs w:val="21"/>
        </w:rPr>
      </w:pPr>
      <w:r>
        <w:rPr>
          <w:sz w:val="21"/>
          <w:szCs w:val="21"/>
        </w:rPr>
        <w:t>采用权益法核算时，长期股权投资的初始投资成本大于投资时应享有被投资单位可辨认净资产公允价值份额的，不调整长期股权投资的初始投资成本；初始投资成本小于投资时应享有被投资单位可辨认净资产公允价值份额的，其差额计入当期损益，同时调整长期股权投资的成本。</w:t>
      </w:r>
    </w:p>
    <w:p w:rsidR="00E20B54" w:rsidRDefault="00733C9E" w:rsidP="00C57489">
      <w:pPr>
        <w:pStyle w:val="a3"/>
        <w:widowControl/>
        <w:adjustRightInd w:val="0"/>
        <w:snapToGrid w:val="0"/>
        <w:spacing w:beforeLines="50" w:before="156" w:beforeAutospacing="0" w:afterLines="50" w:after="156" w:afterAutospacing="0"/>
        <w:ind w:firstLine="420"/>
        <w:jc w:val="both"/>
        <w:rPr>
          <w:sz w:val="21"/>
          <w:szCs w:val="21"/>
        </w:rPr>
      </w:pPr>
      <w:r>
        <w:rPr>
          <w:sz w:val="21"/>
          <w:szCs w:val="21"/>
        </w:rPr>
        <w:t>采用权益法核算时，按照应享有或应分担的被投资单位实现的净损益和其他综合收益的份额，分别确认投资收益和其他综合收益，同时调整长期股权投资的账面价值；按照被投资单位宣告分派的利润或现金股利计算应享有的部分，相应减少长期股权投资的账面价值；对于被投资单位除净损益、其他综合收益和利润分配以外所有者权益的其他变动，调整长期股权投资的账面价值并计入资本公积。在确认应享有被投资单位净损益的份额时，以取得投资时被投资单位各项可辨认资产等的公允价值为基础，对被投资单位的净利润进行调整后确认。被投资单位采用的会计政策及会计期间与本公司不一致的，按照本公司的会计政策及会计期间对被投资单位的财务报表进行调整，并据以确认投资收益和其他综合收益。对于本公司与联营企业及合营企业之间发生的交易，投出或出售的资产不构成业务的，未实现内部交易损益按照享有的比例计算归属于本公司的部分予以抵销，在此基础上确认投资损益。但本公司与被投资单位发生的未实现内部交易损失，属于所转让资产减值损失的，不予以抵销。</w:t>
      </w:r>
    </w:p>
    <w:p w:rsidR="00E20B54" w:rsidRDefault="00733C9E" w:rsidP="00C57489">
      <w:pPr>
        <w:pStyle w:val="a3"/>
        <w:widowControl/>
        <w:adjustRightInd w:val="0"/>
        <w:snapToGrid w:val="0"/>
        <w:spacing w:beforeLines="50" w:before="156" w:beforeAutospacing="0" w:afterLines="50" w:after="156" w:afterAutospacing="0"/>
        <w:ind w:firstLine="420"/>
        <w:jc w:val="both"/>
        <w:rPr>
          <w:sz w:val="21"/>
          <w:szCs w:val="21"/>
        </w:rPr>
      </w:pPr>
      <w:r>
        <w:rPr>
          <w:sz w:val="21"/>
          <w:szCs w:val="21"/>
        </w:rPr>
        <w:lastRenderedPageBreak/>
        <w:t>在确认应分担被投资单位发生的净亏损时，以长期股权投资的账面价值和其他实质上构成对被投资单位净投资的长期权益减记至零为限。此外，如本公司对被投资单位负有承担额外损失的义务，则按预计承担的义务确认预计负债，计入当期投资损失。被投资单位以后期间实现净利润的，本公司在收益分享额弥补未确认的亏损分担额后，恢复确认收益分享额。</w:t>
      </w:r>
    </w:p>
    <w:p w:rsidR="00E20B54" w:rsidRDefault="00733C9E" w:rsidP="00C57489">
      <w:pPr>
        <w:pStyle w:val="a3"/>
        <w:widowControl/>
        <w:adjustRightInd w:val="0"/>
        <w:snapToGrid w:val="0"/>
        <w:spacing w:beforeLines="50" w:before="156" w:beforeAutospacing="0" w:afterLines="50" w:after="156" w:afterAutospacing="0"/>
        <w:ind w:firstLine="420"/>
        <w:jc w:val="both"/>
        <w:rPr>
          <w:sz w:val="21"/>
          <w:szCs w:val="21"/>
        </w:rPr>
      </w:pPr>
      <w:r>
        <w:rPr>
          <w:sz w:val="21"/>
          <w:szCs w:val="21"/>
        </w:rPr>
        <w:t>对于本公司首次执行新会计准则之前已经持有的对联营企业和合营企业的长期股权投资，如存在与该投资相关的股权投资借方差额，按原剩余期限直线摊销的金额计入当期损益。</w:t>
      </w:r>
    </w:p>
    <w:p w:rsidR="00E20B54" w:rsidRDefault="00733C9E" w:rsidP="00C57489">
      <w:pPr>
        <w:pStyle w:val="a3"/>
        <w:widowControl/>
        <w:adjustRightInd w:val="0"/>
        <w:snapToGrid w:val="0"/>
        <w:spacing w:beforeLines="50" w:before="156" w:beforeAutospacing="0" w:afterLines="50" w:after="156" w:afterAutospacing="0"/>
        <w:ind w:firstLine="420"/>
        <w:jc w:val="both"/>
        <w:rPr>
          <w:sz w:val="21"/>
          <w:szCs w:val="21"/>
        </w:rPr>
      </w:pPr>
      <w:r>
        <w:rPr>
          <w:sz w:val="21"/>
          <w:szCs w:val="21"/>
        </w:rPr>
        <w:t>22.3.3</w:t>
      </w:r>
      <w:r>
        <w:rPr>
          <w:sz w:val="21"/>
          <w:szCs w:val="21"/>
        </w:rPr>
        <w:t>处置长期股权投资</w:t>
      </w:r>
    </w:p>
    <w:p w:rsidR="00E20B54" w:rsidRDefault="00733C9E" w:rsidP="00C57489">
      <w:pPr>
        <w:pStyle w:val="a3"/>
        <w:widowControl/>
        <w:adjustRightInd w:val="0"/>
        <w:snapToGrid w:val="0"/>
        <w:spacing w:beforeLines="50" w:before="156" w:beforeAutospacing="0" w:afterLines="50" w:after="156" w:afterAutospacing="0"/>
        <w:ind w:firstLine="420"/>
        <w:jc w:val="both"/>
        <w:rPr>
          <w:sz w:val="21"/>
          <w:szCs w:val="21"/>
        </w:rPr>
      </w:pPr>
      <w:r>
        <w:rPr>
          <w:sz w:val="21"/>
          <w:szCs w:val="21"/>
        </w:rPr>
        <w:t>在合并财务报表中，母公司在不丧失控制权的情况下部分处置对子公司的长期股权投资，处置价款与处置长期股权投资相对应享有子公司净资产的差额计入股东权益；母公司部分处置对子公司的长期股权投资导致丧失对子公司控制权的，按本节</w:t>
      </w:r>
      <w:r>
        <w:rPr>
          <w:sz w:val="21"/>
          <w:szCs w:val="21"/>
        </w:rPr>
        <w:t>“</w:t>
      </w:r>
      <w:r>
        <w:rPr>
          <w:sz w:val="21"/>
          <w:szCs w:val="21"/>
        </w:rPr>
        <w:t>五、</w:t>
      </w:r>
      <w:r>
        <w:rPr>
          <w:sz w:val="21"/>
          <w:szCs w:val="21"/>
        </w:rPr>
        <w:t>7.2</w:t>
      </w:r>
      <w:r>
        <w:rPr>
          <w:sz w:val="21"/>
          <w:szCs w:val="21"/>
        </w:rPr>
        <w:t>合并财务报表编制的方法</w:t>
      </w:r>
      <w:r>
        <w:rPr>
          <w:sz w:val="21"/>
          <w:szCs w:val="21"/>
        </w:rPr>
        <w:t>”</w:t>
      </w:r>
      <w:r>
        <w:rPr>
          <w:sz w:val="21"/>
          <w:szCs w:val="21"/>
        </w:rPr>
        <w:t>中所述的相关会计政策处理。</w:t>
      </w:r>
    </w:p>
    <w:p w:rsidR="00E20B54" w:rsidRDefault="00733C9E" w:rsidP="00C57489">
      <w:pPr>
        <w:pStyle w:val="a3"/>
        <w:widowControl/>
        <w:adjustRightInd w:val="0"/>
        <w:snapToGrid w:val="0"/>
        <w:spacing w:beforeLines="50" w:before="156" w:beforeAutospacing="0" w:afterLines="50" w:after="156" w:afterAutospacing="0"/>
        <w:ind w:firstLine="420"/>
        <w:jc w:val="both"/>
        <w:rPr>
          <w:sz w:val="21"/>
          <w:szCs w:val="21"/>
        </w:rPr>
      </w:pPr>
      <w:r>
        <w:rPr>
          <w:sz w:val="21"/>
          <w:szCs w:val="21"/>
        </w:rPr>
        <w:t>其他情形下的长期股权投资处置，对于处置的股权，其账面价值与实际取得价款的差额，计入当期损益。</w:t>
      </w:r>
    </w:p>
    <w:p w:rsidR="00E20B54" w:rsidRDefault="00733C9E" w:rsidP="00C57489">
      <w:pPr>
        <w:pStyle w:val="a3"/>
        <w:widowControl/>
        <w:adjustRightInd w:val="0"/>
        <w:snapToGrid w:val="0"/>
        <w:spacing w:beforeLines="50" w:before="156" w:beforeAutospacing="0" w:afterLines="50" w:after="156" w:afterAutospacing="0"/>
        <w:ind w:firstLine="420"/>
        <w:jc w:val="both"/>
        <w:rPr>
          <w:sz w:val="21"/>
          <w:szCs w:val="21"/>
        </w:rPr>
      </w:pPr>
      <w:r>
        <w:rPr>
          <w:sz w:val="21"/>
          <w:szCs w:val="21"/>
        </w:rPr>
        <w:t>采用权益法核算的长期股权投资，处置后的剩余股权仍采用权益法核算的，在处置时将原计入股东权益的其他综合收益部分按相应的比例采用与被投资单位直接处置相关资产或负债相同的基础进行会计处理。因被投资方除净损益、其他综合收益和利润分配以外的其他所有者权益变动而确认的所有者权益，按比例结转入当期损益。</w:t>
      </w:r>
    </w:p>
    <w:p w:rsidR="00E20B54" w:rsidRDefault="00733C9E" w:rsidP="00C57489">
      <w:pPr>
        <w:pStyle w:val="a3"/>
        <w:widowControl/>
        <w:adjustRightInd w:val="0"/>
        <w:snapToGrid w:val="0"/>
        <w:spacing w:beforeLines="50" w:before="156" w:beforeAutospacing="0" w:afterLines="50" w:after="156" w:afterAutospacing="0"/>
        <w:ind w:firstLine="420"/>
        <w:jc w:val="both"/>
        <w:rPr>
          <w:sz w:val="21"/>
          <w:szCs w:val="21"/>
        </w:rPr>
      </w:pPr>
      <w:r>
        <w:rPr>
          <w:sz w:val="21"/>
          <w:szCs w:val="21"/>
        </w:rPr>
        <w:t>采用成本法核算的长期股权投资，处置后剩余股权仍采用成本法核算的，其在取得对被投资单位的控制之前因采用权益法核算或金融工具确认和计量准则核算而确认的其他综合收益，采用与被投资单位直接处置相关资产或负债相同的基础进行会计处理，并按比例结转当期损益；因采用权益法核算而确认的被投资单位净资产中除净损益、其他综合收益和利润分配以外的其他所有者权益变动按比例结转当期损益。</w:t>
      </w:r>
    </w:p>
    <w:p w:rsidR="00E20B54" w:rsidRDefault="00733C9E" w:rsidP="00C57489">
      <w:pPr>
        <w:pStyle w:val="3"/>
        <w:adjustRightInd w:val="0"/>
        <w:snapToGrid w:val="0"/>
        <w:spacing w:beforeLines="50" w:before="156" w:afterLines="50" w:after="156" w:line="240" w:lineRule="auto"/>
        <w:jc w:val="left"/>
        <w:rPr>
          <w:b/>
          <w:bCs/>
        </w:rPr>
      </w:pPr>
      <w:bookmarkStart w:id="187" w:name="_Toc989075"/>
      <w:r>
        <w:rPr>
          <w:b/>
          <w:bCs/>
        </w:rPr>
        <w:t>23</w:t>
      </w:r>
      <w:r>
        <w:rPr>
          <w:b/>
          <w:bCs/>
        </w:rPr>
        <w:t>、投资性房地产</w:t>
      </w:r>
      <w:bookmarkEnd w:id="187"/>
    </w:p>
    <w:p w:rsidR="00E20B54" w:rsidRDefault="00733C9E" w:rsidP="00C57489">
      <w:pPr>
        <w:adjustRightInd w:val="0"/>
        <w:snapToGrid w:val="0"/>
        <w:spacing w:beforeLines="50" w:before="156" w:afterLines="50" w:after="156"/>
        <w:rPr>
          <w:sz w:val="18"/>
          <w:szCs w:val="18"/>
        </w:rPr>
      </w:pPr>
      <w:r>
        <w:rPr>
          <w:sz w:val="18"/>
          <w:szCs w:val="18"/>
        </w:rPr>
        <w:t>投资性房地产计量模式</w:t>
      </w:r>
    </w:p>
    <w:p w:rsidR="00E20B54" w:rsidRDefault="00733C9E" w:rsidP="00C57489">
      <w:pPr>
        <w:adjustRightInd w:val="0"/>
        <w:snapToGrid w:val="0"/>
        <w:spacing w:beforeLines="50" w:before="156" w:afterLines="50" w:after="156"/>
        <w:rPr>
          <w:sz w:val="18"/>
          <w:szCs w:val="18"/>
        </w:rPr>
      </w:pPr>
      <w:r>
        <w:rPr>
          <w:sz w:val="18"/>
          <w:szCs w:val="18"/>
        </w:rPr>
        <w:t>不适用</w:t>
      </w:r>
    </w:p>
    <w:p w:rsidR="00E20B54" w:rsidRDefault="00733C9E" w:rsidP="00C57489">
      <w:pPr>
        <w:pStyle w:val="3"/>
        <w:adjustRightInd w:val="0"/>
        <w:snapToGrid w:val="0"/>
        <w:spacing w:beforeLines="50" w:before="156" w:afterLines="50" w:after="156" w:line="240" w:lineRule="auto"/>
        <w:jc w:val="left"/>
        <w:rPr>
          <w:b/>
          <w:bCs/>
        </w:rPr>
      </w:pPr>
      <w:bookmarkStart w:id="188" w:name="_Toc989076"/>
      <w:r>
        <w:rPr>
          <w:b/>
          <w:bCs/>
        </w:rPr>
        <w:t>24</w:t>
      </w:r>
      <w:r>
        <w:rPr>
          <w:b/>
          <w:bCs/>
        </w:rPr>
        <w:t>、固定资产</w:t>
      </w:r>
      <w:bookmarkEnd w:id="188"/>
    </w:p>
    <w:p w:rsidR="00E20B54" w:rsidRDefault="00733C9E" w:rsidP="00C57489">
      <w:pPr>
        <w:keepNext/>
        <w:keepLines/>
        <w:adjustRightInd w:val="0"/>
        <w:snapToGrid w:val="0"/>
        <w:spacing w:beforeLines="50" w:before="156" w:afterLines="50" w:after="156"/>
        <w:outlineLvl w:val="3"/>
        <w:rPr>
          <w:b/>
          <w:bCs/>
          <w:szCs w:val="21"/>
        </w:rPr>
      </w:pPr>
      <w:bookmarkStart w:id="189" w:name="_Toc989077"/>
      <w:r>
        <w:rPr>
          <w:b/>
          <w:bCs/>
          <w:szCs w:val="21"/>
        </w:rPr>
        <w:t>（</w:t>
      </w:r>
      <w:r>
        <w:rPr>
          <w:b/>
          <w:bCs/>
          <w:szCs w:val="21"/>
        </w:rPr>
        <w:t>1</w:t>
      </w:r>
      <w:r>
        <w:rPr>
          <w:b/>
          <w:bCs/>
          <w:szCs w:val="21"/>
        </w:rPr>
        <w:t>）</w:t>
      </w:r>
      <w:r>
        <w:rPr>
          <w:b/>
          <w:bCs/>
          <w:szCs w:val="21"/>
        </w:rPr>
        <w:t xml:space="preserve"> </w:t>
      </w:r>
      <w:r>
        <w:rPr>
          <w:b/>
          <w:bCs/>
          <w:szCs w:val="21"/>
        </w:rPr>
        <w:t>确认条件</w:t>
      </w:r>
      <w:bookmarkEnd w:id="189"/>
    </w:p>
    <w:p w:rsidR="00E20B54" w:rsidRDefault="00733C9E" w:rsidP="00C57489">
      <w:pPr>
        <w:pStyle w:val="a3"/>
        <w:widowControl/>
        <w:adjustRightInd w:val="0"/>
        <w:snapToGrid w:val="0"/>
        <w:spacing w:beforeLines="50" w:before="156" w:beforeAutospacing="0" w:afterLines="50" w:after="156" w:afterAutospacing="0"/>
        <w:ind w:firstLine="357"/>
        <w:rPr>
          <w:sz w:val="18"/>
          <w:szCs w:val="18"/>
        </w:rPr>
      </w:pPr>
      <w:r>
        <w:rPr>
          <w:sz w:val="18"/>
          <w:szCs w:val="18"/>
        </w:rPr>
        <w:t>固定资产是指为生产商品、提供劳务、出租或经营管理而持有的，使用寿命超过一个会计年度的有形资产。固定资产仅在与其有关的经济利益很可能流入本公司，且其成本能够可靠地计量时才予以确认。固定资产按成本并考虑预计弃置费用因素的影响进行初始计量。</w:t>
      </w:r>
    </w:p>
    <w:p w:rsidR="00E20B54" w:rsidRDefault="00733C9E" w:rsidP="00C57489">
      <w:pPr>
        <w:keepNext/>
        <w:keepLines/>
        <w:adjustRightInd w:val="0"/>
        <w:snapToGrid w:val="0"/>
        <w:spacing w:beforeLines="50" w:before="156" w:afterLines="50" w:after="156"/>
        <w:outlineLvl w:val="3"/>
        <w:rPr>
          <w:b/>
          <w:bCs/>
          <w:szCs w:val="21"/>
        </w:rPr>
      </w:pPr>
      <w:bookmarkStart w:id="190" w:name="_Toc989078"/>
      <w:r>
        <w:rPr>
          <w:b/>
          <w:bCs/>
          <w:szCs w:val="21"/>
        </w:rPr>
        <w:t>（</w:t>
      </w:r>
      <w:r>
        <w:rPr>
          <w:b/>
          <w:bCs/>
          <w:szCs w:val="21"/>
        </w:rPr>
        <w:t>2</w:t>
      </w:r>
      <w:r>
        <w:rPr>
          <w:b/>
          <w:bCs/>
          <w:szCs w:val="21"/>
        </w:rPr>
        <w:t>）</w:t>
      </w:r>
      <w:r>
        <w:rPr>
          <w:b/>
          <w:bCs/>
          <w:szCs w:val="21"/>
        </w:rPr>
        <w:t xml:space="preserve"> </w:t>
      </w:r>
      <w:r>
        <w:rPr>
          <w:b/>
          <w:bCs/>
          <w:szCs w:val="21"/>
        </w:rPr>
        <w:t>折旧方法</w:t>
      </w:r>
      <w:bookmarkEnd w:id="190"/>
    </w:p>
    <w:p w:rsidR="00E20B54" w:rsidRDefault="00E20B54" w:rsidP="00C57489">
      <w:pPr>
        <w:adjustRightInd w:val="0"/>
        <w:snapToGrid w:val="0"/>
        <w:spacing w:beforeLines="50" w:before="156" w:afterLines="50" w:after="156"/>
      </w:pP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927"/>
        <w:gridCol w:w="1928"/>
        <w:gridCol w:w="1928"/>
        <w:gridCol w:w="1928"/>
        <w:gridCol w:w="1928"/>
      </w:tblGrid>
      <w:tr w:rsidR="00E20B54" w:rsidTr="00295DC8">
        <w:trPr>
          <w:trHeight w:val="170"/>
          <w:tblHeader/>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rsidP="00295DC8">
            <w:pPr>
              <w:adjustRightInd w:val="0"/>
              <w:snapToGrid w:val="0"/>
              <w:jc w:val="center"/>
              <w:rPr>
                <w:sz w:val="18"/>
                <w:szCs w:val="18"/>
              </w:rPr>
            </w:pPr>
            <w:r>
              <w:rPr>
                <w:sz w:val="18"/>
                <w:szCs w:val="18"/>
              </w:rPr>
              <w:t>类别</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rsidP="00295DC8">
            <w:pPr>
              <w:adjustRightInd w:val="0"/>
              <w:snapToGrid w:val="0"/>
              <w:jc w:val="center"/>
              <w:rPr>
                <w:sz w:val="18"/>
                <w:szCs w:val="18"/>
              </w:rPr>
            </w:pPr>
            <w:r>
              <w:rPr>
                <w:sz w:val="18"/>
                <w:szCs w:val="18"/>
              </w:rPr>
              <w:t>折旧方法</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rsidP="00295DC8">
            <w:pPr>
              <w:adjustRightInd w:val="0"/>
              <w:snapToGrid w:val="0"/>
              <w:jc w:val="center"/>
              <w:rPr>
                <w:sz w:val="18"/>
                <w:szCs w:val="18"/>
              </w:rPr>
            </w:pPr>
            <w:r>
              <w:rPr>
                <w:sz w:val="18"/>
                <w:szCs w:val="18"/>
              </w:rPr>
              <w:t>折旧年限</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rsidP="00295DC8">
            <w:pPr>
              <w:adjustRightInd w:val="0"/>
              <w:snapToGrid w:val="0"/>
              <w:jc w:val="center"/>
              <w:rPr>
                <w:sz w:val="18"/>
                <w:szCs w:val="18"/>
              </w:rPr>
            </w:pPr>
            <w:r>
              <w:rPr>
                <w:sz w:val="18"/>
                <w:szCs w:val="18"/>
              </w:rPr>
              <w:t>残值率</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rsidP="00295DC8">
            <w:pPr>
              <w:adjustRightInd w:val="0"/>
              <w:snapToGrid w:val="0"/>
              <w:jc w:val="center"/>
              <w:rPr>
                <w:sz w:val="18"/>
                <w:szCs w:val="18"/>
              </w:rPr>
            </w:pPr>
            <w:r>
              <w:rPr>
                <w:sz w:val="18"/>
                <w:szCs w:val="18"/>
              </w:rPr>
              <w:t>年折旧率</w:t>
            </w:r>
          </w:p>
        </w:tc>
      </w:tr>
      <w:tr w:rsidR="00E20B54" w:rsidTr="00295DC8">
        <w:trPr>
          <w:trHeight w:val="170"/>
        </w:trPr>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rsidP="00295DC8">
            <w:pPr>
              <w:adjustRightInd w:val="0"/>
              <w:snapToGrid w:val="0"/>
              <w:rPr>
                <w:sz w:val="18"/>
                <w:szCs w:val="18"/>
              </w:rPr>
            </w:pPr>
            <w:r>
              <w:rPr>
                <w:sz w:val="18"/>
                <w:szCs w:val="18"/>
              </w:rPr>
              <w:t>房屋建筑物</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rsidP="00295DC8">
            <w:pPr>
              <w:adjustRightInd w:val="0"/>
              <w:snapToGrid w:val="0"/>
              <w:rPr>
                <w:sz w:val="18"/>
                <w:szCs w:val="18"/>
              </w:rPr>
            </w:pPr>
            <w:r>
              <w:rPr>
                <w:sz w:val="18"/>
                <w:szCs w:val="18"/>
              </w:rPr>
              <w:t>年限平均法</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rsidP="00295DC8">
            <w:pPr>
              <w:adjustRightInd w:val="0"/>
              <w:snapToGrid w:val="0"/>
              <w:rPr>
                <w:sz w:val="18"/>
                <w:szCs w:val="18"/>
              </w:rPr>
            </w:pPr>
            <w:r>
              <w:rPr>
                <w:sz w:val="18"/>
                <w:szCs w:val="18"/>
              </w:rPr>
              <w:t>20-30</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rsidP="00295DC8">
            <w:pPr>
              <w:adjustRightInd w:val="0"/>
              <w:snapToGrid w:val="0"/>
              <w:rPr>
                <w:sz w:val="18"/>
                <w:szCs w:val="18"/>
              </w:rPr>
            </w:pPr>
            <w:r>
              <w:rPr>
                <w:sz w:val="18"/>
                <w:szCs w:val="18"/>
              </w:rPr>
              <w:t>5%</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rsidP="00295DC8">
            <w:pPr>
              <w:adjustRightInd w:val="0"/>
              <w:snapToGrid w:val="0"/>
              <w:rPr>
                <w:sz w:val="18"/>
                <w:szCs w:val="18"/>
              </w:rPr>
            </w:pPr>
            <w:r>
              <w:rPr>
                <w:sz w:val="18"/>
                <w:szCs w:val="18"/>
              </w:rPr>
              <w:t>3.17%-4.75%</w:t>
            </w:r>
          </w:p>
        </w:tc>
      </w:tr>
      <w:tr w:rsidR="00E20B54" w:rsidTr="00295DC8">
        <w:trPr>
          <w:trHeight w:val="170"/>
        </w:trPr>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rsidP="00295DC8">
            <w:pPr>
              <w:adjustRightInd w:val="0"/>
              <w:snapToGrid w:val="0"/>
              <w:rPr>
                <w:sz w:val="18"/>
                <w:szCs w:val="18"/>
              </w:rPr>
            </w:pPr>
            <w:r>
              <w:rPr>
                <w:sz w:val="18"/>
                <w:szCs w:val="18"/>
              </w:rPr>
              <w:t>运输设备</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rsidP="00295DC8">
            <w:pPr>
              <w:adjustRightInd w:val="0"/>
              <w:snapToGrid w:val="0"/>
              <w:rPr>
                <w:sz w:val="18"/>
                <w:szCs w:val="18"/>
              </w:rPr>
            </w:pPr>
            <w:r>
              <w:rPr>
                <w:sz w:val="18"/>
                <w:szCs w:val="18"/>
              </w:rPr>
              <w:t>年限平均法</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rsidP="00295DC8">
            <w:pPr>
              <w:adjustRightInd w:val="0"/>
              <w:snapToGrid w:val="0"/>
              <w:rPr>
                <w:sz w:val="18"/>
                <w:szCs w:val="18"/>
              </w:rPr>
            </w:pPr>
            <w:r>
              <w:rPr>
                <w:sz w:val="18"/>
                <w:szCs w:val="18"/>
              </w:rPr>
              <w:t>5-10</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rsidP="00295DC8">
            <w:pPr>
              <w:adjustRightInd w:val="0"/>
              <w:snapToGrid w:val="0"/>
              <w:rPr>
                <w:sz w:val="18"/>
                <w:szCs w:val="18"/>
              </w:rPr>
            </w:pPr>
            <w:r>
              <w:rPr>
                <w:sz w:val="18"/>
                <w:szCs w:val="18"/>
              </w:rPr>
              <w:t>5%</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rsidP="00295DC8">
            <w:pPr>
              <w:adjustRightInd w:val="0"/>
              <w:snapToGrid w:val="0"/>
              <w:rPr>
                <w:sz w:val="18"/>
                <w:szCs w:val="18"/>
              </w:rPr>
            </w:pPr>
            <w:r>
              <w:rPr>
                <w:sz w:val="18"/>
                <w:szCs w:val="18"/>
              </w:rPr>
              <w:t>9.50%-19.00%</w:t>
            </w:r>
          </w:p>
        </w:tc>
      </w:tr>
      <w:tr w:rsidR="00E20B54" w:rsidTr="00295DC8">
        <w:trPr>
          <w:trHeight w:val="170"/>
        </w:trPr>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rsidP="00295DC8">
            <w:pPr>
              <w:adjustRightInd w:val="0"/>
              <w:snapToGrid w:val="0"/>
              <w:rPr>
                <w:sz w:val="18"/>
                <w:szCs w:val="18"/>
              </w:rPr>
            </w:pPr>
            <w:r>
              <w:rPr>
                <w:sz w:val="18"/>
                <w:szCs w:val="18"/>
              </w:rPr>
              <w:t>算力设备</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rsidP="00295DC8">
            <w:pPr>
              <w:adjustRightInd w:val="0"/>
              <w:snapToGrid w:val="0"/>
              <w:rPr>
                <w:sz w:val="18"/>
                <w:szCs w:val="18"/>
              </w:rPr>
            </w:pPr>
            <w:r>
              <w:rPr>
                <w:sz w:val="18"/>
                <w:szCs w:val="18"/>
              </w:rPr>
              <w:t>年限平均法</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rsidP="00295DC8">
            <w:pPr>
              <w:adjustRightInd w:val="0"/>
              <w:snapToGrid w:val="0"/>
              <w:rPr>
                <w:sz w:val="18"/>
                <w:szCs w:val="18"/>
              </w:rPr>
            </w:pPr>
            <w:r>
              <w:rPr>
                <w:sz w:val="18"/>
                <w:szCs w:val="18"/>
              </w:rPr>
              <w:t>5-10</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rsidP="00295DC8">
            <w:pPr>
              <w:adjustRightInd w:val="0"/>
              <w:snapToGrid w:val="0"/>
              <w:rPr>
                <w:sz w:val="18"/>
                <w:szCs w:val="18"/>
              </w:rPr>
            </w:pPr>
            <w:r>
              <w:rPr>
                <w:sz w:val="18"/>
                <w:szCs w:val="18"/>
              </w:rPr>
              <w:t>5%</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rsidP="00295DC8">
            <w:pPr>
              <w:adjustRightInd w:val="0"/>
              <w:snapToGrid w:val="0"/>
              <w:rPr>
                <w:sz w:val="18"/>
                <w:szCs w:val="18"/>
              </w:rPr>
            </w:pPr>
            <w:r>
              <w:rPr>
                <w:sz w:val="18"/>
                <w:szCs w:val="18"/>
              </w:rPr>
              <w:t>9.50%-19.00%</w:t>
            </w:r>
          </w:p>
        </w:tc>
      </w:tr>
      <w:tr w:rsidR="00E20B54" w:rsidTr="00295DC8">
        <w:trPr>
          <w:trHeight w:val="170"/>
        </w:trPr>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rsidP="00295DC8">
            <w:pPr>
              <w:adjustRightInd w:val="0"/>
              <w:snapToGrid w:val="0"/>
              <w:rPr>
                <w:sz w:val="18"/>
                <w:szCs w:val="18"/>
              </w:rPr>
            </w:pPr>
            <w:r>
              <w:rPr>
                <w:sz w:val="18"/>
                <w:szCs w:val="18"/>
              </w:rPr>
              <w:t>新能源设备</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rsidP="00295DC8">
            <w:pPr>
              <w:adjustRightInd w:val="0"/>
              <w:snapToGrid w:val="0"/>
              <w:rPr>
                <w:sz w:val="18"/>
                <w:szCs w:val="18"/>
              </w:rPr>
            </w:pPr>
            <w:r>
              <w:rPr>
                <w:sz w:val="18"/>
                <w:szCs w:val="18"/>
              </w:rPr>
              <w:t>年限平均法</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rsidP="00295DC8">
            <w:pPr>
              <w:adjustRightInd w:val="0"/>
              <w:snapToGrid w:val="0"/>
              <w:rPr>
                <w:sz w:val="18"/>
                <w:szCs w:val="18"/>
              </w:rPr>
            </w:pPr>
            <w:r>
              <w:rPr>
                <w:sz w:val="18"/>
                <w:szCs w:val="18"/>
              </w:rPr>
              <w:t>20-30</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rsidP="00295DC8">
            <w:pPr>
              <w:adjustRightInd w:val="0"/>
              <w:snapToGrid w:val="0"/>
              <w:rPr>
                <w:sz w:val="18"/>
                <w:szCs w:val="18"/>
              </w:rPr>
            </w:pPr>
            <w:r>
              <w:rPr>
                <w:sz w:val="18"/>
                <w:szCs w:val="18"/>
              </w:rPr>
              <w:t>5%</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rsidP="00295DC8">
            <w:pPr>
              <w:adjustRightInd w:val="0"/>
              <w:snapToGrid w:val="0"/>
              <w:rPr>
                <w:sz w:val="18"/>
                <w:szCs w:val="18"/>
              </w:rPr>
            </w:pPr>
            <w:r>
              <w:rPr>
                <w:sz w:val="18"/>
                <w:szCs w:val="18"/>
              </w:rPr>
              <w:t>3.17%-4.75%</w:t>
            </w:r>
          </w:p>
        </w:tc>
      </w:tr>
      <w:tr w:rsidR="00E20B54" w:rsidTr="00295DC8">
        <w:trPr>
          <w:trHeight w:val="170"/>
        </w:trPr>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rsidP="00295DC8">
            <w:pPr>
              <w:adjustRightInd w:val="0"/>
              <w:snapToGrid w:val="0"/>
              <w:rPr>
                <w:sz w:val="18"/>
                <w:szCs w:val="18"/>
              </w:rPr>
            </w:pPr>
            <w:r>
              <w:rPr>
                <w:sz w:val="18"/>
                <w:szCs w:val="18"/>
              </w:rPr>
              <w:t>电子设备</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rsidP="00295DC8">
            <w:pPr>
              <w:adjustRightInd w:val="0"/>
              <w:snapToGrid w:val="0"/>
              <w:rPr>
                <w:sz w:val="18"/>
                <w:szCs w:val="18"/>
              </w:rPr>
            </w:pPr>
            <w:r>
              <w:rPr>
                <w:sz w:val="18"/>
                <w:szCs w:val="18"/>
              </w:rPr>
              <w:t>年限平均法</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rsidP="00295DC8">
            <w:pPr>
              <w:adjustRightInd w:val="0"/>
              <w:snapToGrid w:val="0"/>
              <w:rPr>
                <w:sz w:val="18"/>
                <w:szCs w:val="18"/>
              </w:rPr>
            </w:pPr>
            <w:r>
              <w:rPr>
                <w:sz w:val="18"/>
                <w:szCs w:val="18"/>
              </w:rPr>
              <w:t>5</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rsidP="00295DC8">
            <w:pPr>
              <w:adjustRightInd w:val="0"/>
              <w:snapToGrid w:val="0"/>
              <w:rPr>
                <w:sz w:val="18"/>
                <w:szCs w:val="18"/>
              </w:rPr>
            </w:pPr>
            <w:r>
              <w:rPr>
                <w:sz w:val="18"/>
                <w:szCs w:val="18"/>
              </w:rPr>
              <w:t>5%</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rsidP="00295DC8">
            <w:pPr>
              <w:adjustRightInd w:val="0"/>
              <w:snapToGrid w:val="0"/>
              <w:rPr>
                <w:sz w:val="18"/>
                <w:szCs w:val="18"/>
              </w:rPr>
            </w:pPr>
            <w:r>
              <w:rPr>
                <w:sz w:val="18"/>
                <w:szCs w:val="18"/>
              </w:rPr>
              <w:t>19%</w:t>
            </w:r>
          </w:p>
        </w:tc>
      </w:tr>
      <w:tr w:rsidR="00E20B54" w:rsidTr="00295DC8">
        <w:trPr>
          <w:trHeight w:val="170"/>
        </w:trPr>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rsidP="00295DC8">
            <w:pPr>
              <w:adjustRightInd w:val="0"/>
              <w:snapToGrid w:val="0"/>
              <w:rPr>
                <w:sz w:val="18"/>
                <w:szCs w:val="18"/>
              </w:rPr>
            </w:pPr>
            <w:r>
              <w:rPr>
                <w:sz w:val="18"/>
                <w:szCs w:val="18"/>
              </w:rPr>
              <w:t>办公设备及其他</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rsidP="00295DC8">
            <w:pPr>
              <w:adjustRightInd w:val="0"/>
              <w:snapToGrid w:val="0"/>
              <w:rPr>
                <w:sz w:val="18"/>
                <w:szCs w:val="18"/>
              </w:rPr>
            </w:pPr>
            <w:r>
              <w:rPr>
                <w:sz w:val="18"/>
                <w:szCs w:val="18"/>
              </w:rPr>
              <w:t>年限平均法</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rsidP="00295DC8">
            <w:pPr>
              <w:adjustRightInd w:val="0"/>
              <w:snapToGrid w:val="0"/>
              <w:rPr>
                <w:sz w:val="18"/>
                <w:szCs w:val="18"/>
              </w:rPr>
            </w:pPr>
            <w:r>
              <w:rPr>
                <w:sz w:val="18"/>
                <w:szCs w:val="18"/>
              </w:rPr>
              <w:t>5</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rsidP="00295DC8">
            <w:pPr>
              <w:adjustRightInd w:val="0"/>
              <w:snapToGrid w:val="0"/>
              <w:rPr>
                <w:sz w:val="18"/>
                <w:szCs w:val="18"/>
              </w:rPr>
            </w:pPr>
            <w:r>
              <w:rPr>
                <w:sz w:val="18"/>
                <w:szCs w:val="18"/>
              </w:rPr>
              <w:t>5%</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rsidP="00295DC8">
            <w:pPr>
              <w:adjustRightInd w:val="0"/>
              <w:snapToGrid w:val="0"/>
              <w:rPr>
                <w:sz w:val="18"/>
                <w:szCs w:val="18"/>
              </w:rPr>
            </w:pPr>
            <w:r>
              <w:rPr>
                <w:sz w:val="18"/>
                <w:szCs w:val="18"/>
              </w:rPr>
              <w:t>19%</w:t>
            </w:r>
          </w:p>
        </w:tc>
      </w:tr>
    </w:tbl>
    <w:p w:rsidR="00E20B54" w:rsidRDefault="00733C9E" w:rsidP="00C57489">
      <w:pPr>
        <w:pStyle w:val="a3"/>
        <w:widowControl/>
        <w:adjustRightInd w:val="0"/>
        <w:snapToGrid w:val="0"/>
        <w:spacing w:beforeLines="50" w:before="156" w:beforeAutospacing="0" w:afterLines="50" w:after="156" w:afterAutospacing="0"/>
        <w:ind w:firstLine="420"/>
        <w:jc w:val="both"/>
        <w:rPr>
          <w:sz w:val="21"/>
          <w:szCs w:val="21"/>
        </w:rPr>
      </w:pPr>
      <w:r>
        <w:rPr>
          <w:sz w:val="21"/>
          <w:szCs w:val="21"/>
        </w:rPr>
        <w:t>预计净残值是指假定固定资产预计使用寿命已满并处于使用寿命终了时的预期状态，本公司目前从该项资产处置中获得的扣除预计处置费用后的金额。</w:t>
      </w:r>
    </w:p>
    <w:p w:rsidR="00E20B54" w:rsidRDefault="00733C9E" w:rsidP="00C57489">
      <w:pPr>
        <w:pStyle w:val="3"/>
        <w:adjustRightInd w:val="0"/>
        <w:snapToGrid w:val="0"/>
        <w:spacing w:beforeLines="50" w:before="156" w:afterLines="50" w:after="156" w:line="240" w:lineRule="auto"/>
        <w:jc w:val="left"/>
        <w:rPr>
          <w:b/>
          <w:bCs/>
        </w:rPr>
      </w:pPr>
      <w:bookmarkStart w:id="191" w:name="_Toc989079"/>
      <w:r>
        <w:rPr>
          <w:b/>
          <w:bCs/>
        </w:rPr>
        <w:lastRenderedPageBreak/>
        <w:t>25</w:t>
      </w:r>
      <w:r>
        <w:rPr>
          <w:b/>
          <w:bCs/>
        </w:rPr>
        <w:t>、在建工程</w:t>
      </w:r>
      <w:bookmarkEnd w:id="191"/>
    </w:p>
    <w:p w:rsidR="00E20B54" w:rsidRDefault="00733C9E" w:rsidP="00C57489">
      <w:pPr>
        <w:pStyle w:val="a3"/>
        <w:widowControl/>
        <w:adjustRightInd w:val="0"/>
        <w:snapToGrid w:val="0"/>
        <w:spacing w:beforeLines="50" w:before="156" w:beforeAutospacing="0" w:afterLines="50" w:after="156" w:afterAutospacing="0"/>
        <w:ind w:firstLine="420"/>
        <w:jc w:val="both"/>
        <w:rPr>
          <w:sz w:val="21"/>
          <w:szCs w:val="21"/>
        </w:rPr>
      </w:pPr>
      <w:r>
        <w:rPr>
          <w:rStyle w:val="a4"/>
          <w:bCs/>
          <w:sz w:val="21"/>
          <w:szCs w:val="21"/>
        </w:rPr>
        <w:t>25.1</w:t>
      </w:r>
      <w:r>
        <w:rPr>
          <w:rStyle w:val="a4"/>
          <w:bCs/>
          <w:sz w:val="21"/>
          <w:szCs w:val="21"/>
        </w:rPr>
        <w:t>初始计量</w:t>
      </w:r>
    </w:p>
    <w:p w:rsidR="00E20B54" w:rsidRDefault="00733C9E" w:rsidP="00C57489">
      <w:pPr>
        <w:pStyle w:val="a3"/>
        <w:widowControl/>
        <w:adjustRightInd w:val="0"/>
        <w:snapToGrid w:val="0"/>
        <w:spacing w:beforeLines="50" w:before="156" w:beforeAutospacing="0" w:afterLines="50" w:after="156" w:afterAutospacing="0"/>
        <w:ind w:firstLine="420"/>
        <w:jc w:val="both"/>
      </w:pPr>
      <w:r>
        <w:rPr>
          <w:sz w:val="21"/>
          <w:szCs w:val="21"/>
        </w:rPr>
        <w:t>本公司自行建造的在建工程按实际成本计价，实际成本由建造该项资产达到预定可使用状态前所发生的必要支出构成，包括工程用物资成本、人工成本、交纳的相关税费、应予资本化的借款费用以及应分摊的间接费用等。</w:t>
      </w:r>
    </w:p>
    <w:p w:rsidR="00E20B54" w:rsidRDefault="00733C9E" w:rsidP="00C57489">
      <w:pPr>
        <w:pStyle w:val="a3"/>
        <w:widowControl/>
        <w:adjustRightInd w:val="0"/>
        <w:snapToGrid w:val="0"/>
        <w:spacing w:beforeLines="50" w:before="156" w:beforeAutospacing="0" w:afterLines="50" w:after="156" w:afterAutospacing="0"/>
        <w:ind w:firstLine="420"/>
        <w:jc w:val="both"/>
        <w:rPr>
          <w:sz w:val="21"/>
          <w:szCs w:val="21"/>
        </w:rPr>
      </w:pPr>
      <w:r>
        <w:rPr>
          <w:rStyle w:val="a4"/>
          <w:bCs/>
          <w:sz w:val="21"/>
          <w:szCs w:val="21"/>
        </w:rPr>
        <w:t xml:space="preserve">25.2 </w:t>
      </w:r>
      <w:r>
        <w:rPr>
          <w:rStyle w:val="a4"/>
          <w:bCs/>
          <w:sz w:val="21"/>
          <w:szCs w:val="21"/>
        </w:rPr>
        <w:t>结转为固定资产的标准和时点</w:t>
      </w:r>
    </w:p>
    <w:p w:rsidR="00E20B54" w:rsidRDefault="00733C9E" w:rsidP="00C57489">
      <w:pPr>
        <w:pStyle w:val="a3"/>
        <w:widowControl/>
        <w:adjustRightInd w:val="0"/>
        <w:snapToGrid w:val="0"/>
        <w:spacing w:beforeLines="50" w:before="156" w:beforeAutospacing="0" w:afterLines="50" w:after="156" w:afterAutospacing="0"/>
        <w:ind w:firstLine="420"/>
        <w:jc w:val="both"/>
        <w:rPr>
          <w:sz w:val="21"/>
          <w:szCs w:val="21"/>
        </w:rPr>
      </w:pPr>
      <w:r>
        <w:rPr>
          <w:sz w:val="21"/>
          <w:szCs w:val="21"/>
        </w:rPr>
        <w:t>在建工程项目按建造该项资产达到预定可使用状态前所发生的全部支出，作为固定资产的入账价值。所建造的在建工程已达到预定可使用状态，但尚未办理竣工决算的，自达到预定可使用状态之日起，根据工程预算、造价或者工程实际成本等，按估计的价值转入固定资产，并按本公司固定资产折旧政策计提固定资产的折旧，待办理竣工决算后，再按实际成本调整原来的暂估价值，但不调整原已计提的折旧额。</w:t>
      </w:r>
    </w:p>
    <w:tbl>
      <w:tblPr>
        <w:tblW w:w="5000" w:type="pct"/>
        <w:tblBorders>
          <w:top w:val="none" w:sz="6" w:space="0" w:color="auto"/>
          <w:left w:val="none" w:sz="6" w:space="0" w:color="auto"/>
          <w:bottom w:val="none" w:sz="6" w:space="0" w:color="auto"/>
          <w:right w:val="none" w:sz="6" w:space="0" w:color="auto"/>
          <w:insideH w:val="outset" w:sz="6" w:space="0" w:color="auto"/>
          <w:insideV w:val="outset" w:sz="6" w:space="0" w:color="auto"/>
        </w:tblBorders>
        <w:tblCellMar>
          <w:top w:w="15" w:type="dxa"/>
          <w:left w:w="15" w:type="dxa"/>
          <w:bottom w:w="15" w:type="dxa"/>
          <w:right w:w="15" w:type="dxa"/>
        </w:tblCellMar>
        <w:tblLook w:val="04A0" w:firstRow="1" w:lastRow="0" w:firstColumn="1" w:lastColumn="0" w:noHBand="0" w:noVBand="1"/>
      </w:tblPr>
      <w:tblGrid>
        <w:gridCol w:w="3565"/>
        <w:gridCol w:w="6288"/>
      </w:tblGrid>
      <w:tr w:rsidR="00E20B54" w:rsidRPr="00295DC8" w:rsidTr="00295DC8">
        <w:trPr>
          <w:trHeight w:val="284"/>
        </w:trPr>
        <w:tc>
          <w:tcPr>
            <w:tcW w:w="1809" w:type="pct"/>
            <w:tcBorders>
              <w:top w:val="single" w:sz="8" w:space="0" w:color="auto"/>
              <w:left w:val="single" w:sz="8" w:space="0" w:color="auto"/>
              <w:bottom w:val="single" w:sz="8" w:space="0" w:color="auto"/>
              <w:right w:val="single" w:sz="8" w:space="0" w:color="auto"/>
            </w:tcBorders>
            <w:shd w:val="clear" w:color="auto" w:fill="D9D9D9" w:themeFill="background1" w:themeFillShade="D9"/>
            <w:tcMar>
              <w:top w:w="0" w:type="dxa"/>
              <w:left w:w="108" w:type="dxa"/>
              <w:bottom w:w="0" w:type="dxa"/>
              <w:right w:w="108" w:type="dxa"/>
            </w:tcMar>
            <w:vAlign w:val="center"/>
          </w:tcPr>
          <w:p w:rsidR="00E20B54" w:rsidRPr="00295DC8" w:rsidRDefault="00733C9E" w:rsidP="00295DC8">
            <w:pPr>
              <w:adjustRightInd w:val="0"/>
              <w:snapToGrid w:val="0"/>
              <w:jc w:val="center"/>
              <w:rPr>
                <w:sz w:val="18"/>
                <w:szCs w:val="18"/>
              </w:rPr>
            </w:pPr>
            <w:r w:rsidRPr="00295DC8">
              <w:rPr>
                <w:b/>
              </w:rPr>
              <w:t>类别</w:t>
            </w:r>
          </w:p>
        </w:tc>
        <w:tc>
          <w:tcPr>
            <w:tcW w:w="3191" w:type="pct"/>
            <w:tcBorders>
              <w:top w:val="single" w:sz="8" w:space="0" w:color="auto"/>
              <w:left w:val="nil"/>
              <w:bottom w:val="single" w:sz="8" w:space="0" w:color="auto"/>
              <w:right w:val="single" w:sz="8" w:space="0" w:color="auto"/>
            </w:tcBorders>
            <w:shd w:val="clear" w:color="auto" w:fill="D9D9D9" w:themeFill="background1" w:themeFillShade="D9"/>
            <w:tcMar>
              <w:top w:w="0" w:type="dxa"/>
              <w:left w:w="108" w:type="dxa"/>
              <w:bottom w:w="0" w:type="dxa"/>
              <w:right w:w="108" w:type="dxa"/>
            </w:tcMar>
            <w:vAlign w:val="center"/>
          </w:tcPr>
          <w:p w:rsidR="00E20B54" w:rsidRPr="00295DC8" w:rsidRDefault="00733C9E" w:rsidP="00295DC8">
            <w:pPr>
              <w:adjustRightInd w:val="0"/>
              <w:snapToGrid w:val="0"/>
              <w:jc w:val="center"/>
              <w:rPr>
                <w:sz w:val="18"/>
                <w:szCs w:val="18"/>
              </w:rPr>
            </w:pPr>
            <w:r w:rsidRPr="00295DC8">
              <w:rPr>
                <w:b/>
              </w:rPr>
              <w:t>在建工程结转为固定资产的标准和时点</w:t>
            </w:r>
          </w:p>
        </w:tc>
      </w:tr>
      <w:tr w:rsidR="00E20B54" w:rsidRPr="00295DC8">
        <w:trPr>
          <w:trHeight w:val="284"/>
        </w:trPr>
        <w:tc>
          <w:tcPr>
            <w:tcW w:w="1809" w:type="pct"/>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tcPr>
          <w:p w:rsidR="00E20B54" w:rsidRPr="00295DC8" w:rsidRDefault="00733C9E" w:rsidP="00295DC8">
            <w:pPr>
              <w:adjustRightInd w:val="0"/>
              <w:snapToGrid w:val="0"/>
              <w:rPr>
                <w:sz w:val="18"/>
                <w:szCs w:val="18"/>
              </w:rPr>
            </w:pPr>
            <w:r>
              <w:rPr>
                <w:sz w:val="18"/>
                <w:szCs w:val="18"/>
              </w:rPr>
              <w:t>房屋及建筑物</w:t>
            </w:r>
          </w:p>
        </w:tc>
        <w:tc>
          <w:tcPr>
            <w:tcW w:w="3191" w:type="pct"/>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E20B54" w:rsidRPr="00295DC8" w:rsidRDefault="00733C9E" w:rsidP="00295DC8">
            <w:pPr>
              <w:adjustRightInd w:val="0"/>
              <w:snapToGrid w:val="0"/>
              <w:rPr>
                <w:sz w:val="18"/>
                <w:szCs w:val="18"/>
              </w:rPr>
            </w:pPr>
            <w:r>
              <w:rPr>
                <w:sz w:val="18"/>
                <w:szCs w:val="18"/>
              </w:rPr>
              <w:t>满足建筑完工验收标准，整体达到预定可使用状态</w:t>
            </w:r>
          </w:p>
        </w:tc>
      </w:tr>
      <w:tr w:rsidR="00E20B54" w:rsidRPr="00295DC8">
        <w:trPr>
          <w:trHeight w:val="284"/>
        </w:trPr>
        <w:tc>
          <w:tcPr>
            <w:tcW w:w="1809" w:type="pct"/>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tcPr>
          <w:p w:rsidR="00E20B54" w:rsidRPr="00295DC8" w:rsidRDefault="00733C9E" w:rsidP="00295DC8">
            <w:pPr>
              <w:adjustRightInd w:val="0"/>
              <w:snapToGrid w:val="0"/>
              <w:rPr>
                <w:sz w:val="18"/>
                <w:szCs w:val="18"/>
              </w:rPr>
            </w:pPr>
            <w:r>
              <w:rPr>
                <w:sz w:val="18"/>
                <w:szCs w:val="18"/>
              </w:rPr>
              <w:t>新能源设备</w:t>
            </w:r>
          </w:p>
        </w:tc>
        <w:tc>
          <w:tcPr>
            <w:tcW w:w="3191" w:type="pct"/>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E20B54" w:rsidRPr="00295DC8" w:rsidRDefault="00733C9E" w:rsidP="00295DC8">
            <w:pPr>
              <w:adjustRightInd w:val="0"/>
              <w:snapToGrid w:val="0"/>
              <w:rPr>
                <w:sz w:val="18"/>
                <w:szCs w:val="18"/>
              </w:rPr>
            </w:pPr>
            <w:r>
              <w:rPr>
                <w:sz w:val="18"/>
                <w:szCs w:val="18"/>
              </w:rPr>
              <w:t>满足建筑完工验收标准，整体达到预定可使用状态</w:t>
            </w:r>
          </w:p>
        </w:tc>
      </w:tr>
    </w:tbl>
    <w:p w:rsidR="00E20B54" w:rsidRDefault="00733C9E" w:rsidP="00C57489">
      <w:pPr>
        <w:pStyle w:val="a3"/>
        <w:widowControl/>
        <w:adjustRightInd w:val="0"/>
        <w:snapToGrid w:val="0"/>
        <w:spacing w:beforeLines="50" w:before="156" w:beforeAutospacing="0" w:afterLines="50" w:after="156" w:afterAutospacing="0"/>
        <w:ind w:firstLine="420"/>
        <w:jc w:val="both"/>
        <w:rPr>
          <w:sz w:val="21"/>
          <w:szCs w:val="21"/>
        </w:rPr>
      </w:pPr>
      <w:r>
        <w:rPr>
          <w:sz w:val="21"/>
          <w:szCs w:val="21"/>
        </w:rPr>
        <w:t>在建工程的减值测试方法和减值准备计提方法详见</w:t>
      </w:r>
      <w:r>
        <w:rPr>
          <w:sz w:val="21"/>
          <w:szCs w:val="21"/>
        </w:rPr>
        <w:t>“</w:t>
      </w:r>
      <w:r>
        <w:rPr>
          <w:sz w:val="21"/>
          <w:szCs w:val="21"/>
        </w:rPr>
        <w:t>本节</w:t>
      </w:r>
      <w:r>
        <w:rPr>
          <w:sz w:val="21"/>
          <w:szCs w:val="21"/>
        </w:rPr>
        <w:t xml:space="preserve"> </w:t>
      </w:r>
      <w:r>
        <w:rPr>
          <w:sz w:val="21"/>
          <w:szCs w:val="21"/>
        </w:rPr>
        <w:t>五、</w:t>
      </w:r>
      <w:r>
        <w:rPr>
          <w:sz w:val="21"/>
          <w:szCs w:val="21"/>
        </w:rPr>
        <w:t xml:space="preserve">28 </w:t>
      </w:r>
      <w:r>
        <w:rPr>
          <w:sz w:val="21"/>
          <w:szCs w:val="21"/>
        </w:rPr>
        <w:t>长期资产减值</w:t>
      </w:r>
      <w:r>
        <w:rPr>
          <w:sz w:val="21"/>
          <w:szCs w:val="21"/>
        </w:rPr>
        <w:t>”</w:t>
      </w:r>
      <w:r>
        <w:rPr>
          <w:sz w:val="21"/>
          <w:szCs w:val="21"/>
        </w:rPr>
        <w:t>。</w:t>
      </w:r>
    </w:p>
    <w:p w:rsidR="00E20B54" w:rsidRDefault="00733C9E" w:rsidP="00C57489">
      <w:pPr>
        <w:pStyle w:val="3"/>
        <w:adjustRightInd w:val="0"/>
        <w:snapToGrid w:val="0"/>
        <w:spacing w:beforeLines="50" w:before="156" w:afterLines="50" w:after="156" w:line="240" w:lineRule="auto"/>
        <w:jc w:val="left"/>
        <w:rPr>
          <w:b/>
          <w:bCs/>
        </w:rPr>
      </w:pPr>
      <w:bookmarkStart w:id="192" w:name="_Toc989080"/>
      <w:r>
        <w:rPr>
          <w:b/>
          <w:bCs/>
        </w:rPr>
        <w:t>26</w:t>
      </w:r>
      <w:r>
        <w:rPr>
          <w:b/>
          <w:bCs/>
        </w:rPr>
        <w:t>、借款费用</w:t>
      </w:r>
      <w:bookmarkEnd w:id="192"/>
    </w:p>
    <w:p w:rsidR="00E20B54" w:rsidRDefault="00733C9E" w:rsidP="00C57489">
      <w:pPr>
        <w:pStyle w:val="a3"/>
        <w:widowControl/>
        <w:adjustRightInd w:val="0"/>
        <w:snapToGrid w:val="0"/>
        <w:spacing w:beforeLines="50" w:before="156" w:beforeAutospacing="0" w:afterLines="50" w:after="156" w:afterAutospacing="0"/>
        <w:ind w:firstLine="420"/>
        <w:jc w:val="both"/>
        <w:rPr>
          <w:sz w:val="21"/>
          <w:szCs w:val="21"/>
        </w:rPr>
      </w:pPr>
      <w:r>
        <w:rPr>
          <w:rStyle w:val="a4"/>
          <w:bCs/>
          <w:sz w:val="21"/>
          <w:szCs w:val="21"/>
        </w:rPr>
        <w:t>26.1</w:t>
      </w:r>
      <w:r>
        <w:rPr>
          <w:rStyle w:val="a4"/>
          <w:bCs/>
          <w:sz w:val="21"/>
          <w:szCs w:val="21"/>
        </w:rPr>
        <w:t>借款费用资本化的确认原则</w:t>
      </w:r>
    </w:p>
    <w:p w:rsidR="00E20B54" w:rsidRDefault="00733C9E" w:rsidP="00C57489">
      <w:pPr>
        <w:pStyle w:val="a3"/>
        <w:widowControl/>
        <w:adjustRightInd w:val="0"/>
        <w:snapToGrid w:val="0"/>
        <w:spacing w:beforeLines="50" w:before="156" w:beforeAutospacing="0" w:afterLines="50" w:after="156" w:afterAutospacing="0"/>
        <w:ind w:firstLine="420"/>
        <w:jc w:val="both"/>
        <w:rPr>
          <w:sz w:val="21"/>
          <w:szCs w:val="21"/>
        </w:rPr>
      </w:pPr>
      <w:r>
        <w:rPr>
          <w:sz w:val="21"/>
          <w:szCs w:val="21"/>
        </w:rPr>
        <w:t>本公司发生的借款费用，可直接归属于符合资本化条件的资产的购建或者生产的，予以资本化，计入相关资产成本；其他借款费用，在发生时根据其发生额确认为费用，计入当期损益。</w:t>
      </w:r>
    </w:p>
    <w:p w:rsidR="00E20B54" w:rsidRDefault="00733C9E" w:rsidP="00C57489">
      <w:pPr>
        <w:pStyle w:val="a3"/>
        <w:widowControl/>
        <w:adjustRightInd w:val="0"/>
        <w:snapToGrid w:val="0"/>
        <w:spacing w:beforeLines="50" w:before="156" w:beforeAutospacing="0" w:afterLines="50" w:after="156" w:afterAutospacing="0"/>
        <w:ind w:firstLine="420"/>
        <w:jc w:val="both"/>
        <w:rPr>
          <w:sz w:val="21"/>
          <w:szCs w:val="21"/>
        </w:rPr>
      </w:pPr>
      <w:r>
        <w:rPr>
          <w:sz w:val="21"/>
          <w:szCs w:val="21"/>
        </w:rPr>
        <w:t>符合资本化条件的资产，是指需要经过相当长时间的购建或者生产活动才能达到预定可使用或者可销售状态的固定资产、投资性房地产和存货等资产。</w:t>
      </w:r>
    </w:p>
    <w:p w:rsidR="00E20B54" w:rsidRDefault="00733C9E" w:rsidP="00C57489">
      <w:pPr>
        <w:pStyle w:val="a3"/>
        <w:widowControl/>
        <w:adjustRightInd w:val="0"/>
        <w:snapToGrid w:val="0"/>
        <w:spacing w:beforeLines="50" w:before="156" w:beforeAutospacing="0" w:afterLines="50" w:after="156" w:afterAutospacing="0"/>
        <w:ind w:firstLine="420"/>
        <w:jc w:val="both"/>
        <w:rPr>
          <w:sz w:val="21"/>
          <w:szCs w:val="21"/>
        </w:rPr>
      </w:pPr>
      <w:r>
        <w:rPr>
          <w:sz w:val="21"/>
          <w:szCs w:val="21"/>
        </w:rPr>
        <w:t>借款费用同时满足下列条件时开始资本化：</w:t>
      </w:r>
    </w:p>
    <w:p w:rsidR="00E20B54" w:rsidRDefault="00733C9E" w:rsidP="00C57489">
      <w:pPr>
        <w:pStyle w:val="a3"/>
        <w:widowControl/>
        <w:adjustRightInd w:val="0"/>
        <w:snapToGrid w:val="0"/>
        <w:spacing w:beforeLines="50" w:before="156" w:beforeAutospacing="0" w:afterLines="50" w:after="156" w:afterAutospacing="0"/>
        <w:ind w:firstLine="420"/>
        <w:jc w:val="both"/>
        <w:rPr>
          <w:sz w:val="21"/>
          <w:szCs w:val="21"/>
        </w:rPr>
      </w:pPr>
      <w:r>
        <w:rPr>
          <w:sz w:val="21"/>
          <w:szCs w:val="21"/>
        </w:rPr>
        <w:t>（</w:t>
      </w:r>
      <w:r>
        <w:rPr>
          <w:sz w:val="21"/>
          <w:szCs w:val="21"/>
        </w:rPr>
        <w:t>1</w:t>
      </w:r>
      <w:r>
        <w:rPr>
          <w:sz w:val="21"/>
          <w:szCs w:val="21"/>
        </w:rPr>
        <w:t>）资产支出已经发生，资产支出包括为购建或者生产符合资本化条件的资产而以支付现金、转移非现金资产或者承担带息债务形式发生的支出；</w:t>
      </w:r>
    </w:p>
    <w:p w:rsidR="00E20B54" w:rsidRDefault="00733C9E" w:rsidP="00C57489">
      <w:pPr>
        <w:pStyle w:val="a3"/>
        <w:widowControl/>
        <w:adjustRightInd w:val="0"/>
        <w:snapToGrid w:val="0"/>
        <w:spacing w:beforeLines="50" w:before="156" w:beforeAutospacing="0" w:afterLines="50" w:after="156" w:afterAutospacing="0"/>
        <w:ind w:firstLine="420"/>
        <w:jc w:val="both"/>
        <w:rPr>
          <w:sz w:val="21"/>
          <w:szCs w:val="21"/>
        </w:rPr>
      </w:pPr>
      <w:r>
        <w:rPr>
          <w:sz w:val="21"/>
          <w:szCs w:val="21"/>
        </w:rPr>
        <w:t>（</w:t>
      </w:r>
      <w:r>
        <w:rPr>
          <w:sz w:val="21"/>
          <w:szCs w:val="21"/>
        </w:rPr>
        <w:t>2</w:t>
      </w:r>
      <w:r>
        <w:rPr>
          <w:sz w:val="21"/>
          <w:szCs w:val="21"/>
        </w:rPr>
        <w:t>）借款费用已经发生；</w:t>
      </w:r>
    </w:p>
    <w:p w:rsidR="00E20B54" w:rsidRDefault="00733C9E" w:rsidP="00C57489">
      <w:pPr>
        <w:pStyle w:val="a3"/>
        <w:widowControl/>
        <w:adjustRightInd w:val="0"/>
        <w:snapToGrid w:val="0"/>
        <w:spacing w:beforeLines="50" w:before="156" w:beforeAutospacing="0" w:afterLines="50" w:after="156" w:afterAutospacing="0"/>
        <w:ind w:firstLine="420"/>
        <w:jc w:val="both"/>
        <w:rPr>
          <w:sz w:val="21"/>
          <w:szCs w:val="21"/>
        </w:rPr>
      </w:pPr>
      <w:r>
        <w:rPr>
          <w:sz w:val="21"/>
          <w:szCs w:val="21"/>
        </w:rPr>
        <w:t>（</w:t>
      </w:r>
      <w:r>
        <w:rPr>
          <w:sz w:val="21"/>
          <w:szCs w:val="21"/>
        </w:rPr>
        <w:t>3</w:t>
      </w:r>
      <w:r>
        <w:rPr>
          <w:sz w:val="21"/>
          <w:szCs w:val="21"/>
        </w:rPr>
        <w:t>）为使资产达到预定可使用或者可销售状态所必要的购建或者生产活动已经开始。</w:t>
      </w:r>
    </w:p>
    <w:p w:rsidR="00E20B54" w:rsidRDefault="00733C9E" w:rsidP="00C57489">
      <w:pPr>
        <w:pStyle w:val="a3"/>
        <w:widowControl/>
        <w:adjustRightInd w:val="0"/>
        <w:snapToGrid w:val="0"/>
        <w:spacing w:beforeLines="50" w:before="156" w:beforeAutospacing="0" w:afterLines="50" w:after="156" w:afterAutospacing="0"/>
        <w:ind w:firstLine="420"/>
        <w:jc w:val="both"/>
        <w:rPr>
          <w:sz w:val="21"/>
          <w:szCs w:val="21"/>
        </w:rPr>
      </w:pPr>
      <w:r>
        <w:rPr>
          <w:rStyle w:val="a4"/>
          <w:bCs/>
          <w:sz w:val="21"/>
          <w:szCs w:val="21"/>
        </w:rPr>
        <w:t>26.2</w:t>
      </w:r>
      <w:r>
        <w:rPr>
          <w:rStyle w:val="a4"/>
          <w:bCs/>
          <w:sz w:val="21"/>
          <w:szCs w:val="21"/>
        </w:rPr>
        <w:t>借款费用资本化期间</w:t>
      </w:r>
    </w:p>
    <w:p w:rsidR="00E20B54" w:rsidRDefault="00733C9E" w:rsidP="00C57489">
      <w:pPr>
        <w:pStyle w:val="a3"/>
        <w:widowControl/>
        <w:adjustRightInd w:val="0"/>
        <w:snapToGrid w:val="0"/>
        <w:spacing w:beforeLines="50" w:before="156" w:beforeAutospacing="0" w:afterLines="50" w:after="156" w:afterAutospacing="0"/>
        <w:ind w:firstLine="420"/>
        <w:jc w:val="both"/>
        <w:rPr>
          <w:sz w:val="21"/>
          <w:szCs w:val="21"/>
        </w:rPr>
      </w:pPr>
      <w:r>
        <w:rPr>
          <w:sz w:val="21"/>
          <w:szCs w:val="21"/>
        </w:rPr>
        <w:t>资本化期间，指从借款费用开始资本化时点到停止资本化时点的期间，借款费用暂停资本化的期间不包括在内。</w:t>
      </w:r>
    </w:p>
    <w:p w:rsidR="00E20B54" w:rsidRDefault="00733C9E" w:rsidP="00C57489">
      <w:pPr>
        <w:pStyle w:val="a3"/>
        <w:widowControl/>
        <w:adjustRightInd w:val="0"/>
        <w:snapToGrid w:val="0"/>
        <w:spacing w:beforeLines="50" w:before="156" w:beforeAutospacing="0" w:afterLines="50" w:after="156" w:afterAutospacing="0"/>
        <w:ind w:firstLine="420"/>
        <w:jc w:val="both"/>
        <w:rPr>
          <w:sz w:val="21"/>
          <w:szCs w:val="21"/>
        </w:rPr>
      </w:pPr>
      <w:r>
        <w:rPr>
          <w:sz w:val="21"/>
          <w:szCs w:val="21"/>
        </w:rPr>
        <w:t>当购建或者生产符合资本化条件的资产达到预定可使用或者可销售状态时，借款费用停止资本化。</w:t>
      </w:r>
    </w:p>
    <w:p w:rsidR="00E20B54" w:rsidRDefault="00733C9E" w:rsidP="00C57489">
      <w:pPr>
        <w:pStyle w:val="a3"/>
        <w:widowControl/>
        <w:adjustRightInd w:val="0"/>
        <w:snapToGrid w:val="0"/>
        <w:spacing w:beforeLines="50" w:before="156" w:beforeAutospacing="0" w:afterLines="50" w:after="156" w:afterAutospacing="0"/>
        <w:ind w:firstLine="420"/>
        <w:jc w:val="both"/>
        <w:rPr>
          <w:sz w:val="21"/>
          <w:szCs w:val="21"/>
        </w:rPr>
      </w:pPr>
      <w:r>
        <w:rPr>
          <w:sz w:val="21"/>
          <w:szCs w:val="21"/>
        </w:rPr>
        <w:t>当购建或者生产符合资本化条件的资产中部分项目分别完工且可单独使用时，该部分资产借款费用停止资本化。</w:t>
      </w:r>
    </w:p>
    <w:p w:rsidR="00E20B54" w:rsidRDefault="00733C9E" w:rsidP="00C57489">
      <w:pPr>
        <w:pStyle w:val="a3"/>
        <w:widowControl/>
        <w:adjustRightInd w:val="0"/>
        <w:snapToGrid w:val="0"/>
        <w:spacing w:beforeLines="50" w:before="156" w:beforeAutospacing="0" w:afterLines="50" w:after="156" w:afterAutospacing="0"/>
        <w:ind w:firstLine="420"/>
        <w:jc w:val="both"/>
        <w:rPr>
          <w:sz w:val="21"/>
          <w:szCs w:val="21"/>
        </w:rPr>
      </w:pPr>
      <w:r>
        <w:rPr>
          <w:sz w:val="21"/>
          <w:szCs w:val="21"/>
        </w:rPr>
        <w:t>购建或者生产的资产的各部分分别完工，但必须等到整体完工后才可使用或可对外销售的，在该资产整体完工时停止借款费用资本化。</w:t>
      </w:r>
    </w:p>
    <w:p w:rsidR="00E20B54" w:rsidRDefault="00733C9E" w:rsidP="00C57489">
      <w:pPr>
        <w:pStyle w:val="a3"/>
        <w:widowControl/>
        <w:adjustRightInd w:val="0"/>
        <w:snapToGrid w:val="0"/>
        <w:spacing w:beforeLines="50" w:before="156" w:beforeAutospacing="0" w:afterLines="50" w:after="156" w:afterAutospacing="0"/>
        <w:ind w:firstLine="420"/>
        <w:jc w:val="both"/>
        <w:rPr>
          <w:sz w:val="21"/>
          <w:szCs w:val="21"/>
        </w:rPr>
      </w:pPr>
      <w:r>
        <w:rPr>
          <w:rStyle w:val="a4"/>
          <w:bCs/>
          <w:sz w:val="21"/>
          <w:szCs w:val="21"/>
        </w:rPr>
        <w:t>26.3</w:t>
      </w:r>
      <w:r>
        <w:rPr>
          <w:rStyle w:val="a4"/>
          <w:bCs/>
          <w:sz w:val="21"/>
          <w:szCs w:val="21"/>
        </w:rPr>
        <w:t>暂停资本化期间</w:t>
      </w:r>
    </w:p>
    <w:p w:rsidR="00E20B54" w:rsidRDefault="00733C9E" w:rsidP="00C57489">
      <w:pPr>
        <w:pStyle w:val="a3"/>
        <w:widowControl/>
        <w:adjustRightInd w:val="0"/>
        <w:snapToGrid w:val="0"/>
        <w:spacing w:beforeLines="50" w:before="156" w:beforeAutospacing="0" w:afterLines="50" w:after="156" w:afterAutospacing="0"/>
        <w:ind w:firstLine="420"/>
        <w:jc w:val="both"/>
        <w:rPr>
          <w:sz w:val="21"/>
          <w:szCs w:val="21"/>
        </w:rPr>
      </w:pPr>
      <w:r>
        <w:rPr>
          <w:sz w:val="21"/>
          <w:szCs w:val="21"/>
        </w:rPr>
        <w:t>符合资本化条件的资产在购建或生产过程中发生的非正常中断、且中断时间连续超过</w:t>
      </w:r>
      <w:r>
        <w:rPr>
          <w:sz w:val="21"/>
          <w:szCs w:val="21"/>
        </w:rPr>
        <w:t>3</w:t>
      </w:r>
      <w:r>
        <w:rPr>
          <w:sz w:val="21"/>
          <w:szCs w:val="21"/>
        </w:rPr>
        <w:t>个月的，则借款费用暂停资本化；该项中断如是所购建或生产的符合资本化条件的资产达到预定可使用状态或者可</w:t>
      </w:r>
      <w:r>
        <w:rPr>
          <w:sz w:val="21"/>
          <w:szCs w:val="21"/>
        </w:rPr>
        <w:lastRenderedPageBreak/>
        <w:t>销售状态必要的程序，则借款费用继续资本化。在中断期间发生的借款费用确认为当期损益，直至资产的购建或者生产活动重新开始后借款费用继续资本化。</w:t>
      </w:r>
    </w:p>
    <w:p w:rsidR="00E20B54" w:rsidRDefault="00733C9E" w:rsidP="00C57489">
      <w:pPr>
        <w:pStyle w:val="a3"/>
        <w:widowControl/>
        <w:adjustRightInd w:val="0"/>
        <w:snapToGrid w:val="0"/>
        <w:spacing w:beforeLines="50" w:before="156" w:beforeAutospacing="0" w:afterLines="50" w:after="156" w:afterAutospacing="0"/>
        <w:ind w:firstLine="420"/>
        <w:jc w:val="both"/>
        <w:rPr>
          <w:sz w:val="21"/>
          <w:szCs w:val="21"/>
        </w:rPr>
      </w:pPr>
      <w:r>
        <w:rPr>
          <w:rStyle w:val="a4"/>
          <w:bCs/>
          <w:sz w:val="21"/>
          <w:szCs w:val="21"/>
        </w:rPr>
        <w:t>26.4</w:t>
      </w:r>
      <w:r>
        <w:rPr>
          <w:rStyle w:val="a4"/>
          <w:bCs/>
          <w:sz w:val="21"/>
          <w:szCs w:val="21"/>
        </w:rPr>
        <w:t>借款费用资本化金额的计算方法</w:t>
      </w:r>
    </w:p>
    <w:p w:rsidR="00E20B54" w:rsidRDefault="00733C9E" w:rsidP="00C57489">
      <w:pPr>
        <w:pStyle w:val="a3"/>
        <w:widowControl/>
        <w:adjustRightInd w:val="0"/>
        <w:snapToGrid w:val="0"/>
        <w:spacing w:beforeLines="50" w:before="156" w:beforeAutospacing="0" w:afterLines="50" w:after="156" w:afterAutospacing="0"/>
        <w:ind w:firstLine="420"/>
        <w:jc w:val="both"/>
        <w:rPr>
          <w:sz w:val="21"/>
          <w:szCs w:val="21"/>
        </w:rPr>
      </w:pPr>
      <w:r>
        <w:rPr>
          <w:sz w:val="21"/>
          <w:szCs w:val="21"/>
        </w:rPr>
        <w:t>专门借款的利息费用（扣除尚未动用的借款资金存入银行取得的利息收入或者进行暂时性投资取得的投资收益）及其辅助费用在所购建或者生产的符合资本化条件的资产达到预定可使用或者可销售状态前，予以资本化。</w:t>
      </w:r>
    </w:p>
    <w:p w:rsidR="00E20B54" w:rsidRDefault="00733C9E" w:rsidP="00C57489">
      <w:pPr>
        <w:pStyle w:val="a3"/>
        <w:widowControl/>
        <w:adjustRightInd w:val="0"/>
        <w:snapToGrid w:val="0"/>
        <w:spacing w:beforeLines="50" w:before="156" w:beforeAutospacing="0" w:afterLines="50" w:after="156" w:afterAutospacing="0"/>
        <w:ind w:firstLine="420"/>
        <w:jc w:val="both"/>
        <w:rPr>
          <w:sz w:val="21"/>
          <w:szCs w:val="21"/>
        </w:rPr>
      </w:pPr>
      <w:r>
        <w:rPr>
          <w:sz w:val="21"/>
          <w:szCs w:val="21"/>
        </w:rPr>
        <w:t>根据累计资产支出超过专门借款部分的资产支出加权平均数乘以所占用一般借款的资本化率，计算确定一般借款应予资本化的利息金额。资本化率根据一般借款加权平均利率计算确定。</w:t>
      </w:r>
    </w:p>
    <w:p w:rsidR="00E20B54" w:rsidRDefault="00733C9E" w:rsidP="00C57489">
      <w:pPr>
        <w:pStyle w:val="a3"/>
        <w:widowControl/>
        <w:adjustRightInd w:val="0"/>
        <w:snapToGrid w:val="0"/>
        <w:spacing w:beforeLines="50" w:before="156" w:beforeAutospacing="0" w:afterLines="50" w:after="156" w:afterAutospacing="0"/>
        <w:ind w:firstLine="420"/>
        <w:jc w:val="both"/>
        <w:rPr>
          <w:sz w:val="21"/>
          <w:szCs w:val="21"/>
        </w:rPr>
      </w:pPr>
      <w:r>
        <w:rPr>
          <w:sz w:val="21"/>
          <w:szCs w:val="21"/>
        </w:rPr>
        <w:t>借款存在折价或者溢价的，按照实际利率法确定每一会计期间应摊销的折价或者溢价金额，调整每期利息金额。</w:t>
      </w:r>
    </w:p>
    <w:p w:rsidR="00E20B54" w:rsidRDefault="00733C9E" w:rsidP="00C57489">
      <w:pPr>
        <w:pStyle w:val="3"/>
        <w:adjustRightInd w:val="0"/>
        <w:snapToGrid w:val="0"/>
        <w:spacing w:beforeLines="50" w:before="156" w:afterLines="50" w:after="156" w:line="240" w:lineRule="auto"/>
        <w:jc w:val="left"/>
        <w:rPr>
          <w:b/>
          <w:bCs/>
        </w:rPr>
      </w:pPr>
      <w:bookmarkStart w:id="193" w:name="_Toc989081"/>
      <w:r>
        <w:rPr>
          <w:b/>
          <w:bCs/>
        </w:rPr>
        <w:t>27</w:t>
      </w:r>
      <w:r>
        <w:rPr>
          <w:b/>
          <w:bCs/>
        </w:rPr>
        <w:t>、无形资产</w:t>
      </w:r>
      <w:bookmarkEnd w:id="193"/>
    </w:p>
    <w:p w:rsidR="00E20B54" w:rsidRDefault="00733C9E" w:rsidP="00C57489">
      <w:pPr>
        <w:keepNext/>
        <w:keepLines/>
        <w:adjustRightInd w:val="0"/>
        <w:snapToGrid w:val="0"/>
        <w:spacing w:beforeLines="50" w:before="156" w:afterLines="50" w:after="156"/>
        <w:outlineLvl w:val="3"/>
        <w:rPr>
          <w:b/>
          <w:bCs/>
          <w:szCs w:val="21"/>
        </w:rPr>
      </w:pPr>
      <w:bookmarkStart w:id="194" w:name="_Toc989082"/>
      <w:r>
        <w:rPr>
          <w:b/>
          <w:bCs/>
          <w:szCs w:val="21"/>
        </w:rPr>
        <w:t>（</w:t>
      </w:r>
      <w:r>
        <w:rPr>
          <w:b/>
          <w:bCs/>
          <w:szCs w:val="21"/>
        </w:rPr>
        <w:t>1</w:t>
      </w:r>
      <w:r>
        <w:rPr>
          <w:b/>
          <w:bCs/>
          <w:szCs w:val="21"/>
        </w:rPr>
        <w:t>）</w:t>
      </w:r>
      <w:r>
        <w:rPr>
          <w:b/>
          <w:bCs/>
          <w:szCs w:val="21"/>
        </w:rPr>
        <w:t xml:space="preserve"> </w:t>
      </w:r>
      <w:r>
        <w:rPr>
          <w:b/>
          <w:bCs/>
          <w:szCs w:val="21"/>
        </w:rPr>
        <w:t>使用寿命及其确定依据、估计情况、摊销方法或复核程序</w:t>
      </w:r>
      <w:bookmarkEnd w:id="194"/>
    </w:p>
    <w:p w:rsidR="00E20B54" w:rsidRDefault="00733C9E" w:rsidP="00C57489">
      <w:pPr>
        <w:pStyle w:val="a3"/>
        <w:widowControl/>
        <w:adjustRightInd w:val="0"/>
        <w:snapToGrid w:val="0"/>
        <w:spacing w:beforeLines="50" w:before="156" w:beforeAutospacing="0" w:afterLines="50" w:after="156" w:afterAutospacing="0"/>
        <w:ind w:firstLine="420"/>
        <w:jc w:val="both"/>
        <w:rPr>
          <w:sz w:val="21"/>
          <w:szCs w:val="21"/>
        </w:rPr>
      </w:pPr>
      <w:r>
        <w:rPr>
          <w:sz w:val="21"/>
          <w:szCs w:val="21"/>
        </w:rPr>
        <w:t>无形资产按成本进行初始计量。与无形资产有关的支出，如果相关的经济利益很可能流入本公司且其成本能可靠地计量，则计入无形资产成本。除此以外的其他项目的支出，在发生时计入当期损益。</w:t>
      </w:r>
    </w:p>
    <w:p w:rsidR="00E20B54" w:rsidRDefault="00733C9E" w:rsidP="00C57489">
      <w:pPr>
        <w:pStyle w:val="a3"/>
        <w:widowControl/>
        <w:adjustRightInd w:val="0"/>
        <w:snapToGrid w:val="0"/>
        <w:spacing w:beforeLines="50" w:before="156" w:beforeAutospacing="0" w:afterLines="50" w:after="156" w:afterAutospacing="0"/>
        <w:ind w:firstLine="420"/>
        <w:jc w:val="both"/>
        <w:rPr>
          <w:sz w:val="21"/>
          <w:szCs w:val="21"/>
        </w:rPr>
      </w:pPr>
      <w:r>
        <w:rPr>
          <w:sz w:val="21"/>
          <w:szCs w:val="21"/>
        </w:rPr>
        <w:t>取得的土地使用权通常作为无形资产核算。自行开发建造厂房等建筑物，相关的土地使用权支出和建筑物建造成本则分别作为无形资产和固定资产核算。如为外购的房屋及建筑物，则将有关价款在土地使用权和建筑物之间进行分配，难以合理分配的，全部作为固定资产处理。</w:t>
      </w:r>
    </w:p>
    <w:p w:rsidR="00E20B54" w:rsidRDefault="00733C9E" w:rsidP="00C57489">
      <w:pPr>
        <w:pStyle w:val="a3"/>
        <w:widowControl/>
        <w:adjustRightInd w:val="0"/>
        <w:snapToGrid w:val="0"/>
        <w:spacing w:beforeLines="50" w:before="156" w:beforeAutospacing="0" w:afterLines="50" w:after="156" w:afterAutospacing="0"/>
        <w:ind w:firstLine="420"/>
        <w:jc w:val="both"/>
        <w:rPr>
          <w:sz w:val="21"/>
          <w:szCs w:val="21"/>
        </w:rPr>
      </w:pPr>
      <w:r>
        <w:rPr>
          <w:sz w:val="21"/>
          <w:szCs w:val="21"/>
        </w:rPr>
        <w:t>使用寿命有限的无形资产自可供使用时起，对其原值减去预计净残值和已计提的减值准备累计金额在其预计使用寿命内采用直线法分期平均摊销。</w:t>
      </w:r>
    </w:p>
    <w:tbl>
      <w:tblPr>
        <w:tblW w:w="5000" w:type="pct"/>
        <w:tblBorders>
          <w:top w:val="none" w:sz="6" w:space="0" w:color="auto"/>
          <w:left w:val="none" w:sz="6" w:space="0" w:color="auto"/>
          <w:bottom w:val="none" w:sz="6" w:space="0" w:color="auto"/>
          <w:right w:val="none" w:sz="6" w:space="0" w:color="auto"/>
          <w:insideH w:val="outset" w:sz="6" w:space="0" w:color="auto"/>
          <w:insideV w:val="outset" w:sz="6" w:space="0" w:color="auto"/>
        </w:tblBorders>
        <w:tblCellMar>
          <w:top w:w="15" w:type="dxa"/>
          <w:left w:w="15" w:type="dxa"/>
          <w:bottom w:w="15" w:type="dxa"/>
          <w:right w:w="15" w:type="dxa"/>
        </w:tblCellMar>
        <w:tblLook w:val="04A0" w:firstRow="1" w:lastRow="0" w:firstColumn="1" w:lastColumn="0" w:noHBand="0" w:noVBand="1"/>
      </w:tblPr>
      <w:tblGrid>
        <w:gridCol w:w="4917"/>
        <w:gridCol w:w="4936"/>
      </w:tblGrid>
      <w:tr w:rsidR="00E20B54" w:rsidRPr="00295DC8" w:rsidTr="00295DC8">
        <w:trPr>
          <w:trHeight w:val="227"/>
        </w:trPr>
        <w:tc>
          <w:tcPr>
            <w:tcW w:w="2495" w:type="pct"/>
            <w:tcBorders>
              <w:top w:val="single" w:sz="8" w:space="0" w:color="auto"/>
              <w:left w:val="single" w:sz="8" w:space="0" w:color="auto"/>
              <w:bottom w:val="single" w:sz="8" w:space="0" w:color="auto"/>
              <w:right w:val="single" w:sz="8" w:space="0" w:color="auto"/>
            </w:tcBorders>
            <w:shd w:val="clear" w:color="auto" w:fill="D9D9D9" w:themeFill="background1" w:themeFillShade="D9"/>
            <w:tcMar>
              <w:top w:w="0" w:type="dxa"/>
              <w:left w:w="108" w:type="dxa"/>
              <w:bottom w:w="0" w:type="dxa"/>
              <w:right w:w="108" w:type="dxa"/>
            </w:tcMar>
            <w:vAlign w:val="center"/>
          </w:tcPr>
          <w:p w:rsidR="00E20B54" w:rsidRPr="00295DC8" w:rsidRDefault="00733C9E" w:rsidP="00295DC8">
            <w:pPr>
              <w:pStyle w:val="a3"/>
              <w:widowControl/>
              <w:adjustRightInd w:val="0"/>
              <w:snapToGrid w:val="0"/>
              <w:spacing w:beforeAutospacing="0" w:afterAutospacing="0"/>
              <w:jc w:val="center"/>
              <w:rPr>
                <w:sz w:val="18"/>
                <w:szCs w:val="21"/>
              </w:rPr>
            </w:pPr>
            <w:r w:rsidRPr="00295DC8">
              <w:rPr>
                <w:rStyle w:val="a4"/>
                <w:sz w:val="18"/>
                <w:szCs w:val="21"/>
              </w:rPr>
              <w:t>类别</w:t>
            </w:r>
          </w:p>
        </w:tc>
        <w:tc>
          <w:tcPr>
            <w:tcW w:w="2505" w:type="pct"/>
            <w:tcBorders>
              <w:top w:val="single" w:sz="8" w:space="0" w:color="auto"/>
              <w:left w:val="nil"/>
              <w:bottom w:val="single" w:sz="8" w:space="0" w:color="auto"/>
              <w:right w:val="single" w:sz="8" w:space="0" w:color="auto"/>
            </w:tcBorders>
            <w:shd w:val="clear" w:color="auto" w:fill="D9D9D9" w:themeFill="background1" w:themeFillShade="D9"/>
            <w:tcMar>
              <w:top w:w="0" w:type="dxa"/>
              <w:left w:w="108" w:type="dxa"/>
              <w:bottom w:w="0" w:type="dxa"/>
              <w:right w:w="108" w:type="dxa"/>
            </w:tcMar>
            <w:vAlign w:val="center"/>
          </w:tcPr>
          <w:p w:rsidR="00E20B54" w:rsidRPr="00295DC8" w:rsidRDefault="00733C9E" w:rsidP="00295DC8">
            <w:pPr>
              <w:pStyle w:val="a3"/>
              <w:widowControl/>
              <w:adjustRightInd w:val="0"/>
              <w:snapToGrid w:val="0"/>
              <w:spacing w:beforeAutospacing="0" w:afterAutospacing="0"/>
              <w:jc w:val="center"/>
              <w:rPr>
                <w:sz w:val="18"/>
                <w:szCs w:val="21"/>
              </w:rPr>
            </w:pPr>
            <w:r w:rsidRPr="00295DC8">
              <w:rPr>
                <w:rStyle w:val="a4"/>
                <w:sz w:val="18"/>
                <w:szCs w:val="21"/>
              </w:rPr>
              <w:t>摊销年限</w:t>
            </w:r>
            <w:r w:rsidRPr="00295DC8">
              <w:rPr>
                <w:rStyle w:val="a4"/>
                <w:sz w:val="18"/>
                <w:szCs w:val="21"/>
              </w:rPr>
              <w:t>(</w:t>
            </w:r>
            <w:r w:rsidRPr="00295DC8">
              <w:rPr>
                <w:rStyle w:val="a4"/>
                <w:sz w:val="18"/>
                <w:szCs w:val="21"/>
              </w:rPr>
              <w:t>年</w:t>
            </w:r>
            <w:r w:rsidRPr="00295DC8">
              <w:rPr>
                <w:rStyle w:val="a4"/>
                <w:sz w:val="18"/>
                <w:szCs w:val="21"/>
              </w:rPr>
              <w:t>)</w:t>
            </w:r>
          </w:p>
        </w:tc>
      </w:tr>
      <w:tr w:rsidR="00E20B54" w:rsidRPr="00295DC8" w:rsidTr="00295DC8">
        <w:trPr>
          <w:trHeight w:val="227"/>
        </w:trPr>
        <w:tc>
          <w:tcPr>
            <w:tcW w:w="2495" w:type="pct"/>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tcPr>
          <w:p w:rsidR="00E20B54" w:rsidRPr="00295DC8" w:rsidRDefault="00733C9E" w:rsidP="00295DC8">
            <w:pPr>
              <w:pStyle w:val="a3"/>
              <w:widowControl/>
              <w:adjustRightInd w:val="0"/>
              <w:snapToGrid w:val="0"/>
              <w:spacing w:beforeAutospacing="0" w:afterAutospacing="0"/>
              <w:jc w:val="both"/>
              <w:rPr>
                <w:sz w:val="18"/>
                <w:szCs w:val="21"/>
              </w:rPr>
            </w:pPr>
            <w:r w:rsidRPr="00295DC8">
              <w:rPr>
                <w:sz w:val="18"/>
                <w:szCs w:val="21"/>
              </w:rPr>
              <w:t>非专利技术</w:t>
            </w:r>
          </w:p>
        </w:tc>
        <w:tc>
          <w:tcPr>
            <w:tcW w:w="2505" w:type="pct"/>
            <w:tcBorders>
              <w:top w:val="nil"/>
              <w:left w:val="nil"/>
              <w:bottom w:val="single" w:sz="8" w:space="0" w:color="auto"/>
              <w:right w:val="single" w:sz="8" w:space="0" w:color="auto"/>
            </w:tcBorders>
            <w:shd w:val="clear" w:color="auto" w:fill="auto"/>
            <w:tcMar>
              <w:top w:w="0" w:type="dxa"/>
              <w:left w:w="108" w:type="dxa"/>
              <w:bottom w:w="0" w:type="dxa"/>
              <w:right w:w="108" w:type="dxa"/>
            </w:tcMar>
          </w:tcPr>
          <w:p w:rsidR="00E20B54" w:rsidRPr="00295DC8" w:rsidRDefault="00733C9E" w:rsidP="00295DC8">
            <w:pPr>
              <w:pStyle w:val="a3"/>
              <w:widowControl/>
              <w:adjustRightInd w:val="0"/>
              <w:snapToGrid w:val="0"/>
              <w:spacing w:beforeAutospacing="0" w:afterAutospacing="0"/>
              <w:jc w:val="center"/>
              <w:rPr>
                <w:sz w:val="18"/>
                <w:szCs w:val="21"/>
              </w:rPr>
            </w:pPr>
            <w:r w:rsidRPr="00295DC8">
              <w:rPr>
                <w:sz w:val="18"/>
                <w:szCs w:val="21"/>
              </w:rPr>
              <w:t>5</w:t>
            </w:r>
          </w:p>
        </w:tc>
      </w:tr>
      <w:tr w:rsidR="00E20B54" w:rsidRPr="00295DC8" w:rsidTr="00295DC8">
        <w:trPr>
          <w:trHeight w:val="227"/>
        </w:trPr>
        <w:tc>
          <w:tcPr>
            <w:tcW w:w="2495" w:type="pct"/>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tcPr>
          <w:p w:rsidR="00E20B54" w:rsidRPr="00295DC8" w:rsidRDefault="00733C9E" w:rsidP="00295DC8">
            <w:pPr>
              <w:pStyle w:val="a3"/>
              <w:widowControl/>
              <w:adjustRightInd w:val="0"/>
              <w:snapToGrid w:val="0"/>
              <w:spacing w:beforeAutospacing="0" w:afterAutospacing="0"/>
              <w:jc w:val="both"/>
              <w:rPr>
                <w:sz w:val="18"/>
                <w:szCs w:val="21"/>
              </w:rPr>
            </w:pPr>
            <w:r w:rsidRPr="00295DC8">
              <w:rPr>
                <w:sz w:val="18"/>
                <w:szCs w:val="21"/>
              </w:rPr>
              <w:t>著作权</w:t>
            </w:r>
          </w:p>
        </w:tc>
        <w:tc>
          <w:tcPr>
            <w:tcW w:w="2505" w:type="pct"/>
            <w:tcBorders>
              <w:top w:val="nil"/>
              <w:left w:val="nil"/>
              <w:bottom w:val="single" w:sz="8" w:space="0" w:color="auto"/>
              <w:right w:val="single" w:sz="8" w:space="0" w:color="auto"/>
            </w:tcBorders>
            <w:shd w:val="clear" w:color="auto" w:fill="auto"/>
            <w:tcMar>
              <w:top w:w="0" w:type="dxa"/>
              <w:left w:w="108" w:type="dxa"/>
              <w:bottom w:w="0" w:type="dxa"/>
              <w:right w:w="108" w:type="dxa"/>
            </w:tcMar>
          </w:tcPr>
          <w:p w:rsidR="00E20B54" w:rsidRPr="00295DC8" w:rsidRDefault="00733C9E" w:rsidP="00295DC8">
            <w:pPr>
              <w:pStyle w:val="a3"/>
              <w:widowControl/>
              <w:adjustRightInd w:val="0"/>
              <w:snapToGrid w:val="0"/>
              <w:spacing w:beforeAutospacing="0" w:afterAutospacing="0"/>
              <w:jc w:val="center"/>
              <w:rPr>
                <w:sz w:val="18"/>
                <w:szCs w:val="21"/>
              </w:rPr>
            </w:pPr>
            <w:r w:rsidRPr="00295DC8">
              <w:rPr>
                <w:sz w:val="18"/>
                <w:szCs w:val="21"/>
              </w:rPr>
              <w:t>5</w:t>
            </w:r>
          </w:p>
        </w:tc>
      </w:tr>
      <w:tr w:rsidR="00E20B54" w:rsidRPr="00295DC8" w:rsidTr="00295DC8">
        <w:trPr>
          <w:trHeight w:val="227"/>
        </w:trPr>
        <w:tc>
          <w:tcPr>
            <w:tcW w:w="2495" w:type="pct"/>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tcPr>
          <w:p w:rsidR="00E20B54" w:rsidRPr="00295DC8" w:rsidRDefault="00733C9E" w:rsidP="00295DC8">
            <w:pPr>
              <w:pStyle w:val="a3"/>
              <w:widowControl/>
              <w:adjustRightInd w:val="0"/>
              <w:snapToGrid w:val="0"/>
              <w:spacing w:beforeAutospacing="0" w:afterAutospacing="0"/>
              <w:jc w:val="both"/>
              <w:rPr>
                <w:sz w:val="18"/>
                <w:szCs w:val="21"/>
              </w:rPr>
            </w:pPr>
            <w:r w:rsidRPr="00295DC8">
              <w:rPr>
                <w:sz w:val="18"/>
                <w:szCs w:val="21"/>
              </w:rPr>
              <w:t>软件</w:t>
            </w:r>
          </w:p>
        </w:tc>
        <w:tc>
          <w:tcPr>
            <w:tcW w:w="2505" w:type="pct"/>
            <w:tcBorders>
              <w:top w:val="nil"/>
              <w:left w:val="nil"/>
              <w:bottom w:val="single" w:sz="8" w:space="0" w:color="auto"/>
              <w:right w:val="single" w:sz="8" w:space="0" w:color="auto"/>
            </w:tcBorders>
            <w:shd w:val="clear" w:color="auto" w:fill="auto"/>
            <w:tcMar>
              <w:top w:w="0" w:type="dxa"/>
              <w:left w:w="108" w:type="dxa"/>
              <w:bottom w:w="0" w:type="dxa"/>
              <w:right w:w="108" w:type="dxa"/>
            </w:tcMar>
          </w:tcPr>
          <w:p w:rsidR="00E20B54" w:rsidRPr="00295DC8" w:rsidRDefault="00733C9E" w:rsidP="00295DC8">
            <w:pPr>
              <w:pStyle w:val="a3"/>
              <w:widowControl/>
              <w:adjustRightInd w:val="0"/>
              <w:snapToGrid w:val="0"/>
              <w:spacing w:beforeAutospacing="0" w:afterAutospacing="0"/>
              <w:jc w:val="center"/>
              <w:rPr>
                <w:sz w:val="18"/>
                <w:szCs w:val="21"/>
              </w:rPr>
            </w:pPr>
            <w:r w:rsidRPr="00295DC8">
              <w:rPr>
                <w:sz w:val="18"/>
                <w:szCs w:val="21"/>
              </w:rPr>
              <w:t>5</w:t>
            </w:r>
          </w:p>
        </w:tc>
      </w:tr>
      <w:tr w:rsidR="00E20B54" w:rsidRPr="00295DC8" w:rsidTr="00295DC8">
        <w:trPr>
          <w:trHeight w:val="227"/>
        </w:trPr>
        <w:tc>
          <w:tcPr>
            <w:tcW w:w="2495" w:type="pct"/>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tcPr>
          <w:p w:rsidR="00E20B54" w:rsidRPr="00295DC8" w:rsidRDefault="00733C9E" w:rsidP="00295DC8">
            <w:pPr>
              <w:pStyle w:val="a3"/>
              <w:widowControl/>
              <w:adjustRightInd w:val="0"/>
              <w:snapToGrid w:val="0"/>
              <w:spacing w:beforeAutospacing="0" w:afterAutospacing="0"/>
              <w:jc w:val="both"/>
              <w:rPr>
                <w:sz w:val="18"/>
                <w:szCs w:val="21"/>
              </w:rPr>
            </w:pPr>
            <w:r w:rsidRPr="00295DC8">
              <w:rPr>
                <w:sz w:val="18"/>
                <w:szCs w:val="21"/>
              </w:rPr>
              <w:t>数据资源</w:t>
            </w:r>
          </w:p>
        </w:tc>
        <w:tc>
          <w:tcPr>
            <w:tcW w:w="2505" w:type="pct"/>
            <w:tcBorders>
              <w:top w:val="nil"/>
              <w:left w:val="nil"/>
              <w:bottom w:val="single" w:sz="8" w:space="0" w:color="auto"/>
              <w:right w:val="single" w:sz="8" w:space="0" w:color="auto"/>
            </w:tcBorders>
            <w:shd w:val="clear" w:color="auto" w:fill="auto"/>
            <w:tcMar>
              <w:top w:w="0" w:type="dxa"/>
              <w:left w:w="108" w:type="dxa"/>
              <w:bottom w:w="0" w:type="dxa"/>
              <w:right w:w="108" w:type="dxa"/>
            </w:tcMar>
          </w:tcPr>
          <w:p w:rsidR="00E20B54" w:rsidRPr="00295DC8" w:rsidRDefault="00733C9E" w:rsidP="00295DC8">
            <w:pPr>
              <w:pStyle w:val="a3"/>
              <w:widowControl/>
              <w:adjustRightInd w:val="0"/>
              <w:snapToGrid w:val="0"/>
              <w:spacing w:beforeAutospacing="0" w:afterAutospacing="0"/>
              <w:jc w:val="center"/>
              <w:rPr>
                <w:sz w:val="18"/>
                <w:szCs w:val="21"/>
              </w:rPr>
            </w:pPr>
            <w:r w:rsidRPr="00295DC8">
              <w:rPr>
                <w:sz w:val="18"/>
                <w:szCs w:val="21"/>
              </w:rPr>
              <w:t>5</w:t>
            </w:r>
          </w:p>
        </w:tc>
      </w:tr>
    </w:tbl>
    <w:p w:rsidR="00E20B54" w:rsidRDefault="00733C9E" w:rsidP="00C57489">
      <w:pPr>
        <w:pStyle w:val="a3"/>
        <w:widowControl/>
        <w:adjustRightInd w:val="0"/>
        <w:snapToGrid w:val="0"/>
        <w:spacing w:beforeLines="50" w:before="156" w:beforeAutospacing="0" w:afterLines="50" w:after="156" w:afterAutospacing="0"/>
        <w:ind w:firstLine="420"/>
        <w:jc w:val="both"/>
        <w:rPr>
          <w:sz w:val="21"/>
          <w:szCs w:val="21"/>
        </w:rPr>
      </w:pPr>
      <w:r>
        <w:rPr>
          <w:sz w:val="21"/>
          <w:szCs w:val="21"/>
        </w:rPr>
        <w:t>使用寿命不确定的无形资产不予摊销。</w:t>
      </w:r>
    </w:p>
    <w:p w:rsidR="00E20B54" w:rsidRDefault="00733C9E" w:rsidP="00C57489">
      <w:pPr>
        <w:pStyle w:val="a3"/>
        <w:widowControl/>
        <w:adjustRightInd w:val="0"/>
        <w:snapToGrid w:val="0"/>
        <w:spacing w:beforeLines="50" w:before="156" w:beforeAutospacing="0" w:afterLines="50" w:after="156" w:afterAutospacing="0"/>
        <w:ind w:firstLine="420"/>
        <w:jc w:val="both"/>
        <w:rPr>
          <w:sz w:val="21"/>
          <w:szCs w:val="21"/>
        </w:rPr>
      </w:pPr>
      <w:r>
        <w:rPr>
          <w:sz w:val="21"/>
          <w:szCs w:val="21"/>
        </w:rPr>
        <w:t>期末，对使用寿命有限的无形资产的使用寿命和摊销方法进行复核，如发生变更则作为会计估计变更处理。此外，还对使用寿命不确定的无形资产的使用寿命进行复核，如果有证据表明该无形资产为企业带来经济利益的期限是可预见的，则估计其使用寿命并按照使用寿命有限的无形资产的摊销政策进行摊销。</w:t>
      </w:r>
    </w:p>
    <w:p w:rsidR="00E20B54" w:rsidRDefault="00733C9E" w:rsidP="00C57489">
      <w:pPr>
        <w:keepNext/>
        <w:keepLines/>
        <w:adjustRightInd w:val="0"/>
        <w:snapToGrid w:val="0"/>
        <w:spacing w:beforeLines="50" w:before="156" w:afterLines="50" w:after="156"/>
        <w:outlineLvl w:val="3"/>
        <w:rPr>
          <w:b/>
          <w:bCs/>
          <w:szCs w:val="21"/>
        </w:rPr>
      </w:pPr>
      <w:bookmarkStart w:id="195" w:name="_Toc989083"/>
      <w:r>
        <w:rPr>
          <w:b/>
          <w:bCs/>
          <w:szCs w:val="21"/>
        </w:rPr>
        <w:t>（</w:t>
      </w:r>
      <w:r>
        <w:rPr>
          <w:b/>
          <w:bCs/>
          <w:szCs w:val="21"/>
        </w:rPr>
        <w:t>2</w:t>
      </w:r>
      <w:r>
        <w:rPr>
          <w:b/>
          <w:bCs/>
          <w:szCs w:val="21"/>
        </w:rPr>
        <w:t>）</w:t>
      </w:r>
      <w:r>
        <w:rPr>
          <w:b/>
          <w:bCs/>
          <w:szCs w:val="21"/>
        </w:rPr>
        <w:t xml:space="preserve"> </w:t>
      </w:r>
      <w:r>
        <w:rPr>
          <w:b/>
          <w:bCs/>
          <w:szCs w:val="21"/>
        </w:rPr>
        <w:t>研发支出的归集范围及相关会计处理方法</w:t>
      </w:r>
      <w:bookmarkEnd w:id="195"/>
    </w:p>
    <w:p w:rsidR="00E20B54" w:rsidRDefault="00733C9E" w:rsidP="00C57489">
      <w:pPr>
        <w:pStyle w:val="a3"/>
        <w:widowControl/>
        <w:adjustRightInd w:val="0"/>
        <w:snapToGrid w:val="0"/>
        <w:spacing w:beforeLines="50" w:before="156" w:beforeAutospacing="0" w:afterLines="50" w:after="156" w:afterAutospacing="0"/>
        <w:ind w:firstLine="420"/>
        <w:jc w:val="both"/>
        <w:rPr>
          <w:sz w:val="21"/>
          <w:szCs w:val="21"/>
        </w:rPr>
      </w:pPr>
      <w:r>
        <w:rPr>
          <w:sz w:val="21"/>
          <w:szCs w:val="21"/>
        </w:rPr>
        <w:t>本公司内部研究开发项目的支出分为研究阶段支出与开发阶段支出。</w:t>
      </w:r>
    </w:p>
    <w:p w:rsidR="00E20B54" w:rsidRDefault="00733C9E" w:rsidP="00C57489">
      <w:pPr>
        <w:pStyle w:val="a3"/>
        <w:widowControl/>
        <w:adjustRightInd w:val="0"/>
        <w:snapToGrid w:val="0"/>
        <w:spacing w:beforeLines="50" w:before="156" w:beforeAutospacing="0" w:afterLines="50" w:after="156" w:afterAutospacing="0"/>
        <w:ind w:firstLine="420"/>
        <w:jc w:val="both"/>
        <w:rPr>
          <w:sz w:val="21"/>
          <w:szCs w:val="21"/>
        </w:rPr>
      </w:pPr>
      <w:r>
        <w:rPr>
          <w:sz w:val="21"/>
          <w:szCs w:val="21"/>
        </w:rPr>
        <w:t>研究阶段的支出，于发生时计入当期损益。</w:t>
      </w:r>
    </w:p>
    <w:p w:rsidR="00E20B54" w:rsidRDefault="00733C9E" w:rsidP="00C57489">
      <w:pPr>
        <w:pStyle w:val="a3"/>
        <w:widowControl/>
        <w:adjustRightInd w:val="0"/>
        <w:snapToGrid w:val="0"/>
        <w:spacing w:beforeLines="50" w:before="156" w:beforeAutospacing="0" w:afterLines="50" w:after="156" w:afterAutospacing="0"/>
        <w:ind w:firstLine="420"/>
        <w:jc w:val="both"/>
        <w:rPr>
          <w:sz w:val="21"/>
          <w:szCs w:val="21"/>
        </w:rPr>
      </w:pPr>
      <w:r>
        <w:rPr>
          <w:sz w:val="21"/>
          <w:szCs w:val="21"/>
        </w:rPr>
        <w:t>开发阶段的支出同时满足下列条件的，确认为无形资产，不能满足下述条件的开发阶段的支出计入当期损益：</w:t>
      </w:r>
      <w:r>
        <w:rPr>
          <w:sz w:val="21"/>
          <w:szCs w:val="21"/>
        </w:rPr>
        <w:t>①</w:t>
      </w:r>
      <w:r>
        <w:rPr>
          <w:sz w:val="21"/>
          <w:szCs w:val="21"/>
        </w:rPr>
        <w:t>完成该无形资产以使其能够使用或出售在技术上具有可行性；</w:t>
      </w:r>
      <w:r>
        <w:rPr>
          <w:sz w:val="21"/>
          <w:szCs w:val="21"/>
        </w:rPr>
        <w:t>②</w:t>
      </w:r>
      <w:r>
        <w:rPr>
          <w:sz w:val="21"/>
          <w:szCs w:val="21"/>
        </w:rPr>
        <w:t>具有完成该无形资产并使用或出售的意图；</w:t>
      </w:r>
      <w:r>
        <w:rPr>
          <w:sz w:val="21"/>
          <w:szCs w:val="21"/>
        </w:rPr>
        <w:t>③</w:t>
      </w:r>
      <w:r>
        <w:rPr>
          <w:sz w:val="21"/>
          <w:szCs w:val="21"/>
        </w:rPr>
        <w:t>无形资产产生经济利益的方式，包括能够证明运用该无形资产生产的产品存在市场或无形资产自身存在市场，无形资产将在内部使用的，能够证明其有用性；</w:t>
      </w:r>
      <w:r>
        <w:rPr>
          <w:sz w:val="21"/>
          <w:szCs w:val="21"/>
        </w:rPr>
        <w:t>④</w:t>
      </w:r>
      <w:r>
        <w:rPr>
          <w:sz w:val="21"/>
          <w:szCs w:val="21"/>
        </w:rPr>
        <w:t>有足够的技术、财务资源和其他资源支持，以完成该无形资产的开发，并有能力使用或出售该无形资产；</w:t>
      </w:r>
      <w:r>
        <w:rPr>
          <w:sz w:val="21"/>
          <w:szCs w:val="21"/>
        </w:rPr>
        <w:t>⑤</w:t>
      </w:r>
      <w:r>
        <w:rPr>
          <w:sz w:val="21"/>
          <w:szCs w:val="21"/>
        </w:rPr>
        <w:t>归属于该无形资产开发阶段的支出能够可靠地计量。</w:t>
      </w:r>
    </w:p>
    <w:p w:rsidR="00E20B54" w:rsidRDefault="00733C9E" w:rsidP="00C57489">
      <w:pPr>
        <w:pStyle w:val="a3"/>
        <w:widowControl/>
        <w:adjustRightInd w:val="0"/>
        <w:snapToGrid w:val="0"/>
        <w:spacing w:beforeLines="50" w:before="156" w:beforeAutospacing="0" w:afterLines="50" w:after="156" w:afterAutospacing="0"/>
        <w:ind w:firstLine="420"/>
        <w:jc w:val="both"/>
        <w:rPr>
          <w:sz w:val="21"/>
          <w:szCs w:val="21"/>
        </w:rPr>
      </w:pPr>
      <w:r>
        <w:rPr>
          <w:sz w:val="21"/>
          <w:szCs w:val="21"/>
        </w:rPr>
        <w:t>无法区分研究阶段支出和开发阶段支出的，将发生的研发支出全部计入当期损益。</w:t>
      </w:r>
    </w:p>
    <w:p w:rsidR="00E20B54" w:rsidRDefault="00733C9E" w:rsidP="00C57489">
      <w:pPr>
        <w:pStyle w:val="3"/>
        <w:adjustRightInd w:val="0"/>
        <w:snapToGrid w:val="0"/>
        <w:spacing w:beforeLines="50" w:before="156" w:afterLines="50" w:after="156" w:line="240" w:lineRule="auto"/>
        <w:jc w:val="left"/>
        <w:rPr>
          <w:b/>
          <w:bCs/>
        </w:rPr>
      </w:pPr>
      <w:bookmarkStart w:id="196" w:name="_Toc989084"/>
      <w:r>
        <w:rPr>
          <w:b/>
          <w:bCs/>
        </w:rPr>
        <w:lastRenderedPageBreak/>
        <w:t>28</w:t>
      </w:r>
      <w:r>
        <w:rPr>
          <w:b/>
          <w:bCs/>
        </w:rPr>
        <w:t>、长期资产减值</w:t>
      </w:r>
      <w:bookmarkEnd w:id="196"/>
    </w:p>
    <w:p w:rsidR="00E20B54" w:rsidRDefault="00733C9E" w:rsidP="00C57489">
      <w:pPr>
        <w:pStyle w:val="a3"/>
        <w:widowControl/>
        <w:adjustRightInd w:val="0"/>
        <w:snapToGrid w:val="0"/>
        <w:spacing w:beforeLines="50" w:before="156" w:beforeAutospacing="0" w:afterLines="50" w:after="156" w:afterAutospacing="0"/>
        <w:ind w:firstLine="420"/>
        <w:jc w:val="both"/>
        <w:rPr>
          <w:sz w:val="21"/>
          <w:szCs w:val="21"/>
        </w:rPr>
      </w:pPr>
      <w:r>
        <w:rPr>
          <w:sz w:val="21"/>
          <w:szCs w:val="21"/>
        </w:rPr>
        <w:t>对于固定资产、在建工程、使用寿命有限的无形资产及对子公司、合营企业、联营企业的长期股权投资等非流动非金融资产，本公司于资产负债表日判断是否存在减值迹象。如存在减值迹象的，则估计其可收回金额，进行减值测试。商誉、使用寿命不确定的无形资产和尚未达到可使用状态的无形资产，无论是否存在减值迹象，每年均进行减值测试。</w:t>
      </w:r>
    </w:p>
    <w:p w:rsidR="00E20B54" w:rsidRDefault="00733C9E" w:rsidP="00C57489">
      <w:pPr>
        <w:pStyle w:val="a3"/>
        <w:widowControl/>
        <w:adjustRightInd w:val="0"/>
        <w:snapToGrid w:val="0"/>
        <w:spacing w:beforeLines="50" w:before="156" w:beforeAutospacing="0" w:afterLines="50" w:after="156" w:afterAutospacing="0"/>
        <w:ind w:firstLine="420"/>
        <w:jc w:val="both"/>
        <w:rPr>
          <w:sz w:val="21"/>
          <w:szCs w:val="21"/>
        </w:rPr>
      </w:pPr>
      <w:r>
        <w:rPr>
          <w:sz w:val="21"/>
          <w:szCs w:val="21"/>
        </w:rPr>
        <w:t>减值测试结果表明资产的可收回金额低于其账面价值的，按其差额计提减值准备并计入减值损失。可收回金额为资产的公允价值减去处置费用后的净额与资产预计未来现金流量的现值两者之间的较高者。资产的公允价值根据公平交易中销售协议价格确定；不存在销售协议但存在资产活跃市场的，公允价值按照该资产的买方出价确定；不存在销售协议和资产活跃市场的，则以可获取的最佳信息为基础估计资产的公允价值。处置费用包括与资产处置有关的法律费用、相关税费、搬运费以及为使资产达到可销售状态所发生的直接费用。资产预计未来现金流量的现值，按照资产在持续使用过程中和最终处置时所产生的预计未来现金流量，选择恰当的折现率对其进行折现后的金额加以确定。资产减值准备按单项资产为基础计算并确认，如果难以对单项资产的可收回金额进行估计的，以该资产所属的资产组确定资产组的可收回金额。资产组是能够独立产生现金流入的最小资产组合。</w:t>
      </w:r>
    </w:p>
    <w:p w:rsidR="00E20B54" w:rsidRDefault="00733C9E" w:rsidP="00C57489">
      <w:pPr>
        <w:pStyle w:val="a3"/>
        <w:widowControl/>
        <w:adjustRightInd w:val="0"/>
        <w:snapToGrid w:val="0"/>
        <w:spacing w:beforeLines="50" w:before="156" w:beforeAutospacing="0" w:afterLines="50" w:after="156" w:afterAutospacing="0"/>
        <w:ind w:firstLine="420"/>
        <w:jc w:val="both"/>
        <w:rPr>
          <w:sz w:val="21"/>
          <w:szCs w:val="21"/>
        </w:rPr>
      </w:pPr>
      <w:r>
        <w:rPr>
          <w:sz w:val="21"/>
          <w:szCs w:val="21"/>
        </w:rPr>
        <w:t>在财务报表中单独列示的商誉，在进行减值测试时，将商誉的账面价值分摊至预期从企业合并的协同效应中受益的资产组或资产组组合。测试结果表明包含分摊的商誉的资产组或资产组组合的可收回金额低于其账面价值的，确认相应的减值损失。减值损失金额先抵减分摊至该资产组或资产组组合的商誉的账面价值，再根据资产组或资产组组合中除商誉以外的其他各项资产的账面价值所占比重，按比例抵减其他各项资产的账面价值。</w:t>
      </w:r>
    </w:p>
    <w:p w:rsidR="00E20B54" w:rsidRDefault="00733C9E" w:rsidP="00C57489">
      <w:pPr>
        <w:pStyle w:val="a3"/>
        <w:widowControl/>
        <w:adjustRightInd w:val="0"/>
        <w:snapToGrid w:val="0"/>
        <w:spacing w:beforeLines="50" w:before="156" w:beforeAutospacing="0" w:afterLines="50" w:after="156" w:afterAutospacing="0"/>
        <w:ind w:firstLine="420"/>
        <w:jc w:val="both"/>
        <w:rPr>
          <w:sz w:val="21"/>
          <w:szCs w:val="21"/>
        </w:rPr>
      </w:pPr>
      <w:r>
        <w:rPr>
          <w:sz w:val="21"/>
          <w:szCs w:val="21"/>
        </w:rPr>
        <w:t>上述资产减值损失一经确认，以后期间不予转回价值得以恢复的部分。</w:t>
      </w:r>
    </w:p>
    <w:p w:rsidR="00E20B54" w:rsidRDefault="00733C9E" w:rsidP="00C57489">
      <w:pPr>
        <w:pStyle w:val="3"/>
        <w:adjustRightInd w:val="0"/>
        <w:snapToGrid w:val="0"/>
        <w:spacing w:beforeLines="50" w:before="156" w:afterLines="50" w:after="156" w:line="240" w:lineRule="auto"/>
        <w:jc w:val="left"/>
        <w:rPr>
          <w:b/>
          <w:bCs/>
        </w:rPr>
      </w:pPr>
      <w:bookmarkStart w:id="197" w:name="_Toc989085"/>
      <w:r>
        <w:rPr>
          <w:b/>
          <w:bCs/>
        </w:rPr>
        <w:t>29</w:t>
      </w:r>
      <w:r>
        <w:rPr>
          <w:b/>
          <w:bCs/>
        </w:rPr>
        <w:t>、长期待摊费用</w:t>
      </w:r>
      <w:bookmarkEnd w:id="197"/>
    </w:p>
    <w:p w:rsidR="00E20B54" w:rsidRDefault="00733C9E" w:rsidP="00C57489">
      <w:pPr>
        <w:pStyle w:val="a3"/>
        <w:widowControl/>
        <w:adjustRightInd w:val="0"/>
        <w:snapToGrid w:val="0"/>
        <w:spacing w:beforeLines="50" w:before="156" w:beforeAutospacing="0" w:afterLines="50" w:after="156" w:afterAutospacing="0"/>
        <w:ind w:firstLine="420"/>
        <w:jc w:val="both"/>
        <w:rPr>
          <w:sz w:val="21"/>
          <w:szCs w:val="21"/>
        </w:rPr>
      </w:pPr>
      <w:r>
        <w:rPr>
          <w:sz w:val="21"/>
          <w:szCs w:val="21"/>
        </w:rPr>
        <w:t>长期待摊费用为已经发生但应由报告期和以后各期负担的分摊期限在一年以上的各项费用。本公司的长期待摊费用主要包括办公室装修费用、项目配电室供电线路改造等。</w:t>
      </w:r>
    </w:p>
    <w:p w:rsidR="00E20B54" w:rsidRDefault="00733C9E" w:rsidP="00C57489">
      <w:pPr>
        <w:pStyle w:val="a3"/>
        <w:widowControl/>
        <w:adjustRightInd w:val="0"/>
        <w:snapToGrid w:val="0"/>
        <w:spacing w:beforeLines="50" w:before="156" w:beforeAutospacing="0" w:afterLines="50" w:after="156" w:afterAutospacing="0"/>
        <w:ind w:firstLine="420"/>
        <w:jc w:val="both"/>
        <w:rPr>
          <w:sz w:val="21"/>
          <w:szCs w:val="21"/>
        </w:rPr>
      </w:pPr>
      <w:r>
        <w:rPr>
          <w:sz w:val="21"/>
          <w:szCs w:val="21"/>
        </w:rPr>
        <w:t>长期待摊费用在预计受益期间按直线法摊销，各项费用摊销的年限如下：</w:t>
      </w:r>
    </w:p>
    <w:tbl>
      <w:tblPr>
        <w:tblW w:w="5000" w:type="pct"/>
        <w:tblBorders>
          <w:top w:val="none" w:sz="6" w:space="0" w:color="auto"/>
          <w:left w:val="none" w:sz="6" w:space="0" w:color="auto"/>
          <w:bottom w:val="none" w:sz="6" w:space="0" w:color="auto"/>
          <w:right w:val="none" w:sz="6" w:space="0" w:color="auto"/>
          <w:insideH w:val="outset" w:sz="6" w:space="0" w:color="auto"/>
          <w:insideV w:val="outset" w:sz="6" w:space="0" w:color="auto"/>
        </w:tblBorders>
        <w:tblCellMar>
          <w:top w:w="15" w:type="dxa"/>
          <w:left w:w="15" w:type="dxa"/>
          <w:bottom w:w="15" w:type="dxa"/>
          <w:right w:w="15" w:type="dxa"/>
        </w:tblCellMar>
        <w:tblLook w:val="04A0" w:firstRow="1" w:lastRow="0" w:firstColumn="1" w:lastColumn="0" w:noHBand="0" w:noVBand="1"/>
      </w:tblPr>
      <w:tblGrid>
        <w:gridCol w:w="4915"/>
        <w:gridCol w:w="4938"/>
      </w:tblGrid>
      <w:tr w:rsidR="00E20B54" w:rsidRPr="00133997" w:rsidTr="00133997">
        <w:trPr>
          <w:trHeight w:val="227"/>
        </w:trPr>
        <w:tc>
          <w:tcPr>
            <w:tcW w:w="2494" w:type="pct"/>
            <w:tcBorders>
              <w:top w:val="single" w:sz="8" w:space="0" w:color="auto"/>
              <w:left w:val="single" w:sz="8" w:space="0" w:color="auto"/>
              <w:bottom w:val="single" w:sz="8" w:space="0" w:color="auto"/>
              <w:right w:val="single" w:sz="8" w:space="0" w:color="auto"/>
            </w:tcBorders>
            <w:shd w:val="clear" w:color="auto" w:fill="D9D9D9" w:themeFill="background1" w:themeFillShade="D9"/>
            <w:tcMar>
              <w:top w:w="0" w:type="dxa"/>
              <w:left w:w="108" w:type="dxa"/>
              <w:bottom w:w="0" w:type="dxa"/>
              <w:right w:w="108" w:type="dxa"/>
            </w:tcMar>
            <w:vAlign w:val="center"/>
          </w:tcPr>
          <w:p w:rsidR="00E20B54" w:rsidRPr="00133997" w:rsidRDefault="00733C9E" w:rsidP="00133997">
            <w:pPr>
              <w:pStyle w:val="a3"/>
              <w:widowControl/>
              <w:adjustRightInd w:val="0"/>
              <w:snapToGrid w:val="0"/>
              <w:spacing w:beforeAutospacing="0" w:afterAutospacing="0"/>
              <w:jc w:val="center"/>
              <w:rPr>
                <w:sz w:val="18"/>
                <w:szCs w:val="21"/>
              </w:rPr>
            </w:pPr>
            <w:r w:rsidRPr="00133997">
              <w:rPr>
                <w:rStyle w:val="a4"/>
                <w:sz w:val="18"/>
                <w:szCs w:val="21"/>
              </w:rPr>
              <w:t>项目</w:t>
            </w:r>
          </w:p>
        </w:tc>
        <w:tc>
          <w:tcPr>
            <w:tcW w:w="2505" w:type="pct"/>
            <w:tcBorders>
              <w:top w:val="single" w:sz="8" w:space="0" w:color="auto"/>
              <w:left w:val="nil"/>
              <w:bottom w:val="single" w:sz="8" w:space="0" w:color="auto"/>
              <w:right w:val="single" w:sz="8" w:space="0" w:color="auto"/>
            </w:tcBorders>
            <w:shd w:val="clear" w:color="auto" w:fill="D9D9D9" w:themeFill="background1" w:themeFillShade="D9"/>
            <w:tcMar>
              <w:top w:w="0" w:type="dxa"/>
              <w:left w:w="108" w:type="dxa"/>
              <w:bottom w:w="0" w:type="dxa"/>
              <w:right w:w="108" w:type="dxa"/>
            </w:tcMar>
            <w:vAlign w:val="center"/>
          </w:tcPr>
          <w:p w:rsidR="00E20B54" w:rsidRPr="00133997" w:rsidRDefault="00733C9E" w:rsidP="00133997">
            <w:pPr>
              <w:pStyle w:val="a3"/>
              <w:widowControl/>
              <w:adjustRightInd w:val="0"/>
              <w:snapToGrid w:val="0"/>
              <w:spacing w:beforeAutospacing="0" w:afterAutospacing="0"/>
              <w:jc w:val="center"/>
              <w:rPr>
                <w:sz w:val="18"/>
                <w:szCs w:val="21"/>
              </w:rPr>
            </w:pPr>
            <w:r w:rsidRPr="00133997">
              <w:rPr>
                <w:rStyle w:val="a4"/>
                <w:sz w:val="18"/>
                <w:szCs w:val="21"/>
              </w:rPr>
              <w:t>摊销年限</w:t>
            </w:r>
            <w:r w:rsidRPr="00133997">
              <w:rPr>
                <w:rStyle w:val="a4"/>
                <w:sz w:val="18"/>
                <w:szCs w:val="21"/>
              </w:rPr>
              <w:t>(</w:t>
            </w:r>
            <w:r w:rsidRPr="00133997">
              <w:rPr>
                <w:rStyle w:val="a4"/>
                <w:sz w:val="18"/>
                <w:szCs w:val="21"/>
              </w:rPr>
              <w:t>年</w:t>
            </w:r>
            <w:r w:rsidRPr="00133997">
              <w:rPr>
                <w:rStyle w:val="a4"/>
                <w:sz w:val="18"/>
                <w:szCs w:val="21"/>
              </w:rPr>
              <w:t>)</w:t>
            </w:r>
          </w:p>
        </w:tc>
      </w:tr>
      <w:tr w:rsidR="00E20B54" w:rsidRPr="00133997" w:rsidTr="00133997">
        <w:trPr>
          <w:trHeight w:val="227"/>
        </w:trPr>
        <w:tc>
          <w:tcPr>
            <w:tcW w:w="2494" w:type="pct"/>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tcPr>
          <w:p w:rsidR="00E20B54" w:rsidRPr="00133997" w:rsidRDefault="00733C9E" w:rsidP="00133997">
            <w:pPr>
              <w:pStyle w:val="a3"/>
              <w:widowControl/>
              <w:adjustRightInd w:val="0"/>
              <w:snapToGrid w:val="0"/>
              <w:spacing w:beforeAutospacing="0" w:afterAutospacing="0"/>
              <w:rPr>
                <w:sz w:val="18"/>
                <w:szCs w:val="21"/>
              </w:rPr>
            </w:pPr>
            <w:r w:rsidRPr="00133997">
              <w:rPr>
                <w:sz w:val="18"/>
                <w:szCs w:val="21"/>
              </w:rPr>
              <w:t>装修费用</w:t>
            </w:r>
          </w:p>
        </w:tc>
        <w:tc>
          <w:tcPr>
            <w:tcW w:w="2505" w:type="pct"/>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E20B54" w:rsidRPr="00133997" w:rsidRDefault="00733C9E" w:rsidP="00133997">
            <w:pPr>
              <w:pStyle w:val="a3"/>
              <w:widowControl/>
              <w:adjustRightInd w:val="0"/>
              <w:snapToGrid w:val="0"/>
              <w:spacing w:beforeAutospacing="0" w:afterAutospacing="0"/>
              <w:jc w:val="center"/>
              <w:rPr>
                <w:sz w:val="18"/>
                <w:szCs w:val="21"/>
              </w:rPr>
            </w:pPr>
            <w:r w:rsidRPr="00133997">
              <w:rPr>
                <w:sz w:val="18"/>
                <w:szCs w:val="21"/>
              </w:rPr>
              <w:t>5</w:t>
            </w:r>
          </w:p>
        </w:tc>
      </w:tr>
      <w:tr w:rsidR="00E20B54" w:rsidRPr="00133997" w:rsidTr="00133997">
        <w:trPr>
          <w:trHeight w:val="227"/>
        </w:trPr>
        <w:tc>
          <w:tcPr>
            <w:tcW w:w="2494" w:type="pct"/>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tcPr>
          <w:p w:rsidR="00E20B54" w:rsidRPr="00133997" w:rsidRDefault="00733C9E" w:rsidP="00133997">
            <w:pPr>
              <w:pStyle w:val="a3"/>
              <w:widowControl/>
              <w:adjustRightInd w:val="0"/>
              <w:snapToGrid w:val="0"/>
              <w:spacing w:beforeAutospacing="0" w:afterAutospacing="0"/>
              <w:rPr>
                <w:sz w:val="18"/>
                <w:szCs w:val="21"/>
              </w:rPr>
            </w:pPr>
            <w:r w:rsidRPr="00133997">
              <w:rPr>
                <w:sz w:val="18"/>
                <w:szCs w:val="21"/>
              </w:rPr>
              <w:t>软件实施费</w:t>
            </w:r>
          </w:p>
        </w:tc>
        <w:tc>
          <w:tcPr>
            <w:tcW w:w="2505" w:type="pct"/>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E20B54" w:rsidRPr="00133997" w:rsidRDefault="00733C9E" w:rsidP="00133997">
            <w:pPr>
              <w:pStyle w:val="a3"/>
              <w:widowControl/>
              <w:adjustRightInd w:val="0"/>
              <w:snapToGrid w:val="0"/>
              <w:spacing w:beforeAutospacing="0" w:afterAutospacing="0"/>
              <w:jc w:val="center"/>
              <w:rPr>
                <w:sz w:val="18"/>
                <w:szCs w:val="21"/>
              </w:rPr>
            </w:pPr>
            <w:r w:rsidRPr="00133997">
              <w:rPr>
                <w:sz w:val="18"/>
                <w:szCs w:val="21"/>
              </w:rPr>
              <w:t>5</w:t>
            </w:r>
          </w:p>
        </w:tc>
      </w:tr>
      <w:tr w:rsidR="00E20B54" w:rsidRPr="00133997" w:rsidTr="00133997">
        <w:trPr>
          <w:trHeight w:val="227"/>
        </w:trPr>
        <w:tc>
          <w:tcPr>
            <w:tcW w:w="2494" w:type="pct"/>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tcPr>
          <w:p w:rsidR="00E20B54" w:rsidRPr="00133997" w:rsidRDefault="00733C9E" w:rsidP="00133997">
            <w:pPr>
              <w:pStyle w:val="a3"/>
              <w:widowControl/>
              <w:adjustRightInd w:val="0"/>
              <w:snapToGrid w:val="0"/>
              <w:spacing w:beforeAutospacing="0" w:afterAutospacing="0"/>
              <w:rPr>
                <w:sz w:val="18"/>
                <w:szCs w:val="21"/>
              </w:rPr>
            </w:pPr>
            <w:r w:rsidRPr="00133997">
              <w:rPr>
                <w:sz w:val="18"/>
                <w:szCs w:val="21"/>
              </w:rPr>
              <w:t>配电室供电线路改造</w:t>
            </w:r>
          </w:p>
        </w:tc>
        <w:tc>
          <w:tcPr>
            <w:tcW w:w="2505" w:type="pct"/>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E20B54" w:rsidRPr="00133997" w:rsidRDefault="00733C9E" w:rsidP="00133997">
            <w:pPr>
              <w:pStyle w:val="a3"/>
              <w:widowControl/>
              <w:adjustRightInd w:val="0"/>
              <w:snapToGrid w:val="0"/>
              <w:spacing w:beforeAutospacing="0" w:afterAutospacing="0"/>
              <w:jc w:val="center"/>
              <w:rPr>
                <w:sz w:val="18"/>
                <w:szCs w:val="21"/>
              </w:rPr>
            </w:pPr>
            <w:r w:rsidRPr="00133997">
              <w:rPr>
                <w:sz w:val="18"/>
                <w:szCs w:val="21"/>
              </w:rPr>
              <w:t>10</w:t>
            </w:r>
          </w:p>
        </w:tc>
      </w:tr>
    </w:tbl>
    <w:p w:rsidR="00E20B54" w:rsidRDefault="00733C9E" w:rsidP="00C57489">
      <w:pPr>
        <w:pStyle w:val="3"/>
        <w:adjustRightInd w:val="0"/>
        <w:snapToGrid w:val="0"/>
        <w:spacing w:beforeLines="50" w:before="156" w:afterLines="50" w:after="156" w:line="240" w:lineRule="auto"/>
        <w:jc w:val="left"/>
        <w:rPr>
          <w:b/>
          <w:bCs/>
        </w:rPr>
      </w:pPr>
      <w:bookmarkStart w:id="198" w:name="_Toc989086"/>
      <w:r>
        <w:rPr>
          <w:b/>
          <w:bCs/>
        </w:rPr>
        <w:t>30</w:t>
      </w:r>
      <w:r>
        <w:rPr>
          <w:b/>
          <w:bCs/>
        </w:rPr>
        <w:t>、合同负债</w:t>
      </w:r>
      <w:bookmarkEnd w:id="198"/>
    </w:p>
    <w:p w:rsidR="00E20B54" w:rsidRDefault="00733C9E" w:rsidP="00C57489">
      <w:pPr>
        <w:pStyle w:val="a3"/>
        <w:widowControl/>
        <w:adjustRightInd w:val="0"/>
        <w:snapToGrid w:val="0"/>
        <w:spacing w:beforeLines="50" w:before="156" w:beforeAutospacing="0" w:afterLines="50" w:after="156" w:afterAutospacing="0"/>
        <w:ind w:firstLine="420"/>
        <w:jc w:val="both"/>
        <w:rPr>
          <w:sz w:val="21"/>
          <w:szCs w:val="21"/>
        </w:rPr>
      </w:pPr>
      <w:r>
        <w:rPr>
          <w:sz w:val="21"/>
          <w:szCs w:val="21"/>
        </w:rPr>
        <w:t>合同负债，是指本公司已收或应收客户对价而应向客户转让商品的义务。如果在本公司向客户转让商品之前，客户已经支付了合同对价或本公司已经取得了无条件收款权，本公司在客户实际支付款项和到期应支付款项孰早时点，将该已收或应收款项列示为合同负债。同一合同下的合同资产和合同负债以净额列示，不同合同下的合同资产和合同负债不予抵销。</w:t>
      </w:r>
    </w:p>
    <w:p w:rsidR="00E20B54" w:rsidRDefault="00733C9E" w:rsidP="00C57489">
      <w:pPr>
        <w:pStyle w:val="3"/>
        <w:adjustRightInd w:val="0"/>
        <w:snapToGrid w:val="0"/>
        <w:spacing w:beforeLines="50" w:before="156" w:afterLines="50" w:after="156" w:line="240" w:lineRule="auto"/>
        <w:jc w:val="left"/>
        <w:rPr>
          <w:b/>
          <w:bCs/>
        </w:rPr>
      </w:pPr>
      <w:bookmarkStart w:id="199" w:name="_Toc989087"/>
      <w:r>
        <w:rPr>
          <w:b/>
          <w:bCs/>
        </w:rPr>
        <w:t>31</w:t>
      </w:r>
      <w:r>
        <w:rPr>
          <w:b/>
          <w:bCs/>
        </w:rPr>
        <w:t>、职工薪酬</w:t>
      </w:r>
      <w:bookmarkEnd w:id="199"/>
    </w:p>
    <w:p w:rsidR="00E20B54" w:rsidRDefault="00733C9E" w:rsidP="00C57489">
      <w:pPr>
        <w:keepNext/>
        <w:keepLines/>
        <w:adjustRightInd w:val="0"/>
        <w:snapToGrid w:val="0"/>
        <w:spacing w:beforeLines="50" w:before="156" w:afterLines="50" w:after="156"/>
        <w:outlineLvl w:val="3"/>
        <w:rPr>
          <w:b/>
          <w:bCs/>
          <w:szCs w:val="21"/>
        </w:rPr>
      </w:pPr>
      <w:bookmarkStart w:id="200" w:name="_Toc989088"/>
      <w:r>
        <w:rPr>
          <w:b/>
          <w:bCs/>
          <w:szCs w:val="21"/>
        </w:rPr>
        <w:t>（</w:t>
      </w:r>
      <w:r>
        <w:rPr>
          <w:b/>
          <w:bCs/>
          <w:szCs w:val="21"/>
        </w:rPr>
        <w:t>1</w:t>
      </w:r>
      <w:r>
        <w:rPr>
          <w:b/>
          <w:bCs/>
          <w:szCs w:val="21"/>
        </w:rPr>
        <w:t>）</w:t>
      </w:r>
      <w:r>
        <w:rPr>
          <w:b/>
          <w:bCs/>
          <w:szCs w:val="21"/>
        </w:rPr>
        <w:t xml:space="preserve"> </w:t>
      </w:r>
      <w:r>
        <w:rPr>
          <w:b/>
          <w:bCs/>
          <w:szCs w:val="21"/>
        </w:rPr>
        <w:t>短期薪酬的会计处理方法</w:t>
      </w:r>
      <w:bookmarkEnd w:id="200"/>
    </w:p>
    <w:p w:rsidR="00E20B54" w:rsidRDefault="00733C9E" w:rsidP="00C57489">
      <w:pPr>
        <w:pStyle w:val="a3"/>
        <w:widowControl/>
        <w:adjustRightInd w:val="0"/>
        <w:snapToGrid w:val="0"/>
        <w:spacing w:beforeLines="50" w:before="156" w:beforeAutospacing="0" w:afterLines="50" w:after="156" w:afterAutospacing="0"/>
        <w:ind w:firstLine="420"/>
        <w:jc w:val="both"/>
        <w:rPr>
          <w:sz w:val="21"/>
          <w:szCs w:val="21"/>
        </w:rPr>
      </w:pPr>
      <w:r>
        <w:rPr>
          <w:sz w:val="21"/>
          <w:szCs w:val="21"/>
        </w:rPr>
        <w:t>短期薪酬主要包括工资、奖金、津贴和补贴、职工福利费、医疗保险费、生育保险费、工伤保险费、住房公积金、工会经费和职工教育经费、非货币性福利等。本公司在职工为本公司提供服务的会计期间将实际发生的短期职工薪酬确认为负债，并计入当期损益或相关资产成本。其中非货币性福利按公允价值计量。</w:t>
      </w:r>
    </w:p>
    <w:p w:rsidR="00E20B54" w:rsidRDefault="00733C9E" w:rsidP="00C57489">
      <w:pPr>
        <w:keepNext/>
        <w:keepLines/>
        <w:adjustRightInd w:val="0"/>
        <w:snapToGrid w:val="0"/>
        <w:spacing w:beforeLines="50" w:before="156" w:afterLines="50" w:after="156"/>
        <w:outlineLvl w:val="3"/>
        <w:rPr>
          <w:b/>
          <w:bCs/>
          <w:szCs w:val="21"/>
        </w:rPr>
      </w:pPr>
      <w:bookmarkStart w:id="201" w:name="_Toc989089"/>
      <w:r>
        <w:rPr>
          <w:b/>
          <w:bCs/>
          <w:szCs w:val="21"/>
        </w:rPr>
        <w:t>（</w:t>
      </w:r>
      <w:r>
        <w:rPr>
          <w:b/>
          <w:bCs/>
          <w:szCs w:val="21"/>
        </w:rPr>
        <w:t>2</w:t>
      </w:r>
      <w:r>
        <w:rPr>
          <w:b/>
          <w:bCs/>
          <w:szCs w:val="21"/>
        </w:rPr>
        <w:t>）</w:t>
      </w:r>
      <w:r>
        <w:rPr>
          <w:b/>
          <w:bCs/>
          <w:szCs w:val="21"/>
        </w:rPr>
        <w:t xml:space="preserve"> </w:t>
      </w:r>
      <w:r>
        <w:rPr>
          <w:b/>
          <w:bCs/>
          <w:szCs w:val="21"/>
        </w:rPr>
        <w:t>离职后福利的会计处理方法</w:t>
      </w:r>
      <w:bookmarkEnd w:id="201"/>
    </w:p>
    <w:p w:rsidR="00E20B54" w:rsidRDefault="00733C9E" w:rsidP="00C57489">
      <w:pPr>
        <w:pStyle w:val="a3"/>
        <w:widowControl/>
        <w:adjustRightInd w:val="0"/>
        <w:snapToGrid w:val="0"/>
        <w:spacing w:beforeLines="50" w:before="156" w:beforeAutospacing="0" w:afterLines="50" w:after="156" w:afterAutospacing="0"/>
        <w:ind w:firstLine="420"/>
        <w:jc w:val="both"/>
        <w:rPr>
          <w:sz w:val="21"/>
          <w:szCs w:val="21"/>
        </w:rPr>
      </w:pPr>
      <w:r>
        <w:rPr>
          <w:sz w:val="21"/>
          <w:szCs w:val="21"/>
        </w:rPr>
        <w:t>离职后福利主要包括基本养老保险、失业保险以及年金等。离职后福利计划包括设定提存计划。采用设定提存计划的，相应的应缴存金额于发生时计入相关资产成本或当期损益。</w:t>
      </w:r>
    </w:p>
    <w:p w:rsidR="00E20B54" w:rsidRDefault="00733C9E" w:rsidP="00C57489">
      <w:pPr>
        <w:keepNext/>
        <w:keepLines/>
        <w:adjustRightInd w:val="0"/>
        <w:snapToGrid w:val="0"/>
        <w:spacing w:beforeLines="50" w:before="156" w:afterLines="50" w:after="156"/>
        <w:outlineLvl w:val="3"/>
        <w:rPr>
          <w:b/>
          <w:bCs/>
          <w:szCs w:val="21"/>
        </w:rPr>
      </w:pPr>
      <w:bookmarkStart w:id="202" w:name="_Toc989090"/>
      <w:r>
        <w:rPr>
          <w:b/>
          <w:bCs/>
          <w:szCs w:val="21"/>
        </w:rPr>
        <w:lastRenderedPageBreak/>
        <w:t>（</w:t>
      </w:r>
      <w:r>
        <w:rPr>
          <w:b/>
          <w:bCs/>
          <w:szCs w:val="21"/>
        </w:rPr>
        <w:t>3</w:t>
      </w:r>
      <w:r>
        <w:rPr>
          <w:b/>
          <w:bCs/>
          <w:szCs w:val="21"/>
        </w:rPr>
        <w:t>）</w:t>
      </w:r>
      <w:r>
        <w:rPr>
          <w:b/>
          <w:bCs/>
          <w:szCs w:val="21"/>
        </w:rPr>
        <w:t xml:space="preserve"> </w:t>
      </w:r>
      <w:r>
        <w:rPr>
          <w:b/>
          <w:bCs/>
          <w:szCs w:val="21"/>
        </w:rPr>
        <w:t>辞退福利的会计处理方法</w:t>
      </w:r>
      <w:bookmarkEnd w:id="202"/>
    </w:p>
    <w:p w:rsidR="00E20B54" w:rsidRDefault="00733C9E" w:rsidP="00C57489">
      <w:pPr>
        <w:pStyle w:val="a3"/>
        <w:widowControl/>
        <w:adjustRightInd w:val="0"/>
        <w:snapToGrid w:val="0"/>
        <w:spacing w:beforeLines="50" w:before="156" w:beforeAutospacing="0" w:afterLines="50" w:after="156" w:afterAutospacing="0"/>
        <w:ind w:firstLine="420"/>
        <w:jc w:val="both"/>
        <w:rPr>
          <w:sz w:val="21"/>
          <w:szCs w:val="21"/>
        </w:rPr>
      </w:pPr>
      <w:r>
        <w:rPr>
          <w:sz w:val="21"/>
          <w:szCs w:val="21"/>
        </w:rPr>
        <w:t>在职工劳动合同到期之前解除与职工的劳动关系，或为鼓励职工自愿接受裁减而提出给予补偿的建议，在本公司不能单方面撤回因解除劳动关系计划或裁减建议所提供的辞退福利时，和本公司确认与涉及支付辞退福利的重组相关的成本两者孰早日，确认辞退福利产生的职工薪酬负债，并计入当期损益。但辞退福利预期在年度报告期结束后十二个月不能完全支付的，按照其他长期职工薪酬处理。</w:t>
      </w:r>
    </w:p>
    <w:p w:rsidR="00E20B54" w:rsidRDefault="00733C9E" w:rsidP="00C57489">
      <w:pPr>
        <w:keepNext/>
        <w:keepLines/>
        <w:adjustRightInd w:val="0"/>
        <w:snapToGrid w:val="0"/>
        <w:spacing w:beforeLines="50" w:before="156" w:afterLines="50" w:after="156"/>
        <w:outlineLvl w:val="3"/>
        <w:rPr>
          <w:b/>
          <w:bCs/>
          <w:szCs w:val="21"/>
        </w:rPr>
      </w:pPr>
      <w:bookmarkStart w:id="203" w:name="_Toc989091"/>
      <w:r>
        <w:rPr>
          <w:b/>
          <w:bCs/>
          <w:szCs w:val="21"/>
        </w:rPr>
        <w:t>（</w:t>
      </w:r>
      <w:r>
        <w:rPr>
          <w:b/>
          <w:bCs/>
          <w:szCs w:val="21"/>
        </w:rPr>
        <w:t>4</w:t>
      </w:r>
      <w:r>
        <w:rPr>
          <w:b/>
          <w:bCs/>
          <w:szCs w:val="21"/>
        </w:rPr>
        <w:t>）</w:t>
      </w:r>
      <w:r>
        <w:rPr>
          <w:b/>
          <w:bCs/>
          <w:szCs w:val="21"/>
        </w:rPr>
        <w:t xml:space="preserve"> </w:t>
      </w:r>
      <w:r>
        <w:rPr>
          <w:b/>
          <w:bCs/>
          <w:szCs w:val="21"/>
        </w:rPr>
        <w:t>其他长期职工福利的会计处理方法</w:t>
      </w:r>
      <w:bookmarkEnd w:id="203"/>
    </w:p>
    <w:p w:rsidR="00E20B54" w:rsidRDefault="00733C9E" w:rsidP="00C57489">
      <w:pPr>
        <w:pStyle w:val="a3"/>
        <w:widowControl/>
        <w:adjustRightInd w:val="0"/>
        <w:snapToGrid w:val="0"/>
        <w:spacing w:beforeLines="50" w:before="156" w:beforeAutospacing="0" w:afterLines="50" w:after="156" w:afterAutospacing="0"/>
        <w:ind w:firstLine="420"/>
        <w:jc w:val="both"/>
        <w:rPr>
          <w:sz w:val="21"/>
          <w:szCs w:val="21"/>
        </w:rPr>
      </w:pPr>
      <w:r>
        <w:rPr>
          <w:sz w:val="21"/>
          <w:szCs w:val="21"/>
        </w:rPr>
        <w:t>本公司向职工提供的其他长期职工福利，符合设定提存计划的，按照设定提存计划进行会计处理，除此之外按照设定受益计划进行会计处理。</w:t>
      </w:r>
    </w:p>
    <w:p w:rsidR="00E20B54" w:rsidRDefault="00733C9E" w:rsidP="00C57489">
      <w:pPr>
        <w:pStyle w:val="3"/>
        <w:adjustRightInd w:val="0"/>
        <w:snapToGrid w:val="0"/>
        <w:spacing w:beforeLines="50" w:before="156" w:afterLines="50" w:after="156" w:line="240" w:lineRule="auto"/>
        <w:jc w:val="left"/>
        <w:rPr>
          <w:b/>
          <w:bCs/>
        </w:rPr>
      </w:pPr>
      <w:bookmarkStart w:id="204" w:name="_Toc989092"/>
      <w:r>
        <w:rPr>
          <w:b/>
          <w:bCs/>
        </w:rPr>
        <w:t>32</w:t>
      </w:r>
      <w:r>
        <w:rPr>
          <w:b/>
          <w:bCs/>
        </w:rPr>
        <w:t>、预计负债</w:t>
      </w:r>
      <w:bookmarkEnd w:id="204"/>
    </w:p>
    <w:p w:rsidR="00E20B54" w:rsidRDefault="00733C9E" w:rsidP="00C57489">
      <w:pPr>
        <w:pStyle w:val="a3"/>
        <w:widowControl/>
        <w:adjustRightInd w:val="0"/>
        <w:snapToGrid w:val="0"/>
        <w:spacing w:beforeLines="50" w:before="156" w:beforeAutospacing="0" w:afterLines="50" w:after="156" w:afterAutospacing="0"/>
        <w:ind w:firstLine="420"/>
        <w:jc w:val="both"/>
        <w:rPr>
          <w:sz w:val="21"/>
          <w:szCs w:val="21"/>
        </w:rPr>
      </w:pPr>
      <w:r>
        <w:rPr>
          <w:sz w:val="21"/>
          <w:szCs w:val="21"/>
        </w:rPr>
        <w:t>当与或有事项相关的义务同时符合以下条件，确认为预计负债：（</w:t>
      </w:r>
      <w:r>
        <w:rPr>
          <w:sz w:val="21"/>
          <w:szCs w:val="21"/>
        </w:rPr>
        <w:t>1</w:t>
      </w:r>
      <w:r>
        <w:rPr>
          <w:sz w:val="21"/>
          <w:szCs w:val="21"/>
        </w:rPr>
        <w:t>）该义务是本公司承担的现时义务；（</w:t>
      </w:r>
      <w:r>
        <w:rPr>
          <w:sz w:val="21"/>
          <w:szCs w:val="21"/>
        </w:rPr>
        <w:t>2</w:t>
      </w:r>
      <w:r>
        <w:rPr>
          <w:sz w:val="21"/>
          <w:szCs w:val="21"/>
        </w:rPr>
        <w:t>）履行该义务很可能导致经济利益流出；（</w:t>
      </w:r>
      <w:r>
        <w:rPr>
          <w:sz w:val="21"/>
          <w:szCs w:val="21"/>
        </w:rPr>
        <w:t>3</w:t>
      </w:r>
      <w:r>
        <w:rPr>
          <w:sz w:val="21"/>
          <w:szCs w:val="21"/>
        </w:rPr>
        <w:t>）该义务的金额能够可靠地计量。</w:t>
      </w:r>
    </w:p>
    <w:p w:rsidR="00E20B54" w:rsidRDefault="00733C9E" w:rsidP="00C57489">
      <w:pPr>
        <w:pStyle w:val="a3"/>
        <w:widowControl/>
        <w:adjustRightInd w:val="0"/>
        <w:snapToGrid w:val="0"/>
        <w:spacing w:beforeLines="50" w:before="156" w:beforeAutospacing="0" w:afterLines="50" w:after="156" w:afterAutospacing="0"/>
        <w:ind w:firstLine="420"/>
        <w:jc w:val="both"/>
        <w:rPr>
          <w:sz w:val="21"/>
          <w:szCs w:val="21"/>
        </w:rPr>
      </w:pPr>
      <w:r>
        <w:rPr>
          <w:sz w:val="21"/>
          <w:szCs w:val="21"/>
        </w:rPr>
        <w:t>在资产负债表日，考虑与或有事项有关的风险、不确定性和货币时间价值等因素，按照履行相关现时义务所需支出的最佳估计数对预计负债进行计量。</w:t>
      </w:r>
    </w:p>
    <w:p w:rsidR="00E20B54" w:rsidRDefault="00733C9E" w:rsidP="00C57489">
      <w:pPr>
        <w:pStyle w:val="a3"/>
        <w:widowControl/>
        <w:adjustRightInd w:val="0"/>
        <w:snapToGrid w:val="0"/>
        <w:spacing w:beforeLines="50" w:before="156" w:beforeAutospacing="0" w:afterLines="50" w:after="156" w:afterAutospacing="0"/>
        <w:ind w:firstLine="420"/>
        <w:jc w:val="both"/>
        <w:rPr>
          <w:sz w:val="21"/>
          <w:szCs w:val="21"/>
        </w:rPr>
      </w:pPr>
      <w:r>
        <w:rPr>
          <w:sz w:val="21"/>
          <w:szCs w:val="21"/>
        </w:rPr>
        <w:t>如果清偿预计负债所需支出全部或部分预期由第三方补偿的，补偿金额在基本确定能够收到时，作为资产单独确认，且确认的补偿金额不超过预计负债的账面价值。</w:t>
      </w:r>
    </w:p>
    <w:p w:rsidR="00E20B54" w:rsidRDefault="00733C9E" w:rsidP="00C57489">
      <w:pPr>
        <w:pStyle w:val="3"/>
        <w:adjustRightInd w:val="0"/>
        <w:snapToGrid w:val="0"/>
        <w:spacing w:beforeLines="50" w:before="156" w:afterLines="50" w:after="156" w:line="240" w:lineRule="auto"/>
        <w:jc w:val="left"/>
        <w:rPr>
          <w:b/>
          <w:bCs/>
        </w:rPr>
      </w:pPr>
      <w:bookmarkStart w:id="205" w:name="_Toc989093"/>
      <w:r>
        <w:rPr>
          <w:b/>
          <w:bCs/>
        </w:rPr>
        <w:t>33</w:t>
      </w:r>
      <w:r>
        <w:rPr>
          <w:b/>
          <w:bCs/>
        </w:rPr>
        <w:t>、股份支付</w:t>
      </w:r>
      <w:bookmarkEnd w:id="205"/>
    </w:p>
    <w:p w:rsidR="00E20B54" w:rsidRDefault="00733C9E" w:rsidP="00C57489">
      <w:pPr>
        <w:pStyle w:val="a3"/>
        <w:widowControl/>
        <w:adjustRightInd w:val="0"/>
        <w:snapToGrid w:val="0"/>
        <w:spacing w:beforeLines="50" w:before="156" w:beforeAutospacing="0" w:afterLines="50" w:after="156" w:afterAutospacing="0"/>
        <w:ind w:firstLine="420"/>
        <w:jc w:val="both"/>
        <w:rPr>
          <w:sz w:val="21"/>
          <w:szCs w:val="21"/>
        </w:rPr>
      </w:pPr>
      <w:r>
        <w:rPr>
          <w:rStyle w:val="a4"/>
          <w:bCs/>
          <w:sz w:val="21"/>
          <w:szCs w:val="21"/>
        </w:rPr>
        <w:t>33.1</w:t>
      </w:r>
      <w:r>
        <w:rPr>
          <w:rStyle w:val="a4"/>
          <w:bCs/>
          <w:sz w:val="21"/>
          <w:szCs w:val="21"/>
        </w:rPr>
        <w:t>股份支付的会计处理方法</w:t>
      </w:r>
    </w:p>
    <w:p w:rsidR="00E20B54" w:rsidRDefault="00733C9E" w:rsidP="00C57489">
      <w:pPr>
        <w:pStyle w:val="a3"/>
        <w:widowControl/>
        <w:adjustRightInd w:val="0"/>
        <w:snapToGrid w:val="0"/>
        <w:spacing w:beforeLines="50" w:before="156" w:beforeAutospacing="0" w:afterLines="50" w:after="156" w:afterAutospacing="0"/>
        <w:ind w:firstLine="420"/>
        <w:jc w:val="both"/>
        <w:rPr>
          <w:sz w:val="21"/>
          <w:szCs w:val="21"/>
        </w:rPr>
      </w:pPr>
      <w:r>
        <w:rPr>
          <w:sz w:val="21"/>
          <w:szCs w:val="21"/>
        </w:rPr>
        <w:t>股份支付是为了获取职工或其他方提供服务而授予权益工具或者承担以权益工具为基础确定的负债的交易。股份支付分为以权益结算的股份支付和以现金结算的股份支付。</w:t>
      </w:r>
    </w:p>
    <w:p w:rsidR="00E20B54" w:rsidRDefault="00733C9E" w:rsidP="00C57489">
      <w:pPr>
        <w:pStyle w:val="a3"/>
        <w:widowControl/>
        <w:adjustRightInd w:val="0"/>
        <w:snapToGrid w:val="0"/>
        <w:spacing w:beforeLines="50" w:before="156" w:beforeAutospacing="0" w:afterLines="50" w:after="156" w:afterAutospacing="0"/>
        <w:ind w:firstLine="420"/>
        <w:jc w:val="both"/>
        <w:rPr>
          <w:sz w:val="21"/>
          <w:szCs w:val="21"/>
        </w:rPr>
      </w:pPr>
      <w:r>
        <w:rPr>
          <w:sz w:val="21"/>
          <w:szCs w:val="21"/>
        </w:rPr>
        <w:t>33.1.1</w:t>
      </w:r>
      <w:r>
        <w:rPr>
          <w:sz w:val="21"/>
          <w:szCs w:val="21"/>
        </w:rPr>
        <w:t>以权益结算的股份支付</w:t>
      </w:r>
    </w:p>
    <w:p w:rsidR="00E20B54" w:rsidRDefault="00733C9E" w:rsidP="00C57489">
      <w:pPr>
        <w:pStyle w:val="a3"/>
        <w:widowControl/>
        <w:adjustRightInd w:val="0"/>
        <w:snapToGrid w:val="0"/>
        <w:spacing w:beforeLines="50" w:before="156" w:beforeAutospacing="0" w:afterLines="50" w:after="156" w:afterAutospacing="0"/>
        <w:ind w:firstLine="420"/>
        <w:jc w:val="both"/>
        <w:rPr>
          <w:sz w:val="21"/>
          <w:szCs w:val="21"/>
        </w:rPr>
      </w:pPr>
      <w:r>
        <w:rPr>
          <w:sz w:val="21"/>
          <w:szCs w:val="21"/>
        </w:rPr>
        <w:t>用以换取职工提供的服务的权益结算的股份支付，以授予职工权益工具在授予日的公允价值计量。该公允价值的金额在完成等待期内的服务或达到规定业绩条件才可行权的情况下，在等待期内以对可行权权益工具数量的最佳估计为基础，按直线法计算计入相关成本或费用</w:t>
      </w:r>
      <w:r>
        <w:rPr>
          <w:sz w:val="21"/>
          <w:szCs w:val="21"/>
        </w:rPr>
        <w:t>/</w:t>
      </w:r>
      <w:r>
        <w:rPr>
          <w:sz w:val="21"/>
          <w:szCs w:val="21"/>
        </w:rPr>
        <w:t>在授予后立即可行权时，在授予日计入相关成本或费用，相应增加资本公积。</w:t>
      </w:r>
    </w:p>
    <w:p w:rsidR="00E20B54" w:rsidRDefault="00733C9E" w:rsidP="00C57489">
      <w:pPr>
        <w:pStyle w:val="a3"/>
        <w:widowControl/>
        <w:adjustRightInd w:val="0"/>
        <w:snapToGrid w:val="0"/>
        <w:spacing w:beforeLines="50" w:before="156" w:beforeAutospacing="0" w:afterLines="50" w:after="156" w:afterAutospacing="0"/>
        <w:ind w:firstLine="420"/>
        <w:jc w:val="both"/>
        <w:rPr>
          <w:sz w:val="21"/>
          <w:szCs w:val="21"/>
        </w:rPr>
      </w:pPr>
      <w:r>
        <w:rPr>
          <w:sz w:val="21"/>
          <w:szCs w:val="21"/>
        </w:rPr>
        <w:t>在等待期内每个资产负债表日，本公司根据最新取得的可行权职工人数变动等后续信息做出最佳估计，修正预计可行权的权益工具数量。上述估计的影响计入当期相关成本或费用，并相应调整资本公积。</w:t>
      </w:r>
    </w:p>
    <w:p w:rsidR="00E20B54" w:rsidRDefault="00733C9E" w:rsidP="00C57489">
      <w:pPr>
        <w:pStyle w:val="a3"/>
        <w:widowControl/>
        <w:adjustRightInd w:val="0"/>
        <w:snapToGrid w:val="0"/>
        <w:spacing w:beforeLines="50" w:before="156" w:beforeAutospacing="0" w:afterLines="50" w:after="156" w:afterAutospacing="0"/>
        <w:ind w:firstLine="420"/>
        <w:jc w:val="both"/>
        <w:rPr>
          <w:sz w:val="21"/>
          <w:szCs w:val="21"/>
        </w:rPr>
      </w:pPr>
      <w:r>
        <w:rPr>
          <w:sz w:val="21"/>
          <w:szCs w:val="21"/>
        </w:rPr>
        <w:t>用以换取其他方服务的权益结算的股份支付，如果其他方服务的公允价值能够可靠计量，按照其他方服务在取得日的公允价值计量，如果其他方服务的公允价值不能可靠计量，但权益工具的公允价值能够可靠计量的，按照权益工具在服务取得日的公允价值计量，计入相关成本或费用，相应增加股东权益。</w:t>
      </w:r>
    </w:p>
    <w:p w:rsidR="00E20B54" w:rsidRDefault="00733C9E" w:rsidP="00C57489">
      <w:pPr>
        <w:pStyle w:val="a3"/>
        <w:widowControl/>
        <w:adjustRightInd w:val="0"/>
        <w:snapToGrid w:val="0"/>
        <w:spacing w:beforeLines="50" w:before="156" w:beforeAutospacing="0" w:afterLines="50" w:after="156" w:afterAutospacing="0"/>
        <w:ind w:firstLine="420"/>
        <w:jc w:val="both"/>
        <w:rPr>
          <w:sz w:val="21"/>
          <w:szCs w:val="21"/>
        </w:rPr>
      </w:pPr>
      <w:r>
        <w:rPr>
          <w:sz w:val="21"/>
          <w:szCs w:val="21"/>
        </w:rPr>
        <w:t>33.1.2</w:t>
      </w:r>
      <w:r>
        <w:rPr>
          <w:sz w:val="21"/>
          <w:szCs w:val="21"/>
        </w:rPr>
        <w:t>以现金结算的股份支付</w:t>
      </w:r>
    </w:p>
    <w:p w:rsidR="00E20B54" w:rsidRDefault="00733C9E" w:rsidP="00C57489">
      <w:pPr>
        <w:pStyle w:val="a3"/>
        <w:widowControl/>
        <w:adjustRightInd w:val="0"/>
        <w:snapToGrid w:val="0"/>
        <w:spacing w:beforeLines="50" w:before="156" w:beforeAutospacing="0" w:afterLines="50" w:after="156" w:afterAutospacing="0"/>
        <w:ind w:firstLine="420"/>
        <w:jc w:val="both"/>
        <w:rPr>
          <w:sz w:val="21"/>
          <w:szCs w:val="21"/>
        </w:rPr>
      </w:pPr>
      <w:r>
        <w:rPr>
          <w:sz w:val="21"/>
          <w:szCs w:val="21"/>
        </w:rPr>
        <w:t>以现金结算的股份支付，按照本公司承担的以股份或其他权益工具为基础确定的负债的公允价值计量。如授予后立即可行权，在授予日计入相关成本或费用，相应增加负债；如须完成等待期内的服务或达到规定业绩条件以后才可行权，在等待期的每个资产负债表日，以对可行权情况的最佳估计为基础，按照本公司承担负债的公允价值金额，将当期取得的服务计入成本或费用，相应增加负债。</w:t>
      </w:r>
    </w:p>
    <w:p w:rsidR="00E20B54" w:rsidRDefault="00733C9E" w:rsidP="00C57489">
      <w:pPr>
        <w:pStyle w:val="a3"/>
        <w:widowControl/>
        <w:adjustRightInd w:val="0"/>
        <w:snapToGrid w:val="0"/>
        <w:spacing w:beforeLines="50" w:before="156" w:beforeAutospacing="0" w:afterLines="50" w:after="156" w:afterAutospacing="0"/>
        <w:ind w:firstLine="420"/>
        <w:jc w:val="both"/>
        <w:rPr>
          <w:sz w:val="21"/>
          <w:szCs w:val="21"/>
        </w:rPr>
      </w:pPr>
      <w:r>
        <w:rPr>
          <w:sz w:val="21"/>
          <w:szCs w:val="21"/>
        </w:rPr>
        <w:t>在相关负债结算前的每个资产负债表日以及结算日，对负债的公允价值重新计量，其变动计入当期损益。</w:t>
      </w:r>
    </w:p>
    <w:p w:rsidR="00E20B54" w:rsidRDefault="00733C9E" w:rsidP="00C57489">
      <w:pPr>
        <w:pStyle w:val="a3"/>
        <w:widowControl/>
        <w:adjustRightInd w:val="0"/>
        <w:snapToGrid w:val="0"/>
        <w:spacing w:beforeLines="50" w:before="156" w:beforeAutospacing="0" w:afterLines="50" w:after="156" w:afterAutospacing="0"/>
        <w:ind w:firstLine="420"/>
        <w:jc w:val="both"/>
        <w:rPr>
          <w:sz w:val="21"/>
          <w:szCs w:val="21"/>
        </w:rPr>
      </w:pPr>
      <w:r>
        <w:rPr>
          <w:rStyle w:val="a4"/>
          <w:bCs/>
          <w:sz w:val="21"/>
          <w:szCs w:val="21"/>
        </w:rPr>
        <w:t>33.2</w:t>
      </w:r>
      <w:r>
        <w:rPr>
          <w:rStyle w:val="a4"/>
          <w:bCs/>
          <w:sz w:val="21"/>
          <w:szCs w:val="21"/>
        </w:rPr>
        <w:t>修改、终止股份支付计划的相关会计处理</w:t>
      </w:r>
    </w:p>
    <w:p w:rsidR="00E20B54" w:rsidRDefault="00733C9E" w:rsidP="00C57489">
      <w:pPr>
        <w:pStyle w:val="a3"/>
        <w:widowControl/>
        <w:adjustRightInd w:val="0"/>
        <w:snapToGrid w:val="0"/>
        <w:spacing w:beforeLines="50" w:before="156" w:beforeAutospacing="0" w:afterLines="50" w:after="156" w:afterAutospacing="0"/>
        <w:ind w:firstLine="420"/>
        <w:jc w:val="both"/>
        <w:rPr>
          <w:sz w:val="21"/>
          <w:szCs w:val="21"/>
        </w:rPr>
      </w:pPr>
      <w:r>
        <w:rPr>
          <w:sz w:val="21"/>
          <w:szCs w:val="21"/>
        </w:rPr>
        <w:t>本公司对股份支付计划进行修改时，若修改增加了所授予权益工具的公允价值，按照权益工具公允价值的增加相应确认取得服务的增加。权益工具公允价值的增加是指修改前后的权益工具在修改日的公</w:t>
      </w:r>
      <w:r>
        <w:rPr>
          <w:sz w:val="21"/>
          <w:szCs w:val="21"/>
        </w:rPr>
        <w:lastRenderedPageBreak/>
        <w:t>允价值之间的差额。若修改减少了股份支付公允价值总额或采用了其他不利于职工的方式，则仍继续对取得的服务进行会计处理，视同该变更从未发生，除非本公司取消了部分或全部已授予的权益工具。</w:t>
      </w:r>
    </w:p>
    <w:p w:rsidR="00E20B54" w:rsidRDefault="00733C9E" w:rsidP="00C57489">
      <w:pPr>
        <w:pStyle w:val="a3"/>
        <w:widowControl/>
        <w:adjustRightInd w:val="0"/>
        <w:snapToGrid w:val="0"/>
        <w:spacing w:beforeLines="50" w:before="156" w:beforeAutospacing="0" w:afterLines="50" w:after="156" w:afterAutospacing="0"/>
        <w:ind w:firstLine="420"/>
        <w:jc w:val="both"/>
        <w:rPr>
          <w:sz w:val="21"/>
          <w:szCs w:val="21"/>
        </w:rPr>
      </w:pPr>
      <w:r>
        <w:rPr>
          <w:sz w:val="21"/>
          <w:szCs w:val="21"/>
        </w:rPr>
        <w:t>在等待期内，如果取消了授予的权益工具，本公司对取消所授予的权益性工具作为加速行权处理，将剩余等待期内应确认的金额立即计入当期损益，同时确认资本公积。职工或其他方能够选择满足非可行权条件但在等待期内未满足的，本公司将其作为授予权益工具的取消处理。</w:t>
      </w:r>
    </w:p>
    <w:p w:rsidR="00E20B54" w:rsidRDefault="00733C9E" w:rsidP="00C57489">
      <w:pPr>
        <w:pStyle w:val="3"/>
        <w:adjustRightInd w:val="0"/>
        <w:snapToGrid w:val="0"/>
        <w:spacing w:beforeLines="50" w:before="156" w:afterLines="50" w:after="156" w:line="240" w:lineRule="auto"/>
        <w:jc w:val="left"/>
        <w:rPr>
          <w:b/>
          <w:bCs/>
        </w:rPr>
      </w:pPr>
      <w:bookmarkStart w:id="206" w:name="_Toc989094"/>
      <w:r>
        <w:rPr>
          <w:b/>
          <w:bCs/>
        </w:rPr>
        <w:t>34</w:t>
      </w:r>
      <w:r>
        <w:rPr>
          <w:b/>
          <w:bCs/>
        </w:rPr>
        <w:t>、收入</w:t>
      </w:r>
      <w:bookmarkEnd w:id="206"/>
    </w:p>
    <w:p w:rsidR="00E20B54" w:rsidRDefault="00733C9E" w:rsidP="00C57489">
      <w:pPr>
        <w:adjustRightInd w:val="0"/>
        <w:snapToGrid w:val="0"/>
        <w:spacing w:beforeLines="50" w:before="156" w:afterLines="50" w:after="156"/>
        <w:rPr>
          <w:sz w:val="18"/>
          <w:szCs w:val="18"/>
        </w:rPr>
      </w:pPr>
      <w:r>
        <w:rPr>
          <w:sz w:val="18"/>
          <w:szCs w:val="18"/>
        </w:rPr>
        <w:t>按照业务类型披露收入确认和计量所采用的会计政策</w:t>
      </w:r>
    </w:p>
    <w:p w:rsidR="00E20B54" w:rsidRDefault="00733C9E" w:rsidP="00C57489">
      <w:pPr>
        <w:pStyle w:val="a3"/>
        <w:widowControl/>
        <w:adjustRightInd w:val="0"/>
        <w:snapToGrid w:val="0"/>
        <w:spacing w:beforeLines="50" w:before="156" w:beforeAutospacing="0" w:afterLines="50" w:after="156" w:afterAutospacing="0"/>
        <w:ind w:firstLine="420"/>
        <w:jc w:val="both"/>
        <w:rPr>
          <w:sz w:val="21"/>
          <w:szCs w:val="21"/>
        </w:rPr>
      </w:pPr>
      <w:r>
        <w:rPr>
          <w:sz w:val="21"/>
          <w:szCs w:val="21"/>
        </w:rPr>
        <w:t>本公司与客户之间的合同同时满足下列条件时，在客户取得相关商品控制权时确认收入：合同各方已批准该合同并承诺将履行各自义务；合同明确了合同各方与所转让商品或提供劳务相关的权利和义务；合同有明确的与所转让商品相关的支付条款；合同具有商业实质，即履行该合同将改变本公司未来现金流量的风险、时间分布或金额；本公司因向客户转让商品而有权取得的对价很可能收回。</w:t>
      </w:r>
    </w:p>
    <w:p w:rsidR="00E20B54" w:rsidRDefault="00733C9E" w:rsidP="00C57489">
      <w:pPr>
        <w:pStyle w:val="a3"/>
        <w:widowControl/>
        <w:adjustRightInd w:val="0"/>
        <w:snapToGrid w:val="0"/>
        <w:spacing w:beforeLines="50" w:before="156" w:beforeAutospacing="0" w:afterLines="50" w:after="156" w:afterAutospacing="0"/>
        <w:ind w:firstLine="420"/>
        <w:jc w:val="both"/>
        <w:rPr>
          <w:sz w:val="21"/>
          <w:szCs w:val="21"/>
        </w:rPr>
      </w:pPr>
      <w:r>
        <w:rPr>
          <w:sz w:val="21"/>
          <w:szCs w:val="21"/>
        </w:rPr>
        <w:t>在合同开始日，本公司识别合同中存在的各单项履约义务，并将交易价格按照各单项履约义务所承诺商品的单独售价的相对比例分摊至各单项履约义务。在确定交易价格时考虑了可变对价、合同中存在的重大融资成分、非现金对价、应付客户对价等因素的影响。</w:t>
      </w:r>
    </w:p>
    <w:p w:rsidR="00E20B54" w:rsidRDefault="00733C9E" w:rsidP="00C57489">
      <w:pPr>
        <w:pStyle w:val="a3"/>
        <w:widowControl/>
        <w:adjustRightInd w:val="0"/>
        <w:snapToGrid w:val="0"/>
        <w:spacing w:beforeLines="50" w:before="156" w:beforeAutospacing="0" w:afterLines="50" w:after="156" w:afterAutospacing="0"/>
        <w:ind w:firstLine="420"/>
        <w:jc w:val="both"/>
        <w:rPr>
          <w:sz w:val="21"/>
          <w:szCs w:val="21"/>
        </w:rPr>
      </w:pPr>
      <w:r>
        <w:rPr>
          <w:sz w:val="21"/>
          <w:szCs w:val="21"/>
        </w:rPr>
        <w:t>对于合同中的每个单项履约义务，如果满足下列条件之一的，本公司在相关履约时段内按照履约进度将分摊至该单项履约义务的交易价格确认为收入：客户在本公司履约的同时即取得并消耗本公司履约所带来的经济利益；客户能够控制本公司履约过程中在建的商品；本公司履约过程中所产出的商品具有不可替代用途，且本公司在整个合同期间内有权就累计至今已完成的履约部分收取款项。履约进度根据所转让商品的性质采用投入法或产出法确定，当履约进度不能合理确定时，本公司已经发生的成本预计能够得到补偿的，按照已经发生的成本金额确认收入，直到履约进度能够合理确定为止。</w:t>
      </w:r>
    </w:p>
    <w:p w:rsidR="00E20B54" w:rsidRDefault="00733C9E" w:rsidP="00C57489">
      <w:pPr>
        <w:pStyle w:val="a3"/>
        <w:widowControl/>
        <w:adjustRightInd w:val="0"/>
        <w:snapToGrid w:val="0"/>
        <w:spacing w:beforeLines="50" w:before="156" w:beforeAutospacing="0" w:afterLines="50" w:after="156" w:afterAutospacing="0"/>
        <w:ind w:firstLine="420"/>
        <w:jc w:val="both"/>
        <w:rPr>
          <w:sz w:val="21"/>
          <w:szCs w:val="21"/>
        </w:rPr>
      </w:pPr>
      <w:r>
        <w:rPr>
          <w:sz w:val="21"/>
          <w:szCs w:val="21"/>
        </w:rPr>
        <w:t>如果不满足上述条件之一，则本公司在客户取得相关商品控制权的时点将分摊至该单项履约义务的交易价格确认收入。在判断客户是否已取得商品控制权时，本公司考虑下列迹象：企业就该商品享有现时收款权利，即客户就该商品负有现时付款义务；企业已将该商品的法定所有权转移给客户，即客户已拥有该商品的法定所有权；企业已将该商品实物转移给客户，即客户已实物占有该商品；企业已将该商品所有权上的主要风险和报酬转移给客户，即客户已取得该商品所有权上的主要风险和报酬；客户已接受该商品；其他表明客户已取得商品控制权的迹象。</w:t>
      </w:r>
    </w:p>
    <w:p w:rsidR="00E20B54" w:rsidRDefault="00733C9E" w:rsidP="00C57489">
      <w:pPr>
        <w:pStyle w:val="a3"/>
        <w:widowControl/>
        <w:adjustRightInd w:val="0"/>
        <w:snapToGrid w:val="0"/>
        <w:spacing w:beforeLines="50" w:before="156" w:beforeAutospacing="0" w:afterLines="50" w:after="156" w:afterAutospacing="0"/>
        <w:ind w:firstLine="420"/>
        <w:jc w:val="both"/>
        <w:rPr>
          <w:sz w:val="21"/>
          <w:szCs w:val="21"/>
        </w:rPr>
      </w:pPr>
      <w:r>
        <w:rPr>
          <w:sz w:val="21"/>
          <w:szCs w:val="21"/>
        </w:rPr>
        <w:t>对于附有销售退回条款的销售，本公司在客户取得相关商品控制权时，按照因向客户转让商品而预期有权收取的对价金额（即，不包含预期因销售退回将退还的金额）确认收入，按照预期因销售退回将退还的金额确认负债；同时，按照预期将退回商品转让时的账面价值，扣除收回该商品预计发生的成本（包括退回商品的价值减损）后的余额，确认为一项资产，按照所转让商品转让时的账面价值，扣除上述资产成本的净额结转成本。每一资产负债表日，本公司将重新估计未来销售退回情况，如有变化，将作为会计估计变更进行会计处理。</w:t>
      </w:r>
    </w:p>
    <w:p w:rsidR="00E20B54" w:rsidRDefault="00733C9E" w:rsidP="00C57489">
      <w:pPr>
        <w:pStyle w:val="a3"/>
        <w:widowControl/>
        <w:adjustRightInd w:val="0"/>
        <w:snapToGrid w:val="0"/>
        <w:spacing w:beforeLines="50" w:before="156" w:beforeAutospacing="0" w:afterLines="50" w:after="156" w:afterAutospacing="0"/>
        <w:ind w:firstLine="420"/>
        <w:jc w:val="both"/>
        <w:rPr>
          <w:sz w:val="21"/>
          <w:szCs w:val="21"/>
        </w:rPr>
      </w:pPr>
      <w:r>
        <w:rPr>
          <w:sz w:val="21"/>
          <w:szCs w:val="21"/>
        </w:rPr>
        <w:t>对于附有质量保证条款的销售，本公司将评估该质量保证是否在向客户保证所销售商品符合既定标准之外提供了一项单独的服务。本公司提供额外服务的，将作为单项履约义务进行会计处理。在评估质量保证是否在向客户保证所销售商品符合既定标准之外提供了一项单独的服务时，本公司将考虑该质量保证是否为法定要求、质量保证期限以及本公司承诺履行任务的性质等因素。客户能够选择单独购买质量保证的，该质量保证构成单项履约义务。</w:t>
      </w:r>
    </w:p>
    <w:p w:rsidR="00E20B54" w:rsidRDefault="00733C9E" w:rsidP="00C57489">
      <w:pPr>
        <w:pStyle w:val="a3"/>
        <w:widowControl/>
        <w:adjustRightInd w:val="0"/>
        <w:snapToGrid w:val="0"/>
        <w:spacing w:beforeLines="50" w:before="156" w:beforeAutospacing="0" w:afterLines="50" w:after="156" w:afterAutospacing="0"/>
        <w:ind w:firstLine="420"/>
        <w:jc w:val="both"/>
        <w:rPr>
          <w:sz w:val="21"/>
          <w:szCs w:val="21"/>
        </w:rPr>
      </w:pPr>
      <w:r>
        <w:rPr>
          <w:sz w:val="21"/>
          <w:szCs w:val="21"/>
        </w:rPr>
        <w:t>本公司在向客户转让商品前能够控制该商品的，本公司为主要责任人，按照已收或应收对价总额确认收入；否则，本公司为代理人，按照预期有权收取的佣金或手续费的金额确认收入，该金额应当按照已收或应收对价总额扣除应支付给其他相关方的价款后的净额，或者按照既定的佣金金额或比例等确定。</w:t>
      </w:r>
    </w:p>
    <w:p w:rsidR="00E20B54" w:rsidRDefault="00733C9E" w:rsidP="00C57489">
      <w:pPr>
        <w:pStyle w:val="a3"/>
        <w:widowControl/>
        <w:adjustRightInd w:val="0"/>
        <w:snapToGrid w:val="0"/>
        <w:spacing w:beforeLines="50" w:before="156" w:beforeAutospacing="0" w:afterLines="50" w:after="156" w:afterAutospacing="0"/>
        <w:ind w:firstLine="420"/>
        <w:jc w:val="both"/>
        <w:rPr>
          <w:sz w:val="21"/>
          <w:szCs w:val="21"/>
        </w:rPr>
      </w:pPr>
      <w:r>
        <w:rPr>
          <w:sz w:val="21"/>
          <w:szCs w:val="21"/>
        </w:rPr>
        <w:t>对于附有客户额外购买选择权的销售，本公司评估该选择权是否向客户提供了一项重大权利。提供重大权利的，本公司作为单项履约义务，将交易价格分摊至该履约义务，在客户未来行使购买选择权取得相关商品控制权时，或者该选择权失效时，确认相应的收入。客户额外购买选择权的单独售价无法直接观察的，本公司综合考虑客户行使和不行使该选择权所能获得的折扣的差异、客户行使该选择权的可能性等全部相关信息后，予以合理估计。</w:t>
      </w:r>
    </w:p>
    <w:p w:rsidR="00E20B54" w:rsidRDefault="00733C9E" w:rsidP="00C57489">
      <w:pPr>
        <w:pStyle w:val="a3"/>
        <w:widowControl/>
        <w:adjustRightInd w:val="0"/>
        <w:snapToGrid w:val="0"/>
        <w:spacing w:beforeLines="50" w:before="156" w:beforeAutospacing="0" w:afterLines="50" w:after="156" w:afterAutospacing="0"/>
        <w:ind w:firstLine="420"/>
        <w:jc w:val="both"/>
        <w:rPr>
          <w:sz w:val="21"/>
          <w:szCs w:val="21"/>
        </w:rPr>
      </w:pPr>
      <w:r>
        <w:rPr>
          <w:sz w:val="21"/>
          <w:szCs w:val="21"/>
        </w:rPr>
        <w:lastRenderedPageBreak/>
        <w:t>本公司向客户授予知识产权许可的，评估该知识产权许可是否构成单项履约义务。对于构成单项履约义务的，同时满足下列条件时，本公司作为在某一时段内履行的履约义务确认相关收入；否则，应当作为在某一时点履行的履约义务确认相关收入：</w:t>
      </w:r>
      <w:r>
        <w:rPr>
          <w:sz w:val="21"/>
          <w:szCs w:val="21"/>
        </w:rPr>
        <w:t>①</w:t>
      </w:r>
      <w:r>
        <w:rPr>
          <w:sz w:val="21"/>
          <w:szCs w:val="21"/>
        </w:rPr>
        <w:t>合同要求或客户能够合理预期本公司将从事对该项知识产权有重大影响的活动；</w:t>
      </w:r>
      <w:r>
        <w:rPr>
          <w:sz w:val="21"/>
          <w:szCs w:val="21"/>
        </w:rPr>
        <w:t>②</w:t>
      </w:r>
      <w:r>
        <w:rPr>
          <w:sz w:val="21"/>
          <w:szCs w:val="21"/>
        </w:rPr>
        <w:t>该活动对客户将产生有利或不利影响；</w:t>
      </w:r>
      <w:r>
        <w:rPr>
          <w:sz w:val="21"/>
          <w:szCs w:val="21"/>
        </w:rPr>
        <w:t>③</w:t>
      </w:r>
      <w:r>
        <w:rPr>
          <w:sz w:val="21"/>
          <w:szCs w:val="21"/>
        </w:rPr>
        <w:t>该活动不会导致向客户转让某项商品。</w:t>
      </w:r>
    </w:p>
    <w:p w:rsidR="00E20B54" w:rsidRDefault="00733C9E" w:rsidP="00C57489">
      <w:pPr>
        <w:pStyle w:val="a3"/>
        <w:widowControl/>
        <w:adjustRightInd w:val="0"/>
        <w:snapToGrid w:val="0"/>
        <w:spacing w:beforeLines="50" w:before="156" w:beforeAutospacing="0" w:afterLines="50" w:after="156" w:afterAutospacing="0"/>
        <w:ind w:firstLine="420"/>
        <w:jc w:val="both"/>
        <w:rPr>
          <w:sz w:val="21"/>
          <w:szCs w:val="21"/>
        </w:rPr>
      </w:pPr>
      <w:r>
        <w:rPr>
          <w:sz w:val="21"/>
          <w:szCs w:val="21"/>
        </w:rPr>
        <w:t>本公司销售商品的同时承诺或有权选择日后再将该商品（包括相同或几乎相同的商品，或以该商品作为组成部分的商品）购回的，区分下列两种情形分别进行会计处理：</w:t>
      </w:r>
      <w:r>
        <w:rPr>
          <w:sz w:val="21"/>
          <w:szCs w:val="21"/>
        </w:rPr>
        <w:t>①</w:t>
      </w:r>
      <w:r>
        <w:rPr>
          <w:sz w:val="21"/>
          <w:szCs w:val="21"/>
        </w:rPr>
        <w:t>本公司因存在与客户的远期安排而负有回购义务或享有回购权利的，表明客户在销售时点并未取得相关商品控制权，本公司作为租赁交易或融资交易进行相应的会计处理。其中，回购价格低于原售价的，视为租赁交易，按照《企业会计准则第</w:t>
      </w:r>
      <w:r>
        <w:rPr>
          <w:sz w:val="21"/>
          <w:szCs w:val="21"/>
        </w:rPr>
        <w:t>21</w:t>
      </w:r>
      <w:r>
        <w:rPr>
          <w:sz w:val="21"/>
          <w:szCs w:val="21"/>
        </w:rPr>
        <w:t>号</w:t>
      </w:r>
      <w:r>
        <w:rPr>
          <w:sz w:val="21"/>
          <w:szCs w:val="21"/>
        </w:rPr>
        <w:t>——</w:t>
      </w:r>
      <w:r>
        <w:rPr>
          <w:sz w:val="21"/>
          <w:szCs w:val="21"/>
        </w:rPr>
        <w:t>租赁》的相关规定进行会计处理；回购价格不低于原售价的，视为融资交易，在收到客户款项时确认金融负债，并将该款项和回购价格的差额在回购期间内确认为利息费用等。本公司到期未行使回购权利的，应当在该回购权利到期时终止确认金融负债，同时确认收入。</w:t>
      </w:r>
      <w:r>
        <w:rPr>
          <w:sz w:val="21"/>
          <w:szCs w:val="21"/>
        </w:rPr>
        <w:t>②</w:t>
      </w:r>
      <w:r>
        <w:rPr>
          <w:sz w:val="21"/>
          <w:szCs w:val="21"/>
        </w:rPr>
        <w:t>本公司负有应客户要求回购商品义务的，应当在合同开始日评估客户是否具有行使该要求权的重大经济动因。客户具有行使该要求权重大经济动因的，本公司将售后回购作为租赁交易或融资交易，按照上述</w:t>
      </w:r>
      <w:r>
        <w:rPr>
          <w:sz w:val="21"/>
          <w:szCs w:val="21"/>
        </w:rPr>
        <w:t>①</w:t>
      </w:r>
      <w:r>
        <w:rPr>
          <w:sz w:val="21"/>
          <w:szCs w:val="21"/>
        </w:rPr>
        <w:t>规定进行会计处理；否则，本公司当将其作为附有销售退回条款的销售交易，按照附有销售退回条款的销售处理。</w:t>
      </w:r>
    </w:p>
    <w:p w:rsidR="00E20B54" w:rsidRDefault="00733C9E" w:rsidP="00C57489">
      <w:pPr>
        <w:pStyle w:val="a3"/>
        <w:widowControl/>
        <w:adjustRightInd w:val="0"/>
        <w:snapToGrid w:val="0"/>
        <w:spacing w:beforeLines="50" w:before="156" w:beforeAutospacing="0" w:afterLines="50" w:after="156" w:afterAutospacing="0"/>
        <w:ind w:firstLine="420"/>
        <w:jc w:val="both"/>
        <w:rPr>
          <w:sz w:val="21"/>
          <w:szCs w:val="21"/>
        </w:rPr>
      </w:pPr>
      <w:r>
        <w:rPr>
          <w:sz w:val="21"/>
          <w:szCs w:val="21"/>
        </w:rPr>
        <w:t>本公司向客户预收销售商品款项的，应当首先将该款项确认为负债，待履行了相关履约义务时再转为收入。当预收款项无需退回，且客户可能会放弃其全部或部分合同权利时，本公司预期将有权获得与客户所放弃的合同权利相关的金额的，按照客户行使合同权利的模式按比例将上述金额确认为收入；否则，本公司在客户要求其履行剩余履约义务的可能性极低时，将上述负债的相关余额转为收入。</w:t>
      </w:r>
    </w:p>
    <w:p w:rsidR="00E20B54" w:rsidRDefault="00733C9E" w:rsidP="00C57489">
      <w:pPr>
        <w:pStyle w:val="a3"/>
        <w:widowControl/>
        <w:adjustRightInd w:val="0"/>
        <w:snapToGrid w:val="0"/>
        <w:spacing w:beforeLines="50" w:before="156" w:beforeAutospacing="0" w:afterLines="50" w:after="156" w:afterAutospacing="0"/>
        <w:ind w:firstLine="420"/>
        <w:jc w:val="both"/>
        <w:rPr>
          <w:sz w:val="21"/>
          <w:szCs w:val="21"/>
        </w:rPr>
      </w:pPr>
      <w:r>
        <w:rPr>
          <w:sz w:val="21"/>
          <w:szCs w:val="21"/>
        </w:rPr>
        <w:t>本公司在合同开始（或接近合同开始）日向客户收取的无需退回的初始费计入交易价格。该初始费与向客户转让已承诺的商品相关，并且该商品构成单项履约义务的，本公司在转让该商品时，按照分摊至该商品的交易价格确认收入；该初始费与向客户转让已承诺的商品相关，但该商品不构成单项履约义务的，本公司在包含该商品的单项履约义务履行时，按照分摊至该单项履约义务的交易价格确认收入；该初始费与向客户转让已承诺的商品不相关的，该初始费作为未来将转让商品的预收款，在未来转让该商品时确认为收入。</w:t>
      </w:r>
    </w:p>
    <w:p w:rsidR="00E20B54" w:rsidRDefault="00733C9E" w:rsidP="00C57489">
      <w:pPr>
        <w:adjustRightInd w:val="0"/>
        <w:snapToGrid w:val="0"/>
        <w:spacing w:beforeLines="50" w:before="156" w:afterLines="50" w:after="156"/>
        <w:rPr>
          <w:sz w:val="18"/>
          <w:szCs w:val="18"/>
        </w:rPr>
      </w:pPr>
      <w:r>
        <w:rPr>
          <w:sz w:val="18"/>
          <w:szCs w:val="18"/>
        </w:rPr>
        <w:t>同类业务采用不同经营模式涉及不同收入确认方式及计量方法的情况</w:t>
      </w:r>
    </w:p>
    <w:p w:rsidR="00E20B54" w:rsidRDefault="00733C9E" w:rsidP="00C57489">
      <w:pPr>
        <w:adjustRightInd w:val="0"/>
        <w:snapToGrid w:val="0"/>
        <w:spacing w:beforeLines="50" w:before="156" w:afterLines="50" w:after="156"/>
        <w:rPr>
          <w:sz w:val="18"/>
          <w:szCs w:val="18"/>
        </w:rPr>
      </w:pPr>
      <w:r>
        <w:rPr>
          <w:sz w:val="18"/>
          <w:szCs w:val="18"/>
        </w:rPr>
        <w:t>公司需遵守《深圳证券交易所上市公司自律监管指引第</w:t>
      </w:r>
      <w:r>
        <w:rPr>
          <w:sz w:val="18"/>
          <w:szCs w:val="18"/>
        </w:rPr>
        <w:t>3</w:t>
      </w:r>
      <w:r>
        <w:rPr>
          <w:sz w:val="18"/>
          <w:szCs w:val="18"/>
        </w:rPr>
        <w:t>号</w:t>
      </w:r>
      <w:r>
        <w:rPr>
          <w:sz w:val="18"/>
          <w:szCs w:val="18"/>
        </w:rPr>
        <w:t>——</w:t>
      </w:r>
      <w:r>
        <w:rPr>
          <w:sz w:val="18"/>
          <w:szCs w:val="18"/>
        </w:rPr>
        <w:t>行业信息披露》中的</w:t>
      </w:r>
      <w:r>
        <w:rPr>
          <w:sz w:val="18"/>
          <w:szCs w:val="18"/>
        </w:rPr>
        <w:t>“</w:t>
      </w:r>
      <w:r>
        <w:rPr>
          <w:sz w:val="18"/>
          <w:szCs w:val="18"/>
        </w:rPr>
        <w:t>软件与信息技术服务业</w:t>
      </w:r>
      <w:r>
        <w:rPr>
          <w:sz w:val="18"/>
          <w:szCs w:val="18"/>
        </w:rPr>
        <w:t>”</w:t>
      </w:r>
      <w:r>
        <w:rPr>
          <w:sz w:val="18"/>
          <w:szCs w:val="18"/>
        </w:rPr>
        <w:t>的披露要求</w:t>
      </w:r>
    </w:p>
    <w:p w:rsidR="00E20B54" w:rsidRDefault="00733C9E" w:rsidP="00C57489">
      <w:pPr>
        <w:pStyle w:val="a3"/>
        <w:widowControl/>
        <w:adjustRightInd w:val="0"/>
        <w:snapToGrid w:val="0"/>
        <w:spacing w:beforeLines="50" w:before="156" w:beforeAutospacing="0" w:afterLines="50" w:after="156" w:afterAutospacing="0"/>
        <w:ind w:firstLine="420"/>
        <w:jc w:val="both"/>
        <w:rPr>
          <w:sz w:val="21"/>
          <w:szCs w:val="21"/>
        </w:rPr>
      </w:pPr>
      <w:r>
        <w:rPr>
          <w:sz w:val="21"/>
          <w:szCs w:val="21"/>
        </w:rPr>
        <w:t>本公司的业务收入主要来源于以下业务类型：信息系统集成服务、信息系统运维服务、信息设备销售、软件开发及技术服务、新能源电力、算力服务。</w:t>
      </w:r>
    </w:p>
    <w:p w:rsidR="00E20B54" w:rsidRDefault="00733C9E" w:rsidP="00C57489">
      <w:pPr>
        <w:pStyle w:val="a3"/>
        <w:widowControl/>
        <w:adjustRightInd w:val="0"/>
        <w:snapToGrid w:val="0"/>
        <w:spacing w:beforeLines="50" w:before="156" w:beforeAutospacing="0" w:afterLines="50" w:after="156" w:afterAutospacing="0"/>
        <w:ind w:firstLine="420"/>
        <w:jc w:val="both"/>
        <w:rPr>
          <w:sz w:val="21"/>
          <w:szCs w:val="21"/>
        </w:rPr>
      </w:pPr>
      <w:r>
        <w:rPr>
          <w:sz w:val="21"/>
          <w:szCs w:val="21"/>
        </w:rPr>
        <w:t>1</w:t>
      </w:r>
      <w:r>
        <w:rPr>
          <w:sz w:val="21"/>
          <w:szCs w:val="21"/>
        </w:rPr>
        <w:t>、信息系统集成服务</w:t>
      </w:r>
    </w:p>
    <w:p w:rsidR="00E20B54" w:rsidRDefault="00733C9E" w:rsidP="00C57489">
      <w:pPr>
        <w:pStyle w:val="a3"/>
        <w:widowControl/>
        <w:adjustRightInd w:val="0"/>
        <w:snapToGrid w:val="0"/>
        <w:spacing w:beforeLines="50" w:before="156" w:beforeAutospacing="0" w:afterLines="50" w:after="156" w:afterAutospacing="0"/>
        <w:ind w:firstLine="420"/>
        <w:jc w:val="both"/>
        <w:rPr>
          <w:sz w:val="21"/>
          <w:szCs w:val="21"/>
        </w:rPr>
      </w:pPr>
      <w:r>
        <w:rPr>
          <w:sz w:val="21"/>
          <w:szCs w:val="21"/>
        </w:rPr>
        <w:t>按照客户需求，通过应用各种计算机软件技术以及各种硬件设备，经过集成设计，安装调试等技术性工作，提供整体解决方案。信息系统集成需安装调试后才达到预定可使用状态，主要风险和报酬（控制权）才转移给购货方（建设方），因此信息系统集成服务以完成安装调试，客户验收作为收入确认时点。当客户合同中明确约定初验、终验的，以取得客户终验报告作为收入确认时点，如合同中无明确约定初验、终验，客户在实际执行时有出具初验、终验报告，以终验报告作为收入确认时点。</w:t>
      </w:r>
    </w:p>
    <w:p w:rsidR="00E20B54" w:rsidRDefault="00733C9E" w:rsidP="00C57489">
      <w:pPr>
        <w:pStyle w:val="a3"/>
        <w:widowControl/>
        <w:adjustRightInd w:val="0"/>
        <w:snapToGrid w:val="0"/>
        <w:spacing w:beforeLines="50" w:before="156" w:beforeAutospacing="0" w:afterLines="50" w:after="156" w:afterAutospacing="0"/>
        <w:ind w:firstLine="420"/>
        <w:jc w:val="both"/>
        <w:rPr>
          <w:sz w:val="21"/>
          <w:szCs w:val="21"/>
        </w:rPr>
      </w:pPr>
      <w:r>
        <w:rPr>
          <w:sz w:val="21"/>
          <w:szCs w:val="21"/>
        </w:rPr>
        <w:t>2</w:t>
      </w:r>
      <w:r>
        <w:rPr>
          <w:sz w:val="21"/>
          <w:szCs w:val="21"/>
        </w:rPr>
        <w:t>、信息系统运维服务</w:t>
      </w:r>
    </w:p>
    <w:p w:rsidR="00E20B54" w:rsidRDefault="00733C9E" w:rsidP="00C57489">
      <w:pPr>
        <w:pStyle w:val="a3"/>
        <w:widowControl/>
        <w:adjustRightInd w:val="0"/>
        <w:snapToGrid w:val="0"/>
        <w:spacing w:beforeLines="50" w:before="156" w:beforeAutospacing="0" w:afterLines="50" w:after="156" w:afterAutospacing="0"/>
        <w:ind w:firstLine="420"/>
        <w:jc w:val="both"/>
        <w:rPr>
          <w:sz w:val="21"/>
          <w:szCs w:val="21"/>
        </w:rPr>
      </w:pPr>
      <w:r>
        <w:rPr>
          <w:sz w:val="21"/>
          <w:szCs w:val="21"/>
        </w:rPr>
        <w:t>按照客户要求，利用公司在信息系统运维方面的专业性优势为客户提供专业的系统运维服务。信息系统运维服务按照合同约定的条款于服务完成时点（指偶发的一次性运维服务）或阶段完成时点（指定期服务的日常维护，按月确认）确认收入。</w:t>
      </w:r>
    </w:p>
    <w:p w:rsidR="00E20B54" w:rsidRDefault="00733C9E" w:rsidP="00C57489">
      <w:pPr>
        <w:pStyle w:val="a3"/>
        <w:widowControl/>
        <w:adjustRightInd w:val="0"/>
        <w:snapToGrid w:val="0"/>
        <w:spacing w:beforeLines="50" w:before="156" w:beforeAutospacing="0" w:afterLines="50" w:after="156" w:afterAutospacing="0"/>
        <w:ind w:firstLine="420"/>
        <w:jc w:val="both"/>
        <w:rPr>
          <w:sz w:val="21"/>
          <w:szCs w:val="21"/>
        </w:rPr>
      </w:pPr>
      <w:r>
        <w:rPr>
          <w:sz w:val="21"/>
          <w:szCs w:val="21"/>
        </w:rPr>
        <w:t>3</w:t>
      </w:r>
      <w:r>
        <w:rPr>
          <w:sz w:val="21"/>
          <w:szCs w:val="21"/>
        </w:rPr>
        <w:t>、信息设备销售</w:t>
      </w:r>
    </w:p>
    <w:p w:rsidR="00E20B54" w:rsidRDefault="00733C9E" w:rsidP="00C57489">
      <w:pPr>
        <w:pStyle w:val="a3"/>
        <w:widowControl/>
        <w:adjustRightInd w:val="0"/>
        <w:snapToGrid w:val="0"/>
        <w:spacing w:beforeLines="50" w:before="156" w:beforeAutospacing="0" w:afterLines="50" w:after="156" w:afterAutospacing="0"/>
        <w:ind w:firstLine="420"/>
        <w:jc w:val="both"/>
        <w:rPr>
          <w:sz w:val="21"/>
          <w:szCs w:val="21"/>
        </w:rPr>
      </w:pPr>
      <w:r>
        <w:rPr>
          <w:sz w:val="21"/>
          <w:szCs w:val="21"/>
        </w:rPr>
        <w:t>公司向企业、政府部门销售电子产品（主要是系统集成服务和信息系统运维过程中，根据客户需求</w:t>
      </w:r>
      <w:r>
        <w:rPr>
          <w:sz w:val="21"/>
          <w:szCs w:val="21"/>
        </w:rPr>
        <w:t> </w:t>
      </w:r>
      <w:r>
        <w:rPr>
          <w:sz w:val="21"/>
          <w:szCs w:val="21"/>
        </w:rPr>
        <w:t>搭配的一些零配件，主要包括机柜、电脑、播放器、主机、投影仪等）。信息设备销售以商品转移给购货方，取得客户验收单作为收入确认时点。</w:t>
      </w:r>
    </w:p>
    <w:p w:rsidR="00E20B54" w:rsidRDefault="00733C9E" w:rsidP="00C57489">
      <w:pPr>
        <w:pStyle w:val="a3"/>
        <w:widowControl/>
        <w:adjustRightInd w:val="0"/>
        <w:snapToGrid w:val="0"/>
        <w:spacing w:beforeLines="50" w:before="156" w:beforeAutospacing="0" w:afterLines="50" w:after="156" w:afterAutospacing="0"/>
        <w:ind w:firstLine="420"/>
        <w:jc w:val="both"/>
        <w:rPr>
          <w:sz w:val="21"/>
          <w:szCs w:val="21"/>
        </w:rPr>
      </w:pPr>
      <w:r>
        <w:rPr>
          <w:sz w:val="21"/>
          <w:szCs w:val="21"/>
        </w:rPr>
        <w:t>4</w:t>
      </w:r>
      <w:r>
        <w:rPr>
          <w:sz w:val="21"/>
          <w:szCs w:val="21"/>
        </w:rPr>
        <w:t>、软件开发及技术服务</w:t>
      </w:r>
    </w:p>
    <w:p w:rsidR="00E20B54" w:rsidRDefault="00733C9E" w:rsidP="00C57489">
      <w:pPr>
        <w:pStyle w:val="a3"/>
        <w:widowControl/>
        <w:adjustRightInd w:val="0"/>
        <w:snapToGrid w:val="0"/>
        <w:spacing w:beforeLines="50" w:before="156" w:beforeAutospacing="0" w:afterLines="50" w:after="156" w:afterAutospacing="0"/>
        <w:ind w:firstLine="420"/>
        <w:jc w:val="both"/>
        <w:rPr>
          <w:sz w:val="21"/>
          <w:szCs w:val="21"/>
        </w:rPr>
      </w:pPr>
      <w:r>
        <w:rPr>
          <w:sz w:val="21"/>
          <w:szCs w:val="21"/>
        </w:rPr>
        <w:lastRenderedPageBreak/>
        <w:t>按照客户要求开发信息系统服务平台并部署调试。软件开发及技术服务客户为软件终端使用客户的，以完成服务并取得客户的验收报告作为收入确认时点；客户为软件中间销售商的，如销售合同中未约定需最终业主方验收的，以公司交付相关产品、客户产品已经上线、客户出具验收报告作为收入确认时点；如销售合同中明确约定需客户最终业主方验收的，以取得客户验收报告且最终业主方产品运行出具验收报告或其他验收证据作为收入确认时点。</w:t>
      </w:r>
    </w:p>
    <w:p w:rsidR="00E20B54" w:rsidRDefault="00733C9E" w:rsidP="00C57489">
      <w:pPr>
        <w:pStyle w:val="a3"/>
        <w:widowControl/>
        <w:adjustRightInd w:val="0"/>
        <w:snapToGrid w:val="0"/>
        <w:spacing w:beforeLines="50" w:before="156" w:beforeAutospacing="0" w:afterLines="50" w:after="156" w:afterAutospacing="0"/>
        <w:ind w:firstLine="420"/>
        <w:jc w:val="both"/>
        <w:rPr>
          <w:sz w:val="21"/>
          <w:szCs w:val="21"/>
        </w:rPr>
      </w:pPr>
      <w:r>
        <w:rPr>
          <w:sz w:val="21"/>
          <w:szCs w:val="21"/>
        </w:rPr>
        <w:t>5</w:t>
      </w:r>
      <w:r>
        <w:rPr>
          <w:sz w:val="21"/>
          <w:szCs w:val="21"/>
        </w:rPr>
        <w:t>、新能源电力</w:t>
      </w:r>
    </w:p>
    <w:p w:rsidR="00E20B54" w:rsidRDefault="00733C9E" w:rsidP="00C57489">
      <w:pPr>
        <w:pStyle w:val="a3"/>
        <w:widowControl/>
        <w:adjustRightInd w:val="0"/>
        <w:snapToGrid w:val="0"/>
        <w:spacing w:beforeLines="50" w:before="156" w:beforeAutospacing="0" w:afterLines="50" w:after="156" w:afterAutospacing="0"/>
        <w:ind w:firstLine="420"/>
        <w:jc w:val="both"/>
        <w:rPr>
          <w:sz w:val="21"/>
          <w:szCs w:val="21"/>
        </w:rPr>
      </w:pPr>
      <w:r>
        <w:rPr>
          <w:sz w:val="21"/>
          <w:szCs w:val="21"/>
        </w:rPr>
        <w:t>新能源电力收入确认遵循《企业会计准则第</w:t>
      </w:r>
      <w:r>
        <w:rPr>
          <w:sz w:val="21"/>
          <w:szCs w:val="21"/>
        </w:rPr>
        <w:t>14</w:t>
      </w:r>
      <w:r>
        <w:rPr>
          <w:sz w:val="21"/>
          <w:szCs w:val="21"/>
        </w:rPr>
        <w:t>号</w:t>
      </w:r>
      <w:r>
        <w:rPr>
          <w:sz w:val="21"/>
          <w:szCs w:val="21"/>
        </w:rPr>
        <w:t>--</w:t>
      </w:r>
      <w:r>
        <w:rPr>
          <w:sz w:val="21"/>
          <w:szCs w:val="21"/>
        </w:rPr>
        <w:t>收入》规定，以电力输送至电网公司或终端用户的控制权转移时点作为收入确认依据，根据电网公司或其他客户提供的发电量计量确认数据</w:t>
      </w:r>
      <w:r>
        <w:rPr>
          <w:sz w:val="21"/>
          <w:szCs w:val="21"/>
        </w:rPr>
        <w:t>(</w:t>
      </w:r>
      <w:r>
        <w:rPr>
          <w:sz w:val="21"/>
          <w:szCs w:val="21"/>
        </w:rPr>
        <w:t>如并网电表读数</w:t>
      </w:r>
      <w:r>
        <w:rPr>
          <w:sz w:val="21"/>
          <w:szCs w:val="21"/>
        </w:rPr>
        <w:t>)</w:t>
      </w:r>
      <w:r>
        <w:rPr>
          <w:sz w:val="21"/>
          <w:szCs w:val="21"/>
        </w:rPr>
        <w:t>，于电力实际输送至电网或用户时确认收入，采用权责发生制原则。</w:t>
      </w:r>
    </w:p>
    <w:p w:rsidR="00E20B54" w:rsidRDefault="00733C9E" w:rsidP="00C57489">
      <w:pPr>
        <w:pStyle w:val="a3"/>
        <w:widowControl/>
        <w:adjustRightInd w:val="0"/>
        <w:snapToGrid w:val="0"/>
        <w:spacing w:beforeLines="50" w:before="156" w:beforeAutospacing="0" w:afterLines="50" w:after="156" w:afterAutospacing="0"/>
        <w:ind w:firstLine="420"/>
        <w:jc w:val="both"/>
        <w:rPr>
          <w:sz w:val="21"/>
          <w:szCs w:val="21"/>
        </w:rPr>
      </w:pPr>
      <w:r>
        <w:rPr>
          <w:sz w:val="21"/>
          <w:szCs w:val="21"/>
        </w:rPr>
        <w:t>6</w:t>
      </w:r>
      <w:r>
        <w:rPr>
          <w:sz w:val="21"/>
          <w:szCs w:val="21"/>
        </w:rPr>
        <w:t>、算力服务</w:t>
      </w:r>
    </w:p>
    <w:p w:rsidR="00E20B54" w:rsidRDefault="00733C9E" w:rsidP="00C57489">
      <w:pPr>
        <w:pStyle w:val="a3"/>
        <w:widowControl/>
        <w:adjustRightInd w:val="0"/>
        <w:snapToGrid w:val="0"/>
        <w:spacing w:beforeLines="50" w:before="156" w:beforeAutospacing="0" w:afterLines="50" w:after="156" w:afterAutospacing="0"/>
        <w:ind w:firstLine="420"/>
        <w:jc w:val="both"/>
        <w:rPr>
          <w:sz w:val="21"/>
          <w:szCs w:val="21"/>
        </w:rPr>
      </w:pPr>
      <w:r>
        <w:rPr>
          <w:sz w:val="21"/>
          <w:szCs w:val="21"/>
        </w:rPr>
        <w:t>算力服务，算力技术服务通过投资建设算力项目，向企业或运营商等客户，按照合同或协议约定的服务周期持续提供算力技术服务，按照合同约定的阶段完成时点（指定期提供服务，按月确认）确认收入。</w:t>
      </w:r>
    </w:p>
    <w:p w:rsidR="00E20B54" w:rsidRDefault="00733C9E" w:rsidP="00C57489">
      <w:pPr>
        <w:pStyle w:val="3"/>
        <w:adjustRightInd w:val="0"/>
        <w:snapToGrid w:val="0"/>
        <w:spacing w:beforeLines="50" w:before="156" w:afterLines="50" w:after="156" w:line="240" w:lineRule="auto"/>
        <w:jc w:val="left"/>
        <w:rPr>
          <w:b/>
          <w:bCs/>
        </w:rPr>
      </w:pPr>
      <w:bookmarkStart w:id="207" w:name="_Toc989095"/>
      <w:r>
        <w:rPr>
          <w:b/>
          <w:bCs/>
        </w:rPr>
        <w:t>35</w:t>
      </w:r>
      <w:r>
        <w:rPr>
          <w:b/>
          <w:bCs/>
        </w:rPr>
        <w:t>、合同成本</w:t>
      </w:r>
      <w:bookmarkEnd w:id="207"/>
    </w:p>
    <w:p w:rsidR="00E20B54" w:rsidRDefault="00733C9E" w:rsidP="00C57489">
      <w:pPr>
        <w:pStyle w:val="a3"/>
        <w:widowControl/>
        <w:adjustRightInd w:val="0"/>
        <w:snapToGrid w:val="0"/>
        <w:spacing w:beforeLines="50" w:before="156" w:beforeAutospacing="0" w:afterLines="50" w:after="156" w:afterAutospacing="0"/>
        <w:ind w:firstLine="420"/>
        <w:jc w:val="both"/>
        <w:rPr>
          <w:sz w:val="21"/>
          <w:szCs w:val="21"/>
        </w:rPr>
      </w:pPr>
      <w:r>
        <w:rPr>
          <w:sz w:val="21"/>
          <w:szCs w:val="21"/>
        </w:rPr>
        <w:t>合同成本分为合同履约成本与合同取得成本。</w:t>
      </w:r>
    </w:p>
    <w:p w:rsidR="00E20B54" w:rsidRDefault="00733C9E" w:rsidP="00C57489">
      <w:pPr>
        <w:pStyle w:val="a3"/>
        <w:widowControl/>
        <w:adjustRightInd w:val="0"/>
        <w:snapToGrid w:val="0"/>
        <w:spacing w:beforeLines="50" w:before="156" w:beforeAutospacing="0" w:afterLines="50" w:after="156" w:afterAutospacing="0"/>
        <w:ind w:firstLine="420"/>
        <w:jc w:val="both"/>
        <w:rPr>
          <w:sz w:val="21"/>
          <w:szCs w:val="21"/>
        </w:rPr>
      </w:pPr>
      <w:r>
        <w:rPr>
          <w:sz w:val="21"/>
          <w:szCs w:val="21"/>
        </w:rPr>
        <w:t>本公司为履行合同而发生的成本，在满足下列条件时作为合同履约成本确认为一项资产：</w:t>
      </w:r>
      <w:r>
        <w:rPr>
          <w:sz w:val="21"/>
          <w:szCs w:val="21"/>
        </w:rPr>
        <w:t>①</w:t>
      </w:r>
      <w:r>
        <w:rPr>
          <w:sz w:val="21"/>
          <w:szCs w:val="21"/>
        </w:rPr>
        <w:t>该成本与一份当前或预期取得的合同直接相关；</w:t>
      </w:r>
      <w:r>
        <w:rPr>
          <w:sz w:val="21"/>
          <w:szCs w:val="21"/>
        </w:rPr>
        <w:t>②</w:t>
      </w:r>
      <w:r>
        <w:rPr>
          <w:sz w:val="21"/>
          <w:szCs w:val="21"/>
        </w:rPr>
        <w:t>该成本增加了本公司未来用于履行履约义务的资源；</w:t>
      </w:r>
      <w:r>
        <w:rPr>
          <w:sz w:val="21"/>
          <w:szCs w:val="21"/>
        </w:rPr>
        <w:t>③</w:t>
      </w:r>
      <w:r>
        <w:rPr>
          <w:sz w:val="21"/>
          <w:szCs w:val="21"/>
        </w:rPr>
        <w:t>该成本预期能够收回。</w:t>
      </w:r>
    </w:p>
    <w:p w:rsidR="00E20B54" w:rsidRDefault="00733C9E" w:rsidP="00C57489">
      <w:pPr>
        <w:pStyle w:val="a3"/>
        <w:widowControl/>
        <w:adjustRightInd w:val="0"/>
        <w:snapToGrid w:val="0"/>
        <w:spacing w:beforeLines="50" w:before="156" w:beforeAutospacing="0" w:afterLines="50" w:after="156" w:afterAutospacing="0"/>
        <w:ind w:firstLine="420"/>
        <w:jc w:val="both"/>
        <w:rPr>
          <w:sz w:val="21"/>
          <w:szCs w:val="21"/>
        </w:rPr>
      </w:pPr>
      <w:r>
        <w:rPr>
          <w:sz w:val="21"/>
          <w:szCs w:val="21"/>
        </w:rPr>
        <w:t>为取得合同发生的增量成本是指本公司不取得合同就不会发生的成本（如销售佣金等）。该成本预期能够收回的，本公司将其作为合同取得成本确认为一项资产。本公司为取得合同发生的、除预期能够收回的增量成本之外的其他支出于发生时计入当期损益。</w:t>
      </w:r>
    </w:p>
    <w:p w:rsidR="00E20B54" w:rsidRDefault="00733C9E" w:rsidP="00C57489">
      <w:pPr>
        <w:pStyle w:val="a3"/>
        <w:widowControl/>
        <w:adjustRightInd w:val="0"/>
        <w:snapToGrid w:val="0"/>
        <w:spacing w:beforeLines="50" w:before="156" w:beforeAutospacing="0" w:afterLines="50" w:after="156" w:afterAutospacing="0"/>
        <w:ind w:firstLine="420"/>
        <w:jc w:val="both"/>
        <w:rPr>
          <w:sz w:val="21"/>
          <w:szCs w:val="21"/>
        </w:rPr>
      </w:pPr>
      <w:r>
        <w:rPr>
          <w:sz w:val="21"/>
          <w:szCs w:val="21"/>
        </w:rPr>
        <w:t>合同取得成本确认的资产和合同履约成本确认的资产（以下简称</w:t>
      </w:r>
      <w:r>
        <w:rPr>
          <w:sz w:val="21"/>
          <w:szCs w:val="21"/>
        </w:rPr>
        <w:t>“</w:t>
      </w:r>
      <w:r>
        <w:rPr>
          <w:sz w:val="21"/>
          <w:szCs w:val="21"/>
        </w:rPr>
        <w:t>与合同成本有关的资产</w:t>
      </w:r>
      <w:r>
        <w:rPr>
          <w:sz w:val="21"/>
          <w:szCs w:val="21"/>
        </w:rPr>
        <w:t>”</w:t>
      </w:r>
      <w:r>
        <w:rPr>
          <w:sz w:val="21"/>
          <w:szCs w:val="21"/>
        </w:rPr>
        <w:t>），采用与该资产相关的商品或服务收入确认相同的基础进行摊销，计入当期损益。摊销期限不超过一年则在发生时计入当期损益。与合同成本有关的资产，其账面价值高于下列两项的差额的，本公司将对于超出部分计提减值准备，并确认为资产减值损失：（</w:t>
      </w:r>
      <w:r>
        <w:rPr>
          <w:sz w:val="21"/>
          <w:szCs w:val="21"/>
        </w:rPr>
        <w:t>1</w:t>
      </w:r>
      <w:r>
        <w:rPr>
          <w:sz w:val="21"/>
          <w:szCs w:val="21"/>
        </w:rPr>
        <w:t>）因转让与该资产相关的商品或服务预期能够取得的剩余对价；（</w:t>
      </w:r>
      <w:r>
        <w:rPr>
          <w:sz w:val="21"/>
          <w:szCs w:val="21"/>
        </w:rPr>
        <w:t>2</w:t>
      </w:r>
      <w:r>
        <w:rPr>
          <w:sz w:val="21"/>
          <w:szCs w:val="21"/>
        </w:rPr>
        <w:t>）为转让该相关商品或服务估计将要发生的成本。</w:t>
      </w:r>
    </w:p>
    <w:p w:rsidR="00E20B54" w:rsidRDefault="00733C9E" w:rsidP="00C57489">
      <w:pPr>
        <w:pStyle w:val="a3"/>
        <w:widowControl/>
        <w:adjustRightInd w:val="0"/>
        <w:snapToGrid w:val="0"/>
        <w:spacing w:beforeLines="50" w:before="156" w:beforeAutospacing="0" w:afterLines="50" w:after="156" w:afterAutospacing="0"/>
        <w:ind w:firstLine="420"/>
        <w:jc w:val="both"/>
        <w:rPr>
          <w:sz w:val="21"/>
          <w:szCs w:val="21"/>
        </w:rPr>
      </w:pPr>
      <w:r>
        <w:rPr>
          <w:sz w:val="21"/>
          <w:szCs w:val="21"/>
        </w:rPr>
        <w:t>上述资产减值准备后续发生转回的，转回后的资产账面价值不超过假定不计提减值准备情况下该资产在转回日的账面价值。</w:t>
      </w:r>
    </w:p>
    <w:p w:rsidR="00E20B54" w:rsidRDefault="00733C9E" w:rsidP="00C57489">
      <w:pPr>
        <w:pStyle w:val="3"/>
        <w:adjustRightInd w:val="0"/>
        <w:snapToGrid w:val="0"/>
        <w:spacing w:beforeLines="50" w:before="156" w:afterLines="50" w:after="156" w:line="240" w:lineRule="auto"/>
        <w:jc w:val="left"/>
        <w:rPr>
          <w:b/>
          <w:bCs/>
        </w:rPr>
      </w:pPr>
      <w:bookmarkStart w:id="208" w:name="_Toc989096"/>
      <w:r>
        <w:rPr>
          <w:b/>
          <w:bCs/>
        </w:rPr>
        <w:t>36</w:t>
      </w:r>
      <w:r>
        <w:rPr>
          <w:b/>
          <w:bCs/>
        </w:rPr>
        <w:t>、政府补助</w:t>
      </w:r>
      <w:bookmarkEnd w:id="208"/>
    </w:p>
    <w:p w:rsidR="00E20B54" w:rsidRDefault="00733C9E" w:rsidP="00C57489">
      <w:pPr>
        <w:pStyle w:val="a3"/>
        <w:widowControl/>
        <w:adjustRightInd w:val="0"/>
        <w:snapToGrid w:val="0"/>
        <w:spacing w:beforeLines="50" w:before="156" w:beforeAutospacing="0" w:afterLines="50" w:after="156" w:afterAutospacing="0"/>
        <w:ind w:firstLine="420"/>
        <w:jc w:val="both"/>
        <w:rPr>
          <w:sz w:val="21"/>
          <w:szCs w:val="21"/>
        </w:rPr>
      </w:pPr>
      <w:r>
        <w:rPr>
          <w:sz w:val="21"/>
          <w:szCs w:val="21"/>
        </w:rPr>
        <w:t>政府补助是指本公司从政府无偿取得货币性资产和非货币性资产，不包括政府以投资者身份并享有相应所有者权益而投入的资本。政府补助分为与资产相关的政府补助和与收益相关的政府补助。本公司将所取得的用于购建或以其他方式形成长期资产的政府补助界定为与资产相关的政府补助；其余政府补助界定为与收益相关的政府补助。若政府文件未明确规定补助对象，则采用以下方式将补助款划分为与收益相关的政府补助和与资产相关的政府补助：</w:t>
      </w:r>
      <w:r>
        <w:rPr>
          <w:sz w:val="21"/>
          <w:szCs w:val="21"/>
        </w:rPr>
        <w:t>①</w:t>
      </w:r>
      <w:r>
        <w:rPr>
          <w:sz w:val="21"/>
          <w:szCs w:val="21"/>
        </w:rPr>
        <w:t>政府文件明确了补助所针对的特定项目的，根据该特定项目的预算中将形成资产的支出金额和计入费用的支出金额的相对比例进行划分，对该划分比例需在每个资产负债表日进行复核，必要时进行变更；</w:t>
      </w:r>
      <w:r>
        <w:rPr>
          <w:sz w:val="21"/>
          <w:szCs w:val="21"/>
        </w:rPr>
        <w:t>②</w:t>
      </w:r>
      <w:r>
        <w:rPr>
          <w:sz w:val="21"/>
          <w:szCs w:val="21"/>
        </w:rPr>
        <w:t>政府文件中对用途仅作一般性表述，没有指明特定项目的，作为与收益相关的政府补助。政府补助为货币性资产的，按照收到或应收的金额计量。政府补助为非货币性资产的，按照公允价值计量；公允价值不能够可靠取得的，按照名义金额计量。按照名义金额计量的政府补助，直接计入当期损益。</w:t>
      </w:r>
    </w:p>
    <w:p w:rsidR="00E20B54" w:rsidRDefault="00733C9E" w:rsidP="00C57489">
      <w:pPr>
        <w:pStyle w:val="a3"/>
        <w:widowControl/>
        <w:adjustRightInd w:val="0"/>
        <w:snapToGrid w:val="0"/>
        <w:spacing w:beforeLines="50" w:before="156" w:beforeAutospacing="0" w:afterLines="50" w:after="156" w:afterAutospacing="0"/>
        <w:ind w:firstLine="420"/>
        <w:jc w:val="both"/>
        <w:rPr>
          <w:sz w:val="21"/>
          <w:szCs w:val="21"/>
        </w:rPr>
      </w:pPr>
      <w:r>
        <w:rPr>
          <w:sz w:val="21"/>
          <w:szCs w:val="21"/>
        </w:rPr>
        <w:t>本公司对于政府补助通常在实际收到时，按照实收金额予以确认和计量。但对于期末有确凿证据表明能够符合财政扶持政策规定的相关条件预计能够收到财政扶持资金，按照应收的金额计量。按照应收金额计量的政府补助应同时符合以下条件：</w:t>
      </w:r>
      <w:r>
        <w:rPr>
          <w:sz w:val="21"/>
          <w:szCs w:val="21"/>
        </w:rPr>
        <w:t>①</w:t>
      </w:r>
      <w:r>
        <w:rPr>
          <w:sz w:val="21"/>
          <w:szCs w:val="21"/>
        </w:rPr>
        <w:t>应收补助款的金额已经过有权政府部门发文确认，或者可根据正式发布的财政资金管理办法的有关规定自行合理测算，且预计其金额不存在重大不确定性；</w:t>
      </w:r>
      <w:r>
        <w:rPr>
          <w:sz w:val="21"/>
          <w:szCs w:val="21"/>
        </w:rPr>
        <w:t>②</w:t>
      </w:r>
      <w:r>
        <w:rPr>
          <w:sz w:val="21"/>
          <w:szCs w:val="21"/>
        </w:rPr>
        <w:t>所</w:t>
      </w:r>
      <w:r>
        <w:rPr>
          <w:sz w:val="21"/>
          <w:szCs w:val="21"/>
        </w:rPr>
        <w:lastRenderedPageBreak/>
        <w:t>依据的是当地财政部门正式发布并按照《政府信息公开条例》的规定予以主动公开的财政扶持项目及其财政资金管理办法，且该管理办法应当是普惠性的（任何符合规定条件的企业均可申请），而不是专门针对特定企业制定的；</w:t>
      </w:r>
      <w:r>
        <w:rPr>
          <w:sz w:val="21"/>
          <w:szCs w:val="21"/>
        </w:rPr>
        <w:t>③</w:t>
      </w:r>
      <w:r>
        <w:rPr>
          <w:sz w:val="21"/>
          <w:szCs w:val="21"/>
        </w:rPr>
        <w:t>相关的补助款批文中已明确承诺了拨付期限，且该款项的拨付是有相应财政预算作为保障的，因而可以合理保证其可在规定期限内收到；</w:t>
      </w:r>
      <w:r>
        <w:rPr>
          <w:sz w:val="21"/>
          <w:szCs w:val="21"/>
        </w:rPr>
        <w:t>④</w:t>
      </w:r>
      <w:r>
        <w:rPr>
          <w:sz w:val="21"/>
          <w:szCs w:val="21"/>
        </w:rPr>
        <w:t>根据本公司和该补助事项的具体情况，应满足的其他相关条件（如有）。</w:t>
      </w:r>
    </w:p>
    <w:p w:rsidR="00E20B54" w:rsidRDefault="00733C9E" w:rsidP="00C57489">
      <w:pPr>
        <w:pStyle w:val="a3"/>
        <w:widowControl/>
        <w:adjustRightInd w:val="0"/>
        <w:snapToGrid w:val="0"/>
        <w:spacing w:beforeLines="50" w:before="156" w:beforeAutospacing="0" w:afterLines="50" w:after="156" w:afterAutospacing="0"/>
        <w:ind w:firstLine="420"/>
        <w:jc w:val="both"/>
        <w:rPr>
          <w:sz w:val="21"/>
          <w:szCs w:val="21"/>
        </w:rPr>
      </w:pPr>
      <w:r>
        <w:rPr>
          <w:sz w:val="21"/>
          <w:szCs w:val="21"/>
        </w:rPr>
        <w:t>与资产相关的政府补助，确认为递延收益，并在相关资产的使用寿命内按照合理、系统的方法分期计入当期损益。与收益相关的政府补助，用于补偿以后期间的相关成本费用或损失的，确认为递延收益，并在确认相关成本费用或损失的期间计入当期损益；用于补偿已经发生的相关成本费用或损失的，直接计入当期损益。</w:t>
      </w:r>
    </w:p>
    <w:p w:rsidR="00E20B54" w:rsidRDefault="00733C9E" w:rsidP="00C57489">
      <w:pPr>
        <w:pStyle w:val="a3"/>
        <w:widowControl/>
        <w:adjustRightInd w:val="0"/>
        <w:snapToGrid w:val="0"/>
        <w:spacing w:beforeLines="50" w:before="156" w:beforeAutospacing="0" w:afterLines="50" w:after="156" w:afterAutospacing="0"/>
        <w:ind w:firstLine="420"/>
        <w:jc w:val="both"/>
        <w:rPr>
          <w:sz w:val="21"/>
          <w:szCs w:val="21"/>
        </w:rPr>
      </w:pPr>
      <w:r>
        <w:rPr>
          <w:sz w:val="21"/>
          <w:szCs w:val="21"/>
        </w:rPr>
        <w:t>同时包含与资产相关部分和与收益相关部分的政府补助，区分不同部分分别进行会计处理；难以区分的，将其整体归类为与收益相关的政府补助。</w:t>
      </w:r>
    </w:p>
    <w:p w:rsidR="00E20B54" w:rsidRDefault="00733C9E" w:rsidP="00C57489">
      <w:pPr>
        <w:pStyle w:val="a3"/>
        <w:widowControl/>
        <w:adjustRightInd w:val="0"/>
        <w:snapToGrid w:val="0"/>
        <w:spacing w:beforeLines="50" w:before="156" w:beforeAutospacing="0" w:afterLines="50" w:after="156" w:afterAutospacing="0"/>
        <w:ind w:firstLine="420"/>
        <w:jc w:val="both"/>
        <w:rPr>
          <w:sz w:val="21"/>
          <w:szCs w:val="21"/>
        </w:rPr>
      </w:pPr>
      <w:r>
        <w:rPr>
          <w:sz w:val="21"/>
          <w:szCs w:val="21"/>
        </w:rPr>
        <w:t>与本公司日常活动相关的政府补助，按照经济业务的实质，计入其他收益或冲减相关成本费用；与日常活动无关的政府补助，计入营业外收支。</w:t>
      </w:r>
    </w:p>
    <w:p w:rsidR="00E20B54" w:rsidRDefault="00733C9E" w:rsidP="00C57489">
      <w:pPr>
        <w:pStyle w:val="a3"/>
        <w:widowControl/>
        <w:adjustRightInd w:val="0"/>
        <w:snapToGrid w:val="0"/>
        <w:spacing w:beforeLines="50" w:before="156" w:beforeAutospacing="0" w:afterLines="50" w:after="156" w:afterAutospacing="0"/>
        <w:ind w:firstLine="420"/>
        <w:jc w:val="both"/>
        <w:rPr>
          <w:sz w:val="21"/>
          <w:szCs w:val="21"/>
        </w:rPr>
      </w:pPr>
      <w:r>
        <w:rPr>
          <w:sz w:val="21"/>
          <w:szCs w:val="21"/>
        </w:rPr>
        <w:t>已确认的政府补助需要退回时，存在相关递延收益余额的，冲减相关递延收益账面余额，超出部分计入当期损益；属于其他情况的，直接计入当期损益。</w:t>
      </w:r>
    </w:p>
    <w:p w:rsidR="00E20B54" w:rsidRDefault="00733C9E" w:rsidP="00C57489">
      <w:pPr>
        <w:pStyle w:val="3"/>
        <w:adjustRightInd w:val="0"/>
        <w:snapToGrid w:val="0"/>
        <w:spacing w:beforeLines="50" w:before="156" w:afterLines="50" w:after="156" w:line="240" w:lineRule="auto"/>
        <w:jc w:val="left"/>
        <w:rPr>
          <w:b/>
          <w:bCs/>
        </w:rPr>
      </w:pPr>
      <w:bookmarkStart w:id="209" w:name="_Toc989097"/>
      <w:r>
        <w:rPr>
          <w:b/>
          <w:bCs/>
        </w:rPr>
        <w:t>37</w:t>
      </w:r>
      <w:r>
        <w:rPr>
          <w:b/>
          <w:bCs/>
        </w:rPr>
        <w:t>、递延所得税资产</w:t>
      </w:r>
      <w:r>
        <w:rPr>
          <w:b/>
          <w:bCs/>
        </w:rPr>
        <w:t>/</w:t>
      </w:r>
      <w:r>
        <w:rPr>
          <w:b/>
          <w:bCs/>
        </w:rPr>
        <w:t>递延所得税负债</w:t>
      </w:r>
      <w:bookmarkEnd w:id="209"/>
    </w:p>
    <w:p w:rsidR="00E20B54" w:rsidRDefault="00733C9E" w:rsidP="00C57489">
      <w:pPr>
        <w:pStyle w:val="a3"/>
        <w:widowControl/>
        <w:overflowPunct w:val="0"/>
        <w:adjustRightInd w:val="0"/>
        <w:snapToGrid w:val="0"/>
        <w:spacing w:beforeLines="50" w:before="156" w:beforeAutospacing="0" w:afterLines="50" w:after="156" w:afterAutospacing="0"/>
        <w:ind w:left="420"/>
      </w:pPr>
      <w:r>
        <w:rPr>
          <w:rStyle w:val="a4"/>
          <w:bCs/>
          <w:sz w:val="21"/>
          <w:szCs w:val="21"/>
        </w:rPr>
        <w:t>37.1</w:t>
      </w:r>
      <w:r>
        <w:rPr>
          <w:rStyle w:val="a4"/>
          <w:bCs/>
          <w:sz w:val="21"/>
          <w:szCs w:val="21"/>
        </w:rPr>
        <w:t>当期所得税</w:t>
      </w:r>
    </w:p>
    <w:p w:rsidR="00E20B54" w:rsidRDefault="00733C9E" w:rsidP="00C57489">
      <w:pPr>
        <w:pStyle w:val="a3"/>
        <w:widowControl/>
        <w:adjustRightInd w:val="0"/>
        <w:snapToGrid w:val="0"/>
        <w:spacing w:beforeLines="50" w:before="156" w:beforeAutospacing="0" w:afterLines="50" w:after="156" w:afterAutospacing="0"/>
        <w:ind w:firstLine="420"/>
        <w:jc w:val="both"/>
        <w:rPr>
          <w:sz w:val="21"/>
          <w:szCs w:val="21"/>
        </w:rPr>
      </w:pPr>
      <w:r>
        <w:rPr>
          <w:sz w:val="21"/>
          <w:szCs w:val="21"/>
        </w:rPr>
        <w:t>资产负债表日，对于当期和以前期间形成的当期所得税负债（或资产），以按照税法规定计算的预期应交纳（或返还）的所得税金额计量。计算当期所得税费用所依据的应纳税所得额系根据有关税法规定对本报告期税前会计利润作相应调整后计算得出。</w:t>
      </w:r>
    </w:p>
    <w:p w:rsidR="00E20B54" w:rsidRDefault="00733C9E" w:rsidP="00C57489">
      <w:pPr>
        <w:pStyle w:val="a3"/>
        <w:widowControl/>
        <w:overflowPunct w:val="0"/>
        <w:adjustRightInd w:val="0"/>
        <w:snapToGrid w:val="0"/>
        <w:spacing w:beforeLines="50" w:before="156" w:beforeAutospacing="0" w:afterLines="50" w:after="156" w:afterAutospacing="0"/>
        <w:ind w:left="420"/>
      </w:pPr>
      <w:r>
        <w:rPr>
          <w:rStyle w:val="a4"/>
          <w:bCs/>
          <w:sz w:val="21"/>
          <w:szCs w:val="21"/>
        </w:rPr>
        <w:t>37.2</w:t>
      </w:r>
      <w:r>
        <w:rPr>
          <w:rStyle w:val="a4"/>
          <w:bCs/>
          <w:sz w:val="21"/>
          <w:szCs w:val="21"/>
        </w:rPr>
        <w:t>递延所得税资产及递延所得税负债</w:t>
      </w:r>
    </w:p>
    <w:p w:rsidR="00E20B54" w:rsidRDefault="00733C9E" w:rsidP="00C57489">
      <w:pPr>
        <w:pStyle w:val="a3"/>
        <w:widowControl/>
        <w:adjustRightInd w:val="0"/>
        <w:snapToGrid w:val="0"/>
        <w:spacing w:beforeLines="50" w:before="156" w:beforeAutospacing="0" w:afterLines="50" w:after="156" w:afterAutospacing="0"/>
        <w:ind w:firstLine="420"/>
        <w:jc w:val="both"/>
        <w:rPr>
          <w:sz w:val="21"/>
          <w:szCs w:val="21"/>
        </w:rPr>
      </w:pPr>
      <w:r>
        <w:rPr>
          <w:sz w:val="21"/>
          <w:szCs w:val="21"/>
        </w:rPr>
        <w:t>某些资产、负债项目的账面价值与其计税基础之间的差额，以及未作为资产和负债确认但按照税法规定可以确定其计税基础的项目的账面价值与计税基础之间的差额产生的暂时性差异，采用资产负债表债务法确认递延所得税资产及递延所得税负债。</w:t>
      </w:r>
    </w:p>
    <w:p w:rsidR="00E20B54" w:rsidRDefault="00733C9E" w:rsidP="00C57489">
      <w:pPr>
        <w:pStyle w:val="a3"/>
        <w:widowControl/>
        <w:adjustRightInd w:val="0"/>
        <w:snapToGrid w:val="0"/>
        <w:spacing w:beforeLines="50" w:before="156" w:beforeAutospacing="0" w:afterLines="50" w:after="156" w:afterAutospacing="0"/>
        <w:ind w:firstLine="420"/>
        <w:jc w:val="both"/>
        <w:rPr>
          <w:sz w:val="21"/>
          <w:szCs w:val="21"/>
        </w:rPr>
      </w:pPr>
      <w:r>
        <w:rPr>
          <w:sz w:val="21"/>
          <w:szCs w:val="21"/>
        </w:rPr>
        <w:t>与商誉的初始确认有关，以及与既不是企业合并、发生时也不影响会计利润和应纳税所得额（或可抵扣亏损）且初始确认的资产和负债未导致产生等额应纳税暂时性差异和可抵扣暂时性差异的单项交易，交易中产生的资产或负债的初始确认有关的应纳税暂时性差异，不予确认有关的递延所得税负债。此外，对与子公司、联营企业及合营企业投资相关的应纳税暂时性差异，如果本公司能够控制暂时性差异转回的时间，而且该暂时性差异在可预见的未来很可能不会转回，也不予确认有关的递延所得税负债。除上述例外情况，本公司确认其他所有应纳税暂时性差异产生的递延所得税负债。</w:t>
      </w:r>
    </w:p>
    <w:p w:rsidR="00E20B54" w:rsidRDefault="00733C9E" w:rsidP="00C57489">
      <w:pPr>
        <w:pStyle w:val="a3"/>
        <w:widowControl/>
        <w:adjustRightInd w:val="0"/>
        <w:snapToGrid w:val="0"/>
        <w:spacing w:beforeLines="50" w:before="156" w:beforeAutospacing="0" w:afterLines="50" w:after="156" w:afterAutospacing="0"/>
        <w:ind w:firstLine="420"/>
        <w:jc w:val="both"/>
        <w:rPr>
          <w:sz w:val="21"/>
          <w:szCs w:val="21"/>
        </w:rPr>
      </w:pPr>
      <w:r>
        <w:rPr>
          <w:sz w:val="21"/>
          <w:szCs w:val="21"/>
        </w:rPr>
        <w:t>与既不是企业合并、发生时也不影响会计利润和应纳税所得额（或可抵扣亏损）且初始确认的资产和负债未导致产生等额应纳税暂时性差异和可抵扣暂时性差异的单项交易，交易中产生的资产或负债的初始确认有关的可抵扣暂时性差异，不予确认有关的递延所得税资产。此外，对与子公司、联营企业及合营企业投资相关的可抵扣暂时性差异，如果暂时性差异在可预见的未来不是很可能转回，或者未来不是很可能获得用来抵扣可抵扣暂时性差异的应纳税所得额，不予确认有关的递延所得税资产。除上述例外情况，本公司以很可能取得用来抵扣可抵扣暂时性差异的应纳税所得额为限，确认其他可抵扣暂时性差异产生的递延所得税资产。</w:t>
      </w:r>
    </w:p>
    <w:p w:rsidR="00E20B54" w:rsidRDefault="00733C9E" w:rsidP="00C57489">
      <w:pPr>
        <w:pStyle w:val="a3"/>
        <w:widowControl/>
        <w:adjustRightInd w:val="0"/>
        <w:snapToGrid w:val="0"/>
        <w:spacing w:beforeLines="50" w:before="156" w:beforeAutospacing="0" w:afterLines="50" w:after="156" w:afterAutospacing="0"/>
        <w:ind w:firstLine="420"/>
        <w:jc w:val="both"/>
        <w:rPr>
          <w:sz w:val="21"/>
          <w:szCs w:val="21"/>
        </w:rPr>
      </w:pPr>
      <w:r>
        <w:rPr>
          <w:sz w:val="21"/>
          <w:szCs w:val="21"/>
        </w:rPr>
        <w:t>对于能够结转以后年度的可抵扣亏损和税款抵减，以很可能获得用来抵扣可抵扣亏损和税款抵减的未来应纳税所得额为限，确认相应的递延所得税资产。</w:t>
      </w:r>
    </w:p>
    <w:p w:rsidR="00E20B54" w:rsidRDefault="00733C9E" w:rsidP="00C57489">
      <w:pPr>
        <w:pStyle w:val="a3"/>
        <w:widowControl/>
        <w:adjustRightInd w:val="0"/>
        <w:snapToGrid w:val="0"/>
        <w:spacing w:beforeLines="50" w:before="156" w:beforeAutospacing="0" w:afterLines="50" w:after="156" w:afterAutospacing="0"/>
        <w:ind w:firstLine="420"/>
        <w:jc w:val="both"/>
        <w:rPr>
          <w:sz w:val="21"/>
          <w:szCs w:val="21"/>
        </w:rPr>
      </w:pPr>
      <w:r>
        <w:rPr>
          <w:sz w:val="21"/>
          <w:szCs w:val="21"/>
        </w:rPr>
        <w:t>资产负债表日，对于递延所得税资产和递延所得税负债，根据税法规定，按照预期收回相关资产或清偿相关负债期间的适用税率计量。</w:t>
      </w:r>
    </w:p>
    <w:p w:rsidR="00E20B54" w:rsidRDefault="00733C9E" w:rsidP="00C57489">
      <w:pPr>
        <w:pStyle w:val="a3"/>
        <w:widowControl/>
        <w:adjustRightInd w:val="0"/>
        <w:snapToGrid w:val="0"/>
        <w:spacing w:beforeLines="50" w:before="156" w:beforeAutospacing="0" w:afterLines="50" w:after="156" w:afterAutospacing="0"/>
        <w:ind w:firstLine="420"/>
        <w:jc w:val="both"/>
        <w:rPr>
          <w:sz w:val="21"/>
          <w:szCs w:val="21"/>
        </w:rPr>
      </w:pPr>
      <w:r>
        <w:rPr>
          <w:sz w:val="21"/>
          <w:szCs w:val="21"/>
        </w:rPr>
        <w:lastRenderedPageBreak/>
        <w:t>于资产负债表日，对递延所得税资产的账面价值进行复核，如果未来很可能无法获得足够的应纳税所得额用以抵扣递延所得税资产的利益，则减记递延所得税资产的账面价值。在很可能获得足够的应纳税所得额时，减记的金额予以转回。</w:t>
      </w:r>
    </w:p>
    <w:p w:rsidR="00E20B54" w:rsidRDefault="00733C9E" w:rsidP="00C57489">
      <w:pPr>
        <w:pStyle w:val="a3"/>
        <w:widowControl/>
        <w:overflowPunct w:val="0"/>
        <w:adjustRightInd w:val="0"/>
        <w:snapToGrid w:val="0"/>
        <w:spacing w:beforeLines="50" w:before="156" w:beforeAutospacing="0" w:afterLines="50" w:after="156" w:afterAutospacing="0"/>
        <w:ind w:left="420"/>
      </w:pPr>
      <w:r>
        <w:rPr>
          <w:rStyle w:val="a4"/>
          <w:bCs/>
          <w:sz w:val="21"/>
          <w:szCs w:val="21"/>
        </w:rPr>
        <w:t>37.3</w:t>
      </w:r>
      <w:r>
        <w:rPr>
          <w:rStyle w:val="a4"/>
          <w:bCs/>
          <w:sz w:val="21"/>
          <w:szCs w:val="21"/>
        </w:rPr>
        <w:t>所得税费用</w:t>
      </w:r>
    </w:p>
    <w:p w:rsidR="00E20B54" w:rsidRDefault="00733C9E" w:rsidP="00C57489">
      <w:pPr>
        <w:pStyle w:val="a3"/>
        <w:widowControl/>
        <w:adjustRightInd w:val="0"/>
        <w:snapToGrid w:val="0"/>
        <w:spacing w:beforeLines="50" w:before="156" w:beforeAutospacing="0" w:afterLines="50" w:after="156" w:afterAutospacing="0"/>
        <w:ind w:firstLine="420"/>
        <w:jc w:val="both"/>
        <w:rPr>
          <w:sz w:val="21"/>
          <w:szCs w:val="21"/>
        </w:rPr>
      </w:pPr>
      <w:r>
        <w:rPr>
          <w:sz w:val="21"/>
          <w:szCs w:val="21"/>
        </w:rPr>
        <w:t>所得税费用包括当期所得税和递延所得税。</w:t>
      </w:r>
    </w:p>
    <w:p w:rsidR="00E20B54" w:rsidRDefault="00733C9E" w:rsidP="00C57489">
      <w:pPr>
        <w:pStyle w:val="a3"/>
        <w:widowControl/>
        <w:adjustRightInd w:val="0"/>
        <w:snapToGrid w:val="0"/>
        <w:spacing w:beforeLines="50" w:before="156" w:beforeAutospacing="0" w:afterLines="50" w:after="156" w:afterAutospacing="0"/>
        <w:ind w:firstLine="420"/>
        <w:jc w:val="both"/>
        <w:rPr>
          <w:sz w:val="21"/>
          <w:szCs w:val="21"/>
        </w:rPr>
      </w:pPr>
      <w:r>
        <w:rPr>
          <w:sz w:val="21"/>
          <w:szCs w:val="21"/>
        </w:rPr>
        <w:t>除确认为其他综合收益或直接计入股东权益的交易和事项相关的当期所得税和递延所得税计入其他综合收益或股东权益，以及企业合并产生的递延所得税调整商誉的账面价值外，其余当期所得税和递延所得税费用或收益计入当期损益。</w:t>
      </w:r>
    </w:p>
    <w:p w:rsidR="00E20B54" w:rsidRDefault="00733C9E" w:rsidP="00C57489">
      <w:pPr>
        <w:pStyle w:val="a3"/>
        <w:widowControl/>
        <w:adjustRightInd w:val="0"/>
        <w:snapToGrid w:val="0"/>
        <w:spacing w:beforeLines="50" w:before="156" w:beforeAutospacing="0" w:afterLines="50" w:after="156" w:afterAutospacing="0"/>
        <w:ind w:firstLine="420"/>
        <w:jc w:val="both"/>
        <w:rPr>
          <w:sz w:val="21"/>
          <w:szCs w:val="21"/>
        </w:rPr>
      </w:pPr>
      <w:r>
        <w:rPr>
          <w:sz w:val="21"/>
          <w:szCs w:val="21"/>
        </w:rPr>
        <w:t>所得税的抵销</w:t>
      </w:r>
    </w:p>
    <w:p w:rsidR="00E20B54" w:rsidRDefault="00733C9E" w:rsidP="00C57489">
      <w:pPr>
        <w:pStyle w:val="a3"/>
        <w:widowControl/>
        <w:adjustRightInd w:val="0"/>
        <w:snapToGrid w:val="0"/>
        <w:spacing w:beforeLines="50" w:before="156" w:beforeAutospacing="0" w:afterLines="50" w:after="156" w:afterAutospacing="0"/>
        <w:ind w:firstLine="420"/>
        <w:jc w:val="both"/>
        <w:rPr>
          <w:sz w:val="21"/>
          <w:szCs w:val="21"/>
        </w:rPr>
      </w:pPr>
      <w:r>
        <w:rPr>
          <w:sz w:val="21"/>
          <w:szCs w:val="21"/>
        </w:rPr>
        <w:t>当拥有以净额结算的法定权利，且意图以净额结算或取得资产、清偿负债同时进行时，本公司当期所得税资产及当期所得税负债以抵销后的净额列报。</w:t>
      </w:r>
    </w:p>
    <w:p w:rsidR="00E20B54" w:rsidRDefault="00733C9E" w:rsidP="00C57489">
      <w:pPr>
        <w:pStyle w:val="a3"/>
        <w:widowControl/>
        <w:adjustRightInd w:val="0"/>
        <w:snapToGrid w:val="0"/>
        <w:spacing w:beforeLines="50" w:before="156" w:beforeAutospacing="0" w:afterLines="50" w:after="156" w:afterAutospacing="0"/>
        <w:ind w:firstLine="420"/>
        <w:jc w:val="both"/>
        <w:rPr>
          <w:sz w:val="21"/>
          <w:szCs w:val="21"/>
        </w:rPr>
      </w:pPr>
      <w:r>
        <w:rPr>
          <w:sz w:val="21"/>
          <w:szCs w:val="21"/>
        </w:rPr>
        <w:t>当拥有以净额结算当期所得税资产及当期所得税负债的法定权利，且递延所得税资产及递延所得税负债是与同一税收征管部门对同一纳税主体征收的所得税相关或者是对不同的纳税主体相关，但在未来每一具有重要性的递延所得税资产及负债转回的期间内，涉及的纳税主体意图以净额结算当期所得税资产和负债或是同时取得资产、清偿负债时，本公司递延所得税资产及递延所得税负债以抵销后的净额列报。</w:t>
      </w:r>
    </w:p>
    <w:p w:rsidR="00E20B54" w:rsidRDefault="00733C9E" w:rsidP="00C57489">
      <w:pPr>
        <w:pStyle w:val="3"/>
        <w:adjustRightInd w:val="0"/>
        <w:snapToGrid w:val="0"/>
        <w:spacing w:beforeLines="50" w:before="156" w:afterLines="50" w:after="156" w:line="240" w:lineRule="auto"/>
        <w:jc w:val="left"/>
        <w:rPr>
          <w:b/>
          <w:bCs/>
        </w:rPr>
      </w:pPr>
      <w:bookmarkStart w:id="210" w:name="_Toc989098"/>
      <w:r>
        <w:rPr>
          <w:b/>
          <w:bCs/>
        </w:rPr>
        <w:t>38</w:t>
      </w:r>
      <w:r>
        <w:rPr>
          <w:b/>
          <w:bCs/>
        </w:rPr>
        <w:t>、租赁</w:t>
      </w:r>
      <w:bookmarkEnd w:id="210"/>
    </w:p>
    <w:p w:rsidR="00E20B54" w:rsidRDefault="00733C9E" w:rsidP="00C57489">
      <w:pPr>
        <w:keepNext/>
        <w:keepLines/>
        <w:adjustRightInd w:val="0"/>
        <w:snapToGrid w:val="0"/>
        <w:spacing w:beforeLines="50" w:before="156" w:afterLines="50" w:after="156"/>
        <w:outlineLvl w:val="3"/>
        <w:rPr>
          <w:b/>
          <w:bCs/>
          <w:szCs w:val="21"/>
        </w:rPr>
      </w:pPr>
      <w:bookmarkStart w:id="211" w:name="_Toc989099"/>
      <w:r>
        <w:rPr>
          <w:b/>
          <w:bCs/>
          <w:szCs w:val="21"/>
        </w:rPr>
        <w:t>（</w:t>
      </w:r>
      <w:r>
        <w:rPr>
          <w:b/>
          <w:bCs/>
          <w:szCs w:val="21"/>
        </w:rPr>
        <w:t>1</w:t>
      </w:r>
      <w:r>
        <w:rPr>
          <w:b/>
          <w:bCs/>
          <w:szCs w:val="21"/>
        </w:rPr>
        <w:t>）</w:t>
      </w:r>
      <w:r>
        <w:rPr>
          <w:b/>
          <w:bCs/>
          <w:szCs w:val="21"/>
        </w:rPr>
        <w:t xml:space="preserve"> </w:t>
      </w:r>
      <w:r>
        <w:rPr>
          <w:b/>
          <w:bCs/>
          <w:szCs w:val="21"/>
        </w:rPr>
        <w:t>作为承租方租赁的会计处理方法</w:t>
      </w:r>
      <w:bookmarkEnd w:id="211"/>
    </w:p>
    <w:p w:rsidR="00E20B54" w:rsidRDefault="00733C9E" w:rsidP="00C57489">
      <w:pPr>
        <w:pStyle w:val="a3"/>
        <w:widowControl/>
        <w:adjustRightInd w:val="0"/>
        <w:snapToGrid w:val="0"/>
        <w:spacing w:beforeLines="50" w:before="156" w:beforeAutospacing="0" w:afterLines="50" w:after="156" w:afterAutospacing="0"/>
        <w:ind w:firstLine="420"/>
        <w:rPr>
          <w:sz w:val="21"/>
          <w:szCs w:val="21"/>
        </w:rPr>
      </w:pPr>
      <w:r>
        <w:rPr>
          <w:sz w:val="21"/>
          <w:szCs w:val="21"/>
        </w:rPr>
        <w:t>本公司租赁资产的类别主要为房屋及建筑物。</w:t>
      </w:r>
    </w:p>
    <w:p w:rsidR="00E20B54" w:rsidRDefault="00733C9E" w:rsidP="00C57489">
      <w:pPr>
        <w:pStyle w:val="a3"/>
        <w:widowControl/>
        <w:adjustRightInd w:val="0"/>
        <w:snapToGrid w:val="0"/>
        <w:spacing w:beforeLines="50" w:before="156" w:beforeAutospacing="0" w:afterLines="50" w:after="156" w:afterAutospacing="0"/>
        <w:ind w:left="420"/>
      </w:pPr>
      <w:r>
        <w:rPr>
          <w:rStyle w:val="a4"/>
          <w:bCs/>
          <w:sz w:val="21"/>
          <w:szCs w:val="21"/>
        </w:rPr>
        <w:t>38.1.1</w:t>
      </w:r>
      <w:r>
        <w:rPr>
          <w:rStyle w:val="a4"/>
          <w:bCs/>
          <w:sz w:val="21"/>
          <w:szCs w:val="21"/>
        </w:rPr>
        <w:t>初始计量</w:t>
      </w:r>
    </w:p>
    <w:p w:rsidR="00E20B54" w:rsidRDefault="00733C9E" w:rsidP="00C57489">
      <w:pPr>
        <w:pStyle w:val="a3"/>
        <w:widowControl/>
        <w:adjustRightInd w:val="0"/>
        <w:snapToGrid w:val="0"/>
        <w:spacing w:beforeLines="50" w:before="156" w:beforeAutospacing="0" w:afterLines="50" w:after="156" w:afterAutospacing="0"/>
        <w:ind w:firstLine="420"/>
        <w:rPr>
          <w:sz w:val="21"/>
          <w:szCs w:val="21"/>
        </w:rPr>
      </w:pPr>
      <w:r>
        <w:rPr>
          <w:sz w:val="21"/>
          <w:szCs w:val="21"/>
        </w:rPr>
        <w:t>在租赁期开始日，本公司将可在租赁期内使用租赁资产的权利确认为使用权资产，将尚未支付的租赁付款额的现值确认为租赁负债，短期租赁和低价值资产租赁除外。在计算租赁付款额的现值时，本公司采用租赁内含利率作为折现率；无法确定租赁内含利率的，采用承租人增量借款利率作为折现率。</w:t>
      </w:r>
    </w:p>
    <w:p w:rsidR="00E20B54" w:rsidRDefault="00733C9E" w:rsidP="00C57489">
      <w:pPr>
        <w:pStyle w:val="a3"/>
        <w:widowControl/>
        <w:adjustRightInd w:val="0"/>
        <w:snapToGrid w:val="0"/>
        <w:spacing w:beforeLines="50" w:before="156" w:beforeAutospacing="0" w:afterLines="50" w:after="156" w:afterAutospacing="0"/>
        <w:ind w:left="420"/>
      </w:pPr>
      <w:r>
        <w:rPr>
          <w:rStyle w:val="a4"/>
          <w:bCs/>
          <w:sz w:val="21"/>
          <w:szCs w:val="21"/>
        </w:rPr>
        <w:t xml:space="preserve">38.1.2 </w:t>
      </w:r>
      <w:r>
        <w:rPr>
          <w:rStyle w:val="a4"/>
          <w:bCs/>
          <w:sz w:val="21"/>
          <w:szCs w:val="21"/>
        </w:rPr>
        <w:t>后续计量</w:t>
      </w:r>
    </w:p>
    <w:p w:rsidR="00E20B54" w:rsidRDefault="00733C9E" w:rsidP="00C57489">
      <w:pPr>
        <w:pStyle w:val="a3"/>
        <w:widowControl/>
        <w:adjustRightInd w:val="0"/>
        <w:snapToGrid w:val="0"/>
        <w:spacing w:beforeLines="50" w:before="156" w:beforeAutospacing="0" w:afterLines="50" w:after="156" w:afterAutospacing="0"/>
        <w:ind w:firstLine="420"/>
        <w:rPr>
          <w:sz w:val="21"/>
          <w:szCs w:val="21"/>
        </w:rPr>
      </w:pPr>
      <w:r>
        <w:rPr>
          <w:sz w:val="21"/>
          <w:szCs w:val="21"/>
        </w:rPr>
        <w:t>本公司参照《企业会计准则第</w:t>
      </w:r>
      <w:r>
        <w:rPr>
          <w:sz w:val="21"/>
          <w:szCs w:val="21"/>
        </w:rPr>
        <w:t>4</w:t>
      </w:r>
      <w:r>
        <w:rPr>
          <w:sz w:val="21"/>
          <w:szCs w:val="21"/>
        </w:rPr>
        <w:t>号</w:t>
      </w:r>
      <w:r>
        <w:rPr>
          <w:sz w:val="21"/>
          <w:szCs w:val="21"/>
        </w:rPr>
        <w:t>——</w:t>
      </w:r>
      <w:r>
        <w:rPr>
          <w:sz w:val="21"/>
          <w:szCs w:val="21"/>
        </w:rPr>
        <w:t>固定资产》有关折旧规定对使用权资产计提折旧（详见</w:t>
      </w:r>
      <w:r>
        <w:rPr>
          <w:sz w:val="21"/>
          <w:szCs w:val="21"/>
        </w:rPr>
        <w:t>“</w:t>
      </w:r>
      <w:r>
        <w:rPr>
          <w:sz w:val="21"/>
          <w:szCs w:val="21"/>
        </w:rPr>
        <w:t>本节五、</w:t>
      </w:r>
      <w:r>
        <w:rPr>
          <w:sz w:val="21"/>
          <w:szCs w:val="21"/>
        </w:rPr>
        <w:t>24 </w:t>
      </w:r>
      <w:r>
        <w:rPr>
          <w:sz w:val="21"/>
          <w:szCs w:val="21"/>
        </w:rPr>
        <w:t>固定资产</w:t>
      </w:r>
      <w:r>
        <w:rPr>
          <w:sz w:val="21"/>
          <w:szCs w:val="21"/>
        </w:rPr>
        <w:t>”</w:t>
      </w:r>
      <w:r>
        <w:rPr>
          <w:sz w:val="21"/>
          <w:szCs w:val="21"/>
        </w:rPr>
        <w:t>），能够合理确定租赁期届满时取得租赁资产所有权的，本公司在租赁资产剩余使用寿命内计提折旧。无法合理确定租赁期届满时能够取得租赁资产所有权的，本公司在租赁期与租赁资产剩余使用寿命两者孰短的期间内计提折旧。</w:t>
      </w:r>
    </w:p>
    <w:p w:rsidR="00E20B54" w:rsidRDefault="00733C9E" w:rsidP="00C57489">
      <w:pPr>
        <w:pStyle w:val="a3"/>
        <w:widowControl/>
        <w:adjustRightInd w:val="0"/>
        <w:snapToGrid w:val="0"/>
        <w:spacing w:beforeLines="50" w:before="156" w:beforeAutospacing="0" w:afterLines="50" w:after="156" w:afterAutospacing="0"/>
        <w:ind w:firstLine="420"/>
        <w:rPr>
          <w:sz w:val="21"/>
          <w:szCs w:val="21"/>
        </w:rPr>
      </w:pPr>
      <w:r>
        <w:rPr>
          <w:sz w:val="21"/>
          <w:szCs w:val="21"/>
        </w:rPr>
        <w:t>对于租赁负债，本公司按照固定的周期性利率计算其在租赁期内各期间的利息费用，计入当期损益或计入相关资产成本。未纳入租赁负债计量的可变租赁付款额在实际发生时计入当期损益或相关资产成本。</w:t>
      </w:r>
    </w:p>
    <w:p w:rsidR="00E20B54" w:rsidRDefault="00733C9E" w:rsidP="00C57489">
      <w:pPr>
        <w:pStyle w:val="a3"/>
        <w:widowControl/>
        <w:adjustRightInd w:val="0"/>
        <w:snapToGrid w:val="0"/>
        <w:spacing w:beforeLines="50" w:before="156" w:beforeAutospacing="0" w:afterLines="50" w:after="156" w:afterAutospacing="0"/>
        <w:ind w:firstLine="420"/>
        <w:rPr>
          <w:sz w:val="21"/>
          <w:szCs w:val="21"/>
        </w:rPr>
      </w:pPr>
      <w:r>
        <w:rPr>
          <w:sz w:val="21"/>
          <w:szCs w:val="21"/>
        </w:rPr>
        <w:t>租赁期开始日后，当实质固定付款额发生变动、担保余值预计的应付金额发生变化、用于确定租赁付款额的指数或比率发生变动、购买选择权、续租选择权或终止选择权的评估结果或实际行权情况发生变化时，本公司按照变动后的租赁付款额的现值重新计量租赁负债，并相应调整使用权资产的账面价值。使用权资产账面价值已调减至零，但租赁负债仍需进一步调减的，本公司将剩余金额计入当期损益。</w:t>
      </w:r>
    </w:p>
    <w:p w:rsidR="00E20B54" w:rsidRDefault="00733C9E" w:rsidP="00C57489">
      <w:pPr>
        <w:pStyle w:val="a3"/>
        <w:widowControl/>
        <w:adjustRightInd w:val="0"/>
        <w:snapToGrid w:val="0"/>
        <w:spacing w:beforeLines="50" w:before="156" w:beforeAutospacing="0" w:afterLines="50" w:after="156" w:afterAutospacing="0"/>
        <w:ind w:left="420"/>
      </w:pPr>
      <w:r>
        <w:rPr>
          <w:rStyle w:val="a4"/>
          <w:bCs/>
          <w:sz w:val="21"/>
          <w:szCs w:val="21"/>
        </w:rPr>
        <w:t xml:space="preserve">38.1.3 </w:t>
      </w:r>
      <w:r>
        <w:rPr>
          <w:rStyle w:val="a4"/>
          <w:bCs/>
          <w:sz w:val="21"/>
          <w:szCs w:val="21"/>
        </w:rPr>
        <w:t>短期租赁和低价值资产租赁</w:t>
      </w:r>
    </w:p>
    <w:p w:rsidR="00E20B54" w:rsidRDefault="00733C9E" w:rsidP="00C57489">
      <w:pPr>
        <w:pStyle w:val="a3"/>
        <w:widowControl/>
        <w:adjustRightInd w:val="0"/>
        <w:snapToGrid w:val="0"/>
        <w:spacing w:beforeLines="50" w:before="156" w:beforeAutospacing="0" w:afterLines="50" w:after="156" w:afterAutospacing="0"/>
        <w:ind w:firstLine="420"/>
        <w:rPr>
          <w:sz w:val="21"/>
          <w:szCs w:val="21"/>
        </w:rPr>
      </w:pPr>
      <w:r>
        <w:rPr>
          <w:sz w:val="21"/>
          <w:szCs w:val="21"/>
        </w:rPr>
        <w:t>对于短期租赁（在租赁开始日租赁期不超过</w:t>
      </w:r>
      <w:r>
        <w:rPr>
          <w:sz w:val="21"/>
          <w:szCs w:val="21"/>
        </w:rPr>
        <w:t>12</w:t>
      </w:r>
      <w:r>
        <w:rPr>
          <w:sz w:val="21"/>
          <w:szCs w:val="21"/>
        </w:rPr>
        <w:t>个月的租赁）和低价值资产租赁，本公司采取简化处理方法，不确认使用权资产和租赁负债，而在租赁期内各个期间按照直线法或其他系统合理的方法将租赁付款额计入相关资产成本或当期损益。</w:t>
      </w:r>
    </w:p>
    <w:p w:rsidR="00E20B54" w:rsidRDefault="00733C9E" w:rsidP="00C57489">
      <w:pPr>
        <w:keepNext/>
        <w:keepLines/>
        <w:adjustRightInd w:val="0"/>
        <w:snapToGrid w:val="0"/>
        <w:spacing w:beforeLines="50" w:before="156" w:afterLines="50" w:after="156"/>
        <w:outlineLvl w:val="3"/>
        <w:rPr>
          <w:b/>
          <w:bCs/>
          <w:szCs w:val="21"/>
        </w:rPr>
      </w:pPr>
      <w:bookmarkStart w:id="212" w:name="_Toc989100"/>
      <w:r>
        <w:rPr>
          <w:b/>
          <w:bCs/>
          <w:szCs w:val="21"/>
        </w:rPr>
        <w:lastRenderedPageBreak/>
        <w:t>（</w:t>
      </w:r>
      <w:r>
        <w:rPr>
          <w:b/>
          <w:bCs/>
          <w:szCs w:val="21"/>
        </w:rPr>
        <w:t>2</w:t>
      </w:r>
      <w:r>
        <w:rPr>
          <w:b/>
          <w:bCs/>
          <w:szCs w:val="21"/>
        </w:rPr>
        <w:t>）</w:t>
      </w:r>
      <w:r>
        <w:rPr>
          <w:b/>
          <w:bCs/>
          <w:szCs w:val="21"/>
        </w:rPr>
        <w:t xml:space="preserve"> </w:t>
      </w:r>
      <w:r>
        <w:rPr>
          <w:b/>
          <w:bCs/>
          <w:szCs w:val="21"/>
        </w:rPr>
        <w:t>作为出租方租赁的会计处理方法</w:t>
      </w:r>
      <w:bookmarkEnd w:id="212"/>
    </w:p>
    <w:p w:rsidR="00E20B54" w:rsidRDefault="00733C9E" w:rsidP="00C57489">
      <w:pPr>
        <w:pStyle w:val="a3"/>
        <w:widowControl/>
        <w:adjustRightInd w:val="0"/>
        <w:snapToGrid w:val="0"/>
        <w:spacing w:beforeLines="50" w:before="156" w:beforeAutospacing="0" w:afterLines="50" w:after="156" w:afterAutospacing="0"/>
        <w:ind w:firstLine="420"/>
        <w:rPr>
          <w:sz w:val="21"/>
          <w:szCs w:val="21"/>
        </w:rPr>
      </w:pPr>
      <w:r>
        <w:rPr>
          <w:sz w:val="21"/>
          <w:szCs w:val="21"/>
        </w:rPr>
        <w:t>本公司在租赁开始日，基于交易的实质，将租赁分为融资租赁和经营租赁。融资租赁是指实质上转移了与租赁资产所有权有关的几乎全部风险和报酬的租赁。经营租赁是指除融资租赁以外的其他租赁。</w:t>
      </w:r>
    </w:p>
    <w:p w:rsidR="00E20B54" w:rsidRDefault="00733C9E" w:rsidP="00C57489">
      <w:pPr>
        <w:pStyle w:val="a3"/>
        <w:widowControl/>
        <w:adjustRightInd w:val="0"/>
        <w:snapToGrid w:val="0"/>
        <w:spacing w:beforeLines="50" w:before="156" w:beforeAutospacing="0" w:afterLines="50" w:after="156" w:afterAutospacing="0"/>
        <w:ind w:left="420"/>
      </w:pPr>
      <w:r>
        <w:rPr>
          <w:rStyle w:val="a4"/>
          <w:bCs/>
          <w:sz w:val="21"/>
          <w:szCs w:val="21"/>
        </w:rPr>
        <w:t>38</w:t>
      </w:r>
      <w:r>
        <w:rPr>
          <w:rStyle w:val="a4"/>
          <w:sz w:val="21"/>
          <w:szCs w:val="21"/>
        </w:rPr>
        <w:t>.2.1</w:t>
      </w:r>
      <w:r>
        <w:rPr>
          <w:rStyle w:val="a4"/>
          <w:sz w:val="21"/>
          <w:szCs w:val="21"/>
        </w:rPr>
        <w:t>经营租赁</w:t>
      </w:r>
    </w:p>
    <w:p w:rsidR="00E20B54" w:rsidRDefault="00733C9E" w:rsidP="00C57489">
      <w:pPr>
        <w:pStyle w:val="a3"/>
        <w:widowControl/>
        <w:adjustRightInd w:val="0"/>
        <w:snapToGrid w:val="0"/>
        <w:spacing w:beforeLines="50" w:before="156" w:beforeAutospacing="0" w:afterLines="50" w:after="156" w:afterAutospacing="0"/>
        <w:ind w:firstLine="420"/>
        <w:rPr>
          <w:sz w:val="21"/>
          <w:szCs w:val="21"/>
        </w:rPr>
      </w:pPr>
      <w:r>
        <w:rPr>
          <w:sz w:val="21"/>
          <w:szCs w:val="21"/>
        </w:rPr>
        <w:t>本公司采用直线法将经营租赁的租赁收款额确认为租赁期内各期间的租金收入。与经营租赁有关的未计入租赁收款额的可变租赁付款额，于实际发生时计入当期损益。</w:t>
      </w:r>
    </w:p>
    <w:p w:rsidR="00E20B54" w:rsidRDefault="00733C9E" w:rsidP="00C57489">
      <w:pPr>
        <w:pStyle w:val="a3"/>
        <w:widowControl/>
        <w:adjustRightInd w:val="0"/>
        <w:snapToGrid w:val="0"/>
        <w:spacing w:beforeLines="50" w:before="156" w:beforeAutospacing="0" w:afterLines="50" w:after="156" w:afterAutospacing="0"/>
        <w:ind w:left="420"/>
      </w:pPr>
      <w:r>
        <w:rPr>
          <w:rStyle w:val="a4"/>
          <w:bCs/>
          <w:sz w:val="21"/>
          <w:szCs w:val="21"/>
        </w:rPr>
        <w:t>38</w:t>
      </w:r>
      <w:r>
        <w:rPr>
          <w:rStyle w:val="a4"/>
          <w:sz w:val="21"/>
          <w:szCs w:val="21"/>
        </w:rPr>
        <w:t>.2.2</w:t>
      </w:r>
      <w:r>
        <w:rPr>
          <w:rStyle w:val="a4"/>
          <w:sz w:val="21"/>
          <w:szCs w:val="21"/>
        </w:rPr>
        <w:t>融资租赁</w:t>
      </w:r>
    </w:p>
    <w:p w:rsidR="00E20B54" w:rsidRDefault="00733C9E" w:rsidP="00C57489">
      <w:pPr>
        <w:pStyle w:val="a3"/>
        <w:widowControl/>
        <w:adjustRightInd w:val="0"/>
        <w:snapToGrid w:val="0"/>
        <w:spacing w:beforeLines="50" w:before="156" w:beforeAutospacing="0" w:afterLines="50" w:after="156" w:afterAutospacing="0"/>
        <w:ind w:firstLine="420"/>
        <w:rPr>
          <w:sz w:val="21"/>
          <w:szCs w:val="21"/>
        </w:rPr>
      </w:pPr>
      <w:r>
        <w:rPr>
          <w:sz w:val="21"/>
          <w:szCs w:val="21"/>
        </w:rPr>
        <w:t>于租赁期开始日，本公司确认应收融资租赁款，并终止确认融资租赁资产。应收融资租赁款以租赁投资净额（未担保余值和租赁期开始日尚未收到的租赁收款额按照租赁内含利率折现的现值之和）进行初始计量，并按照固定的周期性利率计算确认租赁期内的利息收入。本公司取得的未纳入租赁投资净额计量的可变租赁付款额在实际发生时计入当期损益。</w:t>
      </w:r>
    </w:p>
    <w:p w:rsidR="00E20B54" w:rsidRDefault="00733C9E" w:rsidP="00C57489">
      <w:pPr>
        <w:pStyle w:val="3"/>
        <w:adjustRightInd w:val="0"/>
        <w:snapToGrid w:val="0"/>
        <w:spacing w:beforeLines="50" w:before="156" w:afterLines="50" w:after="156" w:line="240" w:lineRule="auto"/>
        <w:jc w:val="left"/>
        <w:rPr>
          <w:b/>
          <w:bCs/>
        </w:rPr>
      </w:pPr>
      <w:bookmarkStart w:id="213" w:name="_Toc989101"/>
      <w:r>
        <w:rPr>
          <w:b/>
          <w:bCs/>
        </w:rPr>
        <w:t>39</w:t>
      </w:r>
      <w:r>
        <w:rPr>
          <w:b/>
          <w:bCs/>
        </w:rPr>
        <w:t>、其他重要的会计政策和会计估计</w:t>
      </w:r>
      <w:bookmarkEnd w:id="213"/>
    </w:p>
    <w:p w:rsidR="00E20B54" w:rsidRDefault="00733C9E" w:rsidP="00C57489">
      <w:pPr>
        <w:pStyle w:val="3"/>
        <w:adjustRightInd w:val="0"/>
        <w:snapToGrid w:val="0"/>
        <w:spacing w:beforeLines="50" w:before="156" w:afterLines="50" w:after="156" w:line="240" w:lineRule="auto"/>
        <w:jc w:val="left"/>
        <w:rPr>
          <w:b/>
          <w:bCs/>
        </w:rPr>
      </w:pPr>
      <w:bookmarkStart w:id="214" w:name="_Toc989102"/>
      <w:r>
        <w:rPr>
          <w:b/>
          <w:bCs/>
        </w:rPr>
        <w:t>40</w:t>
      </w:r>
      <w:r>
        <w:rPr>
          <w:b/>
          <w:bCs/>
        </w:rPr>
        <w:t>、重要会计政策和会计估计变更</w:t>
      </w:r>
      <w:bookmarkEnd w:id="214"/>
    </w:p>
    <w:p w:rsidR="00E20B54" w:rsidRDefault="00733C9E" w:rsidP="00C57489">
      <w:pPr>
        <w:keepNext/>
        <w:keepLines/>
        <w:adjustRightInd w:val="0"/>
        <w:snapToGrid w:val="0"/>
        <w:spacing w:beforeLines="50" w:before="156" w:afterLines="50" w:after="156"/>
        <w:outlineLvl w:val="3"/>
        <w:rPr>
          <w:b/>
          <w:bCs/>
          <w:sz w:val="18"/>
          <w:szCs w:val="18"/>
        </w:rPr>
      </w:pPr>
      <w:bookmarkStart w:id="215" w:name="_Toc989103"/>
      <w:r>
        <w:rPr>
          <w:b/>
          <w:bCs/>
          <w:sz w:val="18"/>
          <w:szCs w:val="18"/>
        </w:rPr>
        <w:t>（</w:t>
      </w:r>
      <w:r>
        <w:rPr>
          <w:b/>
          <w:bCs/>
          <w:sz w:val="18"/>
          <w:szCs w:val="18"/>
        </w:rPr>
        <w:t>1</w:t>
      </w:r>
      <w:r>
        <w:rPr>
          <w:b/>
          <w:bCs/>
          <w:sz w:val="18"/>
          <w:szCs w:val="18"/>
        </w:rPr>
        <w:t>）</w:t>
      </w:r>
      <w:r>
        <w:rPr>
          <w:b/>
          <w:bCs/>
          <w:sz w:val="18"/>
          <w:szCs w:val="18"/>
        </w:rPr>
        <w:t xml:space="preserve"> </w:t>
      </w:r>
      <w:r>
        <w:rPr>
          <w:b/>
          <w:bCs/>
          <w:sz w:val="18"/>
          <w:szCs w:val="18"/>
        </w:rPr>
        <w:t>重要会计政策变更</w:t>
      </w:r>
      <w:bookmarkEnd w:id="215"/>
    </w:p>
    <w:p w:rsidR="00E20B54" w:rsidRDefault="00733C9E" w:rsidP="00C57489">
      <w:pPr>
        <w:adjustRightInd w:val="0"/>
        <w:snapToGrid w:val="0"/>
        <w:spacing w:beforeLines="50" w:before="156" w:afterLines="50" w:after="156"/>
        <w:rPr>
          <w:sz w:val="18"/>
          <w:szCs w:val="18"/>
        </w:rPr>
      </w:pPr>
      <w:r>
        <w:rPr>
          <w:sz w:val="18"/>
          <w:szCs w:val="18"/>
        </w:rPr>
        <w:t>□</w:t>
      </w:r>
      <w:r>
        <w:rPr>
          <w:sz w:val="18"/>
          <w:szCs w:val="18"/>
        </w:rPr>
        <w:t>适用</w:t>
      </w:r>
      <w:r>
        <w:rPr>
          <w:sz w:val="18"/>
          <w:szCs w:val="18"/>
        </w:rPr>
        <w:t xml:space="preserve"> </w:t>
      </w:r>
      <w:r>
        <w:rPr>
          <w:sz w:val="18"/>
          <w:szCs w:val="18"/>
        </w:rPr>
        <w:sym w:font="Wingdings 2" w:char="F052"/>
      </w:r>
      <w:r>
        <w:rPr>
          <w:sz w:val="18"/>
          <w:szCs w:val="18"/>
        </w:rPr>
        <w:t>不适用</w:t>
      </w:r>
    </w:p>
    <w:p w:rsidR="00E20B54" w:rsidRDefault="00733C9E" w:rsidP="00C57489">
      <w:pPr>
        <w:keepNext/>
        <w:keepLines/>
        <w:adjustRightInd w:val="0"/>
        <w:snapToGrid w:val="0"/>
        <w:spacing w:beforeLines="50" w:before="156" w:afterLines="50" w:after="156"/>
        <w:outlineLvl w:val="3"/>
        <w:rPr>
          <w:b/>
          <w:bCs/>
          <w:sz w:val="18"/>
          <w:szCs w:val="18"/>
        </w:rPr>
      </w:pPr>
      <w:bookmarkStart w:id="216" w:name="_Toc989104"/>
      <w:r>
        <w:rPr>
          <w:b/>
          <w:bCs/>
          <w:sz w:val="18"/>
          <w:szCs w:val="18"/>
        </w:rPr>
        <w:t>（</w:t>
      </w:r>
      <w:r>
        <w:rPr>
          <w:b/>
          <w:bCs/>
          <w:sz w:val="18"/>
          <w:szCs w:val="18"/>
        </w:rPr>
        <w:t>2</w:t>
      </w:r>
      <w:r>
        <w:rPr>
          <w:b/>
          <w:bCs/>
          <w:sz w:val="18"/>
          <w:szCs w:val="18"/>
        </w:rPr>
        <w:t>）</w:t>
      </w:r>
      <w:r>
        <w:rPr>
          <w:b/>
          <w:bCs/>
          <w:sz w:val="18"/>
          <w:szCs w:val="18"/>
        </w:rPr>
        <w:t xml:space="preserve"> </w:t>
      </w:r>
      <w:r>
        <w:rPr>
          <w:b/>
          <w:bCs/>
          <w:sz w:val="18"/>
          <w:szCs w:val="18"/>
        </w:rPr>
        <w:t>重要会计估计变更</w:t>
      </w:r>
      <w:bookmarkEnd w:id="216"/>
    </w:p>
    <w:p w:rsidR="00E20B54" w:rsidRDefault="00733C9E" w:rsidP="00C57489">
      <w:pPr>
        <w:adjustRightInd w:val="0"/>
        <w:snapToGrid w:val="0"/>
        <w:spacing w:beforeLines="50" w:before="156" w:afterLines="50" w:after="156"/>
        <w:rPr>
          <w:sz w:val="18"/>
          <w:szCs w:val="18"/>
        </w:rPr>
      </w:pPr>
      <w:r>
        <w:rPr>
          <w:sz w:val="18"/>
          <w:szCs w:val="18"/>
        </w:rPr>
        <w:t>□</w:t>
      </w:r>
      <w:r>
        <w:rPr>
          <w:sz w:val="18"/>
          <w:szCs w:val="18"/>
        </w:rPr>
        <w:t>适用</w:t>
      </w:r>
      <w:r>
        <w:rPr>
          <w:sz w:val="18"/>
          <w:szCs w:val="18"/>
        </w:rPr>
        <w:t xml:space="preserve"> </w:t>
      </w:r>
      <w:r>
        <w:rPr>
          <w:sz w:val="18"/>
          <w:szCs w:val="18"/>
        </w:rPr>
        <w:sym w:font="Wingdings 2" w:char="F052"/>
      </w:r>
      <w:r>
        <w:rPr>
          <w:sz w:val="18"/>
          <w:szCs w:val="18"/>
        </w:rPr>
        <w:t>不适用</w:t>
      </w:r>
    </w:p>
    <w:p w:rsidR="00E20B54" w:rsidRDefault="00733C9E" w:rsidP="00C57489">
      <w:pPr>
        <w:keepNext/>
        <w:keepLines/>
        <w:adjustRightInd w:val="0"/>
        <w:snapToGrid w:val="0"/>
        <w:spacing w:beforeLines="50" w:before="156" w:afterLines="50" w:after="156"/>
        <w:outlineLvl w:val="3"/>
        <w:rPr>
          <w:b/>
          <w:bCs/>
          <w:sz w:val="18"/>
          <w:szCs w:val="18"/>
        </w:rPr>
      </w:pPr>
      <w:bookmarkStart w:id="217" w:name="_Toc989105"/>
      <w:r>
        <w:rPr>
          <w:b/>
          <w:bCs/>
          <w:sz w:val="18"/>
          <w:szCs w:val="18"/>
        </w:rPr>
        <w:t>（</w:t>
      </w:r>
      <w:r>
        <w:rPr>
          <w:b/>
          <w:bCs/>
          <w:sz w:val="18"/>
          <w:szCs w:val="18"/>
        </w:rPr>
        <w:t>3</w:t>
      </w:r>
      <w:r>
        <w:rPr>
          <w:b/>
          <w:bCs/>
          <w:sz w:val="18"/>
          <w:szCs w:val="18"/>
        </w:rPr>
        <w:t>）</w:t>
      </w:r>
      <w:r>
        <w:rPr>
          <w:b/>
          <w:bCs/>
          <w:sz w:val="18"/>
          <w:szCs w:val="18"/>
        </w:rPr>
        <w:t xml:space="preserve"> 2025</w:t>
      </w:r>
      <w:r>
        <w:rPr>
          <w:b/>
          <w:bCs/>
          <w:sz w:val="18"/>
          <w:szCs w:val="18"/>
        </w:rPr>
        <w:t>年起首次执行新会计准则调整首次执行当年年初财务报表相关项目情况</w:t>
      </w:r>
      <w:bookmarkEnd w:id="217"/>
    </w:p>
    <w:p w:rsidR="00E20B54" w:rsidRDefault="00733C9E" w:rsidP="00C57489">
      <w:pPr>
        <w:adjustRightInd w:val="0"/>
        <w:snapToGrid w:val="0"/>
        <w:spacing w:beforeLines="50" w:before="156" w:afterLines="50" w:after="156"/>
        <w:rPr>
          <w:sz w:val="18"/>
          <w:szCs w:val="18"/>
        </w:rPr>
      </w:pPr>
      <w:r>
        <w:rPr>
          <w:sz w:val="18"/>
          <w:szCs w:val="18"/>
        </w:rPr>
        <w:t>□</w:t>
      </w:r>
      <w:r>
        <w:rPr>
          <w:sz w:val="18"/>
          <w:szCs w:val="18"/>
        </w:rPr>
        <w:t>适用</w:t>
      </w:r>
      <w:r>
        <w:rPr>
          <w:sz w:val="18"/>
          <w:szCs w:val="18"/>
        </w:rPr>
        <w:t xml:space="preserve"> </w:t>
      </w:r>
      <w:r>
        <w:rPr>
          <w:sz w:val="18"/>
          <w:szCs w:val="18"/>
        </w:rPr>
        <w:sym w:font="Wingdings 2" w:char="F052"/>
      </w:r>
      <w:r>
        <w:rPr>
          <w:sz w:val="18"/>
          <w:szCs w:val="18"/>
        </w:rPr>
        <w:t>不适用</w:t>
      </w:r>
    </w:p>
    <w:p w:rsidR="00E20B54" w:rsidRDefault="00733C9E">
      <w:pPr>
        <w:pStyle w:val="3"/>
        <w:spacing w:line="280" w:lineRule="exact"/>
        <w:jc w:val="left"/>
        <w:rPr>
          <w:b/>
          <w:bCs/>
        </w:rPr>
      </w:pPr>
      <w:bookmarkStart w:id="218" w:name="_Toc989106"/>
      <w:r>
        <w:rPr>
          <w:b/>
          <w:bCs/>
        </w:rPr>
        <w:t>41</w:t>
      </w:r>
      <w:r>
        <w:rPr>
          <w:b/>
          <w:bCs/>
        </w:rPr>
        <w:t>、其他</w:t>
      </w:r>
      <w:bookmarkEnd w:id="218"/>
    </w:p>
    <w:p w:rsidR="00E20B54" w:rsidRDefault="00733C9E">
      <w:pPr>
        <w:pStyle w:val="2"/>
        <w:spacing w:before="300" w:after="300" w:line="320" w:lineRule="exact"/>
        <w:rPr>
          <w:b/>
          <w:bCs/>
          <w:sz w:val="24"/>
          <w:szCs w:val="24"/>
        </w:rPr>
      </w:pPr>
      <w:bookmarkStart w:id="219" w:name="_Toc989107"/>
      <w:r>
        <w:rPr>
          <w:b/>
          <w:bCs/>
          <w:sz w:val="24"/>
          <w:szCs w:val="24"/>
        </w:rPr>
        <w:t>六、税项</w:t>
      </w:r>
      <w:bookmarkEnd w:id="219"/>
    </w:p>
    <w:p w:rsidR="00E20B54" w:rsidRDefault="00733C9E">
      <w:pPr>
        <w:pStyle w:val="3"/>
        <w:spacing w:line="280" w:lineRule="exact"/>
        <w:jc w:val="left"/>
        <w:rPr>
          <w:b/>
          <w:bCs/>
        </w:rPr>
      </w:pPr>
      <w:bookmarkStart w:id="220" w:name="_Toc989108"/>
      <w:r>
        <w:rPr>
          <w:b/>
          <w:bCs/>
        </w:rPr>
        <w:t>1</w:t>
      </w:r>
      <w:r>
        <w:rPr>
          <w:b/>
          <w:bCs/>
        </w:rPr>
        <w:t>、主要税种及税率</w:t>
      </w:r>
      <w:bookmarkEnd w:id="220"/>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税种</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计税依据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税率</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增值税</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应纳税增值额</w:t>
            </w:r>
            <w:r>
              <w:rPr>
                <w:sz w:val="18"/>
                <w:szCs w:val="18"/>
              </w:rPr>
              <w:t>(</w:t>
            </w:r>
            <w:r>
              <w:rPr>
                <w:sz w:val="18"/>
                <w:szCs w:val="18"/>
              </w:rPr>
              <w:t>应纳税额按应纳税销售额乘以适用税率扣除当期允许抵扣的进项税后的余额计算</w:t>
            </w:r>
            <w:r>
              <w:rPr>
                <w:sz w:val="18"/>
                <w:szCs w:val="18"/>
              </w:rPr>
              <w:t>)</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13%</w:t>
            </w:r>
            <w:r>
              <w:rPr>
                <w:sz w:val="18"/>
                <w:szCs w:val="18"/>
              </w:rPr>
              <w:t>、</w:t>
            </w:r>
            <w:r>
              <w:rPr>
                <w:sz w:val="18"/>
                <w:szCs w:val="18"/>
              </w:rPr>
              <w:t>9%</w:t>
            </w:r>
            <w:r>
              <w:rPr>
                <w:sz w:val="18"/>
                <w:szCs w:val="18"/>
              </w:rPr>
              <w:t>、</w:t>
            </w:r>
            <w:r>
              <w:rPr>
                <w:sz w:val="18"/>
                <w:szCs w:val="18"/>
              </w:rPr>
              <w:t>6%</w:t>
            </w:r>
            <w:r>
              <w:rPr>
                <w:sz w:val="18"/>
                <w:szCs w:val="18"/>
              </w:rPr>
              <w:t>、</w:t>
            </w:r>
            <w:r>
              <w:rPr>
                <w:sz w:val="18"/>
                <w:szCs w:val="18"/>
              </w:rPr>
              <w:t>0%</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城市维护建设税</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缴纳的增值税税额</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7%</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企业所得税</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应纳税所得额</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15%</w:t>
            </w:r>
            <w:r>
              <w:rPr>
                <w:sz w:val="18"/>
                <w:szCs w:val="18"/>
              </w:rPr>
              <w:t>、</w:t>
            </w:r>
            <w:r>
              <w:rPr>
                <w:sz w:val="18"/>
                <w:szCs w:val="18"/>
              </w:rPr>
              <w:t>8.25%</w:t>
            </w:r>
            <w:r>
              <w:rPr>
                <w:sz w:val="18"/>
                <w:szCs w:val="18"/>
              </w:rPr>
              <w:t>、</w:t>
            </w:r>
            <w:r>
              <w:rPr>
                <w:sz w:val="18"/>
                <w:szCs w:val="18"/>
              </w:rPr>
              <w:t>20%</w:t>
            </w:r>
            <w:r>
              <w:rPr>
                <w:sz w:val="18"/>
                <w:szCs w:val="18"/>
              </w:rPr>
              <w:t>、</w:t>
            </w:r>
            <w:r>
              <w:rPr>
                <w:sz w:val="18"/>
                <w:szCs w:val="18"/>
              </w:rPr>
              <w:t>25%</w:t>
            </w:r>
          </w:p>
        </w:tc>
      </w:tr>
      <w:tr w:rsidR="00E20B54" w:rsidTr="00AD528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9D9D9" w:themeFill="background1" w:themeFillShade="D9"/>
            <w:vAlign w:val="center"/>
          </w:tcPr>
          <w:p w:rsidR="00E20B54" w:rsidRDefault="00733C9E">
            <w:pPr>
              <w:spacing w:line="240" w:lineRule="exact"/>
              <w:rPr>
                <w:sz w:val="18"/>
                <w:szCs w:val="18"/>
              </w:rPr>
            </w:pPr>
            <w:r>
              <w:rPr>
                <w:sz w:val="18"/>
                <w:szCs w:val="18"/>
              </w:rPr>
              <w:t>教育费附加</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缴纳的增值税税额</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3%</w:t>
            </w:r>
            <w:r>
              <w:rPr>
                <w:sz w:val="18"/>
                <w:szCs w:val="18"/>
              </w:rPr>
              <w:t>、</w:t>
            </w:r>
            <w:r>
              <w:rPr>
                <w:sz w:val="18"/>
                <w:szCs w:val="18"/>
              </w:rPr>
              <w:t>2%</w:t>
            </w:r>
          </w:p>
        </w:tc>
      </w:tr>
    </w:tbl>
    <w:p w:rsidR="00E20B54" w:rsidRDefault="00733C9E">
      <w:pPr>
        <w:spacing w:before="40" w:after="40" w:line="240" w:lineRule="exact"/>
        <w:rPr>
          <w:sz w:val="18"/>
          <w:szCs w:val="18"/>
        </w:rPr>
      </w:pPr>
      <w:r>
        <w:rPr>
          <w:sz w:val="18"/>
          <w:szCs w:val="18"/>
        </w:rPr>
        <w:t>存在不同企业所得税税率纳税主体的，披露情况说明</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4820"/>
        <w:gridCol w:w="4819"/>
      </w:tblGrid>
      <w:tr w:rsidR="00E20B54" w:rsidTr="00AD5282">
        <w:trPr>
          <w:trHeight w:val="240"/>
          <w:tblHeader/>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纳税主体名称</w:t>
            </w:r>
          </w:p>
        </w:tc>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所得税税率</w:t>
            </w:r>
          </w:p>
        </w:tc>
      </w:tr>
      <w:tr w:rsidR="00E20B54">
        <w:trPr>
          <w:trHeight w:val="240"/>
        </w:trPr>
        <w:tc>
          <w:tcPr>
            <w:tcW w:w="482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广东天亿马信息产业股份有限公司</w:t>
            </w:r>
          </w:p>
        </w:tc>
        <w:tc>
          <w:tcPr>
            <w:tcW w:w="482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15%</w:t>
            </w:r>
          </w:p>
        </w:tc>
      </w:tr>
      <w:tr w:rsidR="00E20B54">
        <w:trPr>
          <w:trHeight w:val="240"/>
        </w:trPr>
        <w:tc>
          <w:tcPr>
            <w:tcW w:w="482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深圳市互联精英信息技术有限公司</w:t>
            </w:r>
          </w:p>
        </w:tc>
        <w:tc>
          <w:tcPr>
            <w:tcW w:w="482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15%</w:t>
            </w:r>
          </w:p>
        </w:tc>
      </w:tr>
      <w:tr w:rsidR="00E20B54">
        <w:trPr>
          <w:trHeight w:val="240"/>
        </w:trPr>
        <w:tc>
          <w:tcPr>
            <w:tcW w:w="482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广东翼启数据产业有限公司</w:t>
            </w:r>
          </w:p>
        </w:tc>
        <w:tc>
          <w:tcPr>
            <w:tcW w:w="482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15%</w:t>
            </w:r>
          </w:p>
        </w:tc>
      </w:tr>
      <w:tr w:rsidR="00E20B54">
        <w:trPr>
          <w:trHeight w:val="240"/>
        </w:trPr>
        <w:tc>
          <w:tcPr>
            <w:tcW w:w="482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天亿马信息技术有限公司</w:t>
            </w:r>
          </w:p>
        </w:tc>
        <w:tc>
          <w:tcPr>
            <w:tcW w:w="482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15%</w:t>
            </w:r>
          </w:p>
        </w:tc>
      </w:tr>
      <w:tr w:rsidR="00E20B54">
        <w:trPr>
          <w:trHeight w:val="240"/>
        </w:trPr>
        <w:tc>
          <w:tcPr>
            <w:tcW w:w="482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广东天亿马信息科技有限公司</w:t>
            </w:r>
          </w:p>
        </w:tc>
        <w:tc>
          <w:tcPr>
            <w:tcW w:w="482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20%</w:t>
            </w:r>
          </w:p>
        </w:tc>
      </w:tr>
      <w:tr w:rsidR="00E20B54">
        <w:trPr>
          <w:trHeight w:val="240"/>
        </w:trPr>
        <w:tc>
          <w:tcPr>
            <w:tcW w:w="482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广图粤科（广州）科技有限公司</w:t>
            </w:r>
          </w:p>
        </w:tc>
        <w:tc>
          <w:tcPr>
            <w:tcW w:w="482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20%</w:t>
            </w:r>
          </w:p>
        </w:tc>
      </w:tr>
      <w:tr w:rsidR="00E20B54">
        <w:trPr>
          <w:trHeight w:val="240"/>
        </w:trPr>
        <w:tc>
          <w:tcPr>
            <w:tcW w:w="482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粤科睿肯（上海）科技有限公司</w:t>
            </w:r>
          </w:p>
        </w:tc>
        <w:tc>
          <w:tcPr>
            <w:tcW w:w="482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20%</w:t>
            </w:r>
          </w:p>
        </w:tc>
      </w:tr>
      <w:tr w:rsidR="00E20B54">
        <w:trPr>
          <w:trHeight w:val="240"/>
        </w:trPr>
        <w:tc>
          <w:tcPr>
            <w:tcW w:w="482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广东天亿马数字能源有限公司</w:t>
            </w:r>
          </w:p>
        </w:tc>
        <w:tc>
          <w:tcPr>
            <w:tcW w:w="482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20%</w:t>
            </w:r>
          </w:p>
        </w:tc>
      </w:tr>
      <w:tr w:rsidR="00E20B54">
        <w:trPr>
          <w:trHeight w:val="240"/>
        </w:trPr>
        <w:tc>
          <w:tcPr>
            <w:tcW w:w="482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桓台爱康新能源有限公司</w:t>
            </w:r>
          </w:p>
        </w:tc>
        <w:tc>
          <w:tcPr>
            <w:tcW w:w="482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20%</w:t>
            </w:r>
          </w:p>
        </w:tc>
      </w:tr>
      <w:tr w:rsidR="00E20B54">
        <w:trPr>
          <w:trHeight w:val="240"/>
        </w:trPr>
        <w:tc>
          <w:tcPr>
            <w:tcW w:w="482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lastRenderedPageBreak/>
              <w:t>桓台爱道光伏发电有限公司</w:t>
            </w:r>
          </w:p>
        </w:tc>
        <w:tc>
          <w:tcPr>
            <w:tcW w:w="482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20%</w:t>
            </w:r>
          </w:p>
        </w:tc>
      </w:tr>
      <w:tr w:rsidR="00E20B54">
        <w:trPr>
          <w:trHeight w:val="240"/>
        </w:trPr>
        <w:tc>
          <w:tcPr>
            <w:tcW w:w="482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邯郸庚源新能源科技有限公司</w:t>
            </w:r>
          </w:p>
        </w:tc>
        <w:tc>
          <w:tcPr>
            <w:tcW w:w="482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20%</w:t>
            </w:r>
          </w:p>
        </w:tc>
      </w:tr>
      <w:tr w:rsidR="00E20B54">
        <w:trPr>
          <w:trHeight w:val="240"/>
        </w:trPr>
        <w:tc>
          <w:tcPr>
            <w:tcW w:w="482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湖南天晨新能源有限公司</w:t>
            </w:r>
          </w:p>
        </w:tc>
        <w:tc>
          <w:tcPr>
            <w:tcW w:w="482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25%</w:t>
            </w:r>
          </w:p>
        </w:tc>
      </w:tr>
      <w:tr w:rsidR="00E20B54">
        <w:trPr>
          <w:trHeight w:val="240"/>
        </w:trPr>
        <w:tc>
          <w:tcPr>
            <w:tcW w:w="482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广东天亿马新能源产业发展有限公司</w:t>
            </w:r>
          </w:p>
        </w:tc>
        <w:tc>
          <w:tcPr>
            <w:tcW w:w="482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20%</w:t>
            </w:r>
          </w:p>
        </w:tc>
      </w:tr>
      <w:tr w:rsidR="00E20B54">
        <w:trPr>
          <w:trHeight w:val="240"/>
        </w:trPr>
        <w:tc>
          <w:tcPr>
            <w:tcW w:w="482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深圳市亿泰新能源有限公司</w:t>
            </w:r>
          </w:p>
        </w:tc>
        <w:tc>
          <w:tcPr>
            <w:tcW w:w="482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20%</w:t>
            </w:r>
          </w:p>
        </w:tc>
      </w:tr>
      <w:tr w:rsidR="00E20B54">
        <w:trPr>
          <w:trHeight w:val="240"/>
        </w:trPr>
        <w:tc>
          <w:tcPr>
            <w:tcW w:w="482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广西亿泰新能源有限公司</w:t>
            </w:r>
          </w:p>
        </w:tc>
        <w:tc>
          <w:tcPr>
            <w:tcW w:w="482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20%</w:t>
            </w:r>
          </w:p>
        </w:tc>
      </w:tr>
      <w:tr w:rsidR="00E20B54">
        <w:trPr>
          <w:trHeight w:val="240"/>
        </w:trPr>
        <w:tc>
          <w:tcPr>
            <w:tcW w:w="482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广州路创轨道科技有限公司</w:t>
            </w:r>
          </w:p>
        </w:tc>
        <w:tc>
          <w:tcPr>
            <w:tcW w:w="482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20%</w:t>
            </w:r>
          </w:p>
        </w:tc>
      </w:tr>
      <w:tr w:rsidR="00E20B54">
        <w:trPr>
          <w:trHeight w:val="240"/>
        </w:trPr>
        <w:tc>
          <w:tcPr>
            <w:tcW w:w="482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广东天亿马数字产业有限公司</w:t>
            </w:r>
          </w:p>
        </w:tc>
        <w:tc>
          <w:tcPr>
            <w:tcW w:w="482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20%</w:t>
            </w:r>
          </w:p>
        </w:tc>
      </w:tr>
      <w:tr w:rsidR="00E20B54">
        <w:trPr>
          <w:trHeight w:val="240"/>
        </w:trPr>
        <w:tc>
          <w:tcPr>
            <w:tcW w:w="482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广州市天亿马信息技术有限公司</w:t>
            </w:r>
          </w:p>
        </w:tc>
        <w:tc>
          <w:tcPr>
            <w:tcW w:w="482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20%</w:t>
            </w:r>
          </w:p>
        </w:tc>
      </w:tr>
      <w:tr w:rsidR="00E20B54">
        <w:trPr>
          <w:trHeight w:val="240"/>
        </w:trPr>
        <w:tc>
          <w:tcPr>
            <w:tcW w:w="482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深圳市天亿马信息技术有限公司</w:t>
            </w:r>
          </w:p>
        </w:tc>
        <w:tc>
          <w:tcPr>
            <w:tcW w:w="482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25%</w:t>
            </w:r>
          </w:p>
        </w:tc>
      </w:tr>
      <w:tr w:rsidR="00E20B54">
        <w:trPr>
          <w:trHeight w:val="240"/>
        </w:trPr>
        <w:tc>
          <w:tcPr>
            <w:tcW w:w="482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天亿马（香港）信息产业有限公司</w:t>
            </w:r>
          </w:p>
        </w:tc>
        <w:tc>
          <w:tcPr>
            <w:tcW w:w="482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8.25%</w:t>
            </w:r>
          </w:p>
        </w:tc>
      </w:tr>
      <w:tr w:rsidR="00E20B54">
        <w:trPr>
          <w:trHeight w:val="240"/>
        </w:trPr>
        <w:tc>
          <w:tcPr>
            <w:tcW w:w="482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海南天亿马数字能源有限公司</w:t>
            </w:r>
          </w:p>
        </w:tc>
        <w:tc>
          <w:tcPr>
            <w:tcW w:w="482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25%</w:t>
            </w:r>
          </w:p>
        </w:tc>
      </w:tr>
      <w:tr w:rsidR="00E20B54">
        <w:trPr>
          <w:trHeight w:val="240"/>
        </w:trPr>
        <w:tc>
          <w:tcPr>
            <w:tcW w:w="482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天亿马新能源（衡阳）有限公司</w:t>
            </w:r>
          </w:p>
        </w:tc>
        <w:tc>
          <w:tcPr>
            <w:tcW w:w="482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20%</w:t>
            </w:r>
          </w:p>
        </w:tc>
      </w:tr>
      <w:tr w:rsidR="00E20B54">
        <w:trPr>
          <w:trHeight w:val="240"/>
        </w:trPr>
        <w:tc>
          <w:tcPr>
            <w:tcW w:w="482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衡阳凯晶新能源有限公司</w:t>
            </w:r>
          </w:p>
        </w:tc>
        <w:tc>
          <w:tcPr>
            <w:tcW w:w="482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20%</w:t>
            </w:r>
          </w:p>
        </w:tc>
      </w:tr>
    </w:tbl>
    <w:p w:rsidR="00E20B54" w:rsidRDefault="00733C9E">
      <w:pPr>
        <w:pStyle w:val="3"/>
        <w:spacing w:line="280" w:lineRule="exact"/>
        <w:jc w:val="left"/>
        <w:rPr>
          <w:b/>
          <w:bCs/>
        </w:rPr>
      </w:pPr>
      <w:bookmarkStart w:id="221" w:name="_Toc989109"/>
      <w:r>
        <w:rPr>
          <w:b/>
          <w:bCs/>
        </w:rPr>
        <w:t>2</w:t>
      </w:r>
      <w:r>
        <w:rPr>
          <w:b/>
          <w:bCs/>
        </w:rPr>
        <w:t>、税收优惠</w:t>
      </w:r>
      <w:bookmarkEnd w:id="221"/>
    </w:p>
    <w:p w:rsidR="00E20B54" w:rsidRDefault="00733C9E" w:rsidP="00AD5282">
      <w:pPr>
        <w:pStyle w:val="a3"/>
        <w:widowControl/>
        <w:adjustRightInd w:val="0"/>
        <w:snapToGrid w:val="0"/>
        <w:spacing w:beforeLines="50" w:before="156" w:beforeAutospacing="0" w:afterLines="50" w:after="156" w:afterAutospacing="0"/>
        <w:ind w:firstLine="420"/>
        <w:rPr>
          <w:sz w:val="21"/>
          <w:szCs w:val="21"/>
        </w:rPr>
      </w:pPr>
      <w:r>
        <w:rPr>
          <w:sz w:val="21"/>
          <w:szCs w:val="21"/>
        </w:rPr>
        <w:t>本公司于</w:t>
      </w:r>
      <w:r>
        <w:rPr>
          <w:sz w:val="21"/>
          <w:szCs w:val="21"/>
        </w:rPr>
        <w:t>2023</w:t>
      </w:r>
      <w:r>
        <w:rPr>
          <w:sz w:val="21"/>
          <w:szCs w:val="21"/>
        </w:rPr>
        <w:t>年</w:t>
      </w:r>
      <w:r>
        <w:rPr>
          <w:sz w:val="21"/>
          <w:szCs w:val="21"/>
        </w:rPr>
        <w:t>12</w:t>
      </w:r>
      <w:r>
        <w:rPr>
          <w:sz w:val="21"/>
          <w:szCs w:val="21"/>
        </w:rPr>
        <w:t>月</w:t>
      </w:r>
      <w:r>
        <w:rPr>
          <w:sz w:val="21"/>
          <w:szCs w:val="21"/>
        </w:rPr>
        <w:t>28</w:t>
      </w:r>
      <w:r>
        <w:rPr>
          <w:sz w:val="21"/>
          <w:szCs w:val="21"/>
        </w:rPr>
        <w:t>日取得广东省科学技术厅、广东省财政厅、国家税务总局广东省税务局联合下发的编号</w:t>
      </w:r>
      <w:r>
        <w:rPr>
          <w:sz w:val="21"/>
          <w:szCs w:val="21"/>
        </w:rPr>
        <w:t>GR202344010435</w:t>
      </w:r>
      <w:r>
        <w:rPr>
          <w:sz w:val="21"/>
          <w:szCs w:val="21"/>
        </w:rPr>
        <w:t>的高新技术企业证书，证书有效期为三年（</w:t>
      </w:r>
      <w:r>
        <w:rPr>
          <w:sz w:val="21"/>
          <w:szCs w:val="21"/>
        </w:rPr>
        <w:t>2023—2025</w:t>
      </w:r>
      <w:r>
        <w:rPr>
          <w:sz w:val="21"/>
          <w:szCs w:val="21"/>
        </w:rPr>
        <w:t>年）。根据企业所得税法第二十八条规定：</w:t>
      </w:r>
      <w:r>
        <w:rPr>
          <w:sz w:val="21"/>
          <w:szCs w:val="21"/>
        </w:rPr>
        <w:t>“</w:t>
      </w:r>
      <w:r>
        <w:rPr>
          <w:sz w:val="21"/>
          <w:szCs w:val="21"/>
        </w:rPr>
        <w:t>国家需要重点扶持的高新技术企业，减按</w:t>
      </w:r>
      <w:r>
        <w:rPr>
          <w:sz w:val="21"/>
          <w:szCs w:val="21"/>
        </w:rPr>
        <w:t>15%</w:t>
      </w:r>
      <w:r>
        <w:rPr>
          <w:sz w:val="21"/>
          <w:szCs w:val="21"/>
        </w:rPr>
        <w:t>的税率征收企业所得税</w:t>
      </w:r>
      <w:r>
        <w:rPr>
          <w:sz w:val="21"/>
          <w:szCs w:val="21"/>
        </w:rPr>
        <w:t>”</w:t>
      </w:r>
      <w:r>
        <w:rPr>
          <w:sz w:val="21"/>
          <w:szCs w:val="21"/>
        </w:rPr>
        <w:t>，</w:t>
      </w:r>
      <w:r>
        <w:rPr>
          <w:sz w:val="21"/>
          <w:szCs w:val="21"/>
        </w:rPr>
        <w:t>2023</w:t>
      </w:r>
      <w:r>
        <w:rPr>
          <w:sz w:val="21"/>
          <w:szCs w:val="21"/>
        </w:rPr>
        <w:t>年度至</w:t>
      </w:r>
      <w:r>
        <w:rPr>
          <w:sz w:val="21"/>
          <w:szCs w:val="21"/>
        </w:rPr>
        <w:t>2025</w:t>
      </w:r>
      <w:r>
        <w:rPr>
          <w:sz w:val="21"/>
          <w:szCs w:val="21"/>
        </w:rPr>
        <w:t>年度，本公司适用</w:t>
      </w:r>
      <w:r>
        <w:rPr>
          <w:sz w:val="21"/>
          <w:szCs w:val="21"/>
        </w:rPr>
        <w:t>15%</w:t>
      </w:r>
      <w:r>
        <w:rPr>
          <w:sz w:val="21"/>
          <w:szCs w:val="21"/>
        </w:rPr>
        <w:t>的企业所得税税率。</w:t>
      </w:r>
    </w:p>
    <w:p w:rsidR="00E20B54" w:rsidRDefault="00733C9E" w:rsidP="00AD5282">
      <w:pPr>
        <w:pStyle w:val="a3"/>
        <w:widowControl/>
        <w:adjustRightInd w:val="0"/>
        <w:snapToGrid w:val="0"/>
        <w:spacing w:beforeLines="50" w:before="156" w:beforeAutospacing="0" w:afterLines="50" w:after="156" w:afterAutospacing="0"/>
        <w:ind w:firstLine="420"/>
        <w:rPr>
          <w:sz w:val="21"/>
          <w:szCs w:val="21"/>
        </w:rPr>
      </w:pPr>
      <w:r>
        <w:rPr>
          <w:sz w:val="21"/>
          <w:szCs w:val="21"/>
        </w:rPr>
        <w:t>子公司深圳市互联精英信息技术有限公司（以下简称</w:t>
      </w:r>
      <w:r>
        <w:rPr>
          <w:sz w:val="21"/>
          <w:szCs w:val="21"/>
        </w:rPr>
        <w:t>“</w:t>
      </w:r>
      <w:r>
        <w:rPr>
          <w:sz w:val="21"/>
          <w:szCs w:val="21"/>
        </w:rPr>
        <w:t>互联精英</w:t>
      </w:r>
      <w:r>
        <w:rPr>
          <w:sz w:val="21"/>
          <w:szCs w:val="21"/>
        </w:rPr>
        <w:t>”</w:t>
      </w:r>
      <w:r>
        <w:rPr>
          <w:sz w:val="21"/>
          <w:szCs w:val="21"/>
        </w:rPr>
        <w:t>）于</w:t>
      </w:r>
      <w:r>
        <w:rPr>
          <w:sz w:val="21"/>
          <w:szCs w:val="21"/>
        </w:rPr>
        <w:t>2025</w:t>
      </w:r>
      <w:r>
        <w:rPr>
          <w:sz w:val="21"/>
          <w:szCs w:val="21"/>
        </w:rPr>
        <w:t>年</w:t>
      </w:r>
      <w:r>
        <w:rPr>
          <w:sz w:val="21"/>
          <w:szCs w:val="21"/>
        </w:rPr>
        <w:t>12</w:t>
      </w:r>
      <w:r>
        <w:rPr>
          <w:sz w:val="21"/>
          <w:szCs w:val="21"/>
        </w:rPr>
        <w:t>月</w:t>
      </w:r>
      <w:r>
        <w:rPr>
          <w:sz w:val="21"/>
          <w:szCs w:val="21"/>
        </w:rPr>
        <w:t>25</w:t>
      </w:r>
      <w:r>
        <w:rPr>
          <w:sz w:val="21"/>
          <w:szCs w:val="21"/>
        </w:rPr>
        <w:t>日取得深圳市工业和信息化局、深圳市财政局、国家税务总局深圳市税务局联合下发的编号</w:t>
      </w:r>
      <w:r>
        <w:rPr>
          <w:sz w:val="21"/>
          <w:szCs w:val="21"/>
        </w:rPr>
        <w:t>GR202544202042</w:t>
      </w:r>
      <w:r>
        <w:rPr>
          <w:sz w:val="21"/>
          <w:szCs w:val="21"/>
        </w:rPr>
        <w:t>的高新技术企业证书。根据企业所得税法第二十八条规定：</w:t>
      </w:r>
      <w:r>
        <w:rPr>
          <w:sz w:val="21"/>
          <w:szCs w:val="21"/>
        </w:rPr>
        <w:t>“</w:t>
      </w:r>
      <w:r>
        <w:rPr>
          <w:sz w:val="21"/>
          <w:szCs w:val="21"/>
        </w:rPr>
        <w:t>国家需要重点扶持的高新技术企业，减按</w:t>
      </w:r>
      <w:r>
        <w:rPr>
          <w:sz w:val="21"/>
          <w:szCs w:val="21"/>
        </w:rPr>
        <w:t>15%</w:t>
      </w:r>
      <w:r>
        <w:rPr>
          <w:sz w:val="21"/>
          <w:szCs w:val="21"/>
        </w:rPr>
        <w:t>的税率征收企业所得税</w:t>
      </w:r>
      <w:r>
        <w:rPr>
          <w:sz w:val="21"/>
          <w:szCs w:val="21"/>
        </w:rPr>
        <w:t>”</w:t>
      </w:r>
      <w:r>
        <w:rPr>
          <w:sz w:val="21"/>
          <w:szCs w:val="21"/>
        </w:rPr>
        <w:t>，</w:t>
      </w:r>
      <w:r>
        <w:rPr>
          <w:sz w:val="21"/>
          <w:szCs w:val="21"/>
        </w:rPr>
        <w:t>2025</w:t>
      </w:r>
      <w:r>
        <w:rPr>
          <w:sz w:val="21"/>
          <w:szCs w:val="21"/>
        </w:rPr>
        <w:t>年度至</w:t>
      </w:r>
      <w:r>
        <w:rPr>
          <w:sz w:val="21"/>
          <w:szCs w:val="21"/>
        </w:rPr>
        <w:t>2027</w:t>
      </w:r>
      <w:r>
        <w:rPr>
          <w:sz w:val="21"/>
          <w:szCs w:val="21"/>
        </w:rPr>
        <w:t>年度，互联精英适用</w:t>
      </w:r>
      <w:r>
        <w:rPr>
          <w:sz w:val="21"/>
          <w:szCs w:val="21"/>
        </w:rPr>
        <w:t>15%</w:t>
      </w:r>
      <w:r>
        <w:rPr>
          <w:sz w:val="21"/>
          <w:szCs w:val="21"/>
        </w:rPr>
        <w:t>的企业所得税税率。</w:t>
      </w:r>
    </w:p>
    <w:p w:rsidR="00E20B54" w:rsidRDefault="00733C9E" w:rsidP="00AD5282">
      <w:pPr>
        <w:pStyle w:val="a3"/>
        <w:widowControl/>
        <w:adjustRightInd w:val="0"/>
        <w:snapToGrid w:val="0"/>
        <w:spacing w:beforeLines="50" w:before="156" w:beforeAutospacing="0" w:afterLines="50" w:after="156" w:afterAutospacing="0"/>
        <w:ind w:firstLine="420"/>
        <w:rPr>
          <w:sz w:val="21"/>
          <w:szCs w:val="21"/>
        </w:rPr>
      </w:pPr>
      <w:r>
        <w:rPr>
          <w:sz w:val="21"/>
          <w:szCs w:val="21"/>
        </w:rPr>
        <w:t>根据《财政部税务总局关于进一步支持小微企业和个体工商户发展有关税费政策的公告》（财政部税务总局公告</w:t>
      </w:r>
      <w:r>
        <w:rPr>
          <w:sz w:val="21"/>
          <w:szCs w:val="21"/>
        </w:rPr>
        <w:t>2023</w:t>
      </w:r>
      <w:r>
        <w:rPr>
          <w:sz w:val="21"/>
          <w:szCs w:val="21"/>
        </w:rPr>
        <w:t>年第</w:t>
      </w:r>
      <w:r>
        <w:rPr>
          <w:sz w:val="21"/>
          <w:szCs w:val="21"/>
        </w:rPr>
        <w:t>12</w:t>
      </w:r>
      <w:r>
        <w:rPr>
          <w:sz w:val="21"/>
          <w:szCs w:val="21"/>
        </w:rPr>
        <w:t>号），对小型微利企业减按</w:t>
      </w:r>
      <w:r>
        <w:rPr>
          <w:sz w:val="21"/>
          <w:szCs w:val="21"/>
        </w:rPr>
        <w:t>25%</w:t>
      </w:r>
      <w:r>
        <w:rPr>
          <w:sz w:val="21"/>
          <w:szCs w:val="21"/>
        </w:rPr>
        <w:t>计算应纳税所得额，按</w:t>
      </w:r>
      <w:r>
        <w:rPr>
          <w:sz w:val="21"/>
          <w:szCs w:val="21"/>
        </w:rPr>
        <w:t>20%</w:t>
      </w:r>
      <w:r>
        <w:rPr>
          <w:sz w:val="21"/>
          <w:szCs w:val="21"/>
        </w:rPr>
        <w:t>的税率缴纳企业所得税政策，延续执行至</w:t>
      </w:r>
      <w:r>
        <w:rPr>
          <w:sz w:val="21"/>
          <w:szCs w:val="21"/>
        </w:rPr>
        <w:t>2027</w:t>
      </w:r>
      <w:r>
        <w:rPr>
          <w:sz w:val="21"/>
          <w:szCs w:val="21"/>
        </w:rPr>
        <w:t>年</w:t>
      </w:r>
      <w:r>
        <w:rPr>
          <w:sz w:val="21"/>
          <w:szCs w:val="21"/>
        </w:rPr>
        <w:t>12</w:t>
      </w:r>
      <w:r>
        <w:rPr>
          <w:sz w:val="21"/>
          <w:szCs w:val="21"/>
        </w:rPr>
        <w:t>月</w:t>
      </w:r>
      <w:r>
        <w:rPr>
          <w:sz w:val="21"/>
          <w:szCs w:val="21"/>
        </w:rPr>
        <w:t>31</w:t>
      </w:r>
      <w:r>
        <w:rPr>
          <w:sz w:val="21"/>
          <w:szCs w:val="21"/>
        </w:rPr>
        <w:t>日。</w:t>
      </w:r>
      <w:r>
        <w:rPr>
          <w:sz w:val="21"/>
          <w:szCs w:val="21"/>
        </w:rPr>
        <w:t>2025</w:t>
      </w:r>
      <w:r>
        <w:rPr>
          <w:sz w:val="21"/>
          <w:szCs w:val="21"/>
        </w:rPr>
        <w:t>年广东天亿马信息科技有限公司（以下简称</w:t>
      </w:r>
      <w:r>
        <w:rPr>
          <w:sz w:val="21"/>
          <w:szCs w:val="21"/>
        </w:rPr>
        <w:t>“</w:t>
      </w:r>
      <w:r>
        <w:rPr>
          <w:sz w:val="21"/>
          <w:szCs w:val="21"/>
        </w:rPr>
        <w:t>天亿马科技</w:t>
      </w:r>
      <w:r>
        <w:rPr>
          <w:sz w:val="21"/>
          <w:szCs w:val="21"/>
        </w:rPr>
        <w:t>”</w:t>
      </w:r>
      <w:r>
        <w:rPr>
          <w:sz w:val="21"/>
          <w:szCs w:val="21"/>
        </w:rPr>
        <w:t>）等适用小微企业税务优惠。</w:t>
      </w:r>
    </w:p>
    <w:p w:rsidR="00E20B54" w:rsidRDefault="00733C9E" w:rsidP="00AD5282">
      <w:pPr>
        <w:pStyle w:val="a3"/>
        <w:widowControl/>
        <w:adjustRightInd w:val="0"/>
        <w:snapToGrid w:val="0"/>
        <w:spacing w:beforeLines="50" w:before="156" w:beforeAutospacing="0" w:afterLines="50" w:after="156" w:afterAutospacing="0"/>
        <w:ind w:firstLine="420"/>
        <w:rPr>
          <w:sz w:val="21"/>
          <w:szCs w:val="21"/>
        </w:rPr>
      </w:pPr>
      <w:r>
        <w:rPr>
          <w:sz w:val="21"/>
          <w:szCs w:val="21"/>
        </w:rPr>
        <w:t>子公司天亿马（香港）信息产业有限公司（以下简称</w:t>
      </w:r>
      <w:r>
        <w:rPr>
          <w:sz w:val="21"/>
          <w:szCs w:val="21"/>
        </w:rPr>
        <w:t>“</w:t>
      </w:r>
      <w:r>
        <w:rPr>
          <w:sz w:val="21"/>
          <w:szCs w:val="21"/>
        </w:rPr>
        <w:t>香港天亿马</w:t>
      </w:r>
      <w:r>
        <w:rPr>
          <w:sz w:val="21"/>
          <w:szCs w:val="21"/>
        </w:rPr>
        <w:t>”</w:t>
      </w:r>
      <w:r>
        <w:rPr>
          <w:sz w:val="21"/>
          <w:szCs w:val="21"/>
        </w:rPr>
        <w:t>）依照香港立法局颁布的《税务条例》，依据课税年度的应纳税所得额按</w:t>
      </w:r>
      <w:r>
        <w:rPr>
          <w:sz w:val="21"/>
          <w:szCs w:val="21"/>
        </w:rPr>
        <w:t>16.5%</w:t>
      </w:r>
      <w:r>
        <w:rPr>
          <w:sz w:val="21"/>
          <w:szCs w:val="21"/>
        </w:rPr>
        <w:t>的税率缴纳利得税。于</w:t>
      </w:r>
      <w:r>
        <w:rPr>
          <w:sz w:val="21"/>
          <w:szCs w:val="21"/>
        </w:rPr>
        <w:t>2019</w:t>
      </w:r>
      <w:r>
        <w:rPr>
          <w:sz w:val="21"/>
          <w:szCs w:val="21"/>
        </w:rPr>
        <w:t>年</w:t>
      </w:r>
      <w:r>
        <w:rPr>
          <w:sz w:val="21"/>
          <w:szCs w:val="21"/>
        </w:rPr>
        <w:t>4</w:t>
      </w:r>
      <w:r>
        <w:rPr>
          <w:sz w:val="21"/>
          <w:szCs w:val="21"/>
        </w:rPr>
        <w:t>月</w:t>
      </w:r>
      <w:r>
        <w:rPr>
          <w:sz w:val="21"/>
          <w:szCs w:val="21"/>
        </w:rPr>
        <w:t>1</w:t>
      </w:r>
      <w:r>
        <w:rPr>
          <w:sz w:val="21"/>
          <w:szCs w:val="21"/>
        </w:rPr>
        <w:t>日及之后的税务年度采用</w:t>
      </w:r>
      <w:r>
        <w:rPr>
          <w:sz w:val="21"/>
          <w:szCs w:val="21"/>
        </w:rPr>
        <w:t>“</w:t>
      </w:r>
      <w:r>
        <w:rPr>
          <w:sz w:val="21"/>
          <w:szCs w:val="21"/>
        </w:rPr>
        <w:t>两级税制</w:t>
      </w:r>
      <w:r>
        <w:rPr>
          <w:sz w:val="21"/>
          <w:szCs w:val="21"/>
        </w:rPr>
        <w:t>”</w:t>
      </w:r>
      <w:r>
        <w:rPr>
          <w:sz w:val="21"/>
          <w:szCs w:val="21"/>
        </w:rPr>
        <w:t>，不超过</w:t>
      </w:r>
      <w:r>
        <w:rPr>
          <w:sz w:val="21"/>
          <w:szCs w:val="21"/>
        </w:rPr>
        <w:t>200</w:t>
      </w:r>
      <w:r>
        <w:rPr>
          <w:sz w:val="21"/>
          <w:szCs w:val="21"/>
        </w:rPr>
        <w:t>万港币的应评税利润适用</w:t>
      </w:r>
      <w:r>
        <w:rPr>
          <w:sz w:val="21"/>
          <w:szCs w:val="21"/>
        </w:rPr>
        <w:t xml:space="preserve"> 8.25%</w:t>
      </w:r>
      <w:r>
        <w:rPr>
          <w:sz w:val="21"/>
          <w:szCs w:val="21"/>
        </w:rPr>
        <w:t>税率，超过</w:t>
      </w:r>
      <w:r>
        <w:rPr>
          <w:sz w:val="21"/>
          <w:szCs w:val="21"/>
        </w:rPr>
        <w:t>200</w:t>
      </w:r>
      <w:r>
        <w:rPr>
          <w:sz w:val="21"/>
          <w:szCs w:val="21"/>
        </w:rPr>
        <w:t>万港币的应评税利润适用</w:t>
      </w:r>
      <w:r>
        <w:rPr>
          <w:sz w:val="21"/>
          <w:szCs w:val="21"/>
        </w:rPr>
        <w:t xml:space="preserve"> 16.5%</w:t>
      </w:r>
      <w:r>
        <w:rPr>
          <w:sz w:val="21"/>
          <w:szCs w:val="21"/>
        </w:rPr>
        <w:t>税率。</w:t>
      </w:r>
    </w:p>
    <w:p w:rsidR="00E20B54" w:rsidRDefault="00733C9E" w:rsidP="00AD5282">
      <w:pPr>
        <w:pStyle w:val="a3"/>
        <w:widowControl/>
        <w:adjustRightInd w:val="0"/>
        <w:snapToGrid w:val="0"/>
        <w:spacing w:beforeLines="50" w:before="156" w:beforeAutospacing="0" w:afterLines="50" w:after="156" w:afterAutospacing="0"/>
        <w:ind w:firstLine="420"/>
        <w:rPr>
          <w:sz w:val="21"/>
          <w:szCs w:val="21"/>
        </w:rPr>
      </w:pPr>
      <w:r>
        <w:rPr>
          <w:sz w:val="21"/>
          <w:szCs w:val="21"/>
        </w:rPr>
        <w:t>子公司天亿马信息技术有限公司（以下简称</w:t>
      </w:r>
      <w:r>
        <w:rPr>
          <w:sz w:val="21"/>
          <w:szCs w:val="21"/>
        </w:rPr>
        <w:t>“</w:t>
      </w:r>
      <w:r>
        <w:rPr>
          <w:sz w:val="21"/>
          <w:szCs w:val="21"/>
        </w:rPr>
        <w:t>天亿马技术</w:t>
      </w:r>
      <w:r>
        <w:rPr>
          <w:sz w:val="21"/>
          <w:szCs w:val="21"/>
        </w:rPr>
        <w:t>”</w:t>
      </w:r>
      <w:r>
        <w:rPr>
          <w:sz w:val="21"/>
          <w:szCs w:val="21"/>
        </w:rPr>
        <w:t>）于</w:t>
      </w:r>
      <w:r>
        <w:rPr>
          <w:sz w:val="21"/>
          <w:szCs w:val="21"/>
        </w:rPr>
        <w:t>2024</w:t>
      </w:r>
      <w:r>
        <w:rPr>
          <w:sz w:val="21"/>
          <w:szCs w:val="21"/>
        </w:rPr>
        <w:t>年</w:t>
      </w:r>
      <w:r>
        <w:rPr>
          <w:sz w:val="21"/>
          <w:szCs w:val="21"/>
        </w:rPr>
        <w:t>11</w:t>
      </w:r>
      <w:r>
        <w:rPr>
          <w:sz w:val="21"/>
          <w:szCs w:val="21"/>
        </w:rPr>
        <w:t>月</w:t>
      </w:r>
      <w:r>
        <w:rPr>
          <w:sz w:val="21"/>
          <w:szCs w:val="21"/>
        </w:rPr>
        <w:t>28</w:t>
      </w:r>
      <w:r>
        <w:rPr>
          <w:sz w:val="21"/>
          <w:szCs w:val="21"/>
        </w:rPr>
        <w:t>日取得广东省科学技术厅、广东省财政厅、国家税务总局广东省税务局联合下发的编号</w:t>
      </w:r>
      <w:r>
        <w:rPr>
          <w:sz w:val="21"/>
          <w:szCs w:val="21"/>
        </w:rPr>
        <w:t>GR202444006228</w:t>
      </w:r>
      <w:r>
        <w:rPr>
          <w:sz w:val="21"/>
          <w:szCs w:val="21"/>
        </w:rPr>
        <w:t>的高新技术企业证书，证书有效期为三年（</w:t>
      </w:r>
      <w:r>
        <w:rPr>
          <w:sz w:val="21"/>
          <w:szCs w:val="21"/>
        </w:rPr>
        <w:t>2024—2026</w:t>
      </w:r>
      <w:r>
        <w:rPr>
          <w:sz w:val="21"/>
          <w:szCs w:val="21"/>
        </w:rPr>
        <w:t>年）。根据企业所得税法第二十八条规定：</w:t>
      </w:r>
      <w:r>
        <w:rPr>
          <w:sz w:val="21"/>
          <w:szCs w:val="21"/>
        </w:rPr>
        <w:t>“</w:t>
      </w:r>
      <w:r>
        <w:rPr>
          <w:sz w:val="21"/>
          <w:szCs w:val="21"/>
        </w:rPr>
        <w:t>国家需要重点扶持的高新技术企业，减按</w:t>
      </w:r>
      <w:r>
        <w:rPr>
          <w:sz w:val="21"/>
          <w:szCs w:val="21"/>
        </w:rPr>
        <w:t>15%</w:t>
      </w:r>
      <w:r>
        <w:rPr>
          <w:sz w:val="21"/>
          <w:szCs w:val="21"/>
        </w:rPr>
        <w:t>的税率征收企业所得税</w:t>
      </w:r>
      <w:r>
        <w:rPr>
          <w:sz w:val="21"/>
          <w:szCs w:val="21"/>
        </w:rPr>
        <w:t>”</w:t>
      </w:r>
      <w:r>
        <w:rPr>
          <w:sz w:val="21"/>
          <w:szCs w:val="21"/>
        </w:rPr>
        <w:t>，</w:t>
      </w:r>
      <w:r>
        <w:rPr>
          <w:sz w:val="21"/>
          <w:szCs w:val="21"/>
        </w:rPr>
        <w:t>2024</w:t>
      </w:r>
      <w:r>
        <w:rPr>
          <w:sz w:val="21"/>
          <w:szCs w:val="21"/>
        </w:rPr>
        <w:t>年度至</w:t>
      </w:r>
      <w:r>
        <w:rPr>
          <w:sz w:val="21"/>
          <w:szCs w:val="21"/>
        </w:rPr>
        <w:t>2026</w:t>
      </w:r>
      <w:r>
        <w:rPr>
          <w:sz w:val="21"/>
          <w:szCs w:val="21"/>
        </w:rPr>
        <w:t>年度，天亿马技术适用</w:t>
      </w:r>
      <w:r>
        <w:rPr>
          <w:sz w:val="21"/>
          <w:szCs w:val="21"/>
        </w:rPr>
        <w:t>15%</w:t>
      </w:r>
      <w:r>
        <w:rPr>
          <w:sz w:val="21"/>
          <w:szCs w:val="21"/>
        </w:rPr>
        <w:t>的企业所得税税率。</w:t>
      </w:r>
    </w:p>
    <w:p w:rsidR="00E20B54" w:rsidRDefault="00733C9E" w:rsidP="00AD5282">
      <w:pPr>
        <w:pStyle w:val="a3"/>
        <w:widowControl/>
        <w:adjustRightInd w:val="0"/>
        <w:snapToGrid w:val="0"/>
        <w:spacing w:beforeLines="50" w:before="156" w:beforeAutospacing="0" w:afterLines="50" w:after="156" w:afterAutospacing="0"/>
        <w:ind w:firstLine="420"/>
        <w:rPr>
          <w:sz w:val="21"/>
          <w:szCs w:val="21"/>
        </w:rPr>
      </w:pPr>
      <w:r>
        <w:rPr>
          <w:sz w:val="21"/>
          <w:szCs w:val="21"/>
        </w:rPr>
        <w:t>根据《财政部</w:t>
      </w:r>
      <w:r>
        <w:rPr>
          <w:sz w:val="21"/>
          <w:szCs w:val="21"/>
        </w:rPr>
        <w:t xml:space="preserve"> </w:t>
      </w:r>
      <w:r>
        <w:rPr>
          <w:sz w:val="21"/>
          <w:szCs w:val="21"/>
        </w:rPr>
        <w:t>税务总局</w:t>
      </w:r>
      <w:r>
        <w:rPr>
          <w:sz w:val="21"/>
          <w:szCs w:val="21"/>
        </w:rPr>
        <w:t xml:space="preserve"> </w:t>
      </w:r>
      <w:r>
        <w:rPr>
          <w:sz w:val="21"/>
          <w:szCs w:val="21"/>
        </w:rPr>
        <w:t>科技部关于进一步提高科技型中小企业研发费用税前加计扣除比例的公告》（</w:t>
      </w:r>
      <w:r>
        <w:rPr>
          <w:sz w:val="21"/>
          <w:szCs w:val="21"/>
        </w:rPr>
        <w:t>2022</w:t>
      </w:r>
      <w:r>
        <w:rPr>
          <w:sz w:val="21"/>
          <w:szCs w:val="21"/>
        </w:rPr>
        <w:t>年第</w:t>
      </w:r>
      <w:r>
        <w:rPr>
          <w:sz w:val="21"/>
          <w:szCs w:val="21"/>
        </w:rPr>
        <w:t>16</w:t>
      </w:r>
      <w:r>
        <w:rPr>
          <w:sz w:val="21"/>
          <w:szCs w:val="21"/>
        </w:rPr>
        <w:t>号），科技型中小企业开展研发活动中实际发生的研发费用，未形成无形资产计入当期损益的，在按规定据实扣除的基础上，自</w:t>
      </w:r>
      <w:r>
        <w:rPr>
          <w:sz w:val="21"/>
          <w:szCs w:val="21"/>
        </w:rPr>
        <w:t>2022</w:t>
      </w:r>
      <w:r>
        <w:rPr>
          <w:sz w:val="21"/>
          <w:szCs w:val="21"/>
        </w:rPr>
        <w:t>年</w:t>
      </w:r>
      <w:r>
        <w:rPr>
          <w:sz w:val="21"/>
          <w:szCs w:val="21"/>
        </w:rPr>
        <w:t>1</w:t>
      </w:r>
      <w:r>
        <w:rPr>
          <w:sz w:val="21"/>
          <w:szCs w:val="21"/>
        </w:rPr>
        <w:t>月</w:t>
      </w:r>
      <w:r>
        <w:rPr>
          <w:sz w:val="21"/>
          <w:szCs w:val="21"/>
        </w:rPr>
        <w:t>1</w:t>
      </w:r>
      <w:r>
        <w:rPr>
          <w:sz w:val="21"/>
          <w:szCs w:val="21"/>
        </w:rPr>
        <w:t>日起，再按照实际发生额的</w:t>
      </w:r>
      <w:r>
        <w:rPr>
          <w:sz w:val="21"/>
          <w:szCs w:val="21"/>
        </w:rPr>
        <w:t>100%</w:t>
      </w:r>
      <w:r>
        <w:rPr>
          <w:sz w:val="21"/>
          <w:szCs w:val="21"/>
        </w:rPr>
        <w:t>在税前加计扣除；形成无形资产的，自</w:t>
      </w:r>
      <w:r>
        <w:rPr>
          <w:sz w:val="21"/>
          <w:szCs w:val="21"/>
        </w:rPr>
        <w:t>2022</w:t>
      </w:r>
      <w:r>
        <w:rPr>
          <w:sz w:val="21"/>
          <w:szCs w:val="21"/>
        </w:rPr>
        <w:t>年</w:t>
      </w:r>
      <w:r>
        <w:rPr>
          <w:sz w:val="21"/>
          <w:szCs w:val="21"/>
        </w:rPr>
        <w:t>1</w:t>
      </w:r>
      <w:r>
        <w:rPr>
          <w:sz w:val="21"/>
          <w:szCs w:val="21"/>
        </w:rPr>
        <w:t>月</w:t>
      </w:r>
      <w:r>
        <w:rPr>
          <w:sz w:val="21"/>
          <w:szCs w:val="21"/>
        </w:rPr>
        <w:t>1</w:t>
      </w:r>
      <w:r>
        <w:rPr>
          <w:sz w:val="21"/>
          <w:szCs w:val="21"/>
        </w:rPr>
        <w:t>日起，按照无形资产成本的</w:t>
      </w:r>
      <w:r>
        <w:rPr>
          <w:sz w:val="21"/>
          <w:szCs w:val="21"/>
        </w:rPr>
        <w:t>200%</w:t>
      </w:r>
      <w:r>
        <w:rPr>
          <w:sz w:val="21"/>
          <w:szCs w:val="21"/>
        </w:rPr>
        <w:t>在税前摊销。</w:t>
      </w:r>
      <w:r>
        <w:rPr>
          <w:sz w:val="21"/>
          <w:szCs w:val="21"/>
        </w:rPr>
        <w:t>2025</w:t>
      </w:r>
      <w:r>
        <w:rPr>
          <w:sz w:val="21"/>
          <w:szCs w:val="21"/>
        </w:rPr>
        <w:t>年广东天亿马信息产业股份有限公司、天亿马信息技术有限公司、深圳市互联精英信息技术有限公司、广东翼启数据产业有限公司、广图粤科（广州）科技有限公司均符合相关条件，研究开发费研发费用税前加计扣除比例为</w:t>
      </w:r>
      <w:r>
        <w:rPr>
          <w:sz w:val="21"/>
          <w:szCs w:val="21"/>
        </w:rPr>
        <w:t>100%</w:t>
      </w:r>
      <w:r>
        <w:rPr>
          <w:sz w:val="21"/>
          <w:szCs w:val="21"/>
        </w:rPr>
        <w:t>。</w:t>
      </w:r>
    </w:p>
    <w:p w:rsidR="00E20B54" w:rsidRDefault="00733C9E">
      <w:pPr>
        <w:spacing w:before="100" w:after="100" w:line="240" w:lineRule="exact"/>
        <w:rPr>
          <w:sz w:val="18"/>
          <w:szCs w:val="18"/>
        </w:rPr>
      </w:pPr>
      <w:r>
        <w:rPr>
          <w:sz w:val="18"/>
          <w:szCs w:val="18"/>
        </w:rPr>
        <w:t>公司需遵守《深圳证券交易所上市公司自律监管指引第</w:t>
      </w:r>
      <w:r>
        <w:rPr>
          <w:sz w:val="18"/>
          <w:szCs w:val="18"/>
        </w:rPr>
        <w:t>3</w:t>
      </w:r>
      <w:r>
        <w:rPr>
          <w:sz w:val="18"/>
          <w:szCs w:val="18"/>
        </w:rPr>
        <w:t>号</w:t>
      </w:r>
      <w:r>
        <w:rPr>
          <w:sz w:val="18"/>
          <w:szCs w:val="18"/>
        </w:rPr>
        <w:t>——</w:t>
      </w:r>
      <w:r>
        <w:rPr>
          <w:sz w:val="18"/>
          <w:szCs w:val="18"/>
        </w:rPr>
        <w:t>行业信息披露》中的</w:t>
      </w:r>
      <w:r>
        <w:rPr>
          <w:sz w:val="18"/>
          <w:szCs w:val="18"/>
        </w:rPr>
        <w:t>“</w:t>
      </w:r>
      <w:r>
        <w:rPr>
          <w:sz w:val="18"/>
          <w:szCs w:val="18"/>
        </w:rPr>
        <w:t>软件与信息技术服务业</w:t>
      </w:r>
      <w:r>
        <w:rPr>
          <w:sz w:val="18"/>
          <w:szCs w:val="18"/>
        </w:rPr>
        <w:t>”</w:t>
      </w:r>
      <w:r>
        <w:rPr>
          <w:sz w:val="18"/>
          <w:szCs w:val="18"/>
        </w:rPr>
        <w:t>的披露要求</w:t>
      </w:r>
    </w:p>
    <w:p w:rsidR="00E20B54" w:rsidRDefault="00733C9E">
      <w:pPr>
        <w:pStyle w:val="3"/>
        <w:spacing w:line="280" w:lineRule="exact"/>
        <w:jc w:val="left"/>
        <w:rPr>
          <w:b/>
          <w:bCs/>
        </w:rPr>
      </w:pPr>
      <w:bookmarkStart w:id="222" w:name="_Toc989110"/>
      <w:r>
        <w:rPr>
          <w:b/>
          <w:bCs/>
        </w:rPr>
        <w:lastRenderedPageBreak/>
        <w:t>3</w:t>
      </w:r>
      <w:r>
        <w:rPr>
          <w:b/>
          <w:bCs/>
        </w:rPr>
        <w:t>、其他</w:t>
      </w:r>
      <w:bookmarkEnd w:id="222"/>
    </w:p>
    <w:p w:rsidR="00E20B54" w:rsidRDefault="00733C9E">
      <w:pPr>
        <w:pStyle w:val="2"/>
        <w:spacing w:before="300" w:after="300" w:line="320" w:lineRule="exact"/>
        <w:rPr>
          <w:b/>
          <w:bCs/>
          <w:sz w:val="24"/>
          <w:szCs w:val="24"/>
        </w:rPr>
      </w:pPr>
      <w:bookmarkStart w:id="223" w:name="_Toc989111"/>
      <w:r>
        <w:rPr>
          <w:b/>
          <w:bCs/>
          <w:sz w:val="24"/>
          <w:szCs w:val="24"/>
        </w:rPr>
        <w:t>七、合并财务报表项目注释</w:t>
      </w:r>
      <w:bookmarkEnd w:id="223"/>
    </w:p>
    <w:p w:rsidR="00E20B54" w:rsidRDefault="00733C9E">
      <w:pPr>
        <w:pStyle w:val="3"/>
        <w:spacing w:line="280" w:lineRule="exact"/>
        <w:jc w:val="left"/>
        <w:rPr>
          <w:b/>
          <w:bCs/>
        </w:rPr>
      </w:pPr>
      <w:bookmarkStart w:id="224" w:name="_Toc989112"/>
      <w:r>
        <w:rPr>
          <w:b/>
          <w:bCs/>
        </w:rPr>
        <w:t>1</w:t>
      </w:r>
      <w:r>
        <w:rPr>
          <w:b/>
          <w:bCs/>
        </w:rPr>
        <w:t>、货币资金</w:t>
      </w:r>
      <w:bookmarkEnd w:id="224"/>
    </w:p>
    <w:p w:rsidR="00E20B54" w:rsidRDefault="00733C9E">
      <w:pPr>
        <w:spacing w:before="40" w:after="40" w:line="240" w:lineRule="exact"/>
        <w:jc w:val="right"/>
        <w:rPr>
          <w:sz w:val="18"/>
          <w:szCs w:val="18"/>
        </w:rPr>
      </w:pPr>
      <w:r>
        <w:rPr>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项目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期末余额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期初余额</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库存现金</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118,274.31</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银行存款</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307,030,100.65</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332,882,832.98</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其他货币资金</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354,510.84</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1,622,727.95</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合计</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307,384,611.49</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334,623,835.24</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200" w:firstLine="360"/>
              <w:rPr>
                <w:sz w:val="18"/>
                <w:szCs w:val="18"/>
              </w:rPr>
            </w:pPr>
            <w:r>
              <w:rPr>
                <w:sz w:val="18"/>
                <w:szCs w:val="18"/>
              </w:rPr>
              <w:t>其中：存放在境外的款项总额</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3,092,985.93</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3,327,875.01</w:t>
            </w:r>
          </w:p>
        </w:tc>
      </w:tr>
    </w:tbl>
    <w:p w:rsidR="00E20B54" w:rsidRDefault="00733C9E">
      <w:pPr>
        <w:spacing w:before="100" w:after="100" w:line="240" w:lineRule="exact"/>
        <w:rPr>
          <w:sz w:val="18"/>
          <w:szCs w:val="18"/>
        </w:rPr>
      </w:pPr>
      <w:r>
        <w:rPr>
          <w:sz w:val="18"/>
          <w:szCs w:val="18"/>
        </w:rPr>
        <w:t>其他说明：</w:t>
      </w:r>
    </w:p>
    <w:p w:rsidR="00E20B54" w:rsidRDefault="00733C9E">
      <w:pPr>
        <w:widowControl/>
        <w:rPr>
          <w:sz w:val="18"/>
          <w:szCs w:val="18"/>
        </w:rPr>
      </w:pPr>
      <w:r>
        <w:rPr>
          <w:color w:val="000000"/>
          <w:sz w:val="18"/>
          <w:szCs w:val="18"/>
          <w:lang w:bidi="ar"/>
        </w:rPr>
        <w:t>注：因承兑保证金或冻结等对使用有限制的货币资金详见本报告本节七、</w:t>
      </w:r>
      <w:r>
        <w:rPr>
          <w:color w:val="000000"/>
          <w:sz w:val="18"/>
          <w:szCs w:val="18"/>
          <w:lang w:bidi="ar"/>
        </w:rPr>
        <w:t xml:space="preserve">21 </w:t>
      </w:r>
      <w:r>
        <w:rPr>
          <w:color w:val="000000"/>
          <w:sz w:val="18"/>
          <w:szCs w:val="18"/>
          <w:lang w:bidi="ar"/>
        </w:rPr>
        <w:t>所有权或使用权受到限制的资产。</w:t>
      </w:r>
    </w:p>
    <w:p w:rsidR="00E20B54" w:rsidRDefault="00733C9E">
      <w:pPr>
        <w:pStyle w:val="3"/>
        <w:spacing w:line="280" w:lineRule="exact"/>
        <w:jc w:val="left"/>
        <w:rPr>
          <w:b/>
          <w:bCs/>
        </w:rPr>
      </w:pPr>
      <w:bookmarkStart w:id="225" w:name="_Toc989113"/>
      <w:r>
        <w:rPr>
          <w:b/>
          <w:bCs/>
        </w:rPr>
        <w:t>2</w:t>
      </w:r>
      <w:r>
        <w:rPr>
          <w:b/>
          <w:bCs/>
        </w:rPr>
        <w:t>、应收票据</w:t>
      </w:r>
      <w:bookmarkEnd w:id="225"/>
    </w:p>
    <w:p w:rsidR="00E20B54" w:rsidRDefault="00733C9E">
      <w:pPr>
        <w:keepNext/>
        <w:keepLines/>
        <w:spacing w:before="300" w:after="300" w:line="280" w:lineRule="exact"/>
        <w:outlineLvl w:val="3"/>
        <w:rPr>
          <w:b/>
          <w:bCs/>
          <w:szCs w:val="21"/>
        </w:rPr>
      </w:pPr>
      <w:bookmarkStart w:id="226" w:name="_Toc989114"/>
      <w:r>
        <w:rPr>
          <w:b/>
          <w:bCs/>
          <w:szCs w:val="21"/>
        </w:rPr>
        <w:t>（</w:t>
      </w:r>
      <w:r>
        <w:rPr>
          <w:b/>
          <w:bCs/>
          <w:szCs w:val="21"/>
        </w:rPr>
        <w:t>1</w:t>
      </w:r>
      <w:r>
        <w:rPr>
          <w:b/>
          <w:bCs/>
          <w:szCs w:val="21"/>
        </w:rPr>
        <w:t>）</w:t>
      </w:r>
      <w:r>
        <w:rPr>
          <w:b/>
          <w:bCs/>
          <w:szCs w:val="21"/>
        </w:rPr>
        <w:t xml:space="preserve"> </w:t>
      </w:r>
      <w:r>
        <w:rPr>
          <w:b/>
          <w:bCs/>
          <w:szCs w:val="21"/>
        </w:rPr>
        <w:t>应收票据分类列示</w:t>
      </w:r>
      <w:bookmarkEnd w:id="226"/>
    </w:p>
    <w:p w:rsidR="00E20B54" w:rsidRDefault="00733C9E">
      <w:pPr>
        <w:spacing w:before="40" w:after="40" w:line="240" w:lineRule="exact"/>
        <w:jc w:val="right"/>
        <w:rPr>
          <w:sz w:val="18"/>
          <w:szCs w:val="18"/>
        </w:rPr>
      </w:pPr>
      <w:r>
        <w:rPr>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项目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期末余额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期初余额</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银行承兑票据</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324,000.00</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2,570,000.00</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合计</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324,000.00</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2,570,000.00</w:t>
            </w:r>
          </w:p>
        </w:tc>
      </w:tr>
    </w:tbl>
    <w:p w:rsidR="00E20B54" w:rsidRDefault="00733C9E">
      <w:pPr>
        <w:keepNext/>
        <w:keepLines/>
        <w:spacing w:before="300" w:after="300" w:line="280" w:lineRule="exact"/>
        <w:outlineLvl w:val="3"/>
        <w:rPr>
          <w:b/>
          <w:bCs/>
          <w:szCs w:val="21"/>
        </w:rPr>
      </w:pPr>
      <w:bookmarkStart w:id="227" w:name="_Toc989115"/>
      <w:r>
        <w:rPr>
          <w:b/>
          <w:bCs/>
          <w:szCs w:val="21"/>
        </w:rPr>
        <w:t>（</w:t>
      </w:r>
      <w:r>
        <w:rPr>
          <w:b/>
          <w:bCs/>
          <w:szCs w:val="21"/>
        </w:rPr>
        <w:t>2</w:t>
      </w:r>
      <w:r>
        <w:rPr>
          <w:b/>
          <w:bCs/>
          <w:szCs w:val="21"/>
        </w:rPr>
        <w:t>）</w:t>
      </w:r>
      <w:r>
        <w:rPr>
          <w:b/>
          <w:bCs/>
          <w:szCs w:val="21"/>
        </w:rPr>
        <w:t xml:space="preserve"> </w:t>
      </w:r>
      <w:r>
        <w:rPr>
          <w:b/>
          <w:bCs/>
          <w:szCs w:val="21"/>
        </w:rPr>
        <w:t>按坏账计提方法分类披露</w:t>
      </w:r>
      <w:bookmarkEnd w:id="227"/>
    </w:p>
    <w:p w:rsidR="00E20B54" w:rsidRDefault="00733C9E">
      <w:pPr>
        <w:spacing w:before="40" w:after="40" w:line="240" w:lineRule="exact"/>
        <w:jc w:val="right"/>
        <w:rPr>
          <w:sz w:val="18"/>
          <w:szCs w:val="18"/>
        </w:rPr>
      </w:pPr>
      <w:r>
        <w:rPr>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875"/>
        <w:gridCol w:w="876"/>
        <w:gridCol w:w="877"/>
        <w:gridCol w:w="876"/>
        <w:gridCol w:w="877"/>
        <w:gridCol w:w="876"/>
        <w:gridCol w:w="876"/>
        <w:gridCol w:w="877"/>
        <w:gridCol w:w="876"/>
        <w:gridCol w:w="877"/>
        <w:gridCol w:w="876"/>
      </w:tblGrid>
      <w:tr w:rsidR="00E20B54" w:rsidTr="00AD5282">
        <w:trPr>
          <w:trHeight w:val="240"/>
          <w:tblHeader/>
        </w:trPr>
        <w:tc>
          <w:tcPr>
            <w:tcW w:w="876"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类别</w:t>
            </w:r>
          </w:p>
        </w:tc>
        <w:tc>
          <w:tcPr>
            <w:tcW w:w="4381" w:type="dxa"/>
            <w:gridSpan w:val="5"/>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期末余额</w:t>
            </w:r>
          </w:p>
        </w:tc>
        <w:tc>
          <w:tcPr>
            <w:tcW w:w="4381" w:type="dxa"/>
            <w:gridSpan w:val="5"/>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期初余额</w:t>
            </w:r>
          </w:p>
        </w:tc>
      </w:tr>
      <w:tr w:rsidR="00E20B54" w:rsidTr="00AD5282">
        <w:trPr>
          <w:trHeight w:val="240"/>
          <w:tblHeader/>
        </w:trPr>
        <w:tc>
          <w:tcPr>
            <w:tcW w:w="876"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c>
          <w:tcPr>
            <w:tcW w:w="1753"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账面余额</w:t>
            </w:r>
          </w:p>
        </w:tc>
        <w:tc>
          <w:tcPr>
            <w:tcW w:w="1753"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坏账准备</w:t>
            </w:r>
          </w:p>
        </w:tc>
        <w:tc>
          <w:tcPr>
            <w:tcW w:w="876"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账面价值</w:t>
            </w:r>
          </w:p>
        </w:tc>
        <w:tc>
          <w:tcPr>
            <w:tcW w:w="1753"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账面余额</w:t>
            </w:r>
          </w:p>
        </w:tc>
        <w:tc>
          <w:tcPr>
            <w:tcW w:w="1753"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坏账准备</w:t>
            </w:r>
          </w:p>
        </w:tc>
        <w:tc>
          <w:tcPr>
            <w:tcW w:w="876"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账面价值</w:t>
            </w:r>
          </w:p>
        </w:tc>
      </w:tr>
      <w:tr w:rsidR="00E20B54" w:rsidTr="00AD5282">
        <w:trPr>
          <w:trHeight w:val="240"/>
          <w:tblHeader/>
        </w:trPr>
        <w:tc>
          <w:tcPr>
            <w:tcW w:w="876"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金额</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比例</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金额</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计提比例</w:t>
            </w:r>
          </w:p>
        </w:tc>
        <w:tc>
          <w:tcPr>
            <w:tcW w:w="876"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金额</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比例</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金额</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计提比例</w:t>
            </w:r>
          </w:p>
        </w:tc>
        <w:tc>
          <w:tcPr>
            <w:tcW w:w="876"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r>
      <w:tr w:rsidR="00E20B54">
        <w:trPr>
          <w:trHeight w:val="240"/>
        </w:trPr>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100" w:firstLine="180"/>
              <w:rPr>
                <w:sz w:val="18"/>
                <w:szCs w:val="18"/>
              </w:rPr>
            </w:pPr>
            <w:r>
              <w:rPr>
                <w:sz w:val="18"/>
                <w:szCs w:val="18"/>
              </w:rPr>
              <w:t>其中：</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r>
      <w:tr w:rsidR="00E20B54">
        <w:trPr>
          <w:trHeight w:val="240"/>
        </w:trPr>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按组合计提坏账准备的应收票据</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360,000.00</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100.00%</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36,000.00</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10.00%</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324,000.00</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2,570,000.00</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100.00%</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2,570,000.00</w:t>
            </w:r>
          </w:p>
        </w:tc>
      </w:tr>
      <w:tr w:rsidR="00E20B54">
        <w:trPr>
          <w:trHeight w:val="240"/>
        </w:trPr>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100" w:firstLine="180"/>
              <w:rPr>
                <w:sz w:val="18"/>
                <w:szCs w:val="18"/>
              </w:rPr>
            </w:pPr>
            <w:r>
              <w:rPr>
                <w:sz w:val="18"/>
                <w:szCs w:val="18"/>
              </w:rPr>
              <w:t>其中：</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r>
      <w:tr w:rsidR="00E20B54" w:rsidTr="00AD5282">
        <w:trPr>
          <w:trHeight w:val="240"/>
        </w:trPr>
        <w:tc>
          <w:tcPr>
            <w:tcW w:w="876" w:type="dxa"/>
            <w:tcBorders>
              <w:top w:val="single" w:sz="2" w:space="0" w:color="auto"/>
              <w:left w:val="single" w:sz="2" w:space="0" w:color="auto"/>
              <w:bottom w:val="single" w:sz="2" w:space="0" w:color="auto"/>
              <w:right w:val="single" w:sz="2" w:space="0" w:color="auto"/>
            </w:tcBorders>
            <w:shd w:val="clear" w:color="auto" w:fill="D9D9D9" w:themeFill="background1" w:themeFillShade="D9"/>
            <w:vAlign w:val="center"/>
          </w:tcPr>
          <w:p w:rsidR="00E20B54" w:rsidRDefault="00733C9E">
            <w:pPr>
              <w:spacing w:line="240" w:lineRule="exact"/>
              <w:rPr>
                <w:sz w:val="18"/>
                <w:szCs w:val="18"/>
              </w:rPr>
            </w:pPr>
            <w:r>
              <w:rPr>
                <w:sz w:val="18"/>
                <w:szCs w:val="18"/>
              </w:rPr>
              <w:t>组合</w:t>
            </w:r>
            <w:r>
              <w:rPr>
                <w:sz w:val="18"/>
                <w:szCs w:val="18"/>
              </w:rPr>
              <w:t>1</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360,000.00</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100.00%</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36,000.00</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10.00%</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324,000.00</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2,570,000.00</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100.00%</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2,570,000.00</w:t>
            </w:r>
          </w:p>
        </w:tc>
      </w:tr>
      <w:tr w:rsidR="00E20B54">
        <w:trPr>
          <w:trHeight w:val="240"/>
        </w:trPr>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合计</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360,000.00</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100.00%</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36,000.00</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10.00%</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324,000.00</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2,570,000.00</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100.00%</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2,570,000.00</w:t>
            </w:r>
          </w:p>
        </w:tc>
      </w:tr>
    </w:tbl>
    <w:p w:rsidR="00E20B54" w:rsidRDefault="00733C9E">
      <w:pPr>
        <w:spacing w:line="240" w:lineRule="exact"/>
        <w:rPr>
          <w:sz w:val="18"/>
          <w:szCs w:val="18"/>
        </w:rPr>
      </w:pPr>
      <w:r>
        <w:rPr>
          <w:sz w:val="18"/>
          <w:szCs w:val="18"/>
        </w:rPr>
        <w:t>按组合计提坏账准备：组合</w:t>
      </w:r>
      <w:r>
        <w:rPr>
          <w:sz w:val="18"/>
          <w:szCs w:val="18"/>
        </w:rPr>
        <w:t>2</w:t>
      </w:r>
    </w:p>
    <w:p w:rsidR="00E20B54" w:rsidRDefault="00733C9E">
      <w:pPr>
        <w:spacing w:before="40" w:after="40" w:line="240" w:lineRule="exact"/>
        <w:jc w:val="right"/>
        <w:rPr>
          <w:sz w:val="18"/>
          <w:szCs w:val="18"/>
        </w:rPr>
      </w:pPr>
      <w:r>
        <w:rPr>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2409"/>
        <w:gridCol w:w="2410"/>
        <w:gridCol w:w="2410"/>
        <w:gridCol w:w="2410"/>
      </w:tblGrid>
      <w:tr w:rsidR="00E20B54">
        <w:trPr>
          <w:trHeight w:val="240"/>
        </w:trPr>
        <w:tc>
          <w:tcPr>
            <w:tcW w:w="2410"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lastRenderedPageBreak/>
              <w:t>名称</w:t>
            </w:r>
          </w:p>
        </w:tc>
        <w:tc>
          <w:tcPr>
            <w:tcW w:w="7229" w:type="dxa"/>
            <w:gridSpan w:val="3"/>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期末余额</w:t>
            </w:r>
          </w:p>
        </w:tc>
      </w:tr>
      <w:tr w:rsidR="00E20B54">
        <w:trPr>
          <w:trHeight w:val="240"/>
        </w:trPr>
        <w:tc>
          <w:tcPr>
            <w:tcW w:w="2410"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账面余额</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坏账准备</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计提比例</w:t>
            </w:r>
          </w:p>
        </w:tc>
      </w:tr>
      <w:tr w:rsidR="00E20B54" w:rsidTr="00AD5282">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9D9D9" w:themeFill="background1" w:themeFillShade="D9"/>
            <w:vAlign w:val="center"/>
          </w:tcPr>
          <w:p w:rsidR="00E20B54" w:rsidRDefault="00733C9E">
            <w:pPr>
              <w:spacing w:line="240" w:lineRule="exact"/>
              <w:rPr>
                <w:sz w:val="18"/>
                <w:szCs w:val="18"/>
              </w:rPr>
            </w:pPr>
            <w:r>
              <w:rPr>
                <w:sz w:val="18"/>
                <w:szCs w:val="18"/>
              </w:rPr>
              <w:t>1-2</w:t>
            </w:r>
            <w:r>
              <w:rPr>
                <w:sz w:val="18"/>
                <w:szCs w:val="18"/>
              </w:rPr>
              <w:t>年</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360,000.00</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36,000.00</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10.00%</w:t>
            </w:r>
          </w:p>
        </w:tc>
      </w:tr>
      <w:tr w:rsidR="00E20B54">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合计</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360,000.00</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36,000.00</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r>
    </w:tbl>
    <w:p w:rsidR="00E20B54" w:rsidRDefault="00733C9E">
      <w:pPr>
        <w:spacing w:before="100" w:after="100" w:line="240" w:lineRule="exact"/>
        <w:rPr>
          <w:sz w:val="18"/>
          <w:szCs w:val="18"/>
        </w:rPr>
      </w:pPr>
      <w:r>
        <w:rPr>
          <w:sz w:val="18"/>
          <w:szCs w:val="18"/>
        </w:rPr>
        <w:t>确定该组合依据的说明：</w:t>
      </w:r>
      <w:r w:rsidR="00E5606C">
        <w:rPr>
          <w:rFonts w:hint="eastAsia"/>
          <w:sz w:val="18"/>
          <w:szCs w:val="18"/>
        </w:rPr>
        <w:t>无。</w:t>
      </w:r>
    </w:p>
    <w:p w:rsidR="00E20B54" w:rsidRDefault="00733C9E">
      <w:pPr>
        <w:pStyle w:val="a3"/>
        <w:widowControl/>
      </w:pPr>
      <w:r>
        <w:rPr>
          <w:color w:val="000000"/>
          <w:sz w:val="18"/>
          <w:szCs w:val="18"/>
        </w:rPr>
        <w:t>确定应收票据组合的依据详见本节五、</w:t>
      </w:r>
      <w:r>
        <w:rPr>
          <w:color w:val="000000"/>
          <w:sz w:val="18"/>
          <w:szCs w:val="18"/>
        </w:rPr>
        <w:t>12</w:t>
      </w:r>
      <w:r>
        <w:rPr>
          <w:color w:val="000000"/>
          <w:sz w:val="18"/>
          <w:szCs w:val="18"/>
        </w:rPr>
        <w:t>。</w:t>
      </w:r>
    </w:p>
    <w:p w:rsidR="00E20B54" w:rsidRDefault="00733C9E">
      <w:pPr>
        <w:spacing w:before="100" w:after="100" w:line="240" w:lineRule="exact"/>
        <w:rPr>
          <w:sz w:val="18"/>
          <w:szCs w:val="18"/>
        </w:rPr>
      </w:pPr>
      <w:r>
        <w:rPr>
          <w:sz w:val="18"/>
          <w:szCs w:val="18"/>
        </w:rPr>
        <w:t>如是按照预期信用损失一般模型计提应收票据坏账准备：</w:t>
      </w:r>
      <w:r w:rsidR="00E5606C">
        <w:rPr>
          <w:rFonts w:hint="eastAsia"/>
          <w:sz w:val="18"/>
          <w:szCs w:val="18"/>
        </w:rPr>
        <w:t>无。</w:t>
      </w:r>
    </w:p>
    <w:p w:rsidR="00E20B54" w:rsidRDefault="00733C9E">
      <w:pPr>
        <w:spacing w:before="100" w:after="100" w:line="240" w:lineRule="exact"/>
        <w:rPr>
          <w:sz w:val="18"/>
          <w:szCs w:val="18"/>
        </w:rPr>
      </w:pPr>
      <w:r>
        <w:rPr>
          <w:sz w:val="18"/>
          <w:szCs w:val="18"/>
        </w:rPr>
        <w:t>□</w:t>
      </w:r>
      <w:r>
        <w:rPr>
          <w:sz w:val="18"/>
          <w:szCs w:val="18"/>
        </w:rPr>
        <w:t>适用</w:t>
      </w:r>
      <w:r>
        <w:rPr>
          <w:sz w:val="18"/>
          <w:szCs w:val="18"/>
        </w:rPr>
        <w:t xml:space="preserve"> </w:t>
      </w:r>
      <w:r>
        <w:rPr>
          <w:sz w:val="18"/>
          <w:szCs w:val="18"/>
        </w:rPr>
        <w:sym w:font="Wingdings 2" w:char="F052"/>
      </w:r>
      <w:r>
        <w:rPr>
          <w:sz w:val="18"/>
          <w:szCs w:val="18"/>
        </w:rPr>
        <w:t>不适用</w:t>
      </w:r>
    </w:p>
    <w:p w:rsidR="00E20B54" w:rsidRDefault="00733C9E">
      <w:pPr>
        <w:keepNext/>
        <w:keepLines/>
        <w:spacing w:before="300" w:after="300" w:line="280" w:lineRule="exact"/>
        <w:outlineLvl w:val="3"/>
        <w:rPr>
          <w:b/>
          <w:bCs/>
          <w:szCs w:val="21"/>
        </w:rPr>
      </w:pPr>
      <w:bookmarkStart w:id="228" w:name="_Toc989116"/>
      <w:r>
        <w:rPr>
          <w:b/>
          <w:bCs/>
          <w:szCs w:val="21"/>
        </w:rPr>
        <w:t>（</w:t>
      </w:r>
      <w:r>
        <w:rPr>
          <w:b/>
          <w:bCs/>
          <w:szCs w:val="21"/>
        </w:rPr>
        <w:t>3</w:t>
      </w:r>
      <w:r>
        <w:rPr>
          <w:b/>
          <w:bCs/>
          <w:szCs w:val="21"/>
        </w:rPr>
        <w:t>）</w:t>
      </w:r>
      <w:r>
        <w:rPr>
          <w:b/>
          <w:bCs/>
          <w:szCs w:val="21"/>
        </w:rPr>
        <w:t xml:space="preserve"> </w:t>
      </w:r>
      <w:r>
        <w:rPr>
          <w:b/>
          <w:bCs/>
          <w:szCs w:val="21"/>
        </w:rPr>
        <w:t>本期计提、收回或转回的坏账准备情况</w:t>
      </w:r>
      <w:bookmarkEnd w:id="228"/>
    </w:p>
    <w:p w:rsidR="00E20B54" w:rsidRDefault="00733C9E">
      <w:pPr>
        <w:spacing w:line="240" w:lineRule="exact"/>
        <w:rPr>
          <w:sz w:val="18"/>
          <w:szCs w:val="18"/>
        </w:rPr>
      </w:pPr>
      <w:r>
        <w:rPr>
          <w:sz w:val="18"/>
          <w:szCs w:val="18"/>
        </w:rPr>
        <w:t>本期计提坏账准备情况：</w:t>
      </w:r>
    </w:p>
    <w:p w:rsidR="00E20B54" w:rsidRDefault="00733C9E">
      <w:pPr>
        <w:spacing w:before="120" w:after="120" w:line="240" w:lineRule="exact"/>
        <w:jc w:val="right"/>
        <w:rPr>
          <w:sz w:val="18"/>
          <w:szCs w:val="18"/>
        </w:rPr>
      </w:pPr>
      <w:r>
        <w:rPr>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377"/>
        <w:gridCol w:w="1377"/>
        <w:gridCol w:w="1377"/>
        <w:gridCol w:w="1377"/>
        <w:gridCol w:w="1377"/>
        <w:gridCol w:w="1377"/>
        <w:gridCol w:w="1377"/>
      </w:tblGrid>
      <w:tr w:rsidR="00E20B54">
        <w:trPr>
          <w:trHeight w:val="240"/>
        </w:trPr>
        <w:tc>
          <w:tcPr>
            <w:tcW w:w="1377"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类别</w:t>
            </w:r>
          </w:p>
        </w:tc>
        <w:tc>
          <w:tcPr>
            <w:tcW w:w="1377"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期初余额</w:t>
            </w:r>
          </w:p>
        </w:tc>
        <w:tc>
          <w:tcPr>
            <w:tcW w:w="5508" w:type="dxa"/>
            <w:gridSpan w:val="4"/>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本期变动金额</w:t>
            </w:r>
          </w:p>
        </w:tc>
        <w:tc>
          <w:tcPr>
            <w:tcW w:w="1377"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期末余额</w:t>
            </w:r>
          </w:p>
        </w:tc>
      </w:tr>
      <w:tr w:rsidR="00E20B54">
        <w:trPr>
          <w:trHeight w:val="240"/>
        </w:trPr>
        <w:tc>
          <w:tcPr>
            <w:tcW w:w="1377"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c>
          <w:tcPr>
            <w:tcW w:w="1377"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计提</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收回或转回</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核销</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其他</w:t>
            </w:r>
          </w:p>
        </w:tc>
        <w:tc>
          <w:tcPr>
            <w:tcW w:w="1377"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r>
      <w:tr w:rsidR="00E20B54" w:rsidTr="00AD5282">
        <w:trPr>
          <w:trHeight w:val="240"/>
        </w:trPr>
        <w:tc>
          <w:tcPr>
            <w:tcW w:w="1377" w:type="dxa"/>
            <w:tcBorders>
              <w:top w:val="single" w:sz="2" w:space="0" w:color="auto"/>
              <w:left w:val="single" w:sz="2" w:space="0" w:color="auto"/>
              <w:bottom w:val="single" w:sz="2" w:space="0" w:color="auto"/>
              <w:right w:val="single" w:sz="2" w:space="0" w:color="auto"/>
            </w:tcBorders>
            <w:shd w:val="clear" w:color="auto" w:fill="D9D9D9" w:themeFill="background1" w:themeFillShade="D9"/>
            <w:vAlign w:val="center"/>
          </w:tcPr>
          <w:p w:rsidR="00E20B54" w:rsidRDefault="00733C9E">
            <w:pPr>
              <w:spacing w:line="240" w:lineRule="exact"/>
              <w:rPr>
                <w:sz w:val="18"/>
                <w:szCs w:val="18"/>
              </w:rPr>
            </w:pPr>
            <w:r>
              <w:rPr>
                <w:sz w:val="18"/>
                <w:szCs w:val="18"/>
              </w:rPr>
              <w:t>应收票据</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36,000.00</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36,000.00</w:t>
            </w:r>
          </w:p>
        </w:tc>
      </w:tr>
      <w:tr w:rsidR="00E20B54">
        <w:trPr>
          <w:trHeight w:val="240"/>
        </w:trPr>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合计</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36,000.00</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36,000.00</w:t>
            </w:r>
          </w:p>
        </w:tc>
      </w:tr>
    </w:tbl>
    <w:p w:rsidR="00E20B54" w:rsidRDefault="00733C9E">
      <w:pPr>
        <w:spacing w:before="100" w:after="100" w:line="240" w:lineRule="exact"/>
        <w:rPr>
          <w:sz w:val="18"/>
          <w:szCs w:val="18"/>
        </w:rPr>
      </w:pPr>
      <w:r>
        <w:rPr>
          <w:sz w:val="18"/>
          <w:szCs w:val="18"/>
        </w:rPr>
        <w:t>其中本期坏账准备收回或转回金额重要的：</w:t>
      </w:r>
      <w:r w:rsidR="00E5606C">
        <w:rPr>
          <w:rFonts w:hint="eastAsia"/>
          <w:sz w:val="18"/>
          <w:szCs w:val="18"/>
        </w:rPr>
        <w:t>无。</w:t>
      </w:r>
    </w:p>
    <w:p w:rsidR="00E20B54" w:rsidRDefault="00733C9E">
      <w:pPr>
        <w:spacing w:before="40" w:after="40" w:line="240" w:lineRule="exact"/>
        <w:rPr>
          <w:sz w:val="18"/>
          <w:szCs w:val="18"/>
        </w:rPr>
      </w:pPr>
      <w:r>
        <w:rPr>
          <w:sz w:val="18"/>
          <w:szCs w:val="18"/>
        </w:rPr>
        <w:t>□</w:t>
      </w:r>
      <w:r>
        <w:rPr>
          <w:sz w:val="18"/>
          <w:szCs w:val="18"/>
        </w:rPr>
        <w:t>适用</w:t>
      </w:r>
      <w:r>
        <w:rPr>
          <w:sz w:val="18"/>
          <w:szCs w:val="18"/>
        </w:rPr>
        <w:t xml:space="preserve"> </w:t>
      </w:r>
      <w:r>
        <w:rPr>
          <w:sz w:val="18"/>
          <w:szCs w:val="18"/>
        </w:rPr>
        <w:sym w:font="Wingdings 2" w:char="F052"/>
      </w:r>
      <w:r>
        <w:rPr>
          <w:sz w:val="18"/>
          <w:szCs w:val="18"/>
        </w:rPr>
        <w:t>不适用</w:t>
      </w:r>
    </w:p>
    <w:p w:rsidR="00E20B54" w:rsidRDefault="00733C9E">
      <w:pPr>
        <w:keepNext/>
        <w:keepLines/>
        <w:spacing w:before="300" w:after="300" w:line="280" w:lineRule="exact"/>
        <w:outlineLvl w:val="3"/>
        <w:rPr>
          <w:b/>
          <w:bCs/>
          <w:szCs w:val="21"/>
        </w:rPr>
      </w:pPr>
      <w:bookmarkStart w:id="229" w:name="_Toc989117"/>
      <w:r>
        <w:rPr>
          <w:b/>
          <w:bCs/>
          <w:szCs w:val="21"/>
        </w:rPr>
        <w:t>（</w:t>
      </w:r>
      <w:r>
        <w:rPr>
          <w:b/>
          <w:bCs/>
          <w:szCs w:val="21"/>
        </w:rPr>
        <w:t>4</w:t>
      </w:r>
      <w:r>
        <w:rPr>
          <w:b/>
          <w:bCs/>
          <w:szCs w:val="21"/>
        </w:rPr>
        <w:t>）</w:t>
      </w:r>
      <w:r>
        <w:rPr>
          <w:b/>
          <w:bCs/>
          <w:szCs w:val="21"/>
        </w:rPr>
        <w:t xml:space="preserve"> </w:t>
      </w:r>
      <w:r>
        <w:rPr>
          <w:b/>
          <w:bCs/>
          <w:szCs w:val="21"/>
        </w:rPr>
        <w:t>期末公司已质押的应收票据</w:t>
      </w:r>
      <w:bookmarkEnd w:id="229"/>
    </w:p>
    <w:p w:rsidR="00E20B54" w:rsidRDefault="00733C9E">
      <w:pPr>
        <w:spacing w:before="40" w:after="40" w:line="240" w:lineRule="exact"/>
        <w:jc w:val="right"/>
        <w:rPr>
          <w:sz w:val="18"/>
          <w:szCs w:val="18"/>
        </w:rPr>
      </w:pPr>
      <w:r>
        <w:rPr>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4820"/>
        <w:gridCol w:w="4819"/>
      </w:tblGrid>
      <w:tr w:rsidR="00E20B54">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项目</w:t>
            </w:r>
          </w:p>
        </w:tc>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期末已质押金额</w:t>
            </w:r>
          </w:p>
        </w:tc>
      </w:tr>
    </w:tbl>
    <w:p w:rsidR="00E20B54" w:rsidRDefault="00733C9E">
      <w:pPr>
        <w:keepNext/>
        <w:keepLines/>
        <w:spacing w:before="300" w:after="300" w:line="280" w:lineRule="exact"/>
        <w:outlineLvl w:val="3"/>
        <w:rPr>
          <w:b/>
          <w:bCs/>
          <w:szCs w:val="21"/>
        </w:rPr>
      </w:pPr>
      <w:bookmarkStart w:id="230" w:name="_Toc989118"/>
      <w:r>
        <w:rPr>
          <w:b/>
          <w:bCs/>
          <w:szCs w:val="21"/>
        </w:rPr>
        <w:t>（</w:t>
      </w:r>
      <w:r>
        <w:rPr>
          <w:b/>
          <w:bCs/>
          <w:szCs w:val="21"/>
        </w:rPr>
        <w:t>5</w:t>
      </w:r>
      <w:r>
        <w:rPr>
          <w:b/>
          <w:bCs/>
          <w:szCs w:val="21"/>
        </w:rPr>
        <w:t>）</w:t>
      </w:r>
      <w:r>
        <w:rPr>
          <w:b/>
          <w:bCs/>
          <w:szCs w:val="21"/>
        </w:rPr>
        <w:t xml:space="preserve"> </w:t>
      </w:r>
      <w:r>
        <w:rPr>
          <w:b/>
          <w:bCs/>
          <w:szCs w:val="21"/>
        </w:rPr>
        <w:t>期末公司已背书或贴现且在资产负债表日尚未到期的应收票据</w:t>
      </w:r>
      <w:bookmarkEnd w:id="230"/>
    </w:p>
    <w:p w:rsidR="00E20B54" w:rsidRDefault="00733C9E">
      <w:pPr>
        <w:spacing w:before="40" w:after="40" w:line="240" w:lineRule="exact"/>
        <w:jc w:val="right"/>
        <w:rPr>
          <w:sz w:val="18"/>
          <w:szCs w:val="18"/>
        </w:rPr>
      </w:pPr>
      <w:r>
        <w:rPr>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项目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期末终止确认金额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期末未终止确认金额</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银行承兑票据</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700,000.00</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160,000.00</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合计</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700,000.00</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160,000.00</w:t>
            </w:r>
          </w:p>
        </w:tc>
      </w:tr>
    </w:tbl>
    <w:p w:rsidR="00E20B54" w:rsidRDefault="00733C9E">
      <w:pPr>
        <w:keepNext/>
        <w:keepLines/>
        <w:spacing w:before="300" w:after="300" w:line="280" w:lineRule="exact"/>
        <w:outlineLvl w:val="3"/>
        <w:rPr>
          <w:b/>
          <w:bCs/>
          <w:szCs w:val="21"/>
        </w:rPr>
      </w:pPr>
      <w:bookmarkStart w:id="231" w:name="_Toc989119"/>
      <w:r>
        <w:rPr>
          <w:b/>
          <w:bCs/>
          <w:szCs w:val="21"/>
        </w:rPr>
        <w:t>（</w:t>
      </w:r>
      <w:r>
        <w:rPr>
          <w:b/>
          <w:bCs/>
          <w:szCs w:val="21"/>
        </w:rPr>
        <w:t>6</w:t>
      </w:r>
      <w:r>
        <w:rPr>
          <w:b/>
          <w:bCs/>
          <w:szCs w:val="21"/>
        </w:rPr>
        <w:t>）</w:t>
      </w:r>
      <w:r>
        <w:rPr>
          <w:b/>
          <w:bCs/>
          <w:szCs w:val="21"/>
        </w:rPr>
        <w:t xml:space="preserve"> </w:t>
      </w:r>
      <w:r>
        <w:rPr>
          <w:b/>
          <w:bCs/>
          <w:szCs w:val="21"/>
        </w:rPr>
        <w:t>本期实际核销的应收票据情况</w:t>
      </w:r>
      <w:bookmarkEnd w:id="231"/>
    </w:p>
    <w:p w:rsidR="00E20B54" w:rsidRDefault="00733C9E">
      <w:pPr>
        <w:spacing w:before="40" w:after="40" w:line="240" w:lineRule="exact"/>
        <w:jc w:val="right"/>
        <w:rPr>
          <w:sz w:val="18"/>
          <w:szCs w:val="18"/>
        </w:rPr>
      </w:pPr>
      <w:r>
        <w:rPr>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4820"/>
        <w:gridCol w:w="4819"/>
      </w:tblGrid>
      <w:tr w:rsidR="00E20B54">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项目</w:t>
            </w:r>
          </w:p>
        </w:tc>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核销金额</w:t>
            </w:r>
          </w:p>
        </w:tc>
      </w:tr>
    </w:tbl>
    <w:p w:rsidR="00E20B54" w:rsidRDefault="00733C9E">
      <w:pPr>
        <w:spacing w:before="100" w:after="100" w:line="240" w:lineRule="exact"/>
        <w:rPr>
          <w:sz w:val="18"/>
          <w:szCs w:val="18"/>
        </w:rPr>
      </w:pPr>
      <w:r>
        <w:rPr>
          <w:sz w:val="18"/>
          <w:szCs w:val="18"/>
        </w:rPr>
        <w:t>其中重要的应收票据核销情况：</w:t>
      </w:r>
      <w:r w:rsidR="00E5606C">
        <w:rPr>
          <w:rFonts w:hint="eastAsia"/>
          <w:sz w:val="18"/>
          <w:szCs w:val="18"/>
        </w:rPr>
        <w:t>无。</w:t>
      </w:r>
    </w:p>
    <w:p w:rsidR="00E20B54" w:rsidRDefault="00733C9E">
      <w:pPr>
        <w:spacing w:before="120" w:after="120" w:line="240" w:lineRule="exact"/>
        <w:jc w:val="right"/>
        <w:rPr>
          <w:sz w:val="18"/>
          <w:szCs w:val="18"/>
        </w:rPr>
      </w:pPr>
      <w:r>
        <w:rPr>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606"/>
        <w:gridCol w:w="1606"/>
        <w:gridCol w:w="1606"/>
        <w:gridCol w:w="1607"/>
        <w:gridCol w:w="1607"/>
        <w:gridCol w:w="1607"/>
      </w:tblGrid>
      <w:tr w:rsidR="00E20B54">
        <w:trPr>
          <w:trHeight w:val="240"/>
        </w:trPr>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单位名称</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应收票据性质</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核销金额</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核销原因</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履行的核销程序</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款项是否由关联交易产生</w:t>
            </w:r>
          </w:p>
        </w:tc>
      </w:tr>
    </w:tbl>
    <w:p w:rsidR="00E20B54" w:rsidRDefault="00733C9E">
      <w:pPr>
        <w:spacing w:before="100" w:after="100" w:line="240" w:lineRule="exact"/>
        <w:rPr>
          <w:sz w:val="18"/>
          <w:szCs w:val="18"/>
        </w:rPr>
      </w:pPr>
      <w:r>
        <w:rPr>
          <w:sz w:val="18"/>
          <w:szCs w:val="18"/>
        </w:rPr>
        <w:t>应收票据核销说明：</w:t>
      </w:r>
      <w:r w:rsidR="00E5606C">
        <w:rPr>
          <w:rFonts w:hint="eastAsia"/>
          <w:sz w:val="18"/>
          <w:szCs w:val="18"/>
        </w:rPr>
        <w:t>无。</w:t>
      </w:r>
    </w:p>
    <w:p w:rsidR="00E20B54" w:rsidRDefault="00733C9E">
      <w:pPr>
        <w:pStyle w:val="3"/>
        <w:spacing w:line="280" w:lineRule="exact"/>
        <w:jc w:val="left"/>
        <w:rPr>
          <w:b/>
          <w:bCs/>
        </w:rPr>
      </w:pPr>
      <w:bookmarkStart w:id="232" w:name="_Toc989120"/>
      <w:r>
        <w:rPr>
          <w:b/>
          <w:bCs/>
        </w:rPr>
        <w:lastRenderedPageBreak/>
        <w:t>3</w:t>
      </w:r>
      <w:r>
        <w:rPr>
          <w:b/>
          <w:bCs/>
        </w:rPr>
        <w:t>、应收账款</w:t>
      </w:r>
      <w:bookmarkEnd w:id="232"/>
    </w:p>
    <w:p w:rsidR="00E20B54" w:rsidRDefault="00733C9E">
      <w:pPr>
        <w:keepNext/>
        <w:keepLines/>
        <w:spacing w:before="300" w:after="300" w:line="280" w:lineRule="exact"/>
        <w:outlineLvl w:val="3"/>
        <w:rPr>
          <w:b/>
          <w:bCs/>
          <w:szCs w:val="21"/>
        </w:rPr>
      </w:pPr>
      <w:bookmarkStart w:id="233" w:name="_Toc989121"/>
      <w:r>
        <w:rPr>
          <w:b/>
          <w:bCs/>
          <w:szCs w:val="21"/>
        </w:rPr>
        <w:t>（</w:t>
      </w:r>
      <w:r>
        <w:rPr>
          <w:b/>
          <w:bCs/>
          <w:szCs w:val="21"/>
        </w:rPr>
        <w:t>1</w:t>
      </w:r>
      <w:r>
        <w:rPr>
          <w:b/>
          <w:bCs/>
          <w:szCs w:val="21"/>
        </w:rPr>
        <w:t>）</w:t>
      </w:r>
      <w:r>
        <w:rPr>
          <w:b/>
          <w:bCs/>
          <w:szCs w:val="21"/>
        </w:rPr>
        <w:t xml:space="preserve"> </w:t>
      </w:r>
      <w:r>
        <w:rPr>
          <w:b/>
          <w:bCs/>
          <w:szCs w:val="21"/>
        </w:rPr>
        <w:t>按账龄披露</w:t>
      </w:r>
      <w:bookmarkEnd w:id="233"/>
    </w:p>
    <w:p w:rsidR="00E20B54" w:rsidRDefault="00733C9E">
      <w:pPr>
        <w:spacing w:before="120" w:after="120" w:line="240" w:lineRule="exact"/>
        <w:jc w:val="right"/>
        <w:rPr>
          <w:sz w:val="18"/>
          <w:szCs w:val="18"/>
        </w:rPr>
      </w:pPr>
      <w:r>
        <w:rPr>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账龄</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期末账面余额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期初账面余额</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1</w:t>
            </w:r>
            <w:r>
              <w:rPr>
                <w:sz w:val="18"/>
                <w:szCs w:val="18"/>
              </w:rPr>
              <w:t>年以内（含</w:t>
            </w:r>
            <w:r>
              <w:rPr>
                <w:sz w:val="18"/>
                <w:szCs w:val="18"/>
              </w:rPr>
              <w:t>1</w:t>
            </w:r>
            <w:r>
              <w:rPr>
                <w:sz w:val="18"/>
                <w:szCs w:val="18"/>
              </w:rPr>
              <w:t>年）</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181,663,881.35</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105,506,477.36</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1</w:t>
            </w:r>
            <w:r>
              <w:rPr>
                <w:sz w:val="18"/>
                <w:szCs w:val="18"/>
              </w:rPr>
              <w:t>至</w:t>
            </w:r>
            <w:r>
              <w:rPr>
                <w:sz w:val="18"/>
                <w:szCs w:val="18"/>
              </w:rPr>
              <w:t>2</w:t>
            </w:r>
            <w:r>
              <w:rPr>
                <w:sz w:val="18"/>
                <w:szCs w:val="18"/>
              </w:rPr>
              <w:t>年</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39,199,188.04</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115,898,063.35</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2</w:t>
            </w:r>
            <w:r>
              <w:rPr>
                <w:sz w:val="18"/>
                <w:szCs w:val="18"/>
              </w:rPr>
              <w:t>至</w:t>
            </w:r>
            <w:r>
              <w:rPr>
                <w:sz w:val="18"/>
                <w:szCs w:val="18"/>
              </w:rPr>
              <w:t>3</w:t>
            </w:r>
            <w:r>
              <w:rPr>
                <w:sz w:val="18"/>
                <w:szCs w:val="18"/>
              </w:rPr>
              <w:t>年</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81,581,348.83</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63,766,791.23</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3</w:t>
            </w:r>
            <w:r>
              <w:rPr>
                <w:sz w:val="18"/>
                <w:szCs w:val="18"/>
              </w:rPr>
              <w:t>年以上</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90,592,606.69</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73,036,285.79</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100" w:firstLine="180"/>
              <w:rPr>
                <w:sz w:val="18"/>
                <w:szCs w:val="18"/>
              </w:rPr>
            </w:pPr>
            <w:r>
              <w:rPr>
                <w:sz w:val="18"/>
                <w:szCs w:val="18"/>
              </w:rPr>
              <w:t>3</w:t>
            </w:r>
            <w:r>
              <w:rPr>
                <w:sz w:val="18"/>
                <w:szCs w:val="18"/>
              </w:rPr>
              <w:t>至</w:t>
            </w:r>
            <w:r>
              <w:rPr>
                <w:sz w:val="18"/>
                <w:szCs w:val="18"/>
              </w:rPr>
              <w:t>4</w:t>
            </w:r>
            <w:r>
              <w:rPr>
                <w:sz w:val="18"/>
                <w:szCs w:val="18"/>
              </w:rPr>
              <w:t>年</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48,183,648.16</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49,897,104.09</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100" w:firstLine="180"/>
              <w:rPr>
                <w:sz w:val="18"/>
                <w:szCs w:val="18"/>
              </w:rPr>
            </w:pPr>
            <w:r>
              <w:rPr>
                <w:sz w:val="18"/>
                <w:szCs w:val="18"/>
              </w:rPr>
              <w:t>4</w:t>
            </w:r>
            <w:r>
              <w:rPr>
                <w:sz w:val="18"/>
                <w:szCs w:val="18"/>
              </w:rPr>
              <w:t>至</w:t>
            </w:r>
            <w:r>
              <w:rPr>
                <w:sz w:val="18"/>
                <w:szCs w:val="18"/>
              </w:rPr>
              <w:t>5</w:t>
            </w:r>
            <w:r>
              <w:rPr>
                <w:sz w:val="18"/>
                <w:szCs w:val="18"/>
              </w:rPr>
              <w:t>年</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29,222,151.84</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8,761,197.95</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100" w:firstLine="180"/>
              <w:rPr>
                <w:sz w:val="18"/>
                <w:szCs w:val="18"/>
              </w:rPr>
            </w:pPr>
            <w:r>
              <w:rPr>
                <w:sz w:val="18"/>
                <w:szCs w:val="18"/>
              </w:rPr>
              <w:t>5</w:t>
            </w:r>
            <w:r>
              <w:rPr>
                <w:sz w:val="18"/>
                <w:szCs w:val="18"/>
              </w:rPr>
              <w:t>年以上</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13,186,806.69</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14,377,983.75</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合计</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393,037,024.91</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358,207,617.73</w:t>
            </w:r>
          </w:p>
        </w:tc>
      </w:tr>
    </w:tbl>
    <w:p w:rsidR="00E20B54" w:rsidRDefault="00733C9E">
      <w:pPr>
        <w:keepNext/>
        <w:keepLines/>
        <w:spacing w:before="300" w:after="300" w:line="280" w:lineRule="exact"/>
        <w:outlineLvl w:val="3"/>
        <w:rPr>
          <w:b/>
          <w:bCs/>
          <w:szCs w:val="21"/>
        </w:rPr>
      </w:pPr>
      <w:bookmarkStart w:id="234" w:name="_Toc989122"/>
      <w:r>
        <w:rPr>
          <w:b/>
          <w:bCs/>
          <w:szCs w:val="21"/>
        </w:rPr>
        <w:t>（</w:t>
      </w:r>
      <w:r>
        <w:rPr>
          <w:b/>
          <w:bCs/>
          <w:szCs w:val="21"/>
        </w:rPr>
        <w:t>2</w:t>
      </w:r>
      <w:r>
        <w:rPr>
          <w:b/>
          <w:bCs/>
          <w:szCs w:val="21"/>
        </w:rPr>
        <w:t>）</w:t>
      </w:r>
      <w:r>
        <w:rPr>
          <w:b/>
          <w:bCs/>
          <w:szCs w:val="21"/>
        </w:rPr>
        <w:t xml:space="preserve"> </w:t>
      </w:r>
      <w:r>
        <w:rPr>
          <w:b/>
          <w:bCs/>
          <w:szCs w:val="21"/>
        </w:rPr>
        <w:t>按坏账计提方法分类披露</w:t>
      </w:r>
      <w:bookmarkEnd w:id="234"/>
    </w:p>
    <w:p w:rsidR="00E20B54" w:rsidRDefault="00733C9E">
      <w:pPr>
        <w:spacing w:before="40" w:after="40" w:line="240" w:lineRule="exact"/>
        <w:jc w:val="right"/>
        <w:rPr>
          <w:sz w:val="18"/>
          <w:szCs w:val="18"/>
        </w:rPr>
      </w:pPr>
      <w:r>
        <w:rPr>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875"/>
        <w:gridCol w:w="876"/>
        <w:gridCol w:w="877"/>
        <w:gridCol w:w="876"/>
        <w:gridCol w:w="877"/>
        <w:gridCol w:w="876"/>
        <w:gridCol w:w="876"/>
        <w:gridCol w:w="877"/>
        <w:gridCol w:w="876"/>
        <w:gridCol w:w="877"/>
        <w:gridCol w:w="876"/>
      </w:tblGrid>
      <w:tr w:rsidR="00E20B54">
        <w:trPr>
          <w:trHeight w:val="240"/>
        </w:trPr>
        <w:tc>
          <w:tcPr>
            <w:tcW w:w="876"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类别</w:t>
            </w:r>
          </w:p>
        </w:tc>
        <w:tc>
          <w:tcPr>
            <w:tcW w:w="4381" w:type="dxa"/>
            <w:gridSpan w:val="5"/>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期末余额</w:t>
            </w:r>
          </w:p>
        </w:tc>
        <w:tc>
          <w:tcPr>
            <w:tcW w:w="4381" w:type="dxa"/>
            <w:gridSpan w:val="5"/>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期初余额</w:t>
            </w:r>
          </w:p>
        </w:tc>
      </w:tr>
      <w:tr w:rsidR="00E20B54">
        <w:trPr>
          <w:trHeight w:val="240"/>
        </w:trPr>
        <w:tc>
          <w:tcPr>
            <w:tcW w:w="876"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c>
          <w:tcPr>
            <w:tcW w:w="1753"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账面余额</w:t>
            </w:r>
          </w:p>
        </w:tc>
        <w:tc>
          <w:tcPr>
            <w:tcW w:w="1753"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坏账准备</w:t>
            </w:r>
          </w:p>
        </w:tc>
        <w:tc>
          <w:tcPr>
            <w:tcW w:w="876"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账面价值</w:t>
            </w:r>
          </w:p>
        </w:tc>
        <w:tc>
          <w:tcPr>
            <w:tcW w:w="1753"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账面余额</w:t>
            </w:r>
          </w:p>
        </w:tc>
        <w:tc>
          <w:tcPr>
            <w:tcW w:w="1753"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坏账准备</w:t>
            </w:r>
          </w:p>
        </w:tc>
        <w:tc>
          <w:tcPr>
            <w:tcW w:w="876"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账面价值</w:t>
            </w:r>
          </w:p>
        </w:tc>
      </w:tr>
      <w:tr w:rsidR="00E20B54">
        <w:trPr>
          <w:trHeight w:val="240"/>
        </w:trPr>
        <w:tc>
          <w:tcPr>
            <w:tcW w:w="876"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金额</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比例</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金额</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计提比例</w:t>
            </w:r>
          </w:p>
        </w:tc>
        <w:tc>
          <w:tcPr>
            <w:tcW w:w="876"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金额</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比例</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金额</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计提比例</w:t>
            </w:r>
          </w:p>
        </w:tc>
        <w:tc>
          <w:tcPr>
            <w:tcW w:w="876"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r>
      <w:tr w:rsidR="00E20B54">
        <w:trPr>
          <w:trHeight w:val="240"/>
        </w:trPr>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其中：</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r>
      <w:tr w:rsidR="00E20B54">
        <w:trPr>
          <w:trHeight w:val="240"/>
        </w:trPr>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按组合计提坏账准备的应收账款</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393,037,024.91</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100.00%</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103,424,026.71</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26.31%</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289,612,998.20</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358,207,617.73</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100.00%</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83,337,736.00</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23.27%</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274,869,881.73</w:t>
            </w:r>
          </w:p>
        </w:tc>
      </w:tr>
      <w:tr w:rsidR="00E20B54">
        <w:trPr>
          <w:trHeight w:val="240"/>
        </w:trPr>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其中：</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r>
      <w:tr w:rsidR="00E20B54" w:rsidTr="00E5606C">
        <w:trPr>
          <w:trHeight w:val="240"/>
        </w:trPr>
        <w:tc>
          <w:tcPr>
            <w:tcW w:w="876" w:type="dxa"/>
            <w:tcBorders>
              <w:top w:val="single" w:sz="2" w:space="0" w:color="auto"/>
              <w:left w:val="single" w:sz="2" w:space="0" w:color="auto"/>
              <w:bottom w:val="single" w:sz="2" w:space="0" w:color="auto"/>
              <w:right w:val="single" w:sz="2" w:space="0" w:color="auto"/>
            </w:tcBorders>
            <w:shd w:val="clear" w:color="auto" w:fill="D9D9D9" w:themeFill="background1" w:themeFillShade="D9"/>
            <w:vAlign w:val="center"/>
          </w:tcPr>
          <w:p w:rsidR="00E20B54" w:rsidRDefault="00733C9E">
            <w:pPr>
              <w:spacing w:line="240" w:lineRule="exact"/>
              <w:rPr>
                <w:sz w:val="18"/>
                <w:szCs w:val="18"/>
              </w:rPr>
            </w:pPr>
            <w:r>
              <w:rPr>
                <w:sz w:val="18"/>
                <w:szCs w:val="18"/>
              </w:rPr>
              <w:t>组合</w:t>
            </w:r>
            <w:r>
              <w:rPr>
                <w:sz w:val="18"/>
                <w:szCs w:val="18"/>
              </w:rPr>
              <w:t>1</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64,993,097.71</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16.54%</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12,870,999.35</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19.80%</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52,122,098.36</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91,176,131.62</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25.45%</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23,129,981.57</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25.37%</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68,046,150.05</w:t>
            </w:r>
          </w:p>
        </w:tc>
      </w:tr>
      <w:tr w:rsidR="00E20B54" w:rsidTr="00E5606C">
        <w:trPr>
          <w:trHeight w:val="240"/>
        </w:trPr>
        <w:tc>
          <w:tcPr>
            <w:tcW w:w="876" w:type="dxa"/>
            <w:tcBorders>
              <w:top w:val="single" w:sz="2" w:space="0" w:color="auto"/>
              <w:left w:val="single" w:sz="2" w:space="0" w:color="auto"/>
              <w:bottom w:val="single" w:sz="2" w:space="0" w:color="auto"/>
              <w:right w:val="single" w:sz="2" w:space="0" w:color="auto"/>
            </w:tcBorders>
            <w:shd w:val="clear" w:color="auto" w:fill="D9D9D9" w:themeFill="background1" w:themeFillShade="D9"/>
            <w:vAlign w:val="center"/>
          </w:tcPr>
          <w:p w:rsidR="00E20B54" w:rsidRDefault="00733C9E">
            <w:pPr>
              <w:spacing w:line="240" w:lineRule="exact"/>
              <w:rPr>
                <w:sz w:val="18"/>
                <w:szCs w:val="18"/>
              </w:rPr>
            </w:pPr>
            <w:r>
              <w:rPr>
                <w:sz w:val="18"/>
                <w:szCs w:val="18"/>
              </w:rPr>
              <w:t>组合</w:t>
            </w:r>
            <w:r>
              <w:rPr>
                <w:sz w:val="18"/>
                <w:szCs w:val="18"/>
              </w:rPr>
              <w:t>2</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328,043,927.20</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83.46%</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90,553,027.36</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27.60%</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237,490,899.84</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267,031,486.11</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74.55%</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60,207,754.43</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22.55%</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206,823,731.68</w:t>
            </w:r>
          </w:p>
        </w:tc>
      </w:tr>
      <w:tr w:rsidR="00E20B54">
        <w:trPr>
          <w:trHeight w:val="240"/>
        </w:trPr>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合计</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393,037,024.91</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100.00%</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103,424,026.71</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26.31%</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289,612,998.20</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358,207,617.73</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100.00%</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83,337,736.00</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23.27%</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274,869,881.73</w:t>
            </w:r>
          </w:p>
        </w:tc>
      </w:tr>
    </w:tbl>
    <w:p w:rsidR="00E20B54" w:rsidRDefault="00733C9E">
      <w:pPr>
        <w:spacing w:before="100" w:after="100" w:line="240" w:lineRule="exact"/>
        <w:rPr>
          <w:sz w:val="18"/>
          <w:szCs w:val="18"/>
        </w:rPr>
      </w:pPr>
      <w:r>
        <w:rPr>
          <w:sz w:val="18"/>
          <w:szCs w:val="18"/>
        </w:rPr>
        <w:t>按组合计提坏账准备：组合</w:t>
      </w:r>
      <w:r>
        <w:rPr>
          <w:sz w:val="18"/>
          <w:szCs w:val="18"/>
        </w:rPr>
        <w:t>1</w:t>
      </w:r>
    </w:p>
    <w:p w:rsidR="00E20B54" w:rsidRDefault="00733C9E">
      <w:pPr>
        <w:spacing w:before="40" w:after="40" w:line="240" w:lineRule="exact"/>
        <w:jc w:val="right"/>
        <w:rPr>
          <w:sz w:val="18"/>
          <w:szCs w:val="18"/>
        </w:rPr>
      </w:pPr>
      <w:r>
        <w:rPr>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2409"/>
        <w:gridCol w:w="2410"/>
        <w:gridCol w:w="2410"/>
        <w:gridCol w:w="2410"/>
      </w:tblGrid>
      <w:tr w:rsidR="00E20B54">
        <w:trPr>
          <w:trHeight w:val="240"/>
        </w:trPr>
        <w:tc>
          <w:tcPr>
            <w:tcW w:w="2410"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名称</w:t>
            </w:r>
          </w:p>
        </w:tc>
        <w:tc>
          <w:tcPr>
            <w:tcW w:w="7229" w:type="dxa"/>
            <w:gridSpan w:val="3"/>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期末余额</w:t>
            </w:r>
          </w:p>
        </w:tc>
      </w:tr>
      <w:tr w:rsidR="00E20B54">
        <w:trPr>
          <w:trHeight w:val="240"/>
        </w:trPr>
        <w:tc>
          <w:tcPr>
            <w:tcW w:w="2410"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账面余额</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坏账准备</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计提比例</w:t>
            </w:r>
          </w:p>
        </w:tc>
      </w:tr>
      <w:tr w:rsidR="00E20B54" w:rsidTr="00E5606C">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9D9D9" w:themeFill="background1" w:themeFillShade="D9"/>
            <w:vAlign w:val="center"/>
          </w:tcPr>
          <w:p w:rsidR="00E20B54" w:rsidRDefault="00733C9E">
            <w:pPr>
              <w:spacing w:line="240" w:lineRule="exact"/>
              <w:rPr>
                <w:sz w:val="18"/>
                <w:szCs w:val="18"/>
              </w:rPr>
            </w:pPr>
            <w:r>
              <w:rPr>
                <w:sz w:val="18"/>
                <w:szCs w:val="18"/>
              </w:rPr>
              <w:t>1</w:t>
            </w:r>
            <w:r>
              <w:rPr>
                <w:sz w:val="18"/>
                <w:szCs w:val="18"/>
              </w:rPr>
              <w:t>年以内</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34,460,393.40</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1,723,019.67</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5.00%</w:t>
            </w:r>
          </w:p>
        </w:tc>
      </w:tr>
      <w:tr w:rsidR="00E20B54" w:rsidTr="00E5606C">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9D9D9" w:themeFill="background1" w:themeFillShade="D9"/>
            <w:vAlign w:val="center"/>
          </w:tcPr>
          <w:p w:rsidR="00E20B54" w:rsidRDefault="00733C9E">
            <w:pPr>
              <w:spacing w:line="240" w:lineRule="exact"/>
              <w:rPr>
                <w:sz w:val="18"/>
                <w:szCs w:val="18"/>
              </w:rPr>
            </w:pPr>
            <w:r>
              <w:rPr>
                <w:sz w:val="18"/>
                <w:szCs w:val="18"/>
              </w:rPr>
              <w:t>1</w:t>
            </w:r>
            <w:r>
              <w:rPr>
                <w:sz w:val="18"/>
                <w:szCs w:val="18"/>
              </w:rPr>
              <w:t>至</w:t>
            </w:r>
            <w:r>
              <w:rPr>
                <w:sz w:val="18"/>
                <w:szCs w:val="18"/>
              </w:rPr>
              <w:t>2</w:t>
            </w:r>
            <w:r>
              <w:rPr>
                <w:sz w:val="18"/>
                <w:szCs w:val="18"/>
              </w:rPr>
              <w:t>年</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14,040,701.47</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1,404,070.15</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10.00%</w:t>
            </w:r>
          </w:p>
        </w:tc>
      </w:tr>
      <w:tr w:rsidR="00E20B54" w:rsidTr="00E5606C">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9D9D9" w:themeFill="background1" w:themeFillShade="D9"/>
            <w:vAlign w:val="center"/>
          </w:tcPr>
          <w:p w:rsidR="00E20B54" w:rsidRDefault="00733C9E">
            <w:pPr>
              <w:spacing w:line="240" w:lineRule="exact"/>
              <w:rPr>
                <w:sz w:val="18"/>
                <w:szCs w:val="18"/>
              </w:rPr>
            </w:pPr>
            <w:r>
              <w:rPr>
                <w:sz w:val="18"/>
                <w:szCs w:val="18"/>
              </w:rPr>
              <w:t>2</w:t>
            </w:r>
            <w:r>
              <w:rPr>
                <w:sz w:val="18"/>
                <w:szCs w:val="18"/>
              </w:rPr>
              <w:t>至</w:t>
            </w:r>
            <w:r>
              <w:rPr>
                <w:sz w:val="18"/>
                <w:szCs w:val="18"/>
              </w:rPr>
              <w:t>3</w:t>
            </w:r>
            <w:r>
              <w:rPr>
                <w:sz w:val="18"/>
                <w:szCs w:val="18"/>
              </w:rPr>
              <w:t>年</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4,360,614.83</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1,308,184.45</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30.00%</w:t>
            </w:r>
          </w:p>
        </w:tc>
      </w:tr>
      <w:tr w:rsidR="00E20B54" w:rsidTr="00E5606C">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9D9D9" w:themeFill="background1" w:themeFillShade="D9"/>
            <w:vAlign w:val="center"/>
          </w:tcPr>
          <w:p w:rsidR="00E20B54" w:rsidRDefault="00733C9E">
            <w:pPr>
              <w:spacing w:line="240" w:lineRule="exact"/>
              <w:rPr>
                <w:sz w:val="18"/>
                <w:szCs w:val="18"/>
              </w:rPr>
            </w:pPr>
            <w:r>
              <w:rPr>
                <w:sz w:val="18"/>
                <w:szCs w:val="18"/>
              </w:rPr>
              <w:t>3</w:t>
            </w:r>
            <w:r>
              <w:rPr>
                <w:sz w:val="18"/>
                <w:szCs w:val="18"/>
              </w:rPr>
              <w:t>至</w:t>
            </w:r>
            <w:r>
              <w:rPr>
                <w:sz w:val="18"/>
                <w:szCs w:val="18"/>
              </w:rPr>
              <w:t>4</w:t>
            </w:r>
            <w:r>
              <w:rPr>
                <w:sz w:val="18"/>
                <w:szCs w:val="18"/>
              </w:rPr>
              <w:t>年</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6,282,778.98</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3,141,389.49</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50.00%</w:t>
            </w:r>
          </w:p>
        </w:tc>
      </w:tr>
      <w:tr w:rsidR="00E20B54" w:rsidTr="00E5606C">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9D9D9" w:themeFill="background1" w:themeFillShade="D9"/>
            <w:vAlign w:val="center"/>
          </w:tcPr>
          <w:p w:rsidR="00E20B54" w:rsidRDefault="00733C9E">
            <w:pPr>
              <w:spacing w:line="240" w:lineRule="exact"/>
              <w:rPr>
                <w:sz w:val="18"/>
                <w:szCs w:val="18"/>
              </w:rPr>
            </w:pPr>
            <w:r>
              <w:rPr>
                <w:sz w:val="18"/>
                <w:szCs w:val="18"/>
              </w:rPr>
              <w:t>4</w:t>
            </w:r>
            <w:r>
              <w:rPr>
                <w:sz w:val="18"/>
                <w:szCs w:val="18"/>
              </w:rPr>
              <w:t>至</w:t>
            </w:r>
            <w:r>
              <w:rPr>
                <w:sz w:val="18"/>
                <w:szCs w:val="18"/>
              </w:rPr>
              <w:t>5</w:t>
            </w:r>
            <w:r>
              <w:rPr>
                <w:sz w:val="18"/>
                <w:szCs w:val="18"/>
              </w:rPr>
              <w:t>年</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2,771,367.21</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2,217,093.77</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80.00%</w:t>
            </w:r>
          </w:p>
        </w:tc>
      </w:tr>
      <w:tr w:rsidR="00E20B54" w:rsidTr="00E5606C">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9D9D9" w:themeFill="background1" w:themeFillShade="D9"/>
            <w:vAlign w:val="center"/>
          </w:tcPr>
          <w:p w:rsidR="00E20B54" w:rsidRDefault="00733C9E">
            <w:pPr>
              <w:spacing w:line="240" w:lineRule="exact"/>
              <w:rPr>
                <w:sz w:val="18"/>
                <w:szCs w:val="18"/>
              </w:rPr>
            </w:pPr>
            <w:r>
              <w:rPr>
                <w:sz w:val="18"/>
                <w:szCs w:val="18"/>
              </w:rPr>
              <w:t>5</w:t>
            </w:r>
            <w:r>
              <w:rPr>
                <w:sz w:val="18"/>
                <w:szCs w:val="18"/>
              </w:rPr>
              <w:t>年以上</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3,077,241.82</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3,077,241.82</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100.00%</w:t>
            </w:r>
          </w:p>
        </w:tc>
      </w:tr>
      <w:tr w:rsidR="00E20B54">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合计</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64,993,097.71</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12,870,999.35</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r>
    </w:tbl>
    <w:p w:rsidR="00E20B54" w:rsidRDefault="00733C9E" w:rsidP="00E5606C">
      <w:pPr>
        <w:spacing w:before="100" w:after="100" w:line="240" w:lineRule="exact"/>
        <w:rPr>
          <w:sz w:val="18"/>
          <w:szCs w:val="18"/>
        </w:rPr>
      </w:pPr>
      <w:r>
        <w:rPr>
          <w:sz w:val="18"/>
          <w:szCs w:val="18"/>
        </w:rPr>
        <w:t>确定该组合依据的说明：</w:t>
      </w:r>
      <w:r>
        <w:rPr>
          <w:color w:val="000000"/>
          <w:sz w:val="18"/>
          <w:szCs w:val="18"/>
          <w:lang w:bidi="ar"/>
        </w:rPr>
        <w:t>确定应收账款组合的依据详见本节五、</w:t>
      </w:r>
      <w:r>
        <w:rPr>
          <w:color w:val="000000"/>
          <w:sz w:val="18"/>
          <w:szCs w:val="18"/>
          <w:lang w:bidi="ar"/>
        </w:rPr>
        <w:t>13</w:t>
      </w:r>
      <w:r>
        <w:rPr>
          <w:color w:val="000000"/>
          <w:sz w:val="18"/>
          <w:szCs w:val="18"/>
          <w:lang w:bidi="ar"/>
        </w:rPr>
        <w:t>。</w:t>
      </w:r>
    </w:p>
    <w:p w:rsidR="00E20B54" w:rsidRDefault="00733C9E">
      <w:pPr>
        <w:spacing w:before="100" w:after="100" w:line="240" w:lineRule="exact"/>
        <w:rPr>
          <w:sz w:val="18"/>
          <w:szCs w:val="18"/>
        </w:rPr>
      </w:pPr>
      <w:r>
        <w:rPr>
          <w:sz w:val="18"/>
          <w:szCs w:val="18"/>
        </w:rPr>
        <w:lastRenderedPageBreak/>
        <w:t>按组合计提坏账准备：组合</w:t>
      </w:r>
      <w:r>
        <w:rPr>
          <w:sz w:val="18"/>
          <w:szCs w:val="18"/>
        </w:rPr>
        <w:t>2</w:t>
      </w:r>
    </w:p>
    <w:p w:rsidR="00E20B54" w:rsidRDefault="00733C9E">
      <w:pPr>
        <w:spacing w:before="40" w:after="40" w:line="240" w:lineRule="exact"/>
        <w:jc w:val="right"/>
        <w:rPr>
          <w:sz w:val="18"/>
          <w:szCs w:val="18"/>
        </w:rPr>
      </w:pPr>
      <w:r>
        <w:rPr>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2409"/>
        <w:gridCol w:w="2410"/>
        <w:gridCol w:w="2410"/>
        <w:gridCol w:w="2410"/>
      </w:tblGrid>
      <w:tr w:rsidR="00E20B54">
        <w:trPr>
          <w:trHeight w:val="240"/>
        </w:trPr>
        <w:tc>
          <w:tcPr>
            <w:tcW w:w="2410"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名称</w:t>
            </w:r>
          </w:p>
        </w:tc>
        <w:tc>
          <w:tcPr>
            <w:tcW w:w="7229" w:type="dxa"/>
            <w:gridSpan w:val="3"/>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期末余额</w:t>
            </w:r>
          </w:p>
        </w:tc>
      </w:tr>
      <w:tr w:rsidR="00E20B54">
        <w:trPr>
          <w:trHeight w:val="240"/>
        </w:trPr>
        <w:tc>
          <w:tcPr>
            <w:tcW w:w="2410"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账面余额</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坏账准备</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计提比例</w:t>
            </w:r>
          </w:p>
        </w:tc>
      </w:tr>
      <w:tr w:rsidR="00E20B54" w:rsidTr="00E5606C">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9D9D9" w:themeFill="background1" w:themeFillShade="D9"/>
            <w:vAlign w:val="center"/>
          </w:tcPr>
          <w:p w:rsidR="00E20B54" w:rsidRDefault="00733C9E">
            <w:pPr>
              <w:spacing w:line="240" w:lineRule="exact"/>
              <w:rPr>
                <w:sz w:val="18"/>
                <w:szCs w:val="18"/>
              </w:rPr>
            </w:pPr>
            <w:r>
              <w:rPr>
                <w:sz w:val="18"/>
                <w:szCs w:val="18"/>
              </w:rPr>
              <w:t>1</w:t>
            </w:r>
            <w:r>
              <w:rPr>
                <w:sz w:val="18"/>
                <w:szCs w:val="18"/>
              </w:rPr>
              <w:t>年以内</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147,203,487.95</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7,360,174.41</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5.00%</w:t>
            </w:r>
          </w:p>
        </w:tc>
      </w:tr>
      <w:tr w:rsidR="00E20B54" w:rsidTr="00E5606C">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9D9D9" w:themeFill="background1" w:themeFillShade="D9"/>
            <w:vAlign w:val="center"/>
          </w:tcPr>
          <w:p w:rsidR="00E20B54" w:rsidRDefault="00733C9E">
            <w:pPr>
              <w:spacing w:line="240" w:lineRule="exact"/>
              <w:rPr>
                <w:sz w:val="18"/>
                <w:szCs w:val="18"/>
              </w:rPr>
            </w:pPr>
            <w:r>
              <w:rPr>
                <w:sz w:val="18"/>
                <w:szCs w:val="18"/>
              </w:rPr>
              <w:t>1</w:t>
            </w:r>
            <w:r>
              <w:rPr>
                <w:sz w:val="18"/>
                <w:szCs w:val="18"/>
              </w:rPr>
              <w:t>至</w:t>
            </w:r>
            <w:r>
              <w:rPr>
                <w:sz w:val="18"/>
                <w:szCs w:val="18"/>
              </w:rPr>
              <w:t>2</w:t>
            </w:r>
            <w:r>
              <w:rPr>
                <w:sz w:val="18"/>
                <w:szCs w:val="18"/>
              </w:rPr>
              <w:t>年</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25,158,486.57</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2,515,848.66</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10.00%</w:t>
            </w:r>
          </w:p>
        </w:tc>
      </w:tr>
      <w:tr w:rsidR="00E20B54" w:rsidTr="00E5606C">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9D9D9" w:themeFill="background1" w:themeFillShade="D9"/>
            <w:vAlign w:val="center"/>
          </w:tcPr>
          <w:p w:rsidR="00E20B54" w:rsidRDefault="00733C9E">
            <w:pPr>
              <w:spacing w:line="240" w:lineRule="exact"/>
              <w:rPr>
                <w:sz w:val="18"/>
                <w:szCs w:val="18"/>
              </w:rPr>
            </w:pPr>
            <w:r>
              <w:rPr>
                <w:sz w:val="18"/>
                <w:szCs w:val="18"/>
              </w:rPr>
              <w:t>2</w:t>
            </w:r>
            <w:r>
              <w:rPr>
                <w:sz w:val="18"/>
                <w:szCs w:val="18"/>
              </w:rPr>
              <w:t>至</w:t>
            </w:r>
            <w:r>
              <w:rPr>
                <w:sz w:val="18"/>
                <w:szCs w:val="18"/>
              </w:rPr>
              <w:t>3</w:t>
            </w:r>
            <w:r>
              <w:rPr>
                <w:sz w:val="18"/>
                <w:szCs w:val="18"/>
              </w:rPr>
              <w:t>年</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77,220,734.00</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23,166,220.20</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30.00%</w:t>
            </w:r>
          </w:p>
        </w:tc>
      </w:tr>
      <w:tr w:rsidR="00E20B54" w:rsidTr="00E5606C">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9D9D9" w:themeFill="background1" w:themeFillShade="D9"/>
            <w:vAlign w:val="center"/>
          </w:tcPr>
          <w:p w:rsidR="00E20B54" w:rsidRDefault="00733C9E">
            <w:pPr>
              <w:spacing w:line="240" w:lineRule="exact"/>
              <w:rPr>
                <w:sz w:val="18"/>
                <w:szCs w:val="18"/>
              </w:rPr>
            </w:pPr>
            <w:r>
              <w:rPr>
                <w:sz w:val="18"/>
                <w:szCs w:val="18"/>
              </w:rPr>
              <w:t>3</w:t>
            </w:r>
            <w:r>
              <w:rPr>
                <w:sz w:val="18"/>
                <w:szCs w:val="18"/>
              </w:rPr>
              <w:t>至</w:t>
            </w:r>
            <w:r>
              <w:rPr>
                <w:sz w:val="18"/>
                <w:szCs w:val="18"/>
              </w:rPr>
              <w:t>4</w:t>
            </w:r>
            <w:r>
              <w:rPr>
                <w:sz w:val="18"/>
                <w:szCs w:val="18"/>
              </w:rPr>
              <w:t>年</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41,900,869.18</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20,950,434.59</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50.00%</w:t>
            </w:r>
          </w:p>
        </w:tc>
      </w:tr>
      <w:tr w:rsidR="00E20B54" w:rsidTr="00E5606C">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9D9D9" w:themeFill="background1" w:themeFillShade="D9"/>
            <w:vAlign w:val="center"/>
          </w:tcPr>
          <w:p w:rsidR="00E20B54" w:rsidRDefault="00733C9E">
            <w:pPr>
              <w:spacing w:line="240" w:lineRule="exact"/>
              <w:rPr>
                <w:sz w:val="18"/>
                <w:szCs w:val="18"/>
              </w:rPr>
            </w:pPr>
            <w:r>
              <w:rPr>
                <w:sz w:val="18"/>
                <w:szCs w:val="18"/>
              </w:rPr>
              <w:t>4</w:t>
            </w:r>
            <w:r>
              <w:rPr>
                <w:sz w:val="18"/>
                <w:szCs w:val="18"/>
              </w:rPr>
              <w:t>至</w:t>
            </w:r>
            <w:r>
              <w:rPr>
                <w:sz w:val="18"/>
                <w:szCs w:val="18"/>
              </w:rPr>
              <w:t>5</w:t>
            </w:r>
            <w:r>
              <w:rPr>
                <w:sz w:val="18"/>
                <w:szCs w:val="18"/>
              </w:rPr>
              <w:t>年</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26,450,784.63</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26,450,784.63</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100.00%</w:t>
            </w:r>
          </w:p>
        </w:tc>
      </w:tr>
      <w:tr w:rsidR="00E20B54" w:rsidTr="00E5606C">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9D9D9" w:themeFill="background1" w:themeFillShade="D9"/>
            <w:vAlign w:val="center"/>
          </w:tcPr>
          <w:p w:rsidR="00E20B54" w:rsidRDefault="00733C9E">
            <w:pPr>
              <w:spacing w:line="240" w:lineRule="exact"/>
              <w:rPr>
                <w:sz w:val="18"/>
                <w:szCs w:val="18"/>
              </w:rPr>
            </w:pPr>
            <w:r>
              <w:rPr>
                <w:sz w:val="18"/>
                <w:szCs w:val="18"/>
              </w:rPr>
              <w:t>5</w:t>
            </w:r>
            <w:r>
              <w:rPr>
                <w:sz w:val="18"/>
                <w:szCs w:val="18"/>
              </w:rPr>
              <w:t>年以上</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10,109,564.87</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10,109,564.87</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100.00%</w:t>
            </w:r>
          </w:p>
        </w:tc>
      </w:tr>
      <w:tr w:rsidR="00E20B54">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合计</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328,043,927.20</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90,553,027.36</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r>
    </w:tbl>
    <w:p w:rsidR="00E20B54" w:rsidRDefault="00733C9E" w:rsidP="00E5606C">
      <w:pPr>
        <w:spacing w:before="100" w:after="100" w:line="240" w:lineRule="exact"/>
      </w:pPr>
      <w:r>
        <w:rPr>
          <w:sz w:val="18"/>
          <w:szCs w:val="18"/>
        </w:rPr>
        <w:t>确定该组合依据的说明：</w:t>
      </w:r>
      <w:r>
        <w:rPr>
          <w:color w:val="000000"/>
          <w:sz w:val="18"/>
          <w:szCs w:val="18"/>
        </w:rPr>
        <w:t>确定应收账款组合的依据详见本节五、</w:t>
      </w:r>
      <w:r>
        <w:rPr>
          <w:color w:val="000000"/>
          <w:sz w:val="18"/>
          <w:szCs w:val="18"/>
        </w:rPr>
        <w:t>13</w:t>
      </w:r>
      <w:r>
        <w:rPr>
          <w:color w:val="000000"/>
          <w:sz w:val="18"/>
          <w:szCs w:val="18"/>
        </w:rPr>
        <w:t>。</w:t>
      </w:r>
    </w:p>
    <w:p w:rsidR="00E20B54" w:rsidRDefault="00733C9E">
      <w:pPr>
        <w:spacing w:before="100" w:after="100" w:line="240" w:lineRule="exact"/>
        <w:rPr>
          <w:sz w:val="18"/>
          <w:szCs w:val="18"/>
        </w:rPr>
      </w:pPr>
      <w:r>
        <w:rPr>
          <w:sz w:val="18"/>
          <w:szCs w:val="18"/>
        </w:rPr>
        <w:t>如是按照预期信用损失一般模型计提应收账款坏账准备：</w:t>
      </w:r>
    </w:p>
    <w:p w:rsidR="00E20B54" w:rsidRDefault="00733C9E">
      <w:pPr>
        <w:spacing w:before="100" w:after="100" w:line="240" w:lineRule="exact"/>
        <w:rPr>
          <w:sz w:val="18"/>
          <w:szCs w:val="18"/>
        </w:rPr>
      </w:pPr>
      <w:r>
        <w:rPr>
          <w:sz w:val="18"/>
          <w:szCs w:val="18"/>
        </w:rPr>
        <w:t>□</w:t>
      </w:r>
      <w:r>
        <w:rPr>
          <w:sz w:val="18"/>
          <w:szCs w:val="18"/>
        </w:rPr>
        <w:t>适用</w:t>
      </w:r>
      <w:r>
        <w:rPr>
          <w:sz w:val="18"/>
          <w:szCs w:val="18"/>
        </w:rPr>
        <w:t xml:space="preserve"> </w:t>
      </w:r>
      <w:r>
        <w:rPr>
          <w:sz w:val="18"/>
          <w:szCs w:val="18"/>
        </w:rPr>
        <w:sym w:font="Wingdings 2" w:char="F052"/>
      </w:r>
      <w:r>
        <w:rPr>
          <w:sz w:val="18"/>
          <w:szCs w:val="18"/>
        </w:rPr>
        <w:t>不适用</w:t>
      </w:r>
    </w:p>
    <w:p w:rsidR="00E20B54" w:rsidRDefault="00733C9E">
      <w:pPr>
        <w:keepNext/>
        <w:keepLines/>
        <w:spacing w:before="300" w:after="300" w:line="280" w:lineRule="exact"/>
        <w:outlineLvl w:val="3"/>
        <w:rPr>
          <w:b/>
          <w:bCs/>
          <w:szCs w:val="21"/>
        </w:rPr>
      </w:pPr>
      <w:bookmarkStart w:id="235" w:name="_Toc989123"/>
      <w:r>
        <w:rPr>
          <w:b/>
          <w:bCs/>
          <w:szCs w:val="21"/>
        </w:rPr>
        <w:t>（</w:t>
      </w:r>
      <w:r>
        <w:rPr>
          <w:b/>
          <w:bCs/>
          <w:szCs w:val="21"/>
        </w:rPr>
        <w:t>3</w:t>
      </w:r>
      <w:r>
        <w:rPr>
          <w:b/>
          <w:bCs/>
          <w:szCs w:val="21"/>
        </w:rPr>
        <w:t>）</w:t>
      </w:r>
      <w:r>
        <w:rPr>
          <w:b/>
          <w:bCs/>
          <w:szCs w:val="21"/>
        </w:rPr>
        <w:t xml:space="preserve"> </w:t>
      </w:r>
      <w:r>
        <w:rPr>
          <w:b/>
          <w:bCs/>
          <w:szCs w:val="21"/>
        </w:rPr>
        <w:t>本期计提、收回或转回的坏账准备情况</w:t>
      </w:r>
      <w:bookmarkEnd w:id="235"/>
    </w:p>
    <w:p w:rsidR="00E20B54" w:rsidRDefault="00733C9E">
      <w:pPr>
        <w:spacing w:line="240" w:lineRule="exact"/>
        <w:rPr>
          <w:sz w:val="18"/>
          <w:szCs w:val="18"/>
        </w:rPr>
      </w:pPr>
      <w:r>
        <w:rPr>
          <w:sz w:val="18"/>
          <w:szCs w:val="18"/>
        </w:rPr>
        <w:t>本期计提坏账准备情况：</w:t>
      </w:r>
    </w:p>
    <w:p w:rsidR="00E20B54" w:rsidRDefault="00733C9E">
      <w:pPr>
        <w:spacing w:before="120" w:after="120" w:line="240" w:lineRule="exact"/>
        <w:jc w:val="right"/>
        <w:rPr>
          <w:sz w:val="18"/>
          <w:szCs w:val="18"/>
        </w:rPr>
      </w:pPr>
      <w:r>
        <w:rPr>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377"/>
        <w:gridCol w:w="1377"/>
        <w:gridCol w:w="1377"/>
        <w:gridCol w:w="1377"/>
        <w:gridCol w:w="1377"/>
        <w:gridCol w:w="1377"/>
        <w:gridCol w:w="1377"/>
      </w:tblGrid>
      <w:tr w:rsidR="00E20B54">
        <w:trPr>
          <w:trHeight w:val="240"/>
        </w:trPr>
        <w:tc>
          <w:tcPr>
            <w:tcW w:w="1377"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类别</w:t>
            </w:r>
          </w:p>
        </w:tc>
        <w:tc>
          <w:tcPr>
            <w:tcW w:w="1377"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期初余额</w:t>
            </w:r>
          </w:p>
        </w:tc>
        <w:tc>
          <w:tcPr>
            <w:tcW w:w="5508" w:type="dxa"/>
            <w:gridSpan w:val="4"/>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本期变动金额</w:t>
            </w:r>
          </w:p>
        </w:tc>
        <w:tc>
          <w:tcPr>
            <w:tcW w:w="1377"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期末余额</w:t>
            </w:r>
          </w:p>
        </w:tc>
      </w:tr>
      <w:tr w:rsidR="00E20B54">
        <w:trPr>
          <w:trHeight w:val="240"/>
        </w:trPr>
        <w:tc>
          <w:tcPr>
            <w:tcW w:w="1377"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c>
          <w:tcPr>
            <w:tcW w:w="1377"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计提</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收回或转回</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核销</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其他</w:t>
            </w:r>
          </w:p>
        </w:tc>
        <w:tc>
          <w:tcPr>
            <w:tcW w:w="1377"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r>
      <w:tr w:rsidR="00E20B54" w:rsidTr="00E5606C">
        <w:trPr>
          <w:trHeight w:val="240"/>
        </w:trPr>
        <w:tc>
          <w:tcPr>
            <w:tcW w:w="1377" w:type="dxa"/>
            <w:tcBorders>
              <w:top w:val="single" w:sz="2" w:space="0" w:color="auto"/>
              <w:left w:val="single" w:sz="2" w:space="0" w:color="auto"/>
              <w:bottom w:val="single" w:sz="2" w:space="0" w:color="auto"/>
              <w:right w:val="single" w:sz="2" w:space="0" w:color="auto"/>
            </w:tcBorders>
            <w:shd w:val="clear" w:color="auto" w:fill="D9D9D9" w:themeFill="background1" w:themeFillShade="D9"/>
            <w:vAlign w:val="center"/>
          </w:tcPr>
          <w:p w:rsidR="00E20B54" w:rsidRDefault="00733C9E">
            <w:pPr>
              <w:spacing w:line="240" w:lineRule="exact"/>
              <w:rPr>
                <w:sz w:val="18"/>
                <w:szCs w:val="18"/>
              </w:rPr>
            </w:pPr>
            <w:r>
              <w:rPr>
                <w:sz w:val="18"/>
                <w:szCs w:val="18"/>
              </w:rPr>
              <w:t>组合计提</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83,337,736.00</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31,911,729.38</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11,825,438.67</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103,424,026.71</w:t>
            </w:r>
          </w:p>
        </w:tc>
      </w:tr>
      <w:tr w:rsidR="00E20B54">
        <w:trPr>
          <w:trHeight w:val="240"/>
        </w:trPr>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合计</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83,337,736.00</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31,911,729.38</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11,825,438.67</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103,424,026.71</w:t>
            </w:r>
          </w:p>
        </w:tc>
      </w:tr>
    </w:tbl>
    <w:p w:rsidR="00E20B54" w:rsidRDefault="00733C9E">
      <w:pPr>
        <w:spacing w:before="100" w:after="100" w:line="240" w:lineRule="exact"/>
        <w:rPr>
          <w:sz w:val="18"/>
          <w:szCs w:val="18"/>
        </w:rPr>
      </w:pPr>
      <w:r>
        <w:rPr>
          <w:sz w:val="18"/>
          <w:szCs w:val="18"/>
        </w:rPr>
        <w:t>其中本期坏账准备收回或转回金额重要的：</w:t>
      </w:r>
    </w:p>
    <w:p w:rsidR="00E20B54" w:rsidRDefault="00733C9E">
      <w:pPr>
        <w:spacing w:before="120" w:after="120" w:line="240" w:lineRule="exact"/>
        <w:jc w:val="right"/>
        <w:rPr>
          <w:sz w:val="18"/>
          <w:szCs w:val="18"/>
        </w:rPr>
      </w:pPr>
      <w:r>
        <w:rPr>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927"/>
        <w:gridCol w:w="1928"/>
        <w:gridCol w:w="1928"/>
        <w:gridCol w:w="1928"/>
        <w:gridCol w:w="1928"/>
      </w:tblGrid>
      <w:tr w:rsidR="00E20B54">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单位名称</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收回或转回金额</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转回原因</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收回方式</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确定原坏账准备计提比例的依据及其合理性</w:t>
            </w:r>
          </w:p>
        </w:tc>
      </w:tr>
    </w:tbl>
    <w:p w:rsidR="00E20B54" w:rsidRDefault="00733C9E">
      <w:pPr>
        <w:keepNext/>
        <w:keepLines/>
        <w:spacing w:before="300" w:after="300" w:line="280" w:lineRule="exact"/>
        <w:outlineLvl w:val="3"/>
        <w:rPr>
          <w:b/>
          <w:bCs/>
          <w:szCs w:val="21"/>
        </w:rPr>
      </w:pPr>
      <w:bookmarkStart w:id="236" w:name="_Toc989124"/>
      <w:r>
        <w:rPr>
          <w:b/>
          <w:bCs/>
          <w:szCs w:val="21"/>
        </w:rPr>
        <w:t>（</w:t>
      </w:r>
      <w:r>
        <w:rPr>
          <w:b/>
          <w:bCs/>
          <w:szCs w:val="21"/>
        </w:rPr>
        <w:t>4</w:t>
      </w:r>
      <w:r>
        <w:rPr>
          <w:b/>
          <w:bCs/>
          <w:szCs w:val="21"/>
        </w:rPr>
        <w:t>）</w:t>
      </w:r>
      <w:r>
        <w:rPr>
          <w:b/>
          <w:bCs/>
          <w:szCs w:val="21"/>
        </w:rPr>
        <w:t xml:space="preserve"> </w:t>
      </w:r>
      <w:r>
        <w:rPr>
          <w:b/>
          <w:bCs/>
          <w:szCs w:val="21"/>
        </w:rPr>
        <w:t>本期实际核销的应收账款情况</w:t>
      </w:r>
      <w:bookmarkEnd w:id="236"/>
    </w:p>
    <w:p w:rsidR="00E20B54" w:rsidRDefault="00733C9E">
      <w:pPr>
        <w:spacing w:before="40" w:after="40" w:line="240" w:lineRule="exact"/>
        <w:jc w:val="right"/>
        <w:rPr>
          <w:sz w:val="18"/>
          <w:szCs w:val="18"/>
        </w:rPr>
      </w:pPr>
      <w:r>
        <w:rPr>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4820"/>
        <w:gridCol w:w="4819"/>
      </w:tblGrid>
      <w:tr w:rsidR="00E20B54">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项目</w:t>
            </w:r>
          </w:p>
        </w:tc>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核销金额</w:t>
            </w:r>
          </w:p>
        </w:tc>
      </w:tr>
      <w:tr w:rsidR="00E20B54">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实际核销的应收账款</w:t>
            </w:r>
          </w:p>
        </w:tc>
        <w:tc>
          <w:tcPr>
            <w:tcW w:w="482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22,843,282.99</w:t>
            </w:r>
          </w:p>
        </w:tc>
      </w:tr>
    </w:tbl>
    <w:p w:rsidR="00E20B54" w:rsidRDefault="00733C9E">
      <w:pPr>
        <w:spacing w:before="100" w:after="100" w:line="240" w:lineRule="exact"/>
        <w:rPr>
          <w:sz w:val="18"/>
          <w:szCs w:val="18"/>
        </w:rPr>
      </w:pPr>
      <w:r>
        <w:rPr>
          <w:sz w:val="18"/>
          <w:szCs w:val="18"/>
        </w:rPr>
        <w:t>其中重要的应收账款核销情况：</w:t>
      </w:r>
    </w:p>
    <w:p w:rsidR="00E20B54" w:rsidRDefault="00733C9E">
      <w:pPr>
        <w:spacing w:before="120" w:after="120" w:line="240" w:lineRule="exact"/>
        <w:jc w:val="right"/>
        <w:rPr>
          <w:sz w:val="18"/>
          <w:szCs w:val="18"/>
        </w:rPr>
      </w:pPr>
      <w:r>
        <w:rPr>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606"/>
        <w:gridCol w:w="1606"/>
        <w:gridCol w:w="1606"/>
        <w:gridCol w:w="1607"/>
        <w:gridCol w:w="1607"/>
        <w:gridCol w:w="1607"/>
      </w:tblGrid>
      <w:tr w:rsidR="00E20B54">
        <w:trPr>
          <w:trHeight w:val="240"/>
        </w:trPr>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单位名称</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应收账款性质</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核销金额</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核销原因</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履行的核销程序</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款项是否由关联交易产生</w:t>
            </w:r>
          </w:p>
        </w:tc>
      </w:tr>
      <w:tr w:rsidR="00E20B54" w:rsidTr="00E5606C">
        <w:trPr>
          <w:trHeight w:val="69"/>
        </w:trPr>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第一名</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货款</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6,908,117.99</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债务重组</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内部决议</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否</w:t>
            </w:r>
          </w:p>
        </w:tc>
      </w:tr>
      <w:tr w:rsidR="00E20B54">
        <w:trPr>
          <w:trHeight w:val="240"/>
        </w:trPr>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第二名</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货款</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4,311,096.33</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债务重组</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内部决议</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否</w:t>
            </w:r>
          </w:p>
        </w:tc>
      </w:tr>
      <w:tr w:rsidR="00E20B54">
        <w:trPr>
          <w:trHeight w:val="240"/>
        </w:trPr>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第三名</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货款</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3,771,997.04</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债务重组</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内部决议</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否</w:t>
            </w:r>
          </w:p>
        </w:tc>
      </w:tr>
      <w:tr w:rsidR="00E20B54">
        <w:trPr>
          <w:trHeight w:val="240"/>
        </w:trPr>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第四名</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货款</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2,371,301.22</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债务重组</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内部决议</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否</w:t>
            </w:r>
          </w:p>
        </w:tc>
      </w:tr>
      <w:tr w:rsidR="00E20B54">
        <w:trPr>
          <w:trHeight w:val="240"/>
        </w:trPr>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合计</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17,362,512.58</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r>
    </w:tbl>
    <w:p w:rsidR="00E20B54" w:rsidRDefault="00733C9E" w:rsidP="00E5606C">
      <w:pPr>
        <w:spacing w:before="100" w:after="100" w:line="240" w:lineRule="exact"/>
      </w:pPr>
      <w:r>
        <w:rPr>
          <w:sz w:val="18"/>
          <w:szCs w:val="18"/>
        </w:rPr>
        <w:t>应收账款核销说明：本期核销应收账款合计</w:t>
      </w:r>
      <w:r>
        <w:rPr>
          <w:sz w:val="18"/>
          <w:szCs w:val="18"/>
        </w:rPr>
        <w:t>22,843,282.99</w:t>
      </w:r>
      <w:r>
        <w:rPr>
          <w:sz w:val="18"/>
          <w:szCs w:val="18"/>
        </w:rPr>
        <w:t>元，上述款项均已按公司会计政策足额计提坏账准备，核销原因受地方化债政策及财政资金统筹安排影响，与部分客户签订债务重组协议。</w:t>
      </w:r>
    </w:p>
    <w:p w:rsidR="00E20B54" w:rsidRDefault="00733C9E">
      <w:pPr>
        <w:keepNext/>
        <w:keepLines/>
        <w:spacing w:before="300" w:after="300" w:line="280" w:lineRule="exact"/>
        <w:outlineLvl w:val="3"/>
        <w:rPr>
          <w:b/>
          <w:bCs/>
          <w:szCs w:val="21"/>
        </w:rPr>
      </w:pPr>
      <w:bookmarkStart w:id="237" w:name="_Toc989125"/>
      <w:r>
        <w:rPr>
          <w:b/>
          <w:bCs/>
          <w:szCs w:val="21"/>
        </w:rPr>
        <w:lastRenderedPageBreak/>
        <w:t>（</w:t>
      </w:r>
      <w:r>
        <w:rPr>
          <w:b/>
          <w:bCs/>
          <w:szCs w:val="21"/>
        </w:rPr>
        <w:t>5</w:t>
      </w:r>
      <w:r>
        <w:rPr>
          <w:b/>
          <w:bCs/>
          <w:szCs w:val="21"/>
        </w:rPr>
        <w:t>）</w:t>
      </w:r>
      <w:r>
        <w:rPr>
          <w:b/>
          <w:bCs/>
          <w:szCs w:val="21"/>
        </w:rPr>
        <w:t xml:space="preserve"> </w:t>
      </w:r>
      <w:r>
        <w:rPr>
          <w:b/>
          <w:bCs/>
          <w:szCs w:val="21"/>
        </w:rPr>
        <w:t>按欠款方归集的期末余额前五名的应收账款和合同资产情况</w:t>
      </w:r>
      <w:bookmarkEnd w:id="237"/>
    </w:p>
    <w:p w:rsidR="00E20B54" w:rsidRDefault="00733C9E">
      <w:pPr>
        <w:spacing w:before="40" w:after="40" w:line="240" w:lineRule="exact"/>
        <w:jc w:val="right"/>
        <w:rPr>
          <w:sz w:val="18"/>
          <w:szCs w:val="18"/>
        </w:rPr>
      </w:pPr>
      <w:r>
        <w:rPr>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606"/>
        <w:gridCol w:w="1606"/>
        <w:gridCol w:w="1606"/>
        <w:gridCol w:w="1607"/>
        <w:gridCol w:w="1607"/>
        <w:gridCol w:w="1607"/>
      </w:tblGrid>
      <w:tr w:rsidR="00E20B54">
        <w:trPr>
          <w:trHeight w:val="240"/>
        </w:trPr>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单位名称</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应收账款期末余额</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合同资产期末余额</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应收账款和合同资产期末余额</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占应收账款和合同资产期末余额合计数的比例</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应收账款坏账准备和合同资产减值准备期末余额</w:t>
            </w:r>
          </w:p>
        </w:tc>
      </w:tr>
      <w:tr w:rsidR="00E20B54">
        <w:trPr>
          <w:trHeight w:val="240"/>
        </w:trPr>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第一名</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63,552,461.28</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627,118.94</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64,179,580.22</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16.26%</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23,372,044.00</w:t>
            </w:r>
          </w:p>
        </w:tc>
      </w:tr>
      <w:tr w:rsidR="00E20B54">
        <w:trPr>
          <w:trHeight w:val="240"/>
        </w:trPr>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第二名</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45,230,572.03</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45,230,572.03</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11.46%</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19,495,254.24</w:t>
            </w:r>
          </w:p>
        </w:tc>
      </w:tr>
      <w:tr w:rsidR="00E20B54">
        <w:trPr>
          <w:trHeight w:val="240"/>
        </w:trPr>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第三名</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26,408,514.29</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26,408,514.29</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6.69%</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6,575,639.40</w:t>
            </w:r>
          </w:p>
        </w:tc>
      </w:tr>
      <w:tr w:rsidR="00E20B54">
        <w:trPr>
          <w:trHeight w:val="240"/>
        </w:trPr>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第四名</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22,599,454.79</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184,449.89</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22,783,904.68</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5.77%</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1,288,111.72</w:t>
            </w:r>
          </w:p>
        </w:tc>
      </w:tr>
      <w:tr w:rsidR="00E20B54">
        <w:trPr>
          <w:trHeight w:val="240"/>
        </w:trPr>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第五名</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17,692,322.16</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17,692,322.16</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4.48%</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1,674,073.28</w:t>
            </w:r>
          </w:p>
        </w:tc>
      </w:tr>
      <w:tr w:rsidR="00E20B54">
        <w:trPr>
          <w:trHeight w:val="240"/>
        </w:trPr>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合计</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175,483,324.55</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811,568.83</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176,294,893.38</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44.66%</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52,405,122.64</w:t>
            </w:r>
          </w:p>
        </w:tc>
      </w:tr>
    </w:tbl>
    <w:p w:rsidR="00E20B54" w:rsidRDefault="00733C9E">
      <w:pPr>
        <w:pStyle w:val="3"/>
        <w:spacing w:line="280" w:lineRule="exact"/>
        <w:jc w:val="left"/>
        <w:rPr>
          <w:b/>
          <w:bCs/>
        </w:rPr>
      </w:pPr>
      <w:bookmarkStart w:id="238" w:name="_Toc989126"/>
      <w:r>
        <w:rPr>
          <w:b/>
          <w:bCs/>
        </w:rPr>
        <w:t>4</w:t>
      </w:r>
      <w:r>
        <w:rPr>
          <w:b/>
          <w:bCs/>
        </w:rPr>
        <w:t>、合同资产</w:t>
      </w:r>
      <w:bookmarkEnd w:id="238"/>
    </w:p>
    <w:p w:rsidR="00E20B54" w:rsidRDefault="00733C9E">
      <w:pPr>
        <w:keepNext/>
        <w:keepLines/>
        <w:spacing w:before="300" w:after="300" w:line="280" w:lineRule="exact"/>
        <w:outlineLvl w:val="3"/>
        <w:rPr>
          <w:b/>
          <w:bCs/>
          <w:szCs w:val="21"/>
        </w:rPr>
      </w:pPr>
      <w:bookmarkStart w:id="239" w:name="_Toc989127"/>
      <w:r>
        <w:rPr>
          <w:b/>
          <w:bCs/>
          <w:szCs w:val="21"/>
        </w:rPr>
        <w:t>（</w:t>
      </w:r>
      <w:r>
        <w:rPr>
          <w:b/>
          <w:bCs/>
          <w:szCs w:val="21"/>
        </w:rPr>
        <w:t>1</w:t>
      </w:r>
      <w:r>
        <w:rPr>
          <w:b/>
          <w:bCs/>
          <w:szCs w:val="21"/>
        </w:rPr>
        <w:t>）</w:t>
      </w:r>
      <w:r>
        <w:rPr>
          <w:b/>
          <w:bCs/>
          <w:szCs w:val="21"/>
        </w:rPr>
        <w:t xml:space="preserve"> </w:t>
      </w:r>
      <w:r>
        <w:rPr>
          <w:b/>
          <w:bCs/>
          <w:szCs w:val="21"/>
        </w:rPr>
        <w:t>合同资产情况</w:t>
      </w:r>
      <w:bookmarkEnd w:id="239"/>
    </w:p>
    <w:p w:rsidR="00E20B54" w:rsidRDefault="00733C9E">
      <w:pPr>
        <w:spacing w:before="40" w:after="40" w:line="240" w:lineRule="exact"/>
        <w:jc w:val="right"/>
        <w:rPr>
          <w:sz w:val="18"/>
          <w:szCs w:val="18"/>
        </w:rPr>
      </w:pPr>
      <w:r>
        <w:rPr>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377"/>
        <w:gridCol w:w="1377"/>
        <w:gridCol w:w="1377"/>
        <w:gridCol w:w="1377"/>
        <w:gridCol w:w="1377"/>
        <w:gridCol w:w="1377"/>
        <w:gridCol w:w="1377"/>
      </w:tblGrid>
      <w:tr w:rsidR="00E20B54">
        <w:trPr>
          <w:trHeight w:val="240"/>
        </w:trPr>
        <w:tc>
          <w:tcPr>
            <w:tcW w:w="1377"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项目</w:t>
            </w:r>
          </w:p>
        </w:tc>
        <w:tc>
          <w:tcPr>
            <w:tcW w:w="4131" w:type="dxa"/>
            <w:gridSpan w:val="3"/>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期末余额</w:t>
            </w:r>
          </w:p>
        </w:tc>
        <w:tc>
          <w:tcPr>
            <w:tcW w:w="4131" w:type="dxa"/>
            <w:gridSpan w:val="3"/>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期初余额</w:t>
            </w:r>
          </w:p>
        </w:tc>
      </w:tr>
      <w:tr w:rsidR="00E20B54">
        <w:trPr>
          <w:trHeight w:val="240"/>
        </w:trPr>
        <w:tc>
          <w:tcPr>
            <w:tcW w:w="1377"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账面余额</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坏账准备</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账面价值</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账面余额</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坏账准备</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账面价值</w:t>
            </w:r>
          </w:p>
        </w:tc>
      </w:tr>
      <w:tr w:rsidR="00E20B54">
        <w:trPr>
          <w:trHeight w:val="240"/>
        </w:trPr>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质保金</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1,613,441.69</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105,442.08</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1,507,999.61</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6,552,936.89</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1,141,237.06</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5,411,699.83</w:t>
            </w:r>
          </w:p>
        </w:tc>
      </w:tr>
      <w:tr w:rsidR="00E20B54">
        <w:trPr>
          <w:trHeight w:val="240"/>
        </w:trPr>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减：计入其他非流动资产</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-708,618.94</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-35,430.95</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-673,187.99</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-821,399.89</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-41,069.99</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-780,329.90</w:t>
            </w:r>
          </w:p>
        </w:tc>
      </w:tr>
      <w:tr w:rsidR="00E20B54">
        <w:trPr>
          <w:trHeight w:val="240"/>
        </w:trPr>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合计</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904,822.75</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70,011.13</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834,811.62</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5,731,537.00</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1,100,167.07</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4,631,369.93</w:t>
            </w:r>
          </w:p>
        </w:tc>
      </w:tr>
    </w:tbl>
    <w:p w:rsidR="00E20B54" w:rsidRDefault="00733C9E">
      <w:pPr>
        <w:keepNext/>
        <w:keepLines/>
        <w:spacing w:before="300" w:after="300" w:line="280" w:lineRule="exact"/>
        <w:outlineLvl w:val="3"/>
        <w:rPr>
          <w:b/>
          <w:bCs/>
          <w:szCs w:val="21"/>
        </w:rPr>
      </w:pPr>
      <w:bookmarkStart w:id="240" w:name="_Toc989128"/>
      <w:r>
        <w:rPr>
          <w:b/>
          <w:bCs/>
          <w:szCs w:val="21"/>
        </w:rPr>
        <w:t>（</w:t>
      </w:r>
      <w:r>
        <w:rPr>
          <w:b/>
          <w:bCs/>
          <w:szCs w:val="21"/>
        </w:rPr>
        <w:t>2</w:t>
      </w:r>
      <w:r>
        <w:rPr>
          <w:b/>
          <w:bCs/>
          <w:szCs w:val="21"/>
        </w:rPr>
        <w:t>）</w:t>
      </w:r>
      <w:r>
        <w:rPr>
          <w:b/>
          <w:bCs/>
          <w:szCs w:val="21"/>
        </w:rPr>
        <w:t xml:space="preserve"> </w:t>
      </w:r>
      <w:r>
        <w:rPr>
          <w:b/>
          <w:bCs/>
          <w:szCs w:val="21"/>
        </w:rPr>
        <w:t>报告期内账面价值发生的重大变动金额和原因</w:t>
      </w:r>
      <w:bookmarkEnd w:id="240"/>
    </w:p>
    <w:p w:rsidR="00E20B54" w:rsidRDefault="00733C9E">
      <w:pPr>
        <w:spacing w:before="120" w:after="120" w:line="240" w:lineRule="exact"/>
        <w:jc w:val="right"/>
        <w:rPr>
          <w:sz w:val="18"/>
          <w:szCs w:val="18"/>
        </w:rPr>
      </w:pPr>
      <w:r>
        <w:rPr>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项目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变动金额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变动原因</w:t>
            </w:r>
          </w:p>
        </w:tc>
      </w:tr>
    </w:tbl>
    <w:p w:rsidR="00E20B54" w:rsidRDefault="00733C9E">
      <w:pPr>
        <w:keepNext/>
        <w:keepLines/>
        <w:spacing w:before="300" w:after="300" w:line="280" w:lineRule="exact"/>
        <w:outlineLvl w:val="3"/>
        <w:rPr>
          <w:b/>
          <w:bCs/>
          <w:szCs w:val="21"/>
        </w:rPr>
      </w:pPr>
      <w:bookmarkStart w:id="241" w:name="_Toc989129"/>
      <w:r>
        <w:rPr>
          <w:b/>
          <w:bCs/>
          <w:szCs w:val="21"/>
        </w:rPr>
        <w:t>（</w:t>
      </w:r>
      <w:r>
        <w:rPr>
          <w:b/>
          <w:bCs/>
          <w:szCs w:val="21"/>
        </w:rPr>
        <w:t>3</w:t>
      </w:r>
      <w:r>
        <w:rPr>
          <w:b/>
          <w:bCs/>
          <w:szCs w:val="21"/>
        </w:rPr>
        <w:t>）</w:t>
      </w:r>
      <w:r>
        <w:rPr>
          <w:b/>
          <w:bCs/>
          <w:szCs w:val="21"/>
        </w:rPr>
        <w:t xml:space="preserve"> </w:t>
      </w:r>
      <w:r>
        <w:rPr>
          <w:b/>
          <w:bCs/>
          <w:szCs w:val="21"/>
        </w:rPr>
        <w:t>按坏账计提方法分类披露</w:t>
      </w:r>
      <w:bookmarkEnd w:id="241"/>
    </w:p>
    <w:p w:rsidR="00E20B54" w:rsidRDefault="00733C9E">
      <w:pPr>
        <w:spacing w:before="120" w:after="120" w:line="240" w:lineRule="exact"/>
        <w:jc w:val="right"/>
        <w:rPr>
          <w:sz w:val="18"/>
          <w:szCs w:val="18"/>
        </w:rPr>
      </w:pPr>
      <w:r>
        <w:rPr>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875"/>
        <w:gridCol w:w="876"/>
        <w:gridCol w:w="877"/>
        <w:gridCol w:w="876"/>
        <w:gridCol w:w="877"/>
        <w:gridCol w:w="876"/>
        <w:gridCol w:w="876"/>
        <w:gridCol w:w="877"/>
        <w:gridCol w:w="876"/>
        <w:gridCol w:w="877"/>
        <w:gridCol w:w="876"/>
      </w:tblGrid>
      <w:tr w:rsidR="00E20B54">
        <w:trPr>
          <w:trHeight w:val="240"/>
        </w:trPr>
        <w:tc>
          <w:tcPr>
            <w:tcW w:w="876"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类别</w:t>
            </w:r>
          </w:p>
        </w:tc>
        <w:tc>
          <w:tcPr>
            <w:tcW w:w="4381" w:type="dxa"/>
            <w:gridSpan w:val="5"/>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期末余额</w:t>
            </w:r>
          </w:p>
        </w:tc>
        <w:tc>
          <w:tcPr>
            <w:tcW w:w="4381" w:type="dxa"/>
            <w:gridSpan w:val="5"/>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期初余额</w:t>
            </w:r>
          </w:p>
        </w:tc>
      </w:tr>
      <w:tr w:rsidR="00E20B54">
        <w:trPr>
          <w:trHeight w:val="240"/>
        </w:trPr>
        <w:tc>
          <w:tcPr>
            <w:tcW w:w="876"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c>
          <w:tcPr>
            <w:tcW w:w="1753"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账面余额</w:t>
            </w:r>
          </w:p>
        </w:tc>
        <w:tc>
          <w:tcPr>
            <w:tcW w:w="1753"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坏账准备</w:t>
            </w:r>
          </w:p>
        </w:tc>
        <w:tc>
          <w:tcPr>
            <w:tcW w:w="876"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账面价值</w:t>
            </w:r>
          </w:p>
        </w:tc>
        <w:tc>
          <w:tcPr>
            <w:tcW w:w="1753"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账面余额</w:t>
            </w:r>
          </w:p>
        </w:tc>
        <w:tc>
          <w:tcPr>
            <w:tcW w:w="1753"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坏账准备</w:t>
            </w:r>
          </w:p>
        </w:tc>
        <w:tc>
          <w:tcPr>
            <w:tcW w:w="876"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账面价值</w:t>
            </w:r>
          </w:p>
        </w:tc>
      </w:tr>
      <w:tr w:rsidR="00E20B54">
        <w:trPr>
          <w:trHeight w:val="240"/>
        </w:trPr>
        <w:tc>
          <w:tcPr>
            <w:tcW w:w="876"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金额</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比例</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金额</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计提比例</w:t>
            </w:r>
          </w:p>
        </w:tc>
        <w:tc>
          <w:tcPr>
            <w:tcW w:w="876"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金额</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比例</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金额</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计提比例</w:t>
            </w:r>
          </w:p>
        </w:tc>
        <w:tc>
          <w:tcPr>
            <w:tcW w:w="876"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r>
      <w:tr w:rsidR="00E20B54">
        <w:trPr>
          <w:trHeight w:val="240"/>
        </w:trPr>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其中：</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r>
      <w:tr w:rsidR="00E20B54">
        <w:trPr>
          <w:trHeight w:val="240"/>
        </w:trPr>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按组合计提坏账准备</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904,822.75</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100.00%</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70,011.13</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7.74%</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834,811.62</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5,731,537.00</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100.00%</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1,100,167.07</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19.19%</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4,631,369.93</w:t>
            </w:r>
          </w:p>
        </w:tc>
      </w:tr>
      <w:tr w:rsidR="00E20B54">
        <w:trPr>
          <w:trHeight w:val="240"/>
        </w:trPr>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其中：</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r>
      <w:tr w:rsidR="00E20B54">
        <w:trPr>
          <w:trHeight w:val="240"/>
        </w:trPr>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组合</w:t>
            </w:r>
            <w:r>
              <w:rPr>
                <w:sz w:val="18"/>
                <w:szCs w:val="18"/>
              </w:rPr>
              <w:t>1</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564,150.39</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9.84%</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28,207.52</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5.00%</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535,942.87</w:t>
            </w:r>
          </w:p>
        </w:tc>
      </w:tr>
      <w:tr w:rsidR="00E20B54">
        <w:trPr>
          <w:trHeight w:val="240"/>
        </w:trPr>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组合</w:t>
            </w:r>
            <w:r>
              <w:rPr>
                <w:sz w:val="18"/>
                <w:szCs w:val="18"/>
              </w:rPr>
              <w:t>2</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904,822.75</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100.00%</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70,011.13</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7.74%</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834,811.62</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5,167,386.61</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90.16%</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1,071,959.55</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20.74%</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4,095,427.06</w:t>
            </w:r>
          </w:p>
        </w:tc>
      </w:tr>
      <w:tr w:rsidR="00E20B54">
        <w:trPr>
          <w:trHeight w:val="240"/>
        </w:trPr>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合计</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904,822.75</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100.00%</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70,011.13</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7.74%</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834,811.62</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5,731,537.00</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100.00%</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1,100,167.07</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19.19%</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4,631,369.93</w:t>
            </w:r>
          </w:p>
        </w:tc>
      </w:tr>
    </w:tbl>
    <w:p w:rsidR="00E20B54" w:rsidRDefault="00733C9E">
      <w:pPr>
        <w:spacing w:line="240" w:lineRule="exact"/>
        <w:rPr>
          <w:sz w:val="18"/>
          <w:szCs w:val="18"/>
        </w:rPr>
      </w:pPr>
      <w:r>
        <w:rPr>
          <w:sz w:val="18"/>
          <w:szCs w:val="18"/>
        </w:rPr>
        <w:t>按组合计提坏账准备：组合</w:t>
      </w:r>
      <w:r>
        <w:rPr>
          <w:sz w:val="18"/>
          <w:szCs w:val="18"/>
        </w:rPr>
        <w:t>2</w:t>
      </w:r>
    </w:p>
    <w:p w:rsidR="00E20B54" w:rsidRDefault="00733C9E">
      <w:pPr>
        <w:spacing w:before="40" w:after="40" w:line="240" w:lineRule="exact"/>
        <w:jc w:val="right"/>
        <w:rPr>
          <w:sz w:val="18"/>
          <w:szCs w:val="18"/>
        </w:rPr>
      </w:pPr>
      <w:r>
        <w:rPr>
          <w:sz w:val="18"/>
          <w:szCs w:val="18"/>
        </w:rPr>
        <w:lastRenderedPageBreak/>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2409"/>
        <w:gridCol w:w="2410"/>
        <w:gridCol w:w="2410"/>
        <w:gridCol w:w="2410"/>
      </w:tblGrid>
      <w:tr w:rsidR="00E20B54">
        <w:trPr>
          <w:trHeight w:val="240"/>
        </w:trPr>
        <w:tc>
          <w:tcPr>
            <w:tcW w:w="2410"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名称</w:t>
            </w:r>
          </w:p>
        </w:tc>
        <w:tc>
          <w:tcPr>
            <w:tcW w:w="7229" w:type="dxa"/>
            <w:gridSpan w:val="3"/>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期末余额</w:t>
            </w:r>
          </w:p>
        </w:tc>
      </w:tr>
      <w:tr w:rsidR="00E20B54">
        <w:trPr>
          <w:trHeight w:val="240"/>
        </w:trPr>
        <w:tc>
          <w:tcPr>
            <w:tcW w:w="2410"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账面余额</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坏账准备</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计提比例</w:t>
            </w:r>
          </w:p>
        </w:tc>
      </w:tr>
      <w:tr w:rsidR="00E20B54">
        <w:trPr>
          <w:trHeight w:val="240"/>
        </w:trPr>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1</w:t>
            </w:r>
            <w:r>
              <w:rPr>
                <w:sz w:val="18"/>
                <w:szCs w:val="18"/>
              </w:rPr>
              <w:t>年内</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409,422.86</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20,471.14</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5.00%</w:t>
            </w:r>
          </w:p>
        </w:tc>
      </w:tr>
      <w:tr w:rsidR="00E20B54">
        <w:trPr>
          <w:trHeight w:val="240"/>
        </w:trPr>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1-2</w:t>
            </w:r>
            <w:r>
              <w:rPr>
                <w:sz w:val="18"/>
                <w:szCs w:val="18"/>
              </w:rPr>
              <w:t>年</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495,399.89</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49,539.99</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10.00%</w:t>
            </w:r>
          </w:p>
        </w:tc>
      </w:tr>
      <w:tr w:rsidR="00E20B54">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合计</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904,822.75</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70,011.13</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r>
    </w:tbl>
    <w:p w:rsidR="00E20B54" w:rsidRDefault="00733C9E">
      <w:pPr>
        <w:spacing w:before="100" w:after="100" w:line="240" w:lineRule="exact"/>
        <w:rPr>
          <w:sz w:val="18"/>
          <w:szCs w:val="18"/>
        </w:rPr>
      </w:pPr>
      <w:r>
        <w:rPr>
          <w:sz w:val="18"/>
          <w:szCs w:val="18"/>
        </w:rPr>
        <w:t>确定该组合依据的说明：</w:t>
      </w:r>
    </w:p>
    <w:p w:rsidR="00E20B54" w:rsidRDefault="00733C9E">
      <w:pPr>
        <w:widowControl/>
        <w:rPr>
          <w:sz w:val="18"/>
          <w:szCs w:val="18"/>
        </w:rPr>
      </w:pPr>
      <w:r>
        <w:rPr>
          <w:color w:val="000000"/>
          <w:sz w:val="18"/>
          <w:szCs w:val="18"/>
          <w:lang w:bidi="ar"/>
        </w:rPr>
        <w:t>确定合同资产组合的依据详见本节五、</w:t>
      </w:r>
      <w:r>
        <w:rPr>
          <w:color w:val="000000"/>
          <w:sz w:val="18"/>
          <w:szCs w:val="18"/>
          <w:lang w:bidi="ar"/>
        </w:rPr>
        <w:t>16</w:t>
      </w:r>
      <w:r>
        <w:rPr>
          <w:color w:val="000000"/>
          <w:sz w:val="18"/>
          <w:szCs w:val="18"/>
          <w:lang w:bidi="ar"/>
        </w:rPr>
        <w:t>。</w:t>
      </w:r>
    </w:p>
    <w:p w:rsidR="00E20B54" w:rsidRDefault="00733C9E">
      <w:pPr>
        <w:spacing w:before="100" w:after="100" w:line="240" w:lineRule="exact"/>
        <w:rPr>
          <w:sz w:val="18"/>
          <w:szCs w:val="18"/>
        </w:rPr>
      </w:pPr>
      <w:r>
        <w:rPr>
          <w:sz w:val="18"/>
          <w:szCs w:val="18"/>
        </w:rPr>
        <w:t>按预期信用损失一般模型计提坏账准备</w:t>
      </w:r>
    </w:p>
    <w:p w:rsidR="00E20B54" w:rsidRDefault="00733C9E">
      <w:pPr>
        <w:spacing w:before="100" w:after="100" w:line="240" w:lineRule="exact"/>
        <w:rPr>
          <w:sz w:val="18"/>
          <w:szCs w:val="18"/>
        </w:rPr>
      </w:pPr>
      <w:r>
        <w:rPr>
          <w:sz w:val="18"/>
          <w:szCs w:val="18"/>
        </w:rPr>
        <w:t>□</w:t>
      </w:r>
      <w:r>
        <w:rPr>
          <w:sz w:val="18"/>
          <w:szCs w:val="18"/>
        </w:rPr>
        <w:t>适用</w:t>
      </w:r>
      <w:r>
        <w:rPr>
          <w:sz w:val="18"/>
          <w:szCs w:val="18"/>
        </w:rPr>
        <w:t xml:space="preserve"> </w:t>
      </w:r>
      <w:r>
        <w:rPr>
          <w:sz w:val="18"/>
          <w:szCs w:val="18"/>
        </w:rPr>
        <w:sym w:font="Wingdings 2" w:char="F052"/>
      </w:r>
      <w:r>
        <w:rPr>
          <w:sz w:val="18"/>
          <w:szCs w:val="18"/>
        </w:rPr>
        <w:t>不适用</w:t>
      </w:r>
    </w:p>
    <w:p w:rsidR="00E20B54" w:rsidRDefault="00733C9E">
      <w:pPr>
        <w:keepNext/>
        <w:keepLines/>
        <w:spacing w:before="300" w:after="300" w:line="280" w:lineRule="exact"/>
        <w:outlineLvl w:val="3"/>
        <w:rPr>
          <w:b/>
          <w:bCs/>
          <w:szCs w:val="21"/>
        </w:rPr>
      </w:pPr>
      <w:bookmarkStart w:id="242" w:name="_Toc989130"/>
      <w:r>
        <w:rPr>
          <w:b/>
          <w:bCs/>
          <w:szCs w:val="21"/>
        </w:rPr>
        <w:t>（</w:t>
      </w:r>
      <w:r>
        <w:rPr>
          <w:b/>
          <w:bCs/>
          <w:szCs w:val="21"/>
        </w:rPr>
        <w:t>4</w:t>
      </w:r>
      <w:r>
        <w:rPr>
          <w:b/>
          <w:bCs/>
          <w:szCs w:val="21"/>
        </w:rPr>
        <w:t>）</w:t>
      </w:r>
      <w:r>
        <w:rPr>
          <w:b/>
          <w:bCs/>
          <w:szCs w:val="21"/>
        </w:rPr>
        <w:t xml:space="preserve"> </w:t>
      </w:r>
      <w:r>
        <w:rPr>
          <w:b/>
          <w:bCs/>
          <w:szCs w:val="21"/>
        </w:rPr>
        <w:t>本期计提、收回或转回的坏账准备情况</w:t>
      </w:r>
      <w:bookmarkEnd w:id="242"/>
    </w:p>
    <w:p w:rsidR="00E20B54" w:rsidRDefault="00733C9E">
      <w:pPr>
        <w:spacing w:before="120" w:after="120" w:line="240" w:lineRule="exact"/>
        <w:jc w:val="right"/>
        <w:rPr>
          <w:sz w:val="18"/>
          <w:szCs w:val="18"/>
        </w:rPr>
      </w:pPr>
      <w:r>
        <w:rPr>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927"/>
        <w:gridCol w:w="1928"/>
        <w:gridCol w:w="1928"/>
        <w:gridCol w:w="1928"/>
        <w:gridCol w:w="1928"/>
      </w:tblGrid>
      <w:tr w:rsidR="00E20B54">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项目</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本期计提</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本期收回或转回</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本期转销</w:t>
            </w:r>
            <w:r>
              <w:rPr>
                <w:sz w:val="18"/>
                <w:szCs w:val="18"/>
              </w:rPr>
              <w:t>/</w:t>
            </w:r>
            <w:r>
              <w:rPr>
                <w:sz w:val="18"/>
                <w:szCs w:val="18"/>
              </w:rPr>
              <w:t>核销</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原因</w:t>
            </w:r>
          </w:p>
        </w:tc>
      </w:tr>
      <w:tr w:rsidR="00E20B54">
        <w:trPr>
          <w:trHeight w:val="240"/>
        </w:trPr>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质保金</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54,083.52</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1,089,878.50</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rPr>
                <w:sz w:val="18"/>
                <w:szCs w:val="18"/>
              </w:rPr>
            </w:pPr>
          </w:p>
        </w:tc>
      </w:tr>
      <w:tr w:rsidR="00E20B54">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合计</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54,083.52</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1,089,878.50</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w:t>
            </w:r>
          </w:p>
        </w:tc>
      </w:tr>
    </w:tbl>
    <w:p w:rsidR="00E20B54" w:rsidRDefault="00733C9E">
      <w:pPr>
        <w:spacing w:before="100" w:after="100" w:line="240" w:lineRule="exact"/>
        <w:rPr>
          <w:sz w:val="18"/>
          <w:szCs w:val="18"/>
        </w:rPr>
      </w:pPr>
      <w:r>
        <w:rPr>
          <w:sz w:val="18"/>
          <w:szCs w:val="18"/>
        </w:rPr>
        <w:t>其中本期坏账准备收回或转回金额重要的：</w:t>
      </w:r>
    </w:p>
    <w:p w:rsidR="00E20B54" w:rsidRDefault="00733C9E">
      <w:pPr>
        <w:spacing w:before="120" w:after="120" w:line="240" w:lineRule="exact"/>
        <w:jc w:val="right"/>
        <w:rPr>
          <w:sz w:val="18"/>
          <w:szCs w:val="18"/>
        </w:rPr>
      </w:pPr>
      <w:r>
        <w:rPr>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927"/>
        <w:gridCol w:w="1928"/>
        <w:gridCol w:w="1928"/>
        <w:gridCol w:w="1928"/>
        <w:gridCol w:w="1928"/>
      </w:tblGrid>
      <w:tr w:rsidR="00E20B54">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单位名称</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收回或转回金额</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转回原因</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收回方式</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确定原坏账准备计提比例的依据及其合理性</w:t>
            </w:r>
          </w:p>
        </w:tc>
      </w:tr>
    </w:tbl>
    <w:p w:rsidR="00E20B54" w:rsidRDefault="00733C9E" w:rsidP="00E5606C">
      <w:pPr>
        <w:spacing w:before="100" w:after="100" w:line="240" w:lineRule="exact"/>
      </w:pPr>
      <w:r>
        <w:rPr>
          <w:sz w:val="18"/>
          <w:szCs w:val="18"/>
        </w:rPr>
        <w:t>其他说明：无。</w:t>
      </w:r>
    </w:p>
    <w:p w:rsidR="00E20B54" w:rsidRDefault="00733C9E">
      <w:pPr>
        <w:keepNext/>
        <w:keepLines/>
        <w:spacing w:before="300" w:after="300" w:line="280" w:lineRule="exact"/>
        <w:outlineLvl w:val="3"/>
        <w:rPr>
          <w:b/>
          <w:bCs/>
          <w:szCs w:val="21"/>
        </w:rPr>
      </w:pPr>
      <w:bookmarkStart w:id="243" w:name="_Toc989131"/>
      <w:r>
        <w:rPr>
          <w:b/>
          <w:bCs/>
          <w:szCs w:val="21"/>
        </w:rPr>
        <w:t>（</w:t>
      </w:r>
      <w:r>
        <w:rPr>
          <w:b/>
          <w:bCs/>
          <w:szCs w:val="21"/>
        </w:rPr>
        <w:t>5</w:t>
      </w:r>
      <w:r>
        <w:rPr>
          <w:b/>
          <w:bCs/>
          <w:szCs w:val="21"/>
        </w:rPr>
        <w:t>）</w:t>
      </w:r>
      <w:r>
        <w:rPr>
          <w:b/>
          <w:bCs/>
          <w:szCs w:val="21"/>
        </w:rPr>
        <w:t xml:space="preserve"> </w:t>
      </w:r>
      <w:r>
        <w:rPr>
          <w:b/>
          <w:bCs/>
          <w:szCs w:val="21"/>
        </w:rPr>
        <w:t>本期实际核销的合同资产情况</w:t>
      </w:r>
      <w:bookmarkEnd w:id="243"/>
    </w:p>
    <w:p w:rsidR="00E20B54" w:rsidRDefault="00733C9E">
      <w:pPr>
        <w:spacing w:before="40" w:after="40" w:line="240" w:lineRule="exact"/>
        <w:jc w:val="right"/>
        <w:rPr>
          <w:sz w:val="18"/>
          <w:szCs w:val="18"/>
        </w:rPr>
      </w:pPr>
      <w:r>
        <w:rPr>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4820"/>
        <w:gridCol w:w="4819"/>
      </w:tblGrid>
      <w:tr w:rsidR="00E20B54">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项目</w:t>
            </w:r>
          </w:p>
        </w:tc>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核销金额</w:t>
            </w:r>
          </w:p>
        </w:tc>
      </w:tr>
    </w:tbl>
    <w:p w:rsidR="00E20B54" w:rsidRDefault="00733C9E">
      <w:pPr>
        <w:spacing w:before="100" w:after="100" w:line="240" w:lineRule="exact"/>
        <w:rPr>
          <w:sz w:val="18"/>
          <w:szCs w:val="18"/>
        </w:rPr>
      </w:pPr>
      <w:r>
        <w:rPr>
          <w:sz w:val="18"/>
          <w:szCs w:val="18"/>
        </w:rPr>
        <w:t>其中重要的合同资产核销情况</w:t>
      </w:r>
    </w:p>
    <w:p w:rsidR="00E20B54" w:rsidRDefault="00733C9E">
      <w:pPr>
        <w:spacing w:before="40" w:after="40" w:line="240" w:lineRule="exact"/>
        <w:jc w:val="right"/>
        <w:rPr>
          <w:sz w:val="18"/>
          <w:szCs w:val="18"/>
        </w:rPr>
      </w:pPr>
      <w:r>
        <w:rPr>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606"/>
        <w:gridCol w:w="1606"/>
        <w:gridCol w:w="1606"/>
        <w:gridCol w:w="1607"/>
        <w:gridCol w:w="1607"/>
        <w:gridCol w:w="1607"/>
      </w:tblGrid>
      <w:tr w:rsidR="00E20B54">
        <w:trPr>
          <w:trHeight w:val="240"/>
        </w:trPr>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单位名称</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款项性质</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核销金额</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核销原因</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履行的核销程序</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款项是否由关联交易产生</w:t>
            </w:r>
          </w:p>
        </w:tc>
      </w:tr>
    </w:tbl>
    <w:p w:rsidR="00E20B54" w:rsidRDefault="00733C9E" w:rsidP="00E5606C">
      <w:pPr>
        <w:spacing w:before="100" w:after="100" w:line="240" w:lineRule="exact"/>
        <w:rPr>
          <w:szCs w:val="21"/>
        </w:rPr>
      </w:pPr>
      <w:r>
        <w:rPr>
          <w:sz w:val="18"/>
          <w:szCs w:val="18"/>
        </w:rPr>
        <w:t>合同资产核销说明：</w:t>
      </w:r>
      <w:r w:rsidRPr="00E5606C">
        <w:rPr>
          <w:sz w:val="18"/>
          <w:szCs w:val="18"/>
        </w:rPr>
        <w:t>本期无实际核销的合同资产。</w:t>
      </w:r>
    </w:p>
    <w:p w:rsidR="00E20B54" w:rsidRDefault="00733C9E" w:rsidP="00E5606C">
      <w:pPr>
        <w:spacing w:before="100" w:after="100" w:line="240" w:lineRule="exact"/>
      </w:pPr>
      <w:r>
        <w:rPr>
          <w:sz w:val="18"/>
          <w:szCs w:val="18"/>
        </w:rPr>
        <w:t>其他说明：无。</w:t>
      </w:r>
    </w:p>
    <w:p w:rsidR="00E20B54" w:rsidRDefault="00733C9E">
      <w:pPr>
        <w:pStyle w:val="3"/>
        <w:spacing w:line="280" w:lineRule="exact"/>
        <w:jc w:val="left"/>
        <w:rPr>
          <w:b/>
          <w:bCs/>
        </w:rPr>
      </w:pPr>
      <w:bookmarkStart w:id="244" w:name="_Toc989132"/>
      <w:r>
        <w:rPr>
          <w:b/>
          <w:bCs/>
        </w:rPr>
        <w:t>5</w:t>
      </w:r>
      <w:r>
        <w:rPr>
          <w:b/>
          <w:bCs/>
        </w:rPr>
        <w:t>、其他应收款</w:t>
      </w:r>
      <w:bookmarkEnd w:id="244"/>
    </w:p>
    <w:p w:rsidR="00E20B54" w:rsidRDefault="00733C9E">
      <w:pPr>
        <w:spacing w:before="40" w:after="40" w:line="240" w:lineRule="exact"/>
        <w:jc w:val="right"/>
        <w:rPr>
          <w:sz w:val="18"/>
          <w:szCs w:val="18"/>
        </w:rPr>
      </w:pPr>
      <w:r>
        <w:rPr>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项目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期末余额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期初余额</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其他应收款</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7,465,404.60</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3,640,083.65</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合计</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7,465,404.60</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3,640,083.65</w:t>
            </w:r>
          </w:p>
        </w:tc>
      </w:tr>
    </w:tbl>
    <w:p w:rsidR="00E20B54" w:rsidRDefault="00733C9E">
      <w:pPr>
        <w:keepNext/>
        <w:keepLines/>
        <w:spacing w:before="300" w:after="300" w:line="280" w:lineRule="exact"/>
        <w:outlineLvl w:val="3"/>
        <w:rPr>
          <w:b/>
          <w:bCs/>
          <w:szCs w:val="21"/>
        </w:rPr>
      </w:pPr>
      <w:bookmarkStart w:id="245" w:name="_Toc989133"/>
      <w:r>
        <w:rPr>
          <w:b/>
          <w:bCs/>
          <w:szCs w:val="21"/>
        </w:rPr>
        <w:lastRenderedPageBreak/>
        <w:t>（</w:t>
      </w:r>
      <w:r>
        <w:rPr>
          <w:b/>
          <w:bCs/>
          <w:szCs w:val="21"/>
        </w:rPr>
        <w:t>1</w:t>
      </w:r>
      <w:r>
        <w:rPr>
          <w:b/>
          <w:bCs/>
          <w:szCs w:val="21"/>
        </w:rPr>
        <w:t>）</w:t>
      </w:r>
      <w:r>
        <w:rPr>
          <w:b/>
          <w:bCs/>
          <w:szCs w:val="21"/>
        </w:rPr>
        <w:t xml:space="preserve"> </w:t>
      </w:r>
      <w:r>
        <w:rPr>
          <w:b/>
          <w:bCs/>
          <w:szCs w:val="21"/>
        </w:rPr>
        <w:t>其他应收款</w:t>
      </w:r>
      <w:bookmarkEnd w:id="245"/>
    </w:p>
    <w:p w:rsidR="00E20B54" w:rsidRDefault="00733C9E">
      <w:pPr>
        <w:keepNext/>
        <w:keepLines/>
        <w:spacing w:before="300" w:after="300" w:line="280" w:lineRule="exact"/>
        <w:outlineLvl w:val="4"/>
        <w:rPr>
          <w:b/>
          <w:bCs/>
          <w:szCs w:val="21"/>
        </w:rPr>
      </w:pPr>
      <w:bookmarkStart w:id="246" w:name="_Toc989134"/>
      <w:r>
        <w:rPr>
          <w:b/>
          <w:bCs/>
          <w:szCs w:val="21"/>
        </w:rPr>
        <w:t>1</w:t>
      </w:r>
      <w:r>
        <w:rPr>
          <w:b/>
          <w:bCs/>
          <w:szCs w:val="21"/>
        </w:rPr>
        <w:t>）</w:t>
      </w:r>
      <w:r>
        <w:rPr>
          <w:b/>
          <w:bCs/>
          <w:szCs w:val="21"/>
        </w:rPr>
        <w:t xml:space="preserve"> </w:t>
      </w:r>
      <w:r>
        <w:rPr>
          <w:b/>
          <w:bCs/>
          <w:szCs w:val="21"/>
        </w:rPr>
        <w:t>其他应收款按款项性质分类情况</w:t>
      </w:r>
      <w:bookmarkEnd w:id="246"/>
    </w:p>
    <w:p w:rsidR="00E20B54" w:rsidRDefault="00733C9E">
      <w:pPr>
        <w:spacing w:before="40" w:after="40" w:line="240" w:lineRule="exact"/>
        <w:jc w:val="right"/>
        <w:rPr>
          <w:sz w:val="18"/>
          <w:szCs w:val="18"/>
        </w:rPr>
      </w:pPr>
      <w:r>
        <w:rPr>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款项性质</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期末账面余额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期初账面余额</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押金保证金</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7,443,753.82</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2,410,509.60</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往来款项</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877,013.98</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1,228,234.87</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代扣代缴</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361,233.05</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358,846.31</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备用金</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663,171.28</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814,324.98</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合计</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9,345,172.13</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4,811,915.76</w:t>
            </w:r>
          </w:p>
        </w:tc>
      </w:tr>
    </w:tbl>
    <w:p w:rsidR="00E20B54" w:rsidRDefault="00733C9E">
      <w:pPr>
        <w:keepNext/>
        <w:keepLines/>
        <w:spacing w:before="300" w:after="300" w:line="280" w:lineRule="exact"/>
        <w:outlineLvl w:val="4"/>
        <w:rPr>
          <w:b/>
          <w:bCs/>
          <w:szCs w:val="21"/>
        </w:rPr>
      </w:pPr>
      <w:bookmarkStart w:id="247" w:name="_Toc989135"/>
      <w:r>
        <w:rPr>
          <w:b/>
          <w:bCs/>
          <w:szCs w:val="21"/>
        </w:rPr>
        <w:t>2</w:t>
      </w:r>
      <w:r>
        <w:rPr>
          <w:b/>
          <w:bCs/>
          <w:szCs w:val="21"/>
        </w:rPr>
        <w:t>）</w:t>
      </w:r>
      <w:r>
        <w:rPr>
          <w:b/>
          <w:bCs/>
          <w:szCs w:val="21"/>
        </w:rPr>
        <w:t xml:space="preserve"> </w:t>
      </w:r>
      <w:r>
        <w:rPr>
          <w:b/>
          <w:bCs/>
          <w:szCs w:val="21"/>
        </w:rPr>
        <w:t>按账龄披露</w:t>
      </w:r>
      <w:bookmarkEnd w:id="247"/>
    </w:p>
    <w:p w:rsidR="00E20B54" w:rsidRDefault="00733C9E">
      <w:pPr>
        <w:spacing w:before="120" w:after="120" w:line="240" w:lineRule="exact"/>
        <w:jc w:val="right"/>
        <w:rPr>
          <w:sz w:val="18"/>
          <w:szCs w:val="18"/>
        </w:rPr>
      </w:pPr>
      <w:r>
        <w:rPr>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账龄</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期末账面余额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期初账面余额</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1</w:t>
            </w:r>
            <w:r>
              <w:rPr>
                <w:sz w:val="18"/>
                <w:szCs w:val="18"/>
              </w:rPr>
              <w:t>年以内（含</w:t>
            </w:r>
            <w:r>
              <w:rPr>
                <w:sz w:val="18"/>
                <w:szCs w:val="18"/>
              </w:rPr>
              <w:t>1</w:t>
            </w:r>
            <w:r>
              <w:rPr>
                <w:sz w:val="18"/>
                <w:szCs w:val="18"/>
              </w:rPr>
              <w:t>年）</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5,981,901.31</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2,331,967.86</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1</w:t>
            </w:r>
            <w:r>
              <w:rPr>
                <w:sz w:val="18"/>
                <w:szCs w:val="18"/>
              </w:rPr>
              <w:t>至</w:t>
            </w:r>
            <w:r>
              <w:rPr>
                <w:sz w:val="18"/>
                <w:szCs w:val="18"/>
              </w:rPr>
              <w:t>2</w:t>
            </w:r>
            <w:r>
              <w:rPr>
                <w:sz w:val="18"/>
                <w:szCs w:val="18"/>
              </w:rPr>
              <w:t>年</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1,114,732.87</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353,659.97</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2</w:t>
            </w:r>
            <w:r>
              <w:rPr>
                <w:sz w:val="18"/>
                <w:szCs w:val="18"/>
              </w:rPr>
              <w:t>至</w:t>
            </w:r>
            <w:r>
              <w:rPr>
                <w:sz w:val="18"/>
                <w:szCs w:val="18"/>
              </w:rPr>
              <w:t>3</w:t>
            </w:r>
            <w:r>
              <w:rPr>
                <w:sz w:val="18"/>
                <w:szCs w:val="18"/>
              </w:rPr>
              <w:t>年</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292,087.28</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864,323.34</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3</w:t>
            </w:r>
            <w:r>
              <w:rPr>
                <w:sz w:val="18"/>
                <w:szCs w:val="18"/>
              </w:rPr>
              <w:t>年以上</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1,956,450.67</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1,261,964.59</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100" w:firstLine="180"/>
              <w:rPr>
                <w:sz w:val="18"/>
                <w:szCs w:val="18"/>
              </w:rPr>
            </w:pPr>
            <w:r>
              <w:rPr>
                <w:sz w:val="18"/>
                <w:szCs w:val="18"/>
              </w:rPr>
              <w:t>3</w:t>
            </w:r>
            <w:r>
              <w:rPr>
                <w:sz w:val="18"/>
                <w:szCs w:val="18"/>
              </w:rPr>
              <w:t>至</w:t>
            </w:r>
            <w:r>
              <w:rPr>
                <w:sz w:val="18"/>
                <w:szCs w:val="18"/>
              </w:rPr>
              <w:t>4</w:t>
            </w:r>
            <w:r>
              <w:rPr>
                <w:sz w:val="18"/>
                <w:szCs w:val="18"/>
              </w:rPr>
              <w:t>年</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844,204.94</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905,673.02</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100" w:firstLine="180"/>
              <w:rPr>
                <w:sz w:val="18"/>
                <w:szCs w:val="18"/>
              </w:rPr>
            </w:pPr>
            <w:r>
              <w:rPr>
                <w:sz w:val="18"/>
                <w:szCs w:val="18"/>
              </w:rPr>
              <w:t>4</w:t>
            </w:r>
            <w:r>
              <w:rPr>
                <w:sz w:val="18"/>
                <w:szCs w:val="18"/>
              </w:rPr>
              <w:t>至</w:t>
            </w:r>
            <w:r>
              <w:rPr>
                <w:sz w:val="18"/>
                <w:szCs w:val="18"/>
              </w:rPr>
              <w:t>5</w:t>
            </w:r>
            <w:r>
              <w:rPr>
                <w:sz w:val="18"/>
                <w:szCs w:val="18"/>
              </w:rPr>
              <w:t>年</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763,876.16</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242,786.86</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100" w:firstLine="180"/>
              <w:rPr>
                <w:sz w:val="18"/>
                <w:szCs w:val="18"/>
              </w:rPr>
            </w:pPr>
            <w:r>
              <w:rPr>
                <w:sz w:val="18"/>
                <w:szCs w:val="18"/>
              </w:rPr>
              <w:t>5</w:t>
            </w:r>
            <w:r>
              <w:rPr>
                <w:sz w:val="18"/>
                <w:szCs w:val="18"/>
              </w:rPr>
              <w:t>年以上</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348,369.57</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113,504.71</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合计</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9,345,172.13</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4,811,915.76</w:t>
            </w:r>
          </w:p>
        </w:tc>
      </w:tr>
    </w:tbl>
    <w:p w:rsidR="00E20B54" w:rsidRDefault="00733C9E">
      <w:pPr>
        <w:keepNext/>
        <w:keepLines/>
        <w:spacing w:before="300" w:after="300" w:line="280" w:lineRule="exact"/>
        <w:outlineLvl w:val="4"/>
        <w:rPr>
          <w:b/>
          <w:bCs/>
          <w:szCs w:val="21"/>
        </w:rPr>
      </w:pPr>
      <w:bookmarkStart w:id="248" w:name="_Toc989136"/>
      <w:r>
        <w:rPr>
          <w:b/>
          <w:bCs/>
          <w:szCs w:val="21"/>
        </w:rPr>
        <w:t>3</w:t>
      </w:r>
      <w:r>
        <w:rPr>
          <w:b/>
          <w:bCs/>
          <w:szCs w:val="21"/>
        </w:rPr>
        <w:t>）</w:t>
      </w:r>
      <w:r>
        <w:rPr>
          <w:b/>
          <w:bCs/>
          <w:szCs w:val="21"/>
        </w:rPr>
        <w:t xml:space="preserve"> </w:t>
      </w:r>
      <w:r>
        <w:rPr>
          <w:b/>
          <w:bCs/>
          <w:szCs w:val="21"/>
        </w:rPr>
        <w:t>按坏账计提方法分类披露</w:t>
      </w:r>
      <w:bookmarkEnd w:id="248"/>
    </w:p>
    <w:p w:rsidR="00E20B54" w:rsidRDefault="00733C9E">
      <w:pPr>
        <w:spacing w:before="40" w:after="40" w:line="240" w:lineRule="exact"/>
        <w:rPr>
          <w:sz w:val="18"/>
          <w:szCs w:val="18"/>
        </w:rPr>
      </w:pPr>
      <w:r>
        <w:rPr>
          <w:sz w:val="18"/>
          <w:szCs w:val="18"/>
        </w:rPr>
        <w:sym w:font="Wingdings 2" w:char="F052"/>
      </w:r>
      <w:r>
        <w:rPr>
          <w:sz w:val="18"/>
          <w:szCs w:val="18"/>
        </w:rPr>
        <w:t>适用</w:t>
      </w:r>
      <w:r>
        <w:rPr>
          <w:sz w:val="18"/>
          <w:szCs w:val="18"/>
        </w:rPr>
        <w:t xml:space="preserve"> □</w:t>
      </w:r>
      <w:r>
        <w:rPr>
          <w:sz w:val="18"/>
          <w:szCs w:val="18"/>
        </w:rPr>
        <w:t>不适用</w:t>
      </w:r>
    </w:p>
    <w:p w:rsidR="00E20B54" w:rsidRDefault="00733C9E">
      <w:pPr>
        <w:spacing w:before="40" w:after="40" w:line="240" w:lineRule="exact"/>
        <w:jc w:val="right"/>
        <w:rPr>
          <w:sz w:val="18"/>
          <w:szCs w:val="18"/>
        </w:rPr>
      </w:pPr>
      <w:r>
        <w:rPr>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875"/>
        <w:gridCol w:w="876"/>
        <w:gridCol w:w="877"/>
        <w:gridCol w:w="876"/>
        <w:gridCol w:w="877"/>
        <w:gridCol w:w="876"/>
        <w:gridCol w:w="876"/>
        <w:gridCol w:w="877"/>
        <w:gridCol w:w="876"/>
        <w:gridCol w:w="877"/>
        <w:gridCol w:w="876"/>
      </w:tblGrid>
      <w:tr w:rsidR="00E20B54">
        <w:trPr>
          <w:trHeight w:val="240"/>
        </w:trPr>
        <w:tc>
          <w:tcPr>
            <w:tcW w:w="876"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类别</w:t>
            </w:r>
          </w:p>
        </w:tc>
        <w:tc>
          <w:tcPr>
            <w:tcW w:w="4381" w:type="dxa"/>
            <w:gridSpan w:val="5"/>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期末余额</w:t>
            </w:r>
          </w:p>
        </w:tc>
        <w:tc>
          <w:tcPr>
            <w:tcW w:w="4381" w:type="dxa"/>
            <w:gridSpan w:val="5"/>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期初余额</w:t>
            </w:r>
          </w:p>
        </w:tc>
      </w:tr>
      <w:tr w:rsidR="00E20B54">
        <w:trPr>
          <w:trHeight w:val="240"/>
        </w:trPr>
        <w:tc>
          <w:tcPr>
            <w:tcW w:w="876"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c>
          <w:tcPr>
            <w:tcW w:w="1753"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账面余额</w:t>
            </w:r>
          </w:p>
        </w:tc>
        <w:tc>
          <w:tcPr>
            <w:tcW w:w="1753"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坏账准备</w:t>
            </w:r>
          </w:p>
        </w:tc>
        <w:tc>
          <w:tcPr>
            <w:tcW w:w="876"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账面价值</w:t>
            </w:r>
          </w:p>
        </w:tc>
        <w:tc>
          <w:tcPr>
            <w:tcW w:w="1753"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账面余额</w:t>
            </w:r>
          </w:p>
        </w:tc>
        <w:tc>
          <w:tcPr>
            <w:tcW w:w="1753"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坏账准备</w:t>
            </w:r>
          </w:p>
        </w:tc>
        <w:tc>
          <w:tcPr>
            <w:tcW w:w="876"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账面价值</w:t>
            </w:r>
          </w:p>
        </w:tc>
      </w:tr>
      <w:tr w:rsidR="00E20B54">
        <w:trPr>
          <w:trHeight w:val="240"/>
        </w:trPr>
        <w:tc>
          <w:tcPr>
            <w:tcW w:w="876"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金额</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比例</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金额</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计提比例</w:t>
            </w:r>
          </w:p>
        </w:tc>
        <w:tc>
          <w:tcPr>
            <w:tcW w:w="876"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金额</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比例</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金额</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计提比例</w:t>
            </w:r>
          </w:p>
        </w:tc>
        <w:tc>
          <w:tcPr>
            <w:tcW w:w="876"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r>
      <w:tr w:rsidR="00E20B54">
        <w:trPr>
          <w:trHeight w:val="240"/>
        </w:trPr>
        <w:tc>
          <w:tcPr>
            <w:tcW w:w="9639" w:type="dxa"/>
            <w:gridSpan w:val="11"/>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其中：</w:t>
            </w:r>
          </w:p>
        </w:tc>
      </w:tr>
      <w:tr w:rsidR="00E20B54">
        <w:trPr>
          <w:trHeight w:val="240"/>
        </w:trPr>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按组合计提坏账准备</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9,345,172.13</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100.00%</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1,879,767.53</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20.11%</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7,465,404.60</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4,811,915.76</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100.00%</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1,171,832.11</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24.35%</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3,640,083.65</w:t>
            </w:r>
          </w:p>
        </w:tc>
      </w:tr>
      <w:tr w:rsidR="00E20B54">
        <w:trPr>
          <w:trHeight w:val="240"/>
        </w:trPr>
        <w:tc>
          <w:tcPr>
            <w:tcW w:w="9639" w:type="dxa"/>
            <w:gridSpan w:val="11"/>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其中：</w:t>
            </w:r>
          </w:p>
        </w:tc>
      </w:tr>
      <w:tr w:rsidR="00E20B54">
        <w:trPr>
          <w:trHeight w:val="240"/>
        </w:trPr>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组合</w:t>
            </w:r>
            <w:r>
              <w:rPr>
                <w:sz w:val="18"/>
                <w:szCs w:val="18"/>
              </w:rPr>
              <w:t>1</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7,443,753.82</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79.65%</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1,485,071.12</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19.95%</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5,958,682.70</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2,410,509.60</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50.09%</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890,930.79</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36.96%</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1,519,578.81</w:t>
            </w:r>
          </w:p>
        </w:tc>
      </w:tr>
      <w:tr w:rsidR="00E20B54">
        <w:trPr>
          <w:trHeight w:val="240"/>
        </w:trPr>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组合</w:t>
            </w:r>
            <w:r>
              <w:rPr>
                <w:sz w:val="18"/>
                <w:szCs w:val="18"/>
              </w:rPr>
              <w:t>2</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1,024,404.33</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10.96%</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205,098.36</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20.02%</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819,305.97</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1,173,171.29</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24.38%</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96,403.04</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8.22%</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1,076,768.25</w:t>
            </w:r>
          </w:p>
        </w:tc>
      </w:tr>
      <w:tr w:rsidR="00E20B54">
        <w:trPr>
          <w:trHeight w:val="240"/>
        </w:trPr>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组合</w:t>
            </w:r>
            <w:r>
              <w:rPr>
                <w:sz w:val="18"/>
                <w:szCs w:val="18"/>
              </w:rPr>
              <w:t>3</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877,013.98</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9.39%</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189,598.05</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21.62%</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687,415.93</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1,228,234.87</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25.53%</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184,498.28</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15.02%</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1,043,736.59</w:t>
            </w:r>
          </w:p>
        </w:tc>
      </w:tr>
      <w:tr w:rsidR="00E20B54">
        <w:trPr>
          <w:trHeight w:val="240"/>
        </w:trPr>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合计</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9,345,172.13</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100.00%</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1,879,767.53</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20.11%</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7,465,404.60</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4,811,915.76</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100.00%</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1,171,832.11</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24.35%</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3,640,083.65</w:t>
            </w:r>
          </w:p>
        </w:tc>
      </w:tr>
    </w:tbl>
    <w:p w:rsidR="00E20B54" w:rsidRDefault="00733C9E">
      <w:pPr>
        <w:spacing w:line="240" w:lineRule="exact"/>
        <w:rPr>
          <w:sz w:val="18"/>
          <w:szCs w:val="18"/>
        </w:rPr>
      </w:pPr>
      <w:r>
        <w:rPr>
          <w:sz w:val="18"/>
          <w:szCs w:val="18"/>
        </w:rPr>
        <w:t>按预期信用损失一般模型计提坏账准备：</w:t>
      </w:r>
    </w:p>
    <w:p w:rsidR="00E20B54" w:rsidRDefault="00733C9E">
      <w:pPr>
        <w:spacing w:before="40" w:after="40" w:line="240" w:lineRule="exact"/>
        <w:jc w:val="right"/>
        <w:rPr>
          <w:sz w:val="18"/>
          <w:szCs w:val="18"/>
        </w:rPr>
      </w:pPr>
      <w:r>
        <w:rPr>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927"/>
        <w:gridCol w:w="1928"/>
        <w:gridCol w:w="1928"/>
        <w:gridCol w:w="1928"/>
        <w:gridCol w:w="1928"/>
      </w:tblGrid>
      <w:tr w:rsidR="00E20B54">
        <w:trPr>
          <w:trHeight w:val="240"/>
        </w:trPr>
        <w:tc>
          <w:tcPr>
            <w:tcW w:w="1928"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lastRenderedPageBreak/>
              <w:t>坏账准备</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第一阶段</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第二阶段</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第三阶段</w:t>
            </w:r>
          </w:p>
        </w:tc>
        <w:tc>
          <w:tcPr>
            <w:tcW w:w="1928"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合计</w:t>
            </w:r>
          </w:p>
        </w:tc>
      </w:tr>
      <w:tr w:rsidR="00E20B54">
        <w:trPr>
          <w:trHeight w:val="240"/>
        </w:trPr>
        <w:tc>
          <w:tcPr>
            <w:tcW w:w="1928"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未来</w:t>
            </w:r>
            <w:r>
              <w:rPr>
                <w:sz w:val="18"/>
                <w:szCs w:val="18"/>
              </w:rPr>
              <w:t>12</w:t>
            </w:r>
            <w:r>
              <w:rPr>
                <w:sz w:val="18"/>
                <w:szCs w:val="18"/>
              </w:rPr>
              <w:t>个月预期信用损失</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整个存续期预期信用损失</w:t>
            </w:r>
            <w:r>
              <w:rPr>
                <w:sz w:val="18"/>
                <w:szCs w:val="18"/>
              </w:rPr>
              <w:t>(</w:t>
            </w:r>
            <w:r>
              <w:rPr>
                <w:sz w:val="18"/>
                <w:szCs w:val="18"/>
              </w:rPr>
              <w:t>未发生信用减值</w:t>
            </w:r>
            <w:r>
              <w:rPr>
                <w:sz w:val="18"/>
                <w:szCs w:val="18"/>
              </w:rPr>
              <w:t>)</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整个存续期预期信用损失</w:t>
            </w:r>
            <w:r>
              <w:rPr>
                <w:sz w:val="18"/>
                <w:szCs w:val="18"/>
              </w:rPr>
              <w:t>(</w:t>
            </w:r>
            <w:r>
              <w:rPr>
                <w:sz w:val="18"/>
                <w:szCs w:val="18"/>
              </w:rPr>
              <w:t>已发生信用减值</w:t>
            </w:r>
            <w:r>
              <w:rPr>
                <w:sz w:val="18"/>
                <w:szCs w:val="18"/>
              </w:rPr>
              <w:t>)</w:t>
            </w:r>
          </w:p>
        </w:tc>
        <w:tc>
          <w:tcPr>
            <w:tcW w:w="1928"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r>
      <w:tr w:rsidR="00E20B54">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2025</w:t>
            </w:r>
            <w:r>
              <w:rPr>
                <w:sz w:val="18"/>
                <w:szCs w:val="18"/>
              </w:rPr>
              <w:t>年</w:t>
            </w:r>
            <w:r>
              <w:rPr>
                <w:sz w:val="18"/>
                <w:szCs w:val="18"/>
              </w:rPr>
              <w:t>1</w:t>
            </w:r>
            <w:r>
              <w:rPr>
                <w:sz w:val="18"/>
                <w:szCs w:val="18"/>
              </w:rPr>
              <w:t>月</w:t>
            </w:r>
            <w:r>
              <w:rPr>
                <w:sz w:val="18"/>
                <w:szCs w:val="18"/>
              </w:rPr>
              <w:t>1</w:t>
            </w:r>
            <w:r>
              <w:rPr>
                <w:sz w:val="18"/>
                <w:szCs w:val="18"/>
              </w:rPr>
              <w:t>日余额</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1,171,832.11</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1,171,832.11</w:t>
            </w:r>
          </w:p>
        </w:tc>
      </w:tr>
      <w:tr w:rsidR="00E20B54">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2025</w:t>
            </w:r>
            <w:r>
              <w:rPr>
                <w:sz w:val="18"/>
                <w:szCs w:val="18"/>
              </w:rPr>
              <w:t>年</w:t>
            </w:r>
            <w:r>
              <w:rPr>
                <w:sz w:val="18"/>
                <w:szCs w:val="18"/>
              </w:rPr>
              <w:t>1</w:t>
            </w:r>
            <w:r>
              <w:rPr>
                <w:sz w:val="18"/>
                <w:szCs w:val="18"/>
              </w:rPr>
              <w:t>月</w:t>
            </w:r>
            <w:r>
              <w:rPr>
                <w:sz w:val="18"/>
                <w:szCs w:val="18"/>
              </w:rPr>
              <w:t>1</w:t>
            </w:r>
            <w:r>
              <w:rPr>
                <w:sz w:val="18"/>
                <w:szCs w:val="18"/>
              </w:rPr>
              <w:t>日余额在本期</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r>
      <w:tr w:rsidR="00E20B54">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本期计提</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707,935.42</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707,935.42</w:t>
            </w:r>
          </w:p>
        </w:tc>
      </w:tr>
      <w:tr w:rsidR="00E20B54">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2025</w:t>
            </w:r>
            <w:r>
              <w:rPr>
                <w:sz w:val="18"/>
                <w:szCs w:val="18"/>
              </w:rPr>
              <w:t>年</w:t>
            </w:r>
            <w:r>
              <w:rPr>
                <w:sz w:val="18"/>
                <w:szCs w:val="18"/>
              </w:rPr>
              <w:t>12</w:t>
            </w:r>
            <w:r>
              <w:rPr>
                <w:sz w:val="18"/>
                <w:szCs w:val="18"/>
              </w:rPr>
              <w:t>月</w:t>
            </w:r>
            <w:r>
              <w:rPr>
                <w:sz w:val="18"/>
                <w:szCs w:val="18"/>
              </w:rPr>
              <w:t>31</w:t>
            </w:r>
            <w:r>
              <w:rPr>
                <w:sz w:val="18"/>
                <w:szCs w:val="18"/>
              </w:rPr>
              <w:t>日余额</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1,879,767.53</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1,879,767.53</w:t>
            </w:r>
          </w:p>
        </w:tc>
      </w:tr>
    </w:tbl>
    <w:p w:rsidR="00E20B54" w:rsidRDefault="00733C9E">
      <w:pPr>
        <w:spacing w:before="100" w:after="100" w:line="240" w:lineRule="exact"/>
        <w:rPr>
          <w:sz w:val="18"/>
          <w:szCs w:val="18"/>
        </w:rPr>
      </w:pPr>
      <w:r>
        <w:rPr>
          <w:sz w:val="18"/>
          <w:szCs w:val="18"/>
        </w:rPr>
        <w:t>各阶段划分依据和坏账准备计提比例</w:t>
      </w:r>
    </w:p>
    <w:p w:rsidR="00E20B54" w:rsidRDefault="00733C9E">
      <w:pPr>
        <w:spacing w:before="100" w:after="100" w:line="240" w:lineRule="exact"/>
        <w:rPr>
          <w:sz w:val="18"/>
          <w:szCs w:val="18"/>
        </w:rPr>
      </w:pPr>
      <w:r>
        <w:rPr>
          <w:sz w:val="18"/>
          <w:szCs w:val="18"/>
        </w:rPr>
        <w:t>损失准备本期变动金额重大的账面余额变动情况</w:t>
      </w:r>
    </w:p>
    <w:p w:rsidR="00E20B54" w:rsidRDefault="00733C9E">
      <w:pPr>
        <w:spacing w:before="100" w:after="100" w:line="240" w:lineRule="exact"/>
        <w:rPr>
          <w:sz w:val="18"/>
          <w:szCs w:val="18"/>
        </w:rPr>
      </w:pPr>
      <w:r>
        <w:rPr>
          <w:sz w:val="18"/>
          <w:szCs w:val="18"/>
        </w:rPr>
        <w:t>□</w:t>
      </w:r>
      <w:r>
        <w:rPr>
          <w:sz w:val="18"/>
          <w:szCs w:val="18"/>
        </w:rPr>
        <w:t>适用</w:t>
      </w:r>
      <w:r>
        <w:rPr>
          <w:sz w:val="18"/>
          <w:szCs w:val="18"/>
        </w:rPr>
        <w:t xml:space="preserve"> </w:t>
      </w:r>
      <w:r>
        <w:rPr>
          <w:sz w:val="18"/>
          <w:szCs w:val="18"/>
        </w:rPr>
        <w:sym w:font="Wingdings 2" w:char="F052"/>
      </w:r>
      <w:r>
        <w:rPr>
          <w:sz w:val="18"/>
          <w:szCs w:val="18"/>
        </w:rPr>
        <w:t>不适用</w:t>
      </w:r>
    </w:p>
    <w:p w:rsidR="00E20B54" w:rsidRDefault="00733C9E">
      <w:pPr>
        <w:keepNext/>
        <w:keepLines/>
        <w:spacing w:before="300" w:after="300" w:line="280" w:lineRule="exact"/>
        <w:outlineLvl w:val="4"/>
        <w:rPr>
          <w:b/>
          <w:bCs/>
          <w:szCs w:val="21"/>
        </w:rPr>
      </w:pPr>
      <w:bookmarkStart w:id="249" w:name="_Toc989137"/>
      <w:r>
        <w:rPr>
          <w:b/>
          <w:bCs/>
          <w:szCs w:val="21"/>
        </w:rPr>
        <w:t>4</w:t>
      </w:r>
      <w:r>
        <w:rPr>
          <w:b/>
          <w:bCs/>
          <w:szCs w:val="21"/>
        </w:rPr>
        <w:t>）</w:t>
      </w:r>
      <w:r>
        <w:rPr>
          <w:b/>
          <w:bCs/>
          <w:szCs w:val="21"/>
        </w:rPr>
        <w:t xml:space="preserve"> </w:t>
      </w:r>
      <w:r>
        <w:rPr>
          <w:b/>
          <w:bCs/>
          <w:szCs w:val="21"/>
        </w:rPr>
        <w:t>本期计提、收回或转回的坏账准备情况</w:t>
      </w:r>
      <w:bookmarkEnd w:id="249"/>
    </w:p>
    <w:p w:rsidR="00E20B54" w:rsidRDefault="00733C9E">
      <w:pPr>
        <w:spacing w:before="100" w:after="100" w:line="240" w:lineRule="exact"/>
        <w:rPr>
          <w:sz w:val="18"/>
          <w:szCs w:val="18"/>
        </w:rPr>
      </w:pPr>
      <w:r>
        <w:rPr>
          <w:sz w:val="18"/>
          <w:szCs w:val="18"/>
        </w:rPr>
        <w:t>本期计提坏账准备情况：</w:t>
      </w:r>
    </w:p>
    <w:p w:rsidR="00E20B54" w:rsidRDefault="00733C9E">
      <w:pPr>
        <w:spacing w:before="120" w:after="120" w:line="240" w:lineRule="exact"/>
        <w:jc w:val="right"/>
        <w:rPr>
          <w:sz w:val="18"/>
          <w:szCs w:val="18"/>
        </w:rPr>
      </w:pPr>
      <w:r>
        <w:rPr>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377"/>
        <w:gridCol w:w="1377"/>
        <w:gridCol w:w="1377"/>
        <w:gridCol w:w="1377"/>
        <w:gridCol w:w="1377"/>
        <w:gridCol w:w="1377"/>
        <w:gridCol w:w="1377"/>
      </w:tblGrid>
      <w:tr w:rsidR="00E20B54">
        <w:trPr>
          <w:trHeight w:val="240"/>
        </w:trPr>
        <w:tc>
          <w:tcPr>
            <w:tcW w:w="1377"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类别</w:t>
            </w:r>
          </w:p>
        </w:tc>
        <w:tc>
          <w:tcPr>
            <w:tcW w:w="1377"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期初余额</w:t>
            </w:r>
          </w:p>
        </w:tc>
        <w:tc>
          <w:tcPr>
            <w:tcW w:w="5508" w:type="dxa"/>
            <w:gridSpan w:val="4"/>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本期变动金额</w:t>
            </w:r>
          </w:p>
        </w:tc>
        <w:tc>
          <w:tcPr>
            <w:tcW w:w="1377"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期末余额</w:t>
            </w:r>
          </w:p>
        </w:tc>
      </w:tr>
      <w:tr w:rsidR="00E20B54">
        <w:trPr>
          <w:trHeight w:val="240"/>
        </w:trPr>
        <w:tc>
          <w:tcPr>
            <w:tcW w:w="1377"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c>
          <w:tcPr>
            <w:tcW w:w="1377"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计提</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收回或转回</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转销或核销</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其他</w:t>
            </w:r>
          </w:p>
        </w:tc>
        <w:tc>
          <w:tcPr>
            <w:tcW w:w="1377"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r>
      <w:tr w:rsidR="00E20B54">
        <w:trPr>
          <w:trHeight w:val="240"/>
        </w:trPr>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账龄组合</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1,171,832.11</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707,935.42</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1,879,767.53</w:t>
            </w:r>
          </w:p>
        </w:tc>
      </w:tr>
      <w:tr w:rsidR="00E20B54">
        <w:trPr>
          <w:trHeight w:val="240"/>
        </w:trPr>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合计</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1,171,832.11</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707,935.42</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1,879,767.53</w:t>
            </w:r>
          </w:p>
        </w:tc>
      </w:tr>
    </w:tbl>
    <w:p w:rsidR="00E20B54" w:rsidRDefault="00733C9E">
      <w:pPr>
        <w:spacing w:before="100" w:after="100" w:line="240" w:lineRule="exact"/>
        <w:rPr>
          <w:sz w:val="18"/>
          <w:szCs w:val="18"/>
        </w:rPr>
      </w:pPr>
      <w:r>
        <w:rPr>
          <w:sz w:val="18"/>
          <w:szCs w:val="18"/>
        </w:rPr>
        <w:t>其中本期坏账准备转回或收回金额重要的：</w:t>
      </w:r>
    </w:p>
    <w:p w:rsidR="00E20B54" w:rsidRDefault="00733C9E">
      <w:pPr>
        <w:spacing w:before="120" w:after="120" w:line="240" w:lineRule="exact"/>
        <w:jc w:val="right"/>
        <w:rPr>
          <w:sz w:val="18"/>
          <w:szCs w:val="18"/>
        </w:rPr>
      </w:pPr>
      <w:r>
        <w:rPr>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927"/>
        <w:gridCol w:w="1928"/>
        <w:gridCol w:w="1928"/>
        <w:gridCol w:w="1928"/>
        <w:gridCol w:w="1928"/>
      </w:tblGrid>
      <w:tr w:rsidR="00E20B54">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单位名称</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收回或转回金额</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转回原因</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收回方式</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确定原坏账准备计提比例的依据及其合理性</w:t>
            </w:r>
          </w:p>
        </w:tc>
      </w:tr>
    </w:tbl>
    <w:p w:rsidR="00E20B54" w:rsidRDefault="00733C9E">
      <w:pPr>
        <w:keepNext/>
        <w:keepLines/>
        <w:spacing w:before="300" w:after="300" w:line="280" w:lineRule="exact"/>
        <w:outlineLvl w:val="4"/>
        <w:rPr>
          <w:b/>
          <w:bCs/>
          <w:szCs w:val="21"/>
        </w:rPr>
      </w:pPr>
      <w:bookmarkStart w:id="250" w:name="_Toc989138"/>
      <w:r>
        <w:rPr>
          <w:b/>
          <w:bCs/>
          <w:szCs w:val="21"/>
        </w:rPr>
        <w:t>5</w:t>
      </w:r>
      <w:r>
        <w:rPr>
          <w:b/>
          <w:bCs/>
          <w:szCs w:val="21"/>
        </w:rPr>
        <w:t>）</w:t>
      </w:r>
      <w:r>
        <w:rPr>
          <w:b/>
          <w:bCs/>
          <w:szCs w:val="21"/>
        </w:rPr>
        <w:t xml:space="preserve"> </w:t>
      </w:r>
      <w:r>
        <w:rPr>
          <w:b/>
          <w:bCs/>
          <w:szCs w:val="21"/>
        </w:rPr>
        <w:t>本期实际核销的其他应收款情况</w:t>
      </w:r>
      <w:bookmarkEnd w:id="250"/>
    </w:p>
    <w:p w:rsidR="00E20B54" w:rsidRDefault="00733C9E">
      <w:pPr>
        <w:spacing w:before="40" w:after="40" w:line="240" w:lineRule="exact"/>
        <w:jc w:val="right"/>
        <w:rPr>
          <w:sz w:val="18"/>
          <w:szCs w:val="18"/>
        </w:rPr>
      </w:pPr>
      <w:r>
        <w:rPr>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4820"/>
        <w:gridCol w:w="4819"/>
      </w:tblGrid>
      <w:tr w:rsidR="00E20B54">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项目</w:t>
            </w:r>
          </w:p>
        </w:tc>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核销金额</w:t>
            </w:r>
          </w:p>
        </w:tc>
      </w:tr>
    </w:tbl>
    <w:p w:rsidR="00E20B54" w:rsidRDefault="00733C9E">
      <w:pPr>
        <w:spacing w:before="100" w:after="100" w:line="240" w:lineRule="exact"/>
        <w:rPr>
          <w:sz w:val="18"/>
          <w:szCs w:val="18"/>
        </w:rPr>
      </w:pPr>
      <w:r>
        <w:rPr>
          <w:sz w:val="18"/>
          <w:szCs w:val="18"/>
        </w:rPr>
        <w:t>其中重要的其他应收款核销情况：</w:t>
      </w:r>
    </w:p>
    <w:p w:rsidR="00E20B54" w:rsidRDefault="00733C9E">
      <w:pPr>
        <w:spacing w:before="120" w:after="120" w:line="240" w:lineRule="exact"/>
        <w:jc w:val="right"/>
        <w:rPr>
          <w:sz w:val="18"/>
          <w:szCs w:val="18"/>
        </w:rPr>
      </w:pPr>
      <w:r>
        <w:rPr>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606"/>
        <w:gridCol w:w="1606"/>
        <w:gridCol w:w="1606"/>
        <w:gridCol w:w="1607"/>
        <w:gridCol w:w="1607"/>
        <w:gridCol w:w="1607"/>
      </w:tblGrid>
      <w:tr w:rsidR="00E20B54">
        <w:trPr>
          <w:trHeight w:val="240"/>
        </w:trPr>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单位名称</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其他应收款性质</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核销金额</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核销原因</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履行的核销程序</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款项是否由关联交易产生</w:t>
            </w:r>
          </w:p>
        </w:tc>
      </w:tr>
    </w:tbl>
    <w:p w:rsidR="00E20B54" w:rsidRDefault="00733C9E">
      <w:pPr>
        <w:spacing w:before="100" w:after="100" w:line="240" w:lineRule="exact"/>
        <w:rPr>
          <w:sz w:val="18"/>
          <w:szCs w:val="18"/>
        </w:rPr>
      </w:pPr>
      <w:r>
        <w:rPr>
          <w:sz w:val="18"/>
          <w:szCs w:val="18"/>
        </w:rPr>
        <w:t>其他应收款核销说明：</w:t>
      </w:r>
    </w:p>
    <w:p w:rsidR="00E20B54" w:rsidRDefault="00733C9E">
      <w:pPr>
        <w:keepNext/>
        <w:keepLines/>
        <w:spacing w:before="300" w:after="300" w:line="280" w:lineRule="exact"/>
        <w:outlineLvl w:val="4"/>
        <w:rPr>
          <w:b/>
          <w:bCs/>
          <w:szCs w:val="21"/>
        </w:rPr>
      </w:pPr>
      <w:bookmarkStart w:id="251" w:name="_Toc989139"/>
      <w:r>
        <w:rPr>
          <w:b/>
          <w:bCs/>
          <w:szCs w:val="21"/>
        </w:rPr>
        <w:t>6</w:t>
      </w:r>
      <w:r>
        <w:rPr>
          <w:b/>
          <w:bCs/>
          <w:szCs w:val="21"/>
        </w:rPr>
        <w:t>）</w:t>
      </w:r>
      <w:r>
        <w:rPr>
          <w:b/>
          <w:bCs/>
          <w:szCs w:val="21"/>
        </w:rPr>
        <w:t xml:space="preserve"> </w:t>
      </w:r>
      <w:r>
        <w:rPr>
          <w:b/>
          <w:bCs/>
          <w:szCs w:val="21"/>
        </w:rPr>
        <w:t>按欠款方归集的期末余额前五名的其他应收款情况</w:t>
      </w:r>
      <w:bookmarkEnd w:id="251"/>
    </w:p>
    <w:p w:rsidR="00E20B54" w:rsidRDefault="00733C9E">
      <w:pPr>
        <w:spacing w:before="40" w:after="40" w:line="240" w:lineRule="exact"/>
        <w:jc w:val="right"/>
        <w:rPr>
          <w:sz w:val="18"/>
          <w:szCs w:val="18"/>
        </w:rPr>
      </w:pPr>
      <w:r>
        <w:rPr>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606"/>
        <w:gridCol w:w="1606"/>
        <w:gridCol w:w="1606"/>
        <w:gridCol w:w="1607"/>
        <w:gridCol w:w="1607"/>
        <w:gridCol w:w="1607"/>
      </w:tblGrid>
      <w:tr w:rsidR="00E20B54" w:rsidTr="00E5606C">
        <w:trPr>
          <w:trHeight w:val="240"/>
          <w:tblHeader/>
        </w:trPr>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单位名称</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款项的性质</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期末余额</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账龄</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占其他应收款期末余额合计数的比例</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坏账准备期末余额</w:t>
            </w:r>
          </w:p>
        </w:tc>
      </w:tr>
      <w:tr w:rsidR="00E20B54">
        <w:trPr>
          <w:trHeight w:val="240"/>
        </w:trPr>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第一名</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押金保证金</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5,000,000.00</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1</w:t>
            </w:r>
            <w:r>
              <w:rPr>
                <w:sz w:val="18"/>
                <w:szCs w:val="18"/>
              </w:rPr>
              <w:t>年内</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53.50%</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250,000.00</w:t>
            </w:r>
          </w:p>
        </w:tc>
      </w:tr>
      <w:tr w:rsidR="00E20B54">
        <w:trPr>
          <w:trHeight w:val="240"/>
        </w:trPr>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lastRenderedPageBreak/>
              <w:t>第二名</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往来款项</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423,156.65</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1</w:t>
            </w:r>
            <w:r>
              <w:rPr>
                <w:sz w:val="18"/>
                <w:szCs w:val="18"/>
              </w:rPr>
              <w:t>年内、</w:t>
            </w:r>
            <w:r>
              <w:rPr>
                <w:sz w:val="18"/>
                <w:szCs w:val="18"/>
              </w:rPr>
              <w:t>1-2</w:t>
            </w:r>
            <w:r>
              <w:rPr>
                <w:sz w:val="18"/>
                <w:szCs w:val="18"/>
              </w:rPr>
              <w:t>年</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4.53%</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35,502.73</w:t>
            </w:r>
          </w:p>
        </w:tc>
      </w:tr>
      <w:tr w:rsidR="00E20B54">
        <w:trPr>
          <w:trHeight w:val="240"/>
        </w:trPr>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第三名</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押金保证金</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409,203.70</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1-2</w:t>
            </w:r>
            <w:r>
              <w:rPr>
                <w:sz w:val="18"/>
                <w:szCs w:val="18"/>
              </w:rPr>
              <w:t>年</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4.38%</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40,920.37</w:t>
            </w:r>
          </w:p>
        </w:tc>
      </w:tr>
      <w:tr w:rsidR="00E20B54">
        <w:trPr>
          <w:trHeight w:val="240"/>
        </w:trPr>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第四名</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押金保证金</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349,409.00</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4-5</w:t>
            </w:r>
            <w:r>
              <w:rPr>
                <w:sz w:val="18"/>
                <w:szCs w:val="18"/>
              </w:rPr>
              <w:t>年</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3.74%</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279,527.20</w:t>
            </w:r>
          </w:p>
        </w:tc>
      </w:tr>
      <w:tr w:rsidR="00E20B54">
        <w:trPr>
          <w:trHeight w:val="240"/>
        </w:trPr>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第五名</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押金保证金</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321,894.40</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3-4</w:t>
            </w:r>
            <w:r>
              <w:rPr>
                <w:sz w:val="18"/>
                <w:szCs w:val="18"/>
              </w:rPr>
              <w:t>年</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3.44%</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160,947.20</w:t>
            </w:r>
          </w:p>
        </w:tc>
      </w:tr>
      <w:tr w:rsidR="00E20B54">
        <w:trPr>
          <w:trHeight w:val="240"/>
        </w:trPr>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合计</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6,503,663.75</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69.59%</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766,897.50</w:t>
            </w:r>
          </w:p>
        </w:tc>
      </w:tr>
    </w:tbl>
    <w:p w:rsidR="00E20B54" w:rsidRDefault="00733C9E">
      <w:pPr>
        <w:keepNext/>
        <w:keepLines/>
        <w:spacing w:before="300" w:after="300" w:line="280" w:lineRule="exact"/>
        <w:outlineLvl w:val="4"/>
        <w:rPr>
          <w:b/>
          <w:bCs/>
          <w:szCs w:val="21"/>
        </w:rPr>
      </w:pPr>
      <w:bookmarkStart w:id="252" w:name="_Toc989140"/>
      <w:r>
        <w:rPr>
          <w:b/>
          <w:bCs/>
          <w:szCs w:val="21"/>
        </w:rPr>
        <w:t>7</w:t>
      </w:r>
      <w:r>
        <w:rPr>
          <w:b/>
          <w:bCs/>
          <w:szCs w:val="21"/>
        </w:rPr>
        <w:t>）</w:t>
      </w:r>
      <w:r>
        <w:rPr>
          <w:b/>
          <w:bCs/>
          <w:szCs w:val="21"/>
        </w:rPr>
        <w:t xml:space="preserve"> </w:t>
      </w:r>
      <w:r>
        <w:rPr>
          <w:b/>
          <w:bCs/>
          <w:szCs w:val="21"/>
        </w:rPr>
        <w:t>因资金集中管理而列报于其他应收款</w:t>
      </w:r>
      <w:bookmarkEnd w:id="252"/>
    </w:p>
    <w:p w:rsidR="00E20B54" w:rsidRDefault="00733C9E">
      <w:pPr>
        <w:spacing w:before="40" w:after="40" w:line="240" w:lineRule="exact"/>
        <w:jc w:val="right"/>
        <w:rPr>
          <w:sz w:val="18"/>
          <w:szCs w:val="18"/>
        </w:rPr>
      </w:pPr>
      <w:r>
        <w:rPr>
          <w:sz w:val="18"/>
          <w:szCs w:val="18"/>
        </w:rPr>
        <w:t>单位：元</w:t>
      </w:r>
    </w:p>
    <w:p w:rsidR="00E20B54" w:rsidRDefault="00733C9E">
      <w:pPr>
        <w:spacing w:before="100" w:after="100" w:line="240" w:lineRule="exact"/>
        <w:rPr>
          <w:sz w:val="18"/>
          <w:szCs w:val="18"/>
        </w:rPr>
      </w:pPr>
      <w:r>
        <w:rPr>
          <w:sz w:val="18"/>
          <w:szCs w:val="18"/>
        </w:rPr>
        <w:t>其他说明：</w:t>
      </w:r>
      <w:r w:rsidR="00E5606C">
        <w:rPr>
          <w:rFonts w:hint="eastAsia"/>
          <w:sz w:val="18"/>
          <w:szCs w:val="18"/>
        </w:rPr>
        <w:t>无。</w:t>
      </w:r>
    </w:p>
    <w:p w:rsidR="00E20B54" w:rsidRDefault="00733C9E">
      <w:pPr>
        <w:pStyle w:val="3"/>
        <w:spacing w:line="280" w:lineRule="exact"/>
        <w:jc w:val="left"/>
        <w:rPr>
          <w:b/>
          <w:bCs/>
        </w:rPr>
      </w:pPr>
      <w:bookmarkStart w:id="253" w:name="_Toc989141"/>
      <w:r>
        <w:rPr>
          <w:b/>
          <w:bCs/>
        </w:rPr>
        <w:t>6</w:t>
      </w:r>
      <w:r>
        <w:rPr>
          <w:b/>
          <w:bCs/>
        </w:rPr>
        <w:t>、预付款项</w:t>
      </w:r>
      <w:bookmarkEnd w:id="253"/>
    </w:p>
    <w:p w:rsidR="00E20B54" w:rsidRDefault="00733C9E">
      <w:pPr>
        <w:keepNext/>
        <w:keepLines/>
        <w:spacing w:before="300" w:after="300" w:line="280" w:lineRule="exact"/>
        <w:outlineLvl w:val="3"/>
        <w:rPr>
          <w:b/>
          <w:bCs/>
          <w:szCs w:val="21"/>
        </w:rPr>
      </w:pPr>
      <w:bookmarkStart w:id="254" w:name="_Toc989142"/>
      <w:r>
        <w:rPr>
          <w:b/>
          <w:bCs/>
          <w:szCs w:val="21"/>
        </w:rPr>
        <w:t>（</w:t>
      </w:r>
      <w:r>
        <w:rPr>
          <w:b/>
          <w:bCs/>
          <w:szCs w:val="21"/>
        </w:rPr>
        <w:t>1</w:t>
      </w:r>
      <w:r>
        <w:rPr>
          <w:b/>
          <w:bCs/>
          <w:szCs w:val="21"/>
        </w:rPr>
        <w:t>）</w:t>
      </w:r>
      <w:r>
        <w:rPr>
          <w:b/>
          <w:bCs/>
          <w:szCs w:val="21"/>
        </w:rPr>
        <w:t xml:space="preserve"> </w:t>
      </w:r>
      <w:r>
        <w:rPr>
          <w:b/>
          <w:bCs/>
          <w:szCs w:val="21"/>
        </w:rPr>
        <w:t>预付款项按账龄列示</w:t>
      </w:r>
      <w:bookmarkEnd w:id="254"/>
    </w:p>
    <w:p w:rsidR="00E20B54" w:rsidRDefault="00733C9E">
      <w:pPr>
        <w:spacing w:before="40" w:after="40" w:line="240" w:lineRule="exact"/>
        <w:jc w:val="right"/>
        <w:rPr>
          <w:sz w:val="18"/>
          <w:szCs w:val="18"/>
        </w:rPr>
      </w:pPr>
      <w:r>
        <w:rPr>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927"/>
        <w:gridCol w:w="1928"/>
        <w:gridCol w:w="1928"/>
        <w:gridCol w:w="1928"/>
        <w:gridCol w:w="1928"/>
      </w:tblGrid>
      <w:tr w:rsidR="00E20B54">
        <w:trPr>
          <w:trHeight w:val="240"/>
        </w:trPr>
        <w:tc>
          <w:tcPr>
            <w:tcW w:w="1928"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账龄</w:t>
            </w:r>
          </w:p>
        </w:tc>
        <w:tc>
          <w:tcPr>
            <w:tcW w:w="3856"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期末余额</w:t>
            </w:r>
          </w:p>
        </w:tc>
        <w:tc>
          <w:tcPr>
            <w:tcW w:w="3856"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期初余额</w:t>
            </w:r>
          </w:p>
        </w:tc>
      </w:tr>
      <w:tr w:rsidR="00E20B54">
        <w:trPr>
          <w:trHeight w:val="240"/>
        </w:trPr>
        <w:tc>
          <w:tcPr>
            <w:tcW w:w="1928"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金额</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比例</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金额</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比例</w:t>
            </w:r>
          </w:p>
        </w:tc>
      </w:tr>
      <w:tr w:rsidR="00E20B54">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1</w:t>
            </w:r>
            <w:r>
              <w:rPr>
                <w:sz w:val="18"/>
                <w:szCs w:val="18"/>
              </w:rPr>
              <w:t>年以内</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5,596,225.65</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80.09%</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16,840,941.93</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98.68%</w:t>
            </w:r>
          </w:p>
        </w:tc>
      </w:tr>
      <w:tr w:rsidR="00E20B54">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1</w:t>
            </w:r>
            <w:r>
              <w:rPr>
                <w:sz w:val="18"/>
                <w:szCs w:val="18"/>
              </w:rPr>
              <w:t>至</w:t>
            </w:r>
            <w:r>
              <w:rPr>
                <w:sz w:val="18"/>
                <w:szCs w:val="18"/>
              </w:rPr>
              <w:t>2</w:t>
            </w:r>
            <w:r>
              <w:rPr>
                <w:sz w:val="18"/>
                <w:szCs w:val="18"/>
              </w:rPr>
              <w:t>年</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1,174,458.45</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16.81%</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97,871.24</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0.57%</w:t>
            </w:r>
          </w:p>
        </w:tc>
      </w:tr>
      <w:tr w:rsidR="00E20B54">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2</w:t>
            </w:r>
            <w:r>
              <w:rPr>
                <w:sz w:val="18"/>
                <w:szCs w:val="18"/>
              </w:rPr>
              <w:t>至</w:t>
            </w:r>
            <w:r>
              <w:rPr>
                <w:sz w:val="18"/>
                <w:szCs w:val="18"/>
              </w:rPr>
              <w:t>3</w:t>
            </w:r>
            <w:r>
              <w:rPr>
                <w:sz w:val="18"/>
                <w:szCs w:val="18"/>
              </w:rPr>
              <w:t>年</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92,053.67</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1.32%</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122,477.06</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0.72%</w:t>
            </w:r>
          </w:p>
        </w:tc>
      </w:tr>
      <w:tr w:rsidR="00E20B54">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3</w:t>
            </w:r>
            <w:r>
              <w:rPr>
                <w:sz w:val="18"/>
                <w:szCs w:val="18"/>
              </w:rPr>
              <w:t>年以上</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124,445.09</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1.78%</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5,846.36</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0.03%</w:t>
            </w:r>
          </w:p>
        </w:tc>
      </w:tr>
      <w:tr w:rsidR="00E20B54">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合计</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6,987,182.86</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17,067,136.59</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r>
    </w:tbl>
    <w:p w:rsidR="00E20B54" w:rsidRDefault="00733C9E">
      <w:pPr>
        <w:spacing w:before="100" w:after="100" w:line="240" w:lineRule="exact"/>
        <w:rPr>
          <w:sz w:val="18"/>
          <w:szCs w:val="18"/>
        </w:rPr>
      </w:pPr>
      <w:r>
        <w:rPr>
          <w:sz w:val="18"/>
          <w:szCs w:val="18"/>
        </w:rPr>
        <w:t>账龄超过</w:t>
      </w:r>
      <w:r>
        <w:rPr>
          <w:sz w:val="18"/>
          <w:szCs w:val="18"/>
        </w:rPr>
        <w:t>1</w:t>
      </w:r>
      <w:r>
        <w:rPr>
          <w:sz w:val="18"/>
          <w:szCs w:val="18"/>
        </w:rPr>
        <w:t>年且金额重要的预付款项未及时结算原因的说明：</w:t>
      </w:r>
    </w:p>
    <w:p w:rsidR="00E20B54" w:rsidRDefault="00733C9E">
      <w:pPr>
        <w:keepNext/>
        <w:keepLines/>
        <w:spacing w:before="300" w:after="300" w:line="280" w:lineRule="exact"/>
        <w:outlineLvl w:val="3"/>
        <w:rPr>
          <w:b/>
          <w:bCs/>
          <w:szCs w:val="21"/>
        </w:rPr>
      </w:pPr>
      <w:bookmarkStart w:id="255" w:name="_Toc989143"/>
      <w:r>
        <w:rPr>
          <w:b/>
          <w:bCs/>
          <w:szCs w:val="21"/>
        </w:rPr>
        <w:t>（</w:t>
      </w:r>
      <w:r>
        <w:rPr>
          <w:b/>
          <w:bCs/>
          <w:szCs w:val="21"/>
        </w:rPr>
        <w:t>2</w:t>
      </w:r>
      <w:r>
        <w:rPr>
          <w:b/>
          <w:bCs/>
          <w:szCs w:val="21"/>
        </w:rPr>
        <w:t>）</w:t>
      </w:r>
      <w:r>
        <w:rPr>
          <w:b/>
          <w:bCs/>
          <w:szCs w:val="21"/>
        </w:rPr>
        <w:t xml:space="preserve"> </w:t>
      </w:r>
      <w:r>
        <w:rPr>
          <w:b/>
          <w:bCs/>
          <w:szCs w:val="21"/>
        </w:rPr>
        <w:t>按预付对象归集的期末余额前五名的预付款情况</w:t>
      </w:r>
      <w:bookmarkEnd w:id="255"/>
    </w:p>
    <w:tbl>
      <w:tblPr>
        <w:tblW w:w="5000" w:type="pct"/>
        <w:tblBorders>
          <w:top w:val="none" w:sz="6" w:space="0" w:color="auto"/>
          <w:left w:val="none" w:sz="6" w:space="0" w:color="auto"/>
          <w:bottom w:val="none" w:sz="6" w:space="0" w:color="auto"/>
          <w:right w:val="none" w:sz="6" w:space="0" w:color="auto"/>
          <w:insideH w:val="outset" w:sz="6" w:space="0" w:color="auto"/>
          <w:insideV w:val="outset" w:sz="6" w:space="0" w:color="auto"/>
        </w:tblBorders>
        <w:tblCellMar>
          <w:top w:w="15" w:type="dxa"/>
          <w:left w:w="15" w:type="dxa"/>
          <w:bottom w:w="15" w:type="dxa"/>
          <w:right w:w="15" w:type="dxa"/>
        </w:tblCellMar>
        <w:tblLook w:val="04A0" w:firstRow="1" w:lastRow="0" w:firstColumn="1" w:lastColumn="0" w:noHBand="0" w:noVBand="1"/>
      </w:tblPr>
      <w:tblGrid>
        <w:gridCol w:w="1575"/>
        <w:gridCol w:w="2325"/>
        <w:gridCol w:w="5953"/>
      </w:tblGrid>
      <w:tr w:rsidR="00E20B54" w:rsidRPr="00E5606C" w:rsidTr="00E5606C">
        <w:trPr>
          <w:trHeight w:val="227"/>
        </w:trPr>
        <w:tc>
          <w:tcPr>
            <w:tcW w:w="799" w:type="pct"/>
            <w:tcBorders>
              <w:top w:val="single" w:sz="8" w:space="0" w:color="auto"/>
              <w:left w:val="single" w:sz="8" w:space="0" w:color="auto"/>
              <w:bottom w:val="single" w:sz="8" w:space="0" w:color="auto"/>
              <w:right w:val="single" w:sz="8" w:space="0" w:color="auto"/>
            </w:tcBorders>
            <w:shd w:val="clear" w:color="auto" w:fill="D9D9D9" w:themeFill="background1" w:themeFillShade="D9"/>
            <w:tcMar>
              <w:top w:w="0" w:type="dxa"/>
              <w:left w:w="108" w:type="dxa"/>
              <w:bottom w:w="0" w:type="dxa"/>
              <w:right w:w="108" w:type="dxa"/>
            </w:tcMar>
            <w:vAlign w:val="center"/>
          </w:tcPr>
          <w:p w:rsidR="00E20B54" w:rsidRPr="00E5606C" w:rsidRDefault="00733C9E">
            <w:pPr>
              <w:pStyle w:val="a3"/>
              <w:widowControl/>
              <w:spacing w:beforeAutospacing="0" w:afterAutospacing="0"/>
              <w:jc w:val="center"/>
              <w:rPr>
                <w:sz w:val="18"/>
                <w:szCs w:val="21"/>
              </w:rPr>
            </w:pPr>
            <w:r w:rsidRPr="00E5606C">
              <w:rPr>
                <w:rStyle w:val="a4"/>
                <w:sz w:val="18"/>
                <w:szCs w:val="21"/>
              </w:rPr>
              <w:t>单位名称</w:t>
            </w:r>
          </w:p>
        </w:tc>
        <w:tc>
          <w:tcPr>
            <w:tcW w:w="1180" w:type="pct"/>
            <w:tcBorders>
              <w:top w:val="single" w:sz="8" w:space="0" w:color="auto"/>
              <w:left w:val="nil"/>
              <w:bottom w:val="single" w:sz="8" w:space="0" w:color="auto"/>
              <w:right w:val="single" w:sz="8" w:space="0" w:color="auto"/>
            </w:tcBorders>
            <w:shd w:val="clear" w:color="auto" w:fill="D9D9D9" w:themeFill="background1" w:themeFillShade="D9"/>
            <w:tcMar>
              <w:top w:w="0" w:type="dxa"/>
              <w:left w:w="108" w:type="dxa"/>
              <w:bottom w:w="0" w:type="dxa"/>
              <w:right w:w="108" w:type="dxa"/>
            </w:tcMar>
            <w:vAlign w:val="center"/>
          </w:tcPr>
          <w:p w:rsidR="00E20B54" w:rsidRPr="00E5606C" w:rsidRDefault="00733C9E">
            <w:pPr>
              <w:pStyle w:val="a3"/>
              <w:widowControl/>
              <w:spacing w:beforeAutospacing="0" w:afterAutospacing="0"/>
              <w:jc w:val="center"/>
              <w:rPr>
                <w:sz w:val="18"/>
                <w:szCs w:val="21"/>
              </w:rPr>
            </w:pPr>
            <w:r w:rsidRPr="00E5606C">
              <w:rPr>
                <w:rStyle w:val="a4"/>
                <w:sz w:val="18"/>
                <w:szCs w:val="21"/>
              </w:rPr>
              <w:t>期末余额</w:t>
            </w:r>
          </w:p>
        </w:tc>
        <w:tc>
          <w:tcPr>
            <w:tcW w:w="3021" w:type="pct"/>
            <w:tcBorders>
              <w:top w:val="single" w:sz="8" w:space="0" w:color="auto"/>
              <w:left w:val="nil"/>
              <w:bottom w:val="single" w:sz="8" w:space="0" w:color="auto"/>
              <w:right w:val="single" w:sz="8" w:space="0" w:color="auto"/>
            </w:tcBorders>
            <w:shd w:val="clear" w:color="auto" w:fill="D9D9D9" w:themeFill="background1" w:themeFillShade="D9"/>
            <w:tcMar>
              <w:top w:w="0" w:type="dxa"/>
              <w:left w:w="108" w:type="dxa"/>
              <w:bottom w:w="0" w:type="dxa"/>
              <w:right w:w="108" w:type="dxa"/>
            </w:tcMar>
            <w:vAlign w:val="center"/>
          </w:tcPr>
          <w:p w:rsidR="00E20B54" w:rsidRPr="00E5606C" w:rsidRDefault="00733C9E">
            <w:pPr>
              <w:pStyle w:val="a3"/>
              <w:widowControl/>
              <w:spacing w:beforeAutospacing="0" w:afterAutospacing="0"/>
              <w:jc w:val="center"/>
              <w:rPr>
                <w:sz w:val="18"/>
                <w:szCs w:val="21"/>
              </w:rPr>
            </w:pPr>
            <w:r w:rsidRPr="00E5606C">
              <w:rPr>
                <w:rStyle w:val="a4"/>
                <w:sz w:val="18"/>
                <w:szCs w:val="21"/>
              </w:rPr>
              <w:t>占预付款项期末余额合计数的比例（</w:t>
            </w:r>
            <w:r w:rsidRPr="00E5606C">
              <w:rPr>
                <w:rStyle w:val="a4"/>
                <w:sz w:val="18"/>
                <w:szCs w:val="21"/>
              </w:rPr>
              <w:t>%</w:t>
            </w:r>
            <w:r w:rsidRPr="00E5606C">
              <w:rPr>
                <w:rStyle w:val="a4"/>
                <w:sz w:val="18"/>
                <w:szCs w:val="21"/>
              </w:rPr>
              <w:t>）</w:t>
            </w:r>
          </w:p>
        </w:tc>
      </w:tr>
      <w:tr w:rsidR="00E20B54" w:rsidRPr="00E5606C" w:rsidTr="00E5606C">
        <w:trPr>
          <w:trHeight w:val="227"/>
        </w:trPr>
        <w:tc>
          <w:tcPr>
            <w:tcW w:w="799" w:type="pct"/>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tcPr>
          <w:p w:rsidR="00E20B54" w:rsidRPr="00E5606C" w:rsidRDefault="00733C9E">
            <w:pPr>
              <w:pStyle w:val="a3"/>
              <w:widowControl/>
              <w:spacing w:beforeAutospacing="0" w:afterAutospacing="0"/>
              <w:textAlignment w:val="center"/>
              <w:rPr>
                <w:sz w:val="18"/>
                <w:szCs w:val="21"/>
              </w:rPr>
            </w:pPr>
            <w:r w:rsidRPr="00E5606C">
              <w:rPr>
                <w:color w:val="000000"/>
                <w:sz w:val="18"/>
                <w:szCs w:val="21"/>
              </w:rPr>
              <w:t>第一名</w:t>
            </w:r>
          </w:p>
        </w:tc>
        <w:tc>
          <w:tcPr>
            <w:tcW w:w="1180" w:type="pct"/>
            <w:tcBorders>
              <w:top w:val="nil"/>
              <w:left w:val="nil"/>
              <w:bottom w:val="single" w:sz="8" w:space="0" w:color="auto"/>
              <w:right w:val="single" w:sz="8" w:space="0" w:color="auto"/>
            </w:tcBorders>
            <w:shd w:val="clear" w:color="auto" w:fill="auto"/>
            <w:tcMar>
              <w:top w:w="0" w:type="dxa"/>
              <w:left w:w="108" w:type="dxa"/>
              <w:bottom w:w="0" w:type="dxa"/>
              <w:right w:w="108" w:type="dxa"/>
            </w:tcMar>
          </w:tcPr>
          <w:p w:rsidR="00E20B54" w:rsidRPr="00E5606C" w:rsidRDefault="00733C9E">
            <w:pPr>
              <w:pStyle w:val="a3"/>
              <w:widowControl/>
              <w:spacing w:beforeAutospacing="0" w:afterAutospacing="0"/>
              <w:jc w:val="right"/>
              <w:rPr>
                <w:sz w:val="18"/>
                <w:szCs w:val="21"/>
              </w:rPr>
            </w:pPr>
            <w:r w:rsidRPr="00E5606C">
              <w:rPr>
                <w:sz w:val="18"/>
                <w:szCs w:val="21"/>
              </w:rPr>
              <w:t>2,311,320.75</w:t>
            </w:r>
          </w:p>
        </w:tc>
        <w:tc>
          <w:tcPr>
            <w:tcW w:w="3021" w:type="pct"/>
            <w:tcBorders>
              <w:top w:val="nil"/>
              <w:left w:val="nil"/>
              <w:bottom w:val="single" w:sz="8" w:space="0" w:color="auto"/>
              <w:right w:val="single" w:sz="8" w:space="0" w:color="auto"/>
            </w:tcBorders>
            <w:shd w:val="clear" w:color="auto" w:fill="auto"/>
            <w:tcMar>
              <w:top w:w="0" w:type="dxa"/>
              <w:left w:w="108" w:type="dxa"/>
              <w:bottom w:w="0" w:type="dxa"/>
              <w:right w:w="108" w:type="dxa"/>
            </w:tcMar>
          </w:tcPr>
          <w:p w:rsidR="00E20B54" w:rsidRPr="00E5606C" w:rsidRDefault="00733C9E">
            <w:pPr>
              <w:pStyle w:val="a3"/>
              <w:widowControl/>
              <w:spacing w:beforeAutospacing="0" w:afterAutospacing="0"/>
              <w:jc w:val="right"/>
              <w:rPr>
                <w:sz w:val="18"/>
                <w:szCs w:val="21"/>
              </w:rPr>
            </w:pPr>
            <w:r w:rsidRPr="00E5606C">
              <w:rPr>
                <w:sz w:val="18"/>
                <w:szCs w:val="21"/>
              </w:rPr>
              <w:t>33.08</w:t>
            </w:r>
          </w:p>
        </w:tc>
      </w:tr>
      <w:tr w:rsidR="00E20B54" w:rsidRPr="00E5606C" w:rsidTr="00E5606C">
        <w:trPr>
          <w:trHeight w:val="227"/>
        </w:trPr>
        <w:tc>
          <w:tcPr>
            <w:tcW w:w="799" w:type="pct"/>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tcPr>
          <w:p w:rsidR="00E20B54" w:rsidRPr="00E5606C" w:rsidRDefault="00733C9E">
            <w:pPr>
              <w:pStyle w:val="a3"/>
              <w:widowControl/>
              <w:spacing w:beforeAutospacing="0" w:afterAutospacing="0"/>
              <w:textAlignment w:val="top"/>
              <w:rPr>
                <w:sz w:val="18"/>
                <w:szCs w:val="21"/>
              </w:rPr>
            </w:pPr>
            <w:r w:rsidRPr="00E5606C">
              <w:rPr>
                <w:color w:val="000000"/>
                <w:sz w:val="18"/>
                <w:szCs w:val="21"/>
              </w:rPr>
              <w:t>第二名</w:t>
            </w:r>
          </w:p>
        </w:tc>
        <w:tc>
          <w:tcPr>
            <w:tcW w:w="1180" w:type="pct"/>
            <w:tcBorders>
              <w:top w:val="nil"/>
              <w:left w:val="nil"/>
              <w:bottom w:val="single" w:sz="8" w:space="0" w:color="auto"/>
              <w:right w:val="single" w:sz="8" w:space="0" w:color="auto"/>
            </w:tcBorders>
            <w:shd w:val="clear" w:color="auto" w:fill="auto"/>
            <w:tcMar>
              <w:top w:w="0" w:type="dxa"/>
              <w:left w:w="108" w:type="dxa"/>
              <w:bottom w:w="0" w:type="dxa"/>
              <w:right w:w="108" w:type="dxa"/>
            </w:tcMar>
          </w:tcPr>
          <w:p w:rsidR="00E20B54" w:rsidRPr="00E5606C" w:rsidRDefault="00733C9E">
            <w:pPr>
              <w:pStyle w:val="a3"/>
              <w:widowControl/>
              <w:spacing w:beforeAutospacing="0" w:afterAutospacing="0"/>
              <w:jc w:val="right"/>
              <w:rPr>
                <w:sz w:val="18"/>
                <w:szCs w:val="21"/>
              </w:rPr>
            </w:pPr>
            <w:r w:rsidRPr="00E5606C">
              <w:rPr>
                <w:sz w:val="18"/>
                <w:szCs w:val="21"/>
              </w:rPr>
              <w:t>1,000,000.00</w:t>
            </w:r>
          </w:p>
        </w:tc>
        <w:tc>
          <w:tcPr>
            <w:tcW w:w="3021" w:type="pct"/>
            <w:tcBorders>
              <w:top w:val="nil"/>
              <w:left w:val="nil"/>
              <w:bottom w:val="single" w:sz="8" w:space="0" w:color="auto"/>
              <w:right w:val="single" w:sz="8" w:space="0" w:color="auto"/>
            </w:tcBorders>
            <w:shd w:val="clear" w:color="auto" w:fill="auto"/>
            <w:tcMar>
              <w:top w:w="0" w:type="dxa"/>
              <w:left w:w="108" w:type="dxa"/>
              <w:bottom w:w="0" w:type="dxa"/>
              <w:right w:w="108" w:type="dxa"/>
            </w:tcMar>
          </w:tcPr>
          <w:p w:rsidR="00E20B54" w:rsidRPr="00E5606C" w:rsidRDefault="00733C9E">
            <w:pPr>
              <w:pStyle w:val="a3"/>
              <w:widowControl/>
              <w:spacing w:beforeAutospacing="0" w:afterAutospacing="0"/>
              <w:jc w:val="right"/>
              <w:rPr>
                <w:sz w:val="18"/>
                <w:szCs w:val="21"/>
              </w:rPr>
            </w:pPr>
            <w:r w:rsidRPr="00E5606C">
              <w:rPr>
                <w:sz w:val="18"/>
                <w:szCs w:val="21"/>
              </w:rPr>
              <w:t>14.31</w:t>
            </w:r>
          </w:p>
        </w:tc>
      </w:tr>
      <w:tr w:rsidR="00E20B54" w:rsidRPr="00E5606C" w:rsidTr="00E5606C">
        <w:trPr>
          <w:trHeight w:val="227"/>
        </w:trPr>
        <w:tc>
          <w:tcPr>
            <w:tcW w:w="799" w:type="pct"/>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tcPr>
          <w:p w:rsidR="00E20B54" w:rsidRPr="00E5606C" w:rsidRDefault="00733C9E">
            <w:pPr>
              <w:pStyle w:val="a3"/>
              <w:widowControl/>
              <w:spacing w:beforeAutospacing="0" w:afterAutospacing="0"/>
              <w:textAlignment w:val="top"/>
              <w:rPr>
                <w:sz w:val="18"/>
                <w:szCs w:val="21"/>
              </w:rPr>
            </w:pPr>
            <w:r w:rsidRPr="00E5606C">
              <w:rPr>
                <w:color w:val="000000"/>
                <w:sz w:val="18"/>
                <w:szCs w:val="21"/>
              </w:rPr>
              <w:t>第三名</w:t>
            </w:r>
          </w:p>
        </w:tc>
        <w:tc>
          <w:tcPr>
            <w:tcW w:w="1180" w:type="pct"/>
            <w:tcBorders>
              <w:top w:val="nil"/>
              <w:left w:val="nil"/>
              <w:bottom w:val="single" w:sz="8" w:space="0" w:color="auto"/>
              <w:right w:val="single" w:sz="8" w:space="0" w:color="auto"/>
            </w:tcBorders>
            <w:shd w:val="clear" w:color="auto" w:fill="auto"/>
            <w:tcMar>
              <w:top w:w="0" w:type="dxa"/>
              <w:left w:w="108" w:type="dxa"/>
              <w:bottom w:w="0" w:type="dxa"/>
              <w:right w:w="108" w:type="dxa"/>
            </w:tcMar>
          </w:tcPr>
          <w:p w:rsidR="00E20B54" w:rsidRPr="00E5606C" w:rsidRDefault="00733C9E">
            <w:pPr>
              <w:pStyle w:val="a3"/>
              <w:widowControl/>
              <w:spacing w:beforeAutospacing="0" w:afterAutospacing="0"/>
              <w:jc w:val="right"/>
              <w:rPr>
                <w:sz w:val="18"/>
                <w:szCs w:val="21"/>
              </w:rPr>
            </w:pPr>
            <w:r w:rsidRPr="00E5606C">
              <w:rPr>
                <w:sz w:val="18"/>
                <w:szCs w:val="21"/>
              </w:rPr>
              <w:t>878,319.31</w:t>
            </w:r>
          </w:p>
        </w:tc>
        <w:tc>
          <w:tcPr>
            <w:tcW w:w="3021" w:type="pct"/>
            <w:tcBorders>
              <w:top w:val="nil"/>
              <w:left w:val="nil"/>
              <w:bottom w:val="single" w:sz="8" w:space="0" w:color="auto"/>
              <w:right w:val="single" w:sz="8" w:space="0" w:color="auto"/>
            </w:tcBorders>
            <w:shd w:val="clear" w:color="auto" w:fill="auto"/>
            <w:tcMar>
              <w:top w:w="0" w:type="dxa"/>
              <w:left w:w="108" w:type="dxa"/>
              <w:bottom w:w="0" w:type="dxa"/>
              <w:right w:w="108" w:type="dxa"/>
            </w:tcMar>
          </w:tcPr>
          <w:p w:rsidR="00E20B54" w:rsidRPr="00E5606C" w:rsidRDefault="00733C9E">
            <w:pPr>
              <w:pStyle w:val="a3"/>
              <w:widowControl/>
              <w:spacing w:beforeAutospacing="0" w:afterAutospacing="0"/>
              <w:jc w:val="right"/>
              <w:rPr>
                <w:sz w:val="18"/>
                <w:szCs w:val="21"/>
              </w:rPr>
            </w:pPr>
            <w:r w:rsidRPr="00E5606C">
              <w:rPr>
                <w:sz w:val="18"/>
                <w:szCs w:val="21"/>
              </w:rPr>
              <w:t>12.57</w:t>
            </w:r>
          </w:p>
        </w:tc>
      </w:tr>
      <w:tr w:rsidR="00E20B54" w:rsidRPr="00E5606C" w:rsidTr="00E5606C">
        <w:trPr>
          <w:trHeight w:val="227"/>
        </w:trPr>
        <w:tc>
          <w:tcPr>
            <w:tcW w:w="799" w:type="pct"/>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tcPr>
          <w:p w:rsidR="00E20B54" w:rsidRPr="00E5606C" w:rsidRDefault="00733C9E">
            <w:pPr>
              <w:pStyle w:val="a3"/>
              <w:widowControl/>
              <w:spacing w:beforeAutospacing="0" w:afterAutospacing="0"/>
              <w:textAlignment w:val="top"/>
              <w:rPr>
                <w:sz w:val="18"/>
                <w:szCs w:val="21"/>
              </w:rPr>
            </w:pPr>
            <w:r w:rsidRPr="00E5606C">
              <w:rPr>
                <w:color w:val="000000"/>
                <w:sz w:val="18"/>
                <w:szCs w:val="21"/>
              </w:rPr>
              <w:t>第四名</w:t>
            </w:r>
          </w:p>
        </w:tc>
        <w:tc>
          <w:tcPr>
            <w:tcW w:w="1180" w:type="pct"/>
            <w:tcBorders>
              <w:top w:val="nil"/>
              <w:left w:val="nil"/>
              <w:bottom w:val="single" w:sz="8" w:space="0" w:color="auto"/>
              <w:right w:val="single" w:sz="8" w:space="0" w:color="auto"/>
            </w:tcBorders>
            <w:shd w:val="clear" w:color="auto" w:fill="auto"/>
            <w:tcMar>
              <w:top w:w="0" w:type="dxa"/>
              <w:left w:w="108" w:type="dxa"/>
              <w:bottom w:w="0" w:type="dxa"/>
              <w:right w:w="108" w:type="dxa"/>
            </w:tcMar>
          </w:tcPr>
          <w:p w:rsidR="00E20B54" w:rsidRPr="00E5606C" w:rsidRDefault="00733C9E">
            <w:pPr>
              <w:pStyle w:val="a3"/>
              <w:widowControl/>
              <w:spacing w:beforeAutospacing="0" w:afterAutospacing="0"/>
              <w:jc w:val="right"/>
              <w:rPr>
                <w:sz w:val="18"/>
                <w:szCs w:val="21"/>
              </w:rPr>
            </w:pPr>
            <w:r w:rsidRPr="00E5606C">
              <w:rPr>
                <w:sz w:val="18"/>
                <w:szCs w:val="21"/>
              </w:rPr>
              <w:t>553,907.53</w:t>
            </w:r>
          </w:p>
        </w:tc>
        <w:tc>
          <w:tcPr>
            <w:tcW w:w="3021" w:type="pct"/>
            <w:tcBorders>
              <w:top w:val="nil"/>
              <w:left w:val="nil"/>
              <w:bottom w:val="single" w:sz="8" w:space="0" w:color="auto"/>
              <w:right w:val="single" w:sz="8" w:space="0" w:color="auto"/>
            </w:tcBorders>
            <w:shd w:val="clear" w:color="auto" w:fill="auto"/>
            <w:tcMar>
              <w:top w:w="0" w:type="dxa"/>
              <w:left w:w="108" w:type="dxa"/>
              <w:bottom w:w="0" w:type="dxa"/>
              <w:right w:w="108" w:type="dxa"/>
            </w:tcMar>
          </w:tcPr>
          <w:p w:rsidR="00E20B54" w:rsidRPr="00E5606C" w:rsidRDefault="00733C9E">
            <w:pPr>
              <w:pStyle w:val="a3"/>
              <w:widowControl/>
              <w:spacing w:beforeAutospacing="0" w:afterAutospacing="0"/>
              <w:jc w:val="right"/>
              <w:rPr>
                <w:sz w:val="18"/>
                <w:szCs w:val="21"/>
              </w:rPr>
            </w:pPr>
            <w:r w:rsidRPr="00E5606C">
              <w:rPr>
                <w:sz w:val="18"/>
                <w:szCs w:val="21"/>
              </w:rPr>
              <w:t>7.93</w:t>
            </w:r>
          </w:p>
        </w:tc>
      </w:tr>
      <w:tr w:rsidR="00E20B54" w:rsidRPr="00E5606C" w:rsidTr="00E5606C">
        <w:trPr>
          <w:trHeight w:val="227"/>
        </w:trPr>
        <w:tc>
          <w:tcPr>
            <w:tcW w:w="799" w:type="pct"/>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tcPr>
          <w:p w:rsidR="00E20B54" w:rsidRPr="00E5606C" w:rsidRDefault="00733C9E">
            <w:pPr>
              <w:pStyle w:val="a3"/>
              <w:widowControl/>
              <w:spacing w:beforeAutospacing="0" w:afterAutospacing="0"/>
              <w:textAlignment w:val="top"/>
              <w:rPr>
                <w:sz w:val="18"/>
                <w:szCs w:val="21"/>
              </w:rPr>
            </w:pPr>
            <w:r w:rsidRPr="00E5606C">
              <w:rPr>
                <w:color w:val="000000"/>
                <w:sz w:val="18"/>
                <w:szCs w:val="21"/>
              </w:rPr>
              <w:t>第五名</w:t>
            </w:r>
          </w:p>
        </w:tc>
        <w:tc>
          <w:tcPr>
            <w:tcW w:w="1180" w:type="pct"/>
            <w:tcBorders>
              <w:top w:val="nil"/>
              <w:left w:val="nil"/>
              <w:bottom w:val="single" w:sz="8" w:space="0" w:color="auto"/>
              <w:right w:val="single" w:sz="8" w:space="0" w:color="auto"/>
            </w:tcBorders>
            <w:shd w:val="clear" w:color="auto" w:fill="auto"/>
            <w:tcMar>
              <w:top w:w="0" w:type="dxa"/>
              <w:left w:w="108" w:type="dxa"/>
              <w:bottom w:w="0" w:type="dxa"/>
              <w:right w:w="108" w:type="dxa"/>
            </w:tcMar>
          </w:tcPr>
          <w:p w:rsidR="00E20B54" w:rsidRPr="00E5606C" w:rsidRDefault="00733C9E">
            <w:pPr>
              <w:pStyle w:val="a3"/>
              <w:widowControl/>
              <w:spacing w:beforeAutospacing="0" w:afterAutospacing="0"/>
              <w:jc w:val="right"/>
              <w:rPr>
                <w:sz w:val="18"/>
                <w:szCs w:val="21"/>
              </w:rPr>
            </w:pPr>
            <w:r w:rsidRPr="00E5606C">
              <w:rPr>
                <w:sz w:val="18"/>
                <w:szCs w:val="21"/>
              </w:rPr>
              <w:t>445,830.84</w:t>
            </w:r>
          </w:p>
        </w:tc>
        <w:tc>
          <w:tcPr>
            <w:tcW w:w="3021" w:type="pct"/>
            <w:tcBorders>
              <w:top w:val="nil"/>
              <w:left w:val="nil"/>
              <w:bottom w:val="single" w:sz="8" w:space="0" w:color="auto"/>
              <w:right w:val="single" w:sz="8" w:space="0" w:color="auto"/>
            </w:tcBorders>
            <w:shd w:val="clear" w:color="auto" w:fill="auto"/>
            <w:tcMar>
              <w:top w:w="0" w:type="dxa"/>
              <w:left w:w="108" w:type="dxa"/>
              <w:bottom w:w="0" w:type="dxa"/>
              <w:right w:w="108" w:type="dxa"/>
            </w:tcMar>
          </w:tcPr>
          <w:p w:rsidR="00E20B54" w:rsidRPr="00E5606C" w:rsidRDefault="00733C9E">
            <w:pPr>
              <w:pStyle w:val="a3"/>
              <w:widowControl/>
              <w:spacing w:beforeAutospacing="0" w:afterAutospacing="0"/>
              <w:jc w:val="right"/>
              <w:rPr>
                <w:sz w:val="18"/>
                <w:szCs w:val="21"/>
              </w:rPr>
            </w:pPr>
            <w:r w:rsidRPr="00E5606C">
              <w:rPr>
                <w:sz w:val="18"/>
                <w:szCs w:val="21"/>
              </w:rPr>
              <w:t>6.38</w:t>
            </w:r>
          </w:p>
        </w:tc>
      </w:tr>
      <w:tr w:rsidR="00E20B54" w:rsidRPr="00E5606C" w:rsidTr="00E5606C">
        <w:trPr>
          <w:trHeight w:val="227"/>
        </w:trPr>
        <w:tc>
          <w:tcPr>
            <w:tcW w:w="799" w:type="pct"/>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tcPr>
          <w:p w:rsidR="00E20B54" w:rsidRPr="00E5606C" w:rsidRDefault="00733C9E">
            <w:pPr>
              <w:pStyle w:val="a3"/>
              <w:widowControl/>
              <w:spacing w:beforeAutospacing="0" w:afterAutospacing="0"/>
              <w:jc w:val="center"/>
              <w:rPr>
                <w:sz w:val="18"/>
                <w:szCs w:val="21"/>
              </w:rPr>
            </w:pPr>
            <w:r w:rsidRPr="00E5606C">
              <w:rPr>
                <w:rStyle w:val="a4"/>
                <w:sz w:val="18"/>
                <w:szCs w:val="21"/>
              </w:rPr>
              <w:t>合计</w:t>
            </w:r>
          </w:p>
        </w:tc>
        <w:tc>
          <w:tcPr>
            <w:tcW w:w="1180" w:type="pct"/>
            <w:tcBorders>
              <w:top w:val="nil"/>
              <w:left w:val="nil"/>
              <w:bottom w:val="single" w:sz="8" w:space="0" w:color="auto"/>
              <w:right w:val="single" w:sz="8" w:space="0" w:color="auto"/>
            </w:tcBorders>
            <w:shd w:val="clear" w:color="auto" w:fill="auto"/>
            <w:tcMar>
              <w:top w:w="0" w:type="dxa"/>
              <w:left w:w="108" w:type="dxa"/>
              <w:bottom w:w="0" w:type="dxa"/>
              <w:right w:w="108" w:type="dxa"/>
            </w:tcMar>
          </w:tcPr>
          <w:p w:rsidR="00E20B54" w:rsidRPr="00E5606C" w:rsidRDefault="00733C9E">
            <w:pPr>
              <w:pStyle w:val="a3"/>
              <w:widowControl/>
              <w:spacing w:beforeAutospacing="0" w:afterAutospacing="0"/>
              <w:ind w:right="195"/>
              <w:jc w:val="right"/>
              <w:rPr>
                <w:sz w:val="18"/>
                <w:szCs w:val="21"/>
              </w:rPr>
            </w:pPr>
            <w:r w:rsidRPr="00E5606C">
              <w:rPr>
                <w:rStyle w:val="a4"/>
                <w:sz w:val="18"/>
                <w:szCs w:val="21"/>
              </w:rPr>
              <w:t>5,189,378.43</w:t>
            </w:r>
          </w:p>
        </w:tc>
        <w:tc>
          <w:tcPr>
            <w:tcW w:w="3021" w:type="pct"/>
            <w:tcBorders>
              <w:top w:val="nil"/>
              <w:left w:val="nil"/>
              <w:bottom w:val="single" w:sz="8" w:space="0" w:color="auto"/>
              <w:right w:val="single" w:sz="8" w:space="0" w:color="auto"/>
            </w:tcBorders>
            <w:shd w:val="clear" w:color="auto" w:fill="auto"/>
            <w:tcMar>
              <w:top w:w="0" w:type="dxa"/>
              <w:left w:w="108" w:type="dxa"/>
              <w:bottom w:w="0" w:type="dxa"/>
              <w:right w:w="108" w:type="dxa"/>
            </w:tcMar>
          </w:tcPr>
          <w:p w:rsidR="00E20B54" w:rsidRPr="00E5606C" w:rsidRDefault="00733C9E">
            <w:pPr>
              <w:pStyle w:val="a3"/>
              <w:widowControl/>
              <w:spacing w:beforeAutospacing="0" w:afterAutospacing="0"/>
              <w:ind w:right="195"/>
              <w:jc w:val="right"/>
              <w:rPr>
                <w:sz w:val="18"/>
                <w:szCs w:val="21"/>
              </w:rPr>
            </w:pPr>
            <w:r w:rsidRPr="00E5606C">
              <w:rPr>
                <w:rStyle w:val="a4"/>
                <w:sz w:val="18"/>
                <w:szCs w:val="21"/>
              </w:rPr>
              <w:t>74.27</w:t>
            </w:r>
          </w:p>
        </w:tc>
      </w:tr>
    </w:tbl>
    <w:p w:rsidR="00E20B54" w:rsidRDefault="00733C9E">
      <w:pPr>
        <w:spacing w:before="100" w:after="100" w:line="240" w:lineRule="exact"/>
        <w:rPr>
          <w:sz w:val="18"/>
          <w:szCs w:val="18"/>
        </w:rPr>
      </w:pPr>
      <w:r>
        <w:rPr>
          <w:sz w:val="18"/>
          <w:szCs w:val="18"/>
        </w:rPr>
        <w:t>其他说明：</w:t>
      </w:r>
      <w:r w:rsidR="00E5606C">
        <w:rPr>
          <w:rFonts w:hint="eastAsia"/>
          <w:sz w:val="18"/>
          <w:szCs w:val="18"/>
        </w:rPr>
        <w:t>无。</w:t>
      </w:r>
    </w:p>
    <w:p w:rsidR="00E20B54" w:rsidRDefault="00733C9E">
      <w:pPr>
        <w:pStyle w:val="3"/>
        <w:spacing w:line="280" w:lineRule="exact"/>
        <w:jc w:val="left"/>
        <w:rPr>
          <w:b/>
          <w:bCs/>
        </w:rPr>
      </w:pPr>
      <w:bookmarkStart w:id="256" w:name="_Toc989144"/>
      <w:r>
        <w:rPr>
          <w:b/>
          <w:bCs/>
        </w:rPr>
        <w:t>7</w:t>
      </w:r>
      <w:r>
        <w:rPr>
          <w:b/>
          <w:bCs/>
        </w:rPr>
        <w:t>、存货</w:t>
      </w:r>
      <w:bookmarkEnd w:id="256"/>
    </w:p>
    <w:p w:rsidR="00E20B54" w:rsidRDefault="00733C9E">
      <w:pPr>
        <w:spacing w:before="100" w:after="100" w:line="240" w:lineRule="exact"/>
        <w:rPr>
          <w:sz w:val="18"/>
          <w:szCs w:val="18"/>
        </w:rPr>
      </w:pPr>
      <w:r>
        <w:rPr>
          <w:sz w:val="18"/>
          <w:szCs w:val="18"/>
        </w:rPr>
        <w:t>公司是否需要遵守房地产行业的披露要求</w:t>
      </w:r>
    </w:p>
    <w:p w:rsidR="00E20B54" w:rsidRDefault="00733C9E">
      <w:pPr>
        <w:spacing w:line="240" w:lineRule="exact"/>
        <w:rPr>
          <w:sz w:val="18"/>
          <w:szCs w:val="18"/>
        </w:rPr>
      </w:pPr>
      <w:r>
        <w:rPr>
          <w:sz w:val="18"/>
          <w:szCs w:val="18"/>
        </w:rPr>
        <w:t>否</w:t>
      </w:r>
    </w:p>
    <w:p w:rsidR="00E20B54" w:rsidRDefault="00733C9E">
      <w:pPr>
        <w:keepNext/>
        <w:keepLines/>
        <w:spacing w:before="300" w:after="300" w:line="280" w:lineRule="exact"/>
        <w:outlineLvl w:val="3"/>
        <w:rPr>
          <w:b/>
          <w:bCs/>
          <w:szCs w:val="21"/>
        </w:rPr>
      </w:pPr>
      <w:bookmarkStart w:id="257" w:name="_Toc989145"/>
      <w:r>
        <w:rPr>
          <w:b/>
          <w:bCs/>
          <w:szCs w:val="21"/>
        </w:rPr>
        <w:t>（</w:t>
      </w:r>
      <w:r>
        <w:rPr>
          <w:b/>
          <w:bCs/>
          <w:szCs w:val="21"/>
        </w:rPr>
        <w:t>1</w:t>
      </w:r>
      <w:r>
        <w:rPr>
          <w:b/>
          <w:bCs/>
          <w:szCs w:val="21"/>
        </w:rPr>
        <w:t>）</w:t>
      </w:r>
      <w:r>
        <w:rPr>
          <w:b/>
          <w:bCs/>
          <w:szCs w:val="21"/>
        </w:rPr>
        <w:t xml:space="preserve"> </w:t>
      </w:r>
      <w:r>
        <w:rPr>
          <w:b/>
          <w:bCs/>
          <w:szCs w:val="21"/>
        </w:rPr>
        <w:t>存货分类</w:t>
      </w:r>
      <w:bookmarkEnd w:id="257"/>
    </w:p>
    <w:p w:rsidR="00E20B54" w:rsidRDefault="00733C9E">
      <w:pPr>
        <w:spacing w:before="40" w:after="40" w:line="240" w:lineRule="exact"/>
        <w:jc w:val="right"/>
        <w:rPr>
          <w:sz w:val="18"/>
          <w:szCs w:val="18"/>
        </w:rPr>
      </w:pPr>
      <w:r>
        <w:rPr>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377"/>
        <w:gridCol w:w="1377"/>
        <w:gridCol w:w="1377"/>
        <w:gridCol w:w="1377"/>
        <w:gridCol w:w="1377"/>
        <w:gridCol w:w="1377"/>
        <w:gridCol w:w="1377"/>
      </w:tblGrid>
      <w:tr w:rsidR="00E20B54" w:rsidTr="00E5606C">
        <w:trPr>
          <w:trHeight w:val="240"/>
          <w:tblHeader/>
        </w:trPr>
        <w:tc>
          <w:tcPr>
            <w:tcW w:w="1377"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项目</w:t>
            </w:r>
          </w:p>
        </w:tc>
        <w:tc>
          <w:tcPr>
            <w:tcW w:w="4131" w:type="dxa"/>
            <w:gridSpan w:val="3"/>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期末余额</w:t>
            </w:r>
          </w:p>
        </w:tc>
        <w:tc>
          <w:tcPr>
            <w:tcW w:w="4131" w:type="dxa"/>
            <w:gridSpan w:val="3"/>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期初余额</w:t>
            </w:r>
          </w:p>
        </w:tc>
      </w:tr>
      <w:tr w:rsidR="00E20B54" w:rsidTr="00E5606C">
        <w:trPr>
          <w:trHeight w:val="240"/>
          <w:tblHeader/>
        </w:trPr>
        <w:tc>
          <w:tcPr>
            <w:tcW w:w="1377"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账面余额</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存货跌价准备或合同履约成本减值准备</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账面价值</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账面余额</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存货跌价准备或合同履约成本减值准备</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账面价值</w:t>
            </w:r>
          </w:p>
        </w:tc>
      </w:tr>
      <w:tr w:rsidR="00E20B54">
        <w:trPr>
          <w:trHeight w:val="240"/>
        </w:trPr>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原材料</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606,225.98</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51,668.75</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554,557.23</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1,122,265.32</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40,739.75</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1,081,525.57</w:t>
            </w:r>
          </w:p>
        </w:tc>
      </w:tr>
      <w:tr w:rsidR="00E20B54">
        <w:trPr>
          <w:trHeight w:val="240"/>
        </w:trPr>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在产品</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86,268,129.96</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463,649.47</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85,804,480.49</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79,083,676.85</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501,702.28</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78,581,974.57</w:t>
            </w:r>
          </w:p>
        </w:tc>
      </w:tr>
      <w:tr w:rsidR="00E20B54">
        <w:trPr>
          <w:trHeight w:val="240"/>
        </w:trPr>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库存商品</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3,002,621.95</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105,187.90</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2,897,434.05</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1,108,039.88</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47,343.18</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1,060,696.70</w:t>
            </w:r>
          </w:p>
        </w:tc>
      </w:tr>
      <w:tr w:rsidR="00E20B54">
        <w:trPr>
          <w:trHeight w:val="240"/>
        </w:trPr>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发出商品</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547,027.07</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46,702.80</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500,324.27</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511,346.49</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13,725.94</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497,620.55</w:t>
            </w:r>
          </w:p>
        </w:tc>
      </w:tr>
      <w:tr w:rsidR="00E20B54">
        <w:trPr>
          <w:trHeight w:val="240"/>
        </w:trPr>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合计</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90,424,004.96</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667,208.92</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89,756,796.04</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81,825,328.54</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603,511.15</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81,221,817.39</w:t>
            </w:r>
          </w:p>
        </w:tc>
      </w:tr>
    </w:tbl>
    <w:p w:rsidR="00E20B54" w:rsidRDefault="00733C9E">
      <w:pPr>
        <w:keepNext/>
        <w:keepLines/>
        <w:spacing w:before="300" w:after="300" w:line="280" w:lineRule="exact"/>
        <w:outlineLvl w:val="3"/>
        <w:rPr>
          <w:b/>
          <w:bCs/>
          <w:szCs w:val="21"/>
        </w:rPr>
      </w:pPr>
      <w:bookmarkStart w:id="258" w:name="_Toc989146"/>
      <w:r>
        <w:rPr>
          <w:b/>
          <w:bCs/>
          <w:szCs w:val="21"/>
        </w:rPr>
        <w:t>（</w:t>
      </w:r>
      <w:r>
        <w:rPr>
          <w:b/>
          <w:bCs/>
          <w:szCs w:val="21"/>
        </w:rPr>
        <w:t>2</w:t>
      </w:r>
      <w:r>
        <w:rPr>
          <w:b/>
          <w:bCs/>
          <w:szCs w:val="21"/>
        </w:rPr>
        <w:t>）</w:t>
      </w:r>
      <w:r>
        <w:rPr>
          <w:b/>
          <w:bCs/>
          <w:szCs w:val="21"/>
        </w:rPr>
        <w:t xml:space="preserve"> </w:t>
      </w:r>
      <w:r>
        <w:rPr>
          <w:b/>
          <w:bCs/>
          <w:szCs w:val="21"/>
        </w:rPr>
        <w:t>确认为存货的数据资源</w:t>
      </w:r>
      <w:bookmarkEnd w:id="258"/>
    </w:p>
    <w:p w:rsidR="00E20B54" w:rsidRDefault="00733C9E">
      <w:pPr>
        <w:spacing w:before="40" w:after="40" w:line="240" w:lineRule="exact"/>
        <w:jc w:val="right"/>
        <w:rPr>
          <w:sz w:val="18"/>
          <w:szCs w:val="18"/>
        </w:rPr>
      </w:pPr>
      <w:r>
        <w:rPr>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927"/>
        <w:gridCol w:w="1928"/>
        <w:gridCol w:w="1928"/>
        <w:gridCol w:w="1928"/>
        <w:gridCol w:w="1928"/>
      </w:tblGrid>
      <w:tr w:rsidR="00E20B54">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项目</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外购的数据资源存货</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自行加工的数据资源存货</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其他方式取得的数据资源存货</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合计</w:t>
            </w:r>
          </w:p>
        </w:tc>
      </w:tr>
    </w:tbl>
    <w:p w:rsidR="00E20B54" w:rsidRDefault="00E20B54">
      <w:pPr>
        <w:spacing w:before="100" w:after="100" w:line="0" w:lineRule="atLeast"/>
      </w:pPr>
    </w:p>
    <w:p w:rsidR="00E20B54" w:rsidRDefault="00733C9E">
      <w:pPr>
        <w:keepNext/>
        <w:keepLines/>
        <w:spacing w:before="300" w:after="300" w:line="280" w:lineRule="exact"/>
        <w:outlineLvl w:val="3"/>
        <w:rPr>
          <w:b/>
          <w:bCs/>
          <w:szCs w:val="21"/>
        </w:rPr>
      </w:pPr>
      <w:bookmarkStart w:id="259" w:name="_Toc989147"/>
      <w:r>
        <w:rPr>
          <w:b/>
          <w:bCs/>
          <w:szCs w:val="21"/>
        </w:rPr>
        <w:t>（</w:t>
      </w:r>
      <w:r>
        <w:rPr>
          <w:b/>
          <w:bCs/>
          <w:szCs w:val="21"/>
        </w:rPr>
        <w:t>3</w:t>
      </w:r>
      <w:r>
        <w:rPr>
          <w:b/>
          <w:bCs/>
          <w:szCs w:val="21"/>
        </w:rPr>
        <w:t>）</w:t>
      </w:r>
      <w:r>
        <w:rPr>
          <w:b/>
          <w:bCs/>
          <w:szCs w:val="21"/>
        </w:rPr>
        <w:t xml:space="preserve"> </w:t>
      </w:r>
      <w:r>
        <w:rPr>
          <w:b/>
          <w:bCs/>
          <w:szCs w:val="21"/>
        </w:rPr>
        <w:t>存货跌价准备和合同履约成本减值准备</w:t>
      </w:r>
      <w:bookmarkEnd w:id="259"/>
    </w:p>
    <w:p w:rsidR="00E20B54" w:rsidRDefault="00733C9E">
      <w:pPr>
        <w:spacing w:before="40" w:after="40" w:line="240" w:lineRule="exact"/>
        <w:jc w:val="right"/>
        <w:rPr>
          <w:sz w:val="18"/>
          <w:szCs w:val="18"/>
        </w:rPr>
      </w:pPr>
      <w:r>
        <w:rPr>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377"/>
        <w:gridCol w:w="1377"/>
        <w:gridCol w:w="1377"/>
        <w:gridCol w:w="1377"/>
        <w:gridCol w:w="1377"/>
        <w:gridCol w:w="1377"/>
        <w:gridCol w:w="1377"/>
      </w:tblGrid>
      <w:tr w:rsidR="00E20B54">
        <w:trPr>
          <w:trHeight w:val="240"/>
        </w:trPr>
        <w:tc>
          <w:tcPr>
            <w:tcW w:w="1377"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项目</w:t>
            </w:r>
          </w:p>
        </w:tc>
        <w:tc>
          <w:tcPr>
            <w:tcW w:w="1377"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期初余额</w:t>
            </w:r>
          </w:p>
        </w:tc>
        <w:tc>
          <w:tcPr>
            <w:tcW w:w="2754"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本期增加金额</w:t>
            </w:r>
          </w:p>
        </w:tc>
        <w:tc>
          <w:tcPr>
            <w:tcW w:w="2754"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本期减少金额</w:t>
            </w:r>
          </w:p>
        </w:tc>
        <w:tc>
          <w:tcPr>
            <w:tcW w:w="1377"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期末余额</w:t>
            </w:r>
          </w:p>
        </w:tc>
      </w:tr>
      <w:tr w:rsidR="00E20B54">
        <w:trPr>
          <w:trHeight w:val="240"/>
        </w:trPr>
        <w:tc>
          <w:tcPr>
            <w:tcW w:w="1377"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c>
          <w:tcPr>
            <w:tcW w:w="1377"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计提</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其他</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转回或转销</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其他</w:t>
            </w:r>
          </w:p>
        </w:tc>
        <w:tc>
          <w:tcPr>
            <w:tcW w:w="1377"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r>
      <w:tr w:rsidR="00E20B54">
        <w:trPr>
          <w:trHeight w:val="240"/>
        </w:trPr>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原材料</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40,739.75</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11,050.45</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121.45</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51,668.75</w:t>
            </w:r>
          </w:p>
        </w:tc>
      </w:tr>
      <w:tr w:rsidR="00E20B54">
        <w:trPr>
          <w:trHeight w:val="240"/>
        </w:trPr>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在产品</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501,702.28</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80,224.22</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118,277.03</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463,649.47</w:t>
            </w:r>
          </w:p>
        </w:tc>
      </w:tr>
      <w:tr w:rsidR="00E20B54">
        <w:trPr>
          <w:trHeight w:val="240"/>
        </w:trPr>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库存商品</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47,343.18</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66,295.82</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8,451.10</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105,187.90</w:t>
            </w:r>
          </w:p>
        </w:tc>
      </w:tr>
      <w:tr w:rsidR="00E20B54" w:rsidTr="00E5606C">
        <w:trPr>
          <w:trHeight w:val="240"/>
        </w:trPr>
        <w:tc>
          <w:tcPr>
            <w:tcW w:w="1377" w:type="dxa"/>
            <w:tcBorders>
              <w:top w:val="single" w:sz="2" w:space="0" w:color="auto"/>
              <w:left w:val="single" w:sz="2" w:space="0" w:color="auto"/>
              <w:bottom w:val="single" w:sz="2" w:space="0" w:color="auto"/>
              <w:right w:val="single" w:sz="2" w:space="0" w:color="auto"/>
            </w:tcBorders>
            <w:shd w:val="clear" w:color="auto" w:fill="D9D9D9" w:themeFill="background1" w:themeFillShade="D9"/>
            <w:vAlign w:val="center"/>
          </w:tcPr>
          <w:p w:rsidR="00E20B54" w:rsidRDefault="00733C9E">
            <w:pPr>
              <w:spacing w:line="240" w:lineRule="exact"/>
              <w:rPr>
                <w:sz w:val="18"/>
                <w:szCs w:val="18"/>
              </w:rPr>
            </w:pPr>
            <w:r>
              <w:rPr>
                <w:sz w:val="18"/>
                <w:szCs w:val="18"/>
              </w:rPr>
              <w:t>发出商品</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13,725.94</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35,925.77</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2,948.91</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46,702.80</w:t>
            </w:r>
          </w:p>
        </w:tc>
      </w:tr>
      <w:tr w:rsidR="00E20B54">
        <w:trPr>
          <w:trHeight w:val="240"/>
        </w:trPr>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合计</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603,511.15</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193,496.26</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129,798.49</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667,208.92</w:t>
            </w:r>
          </w:p>
        </w:tc>
      </w:tr>
    </w:tbl>
    <w:p w:rsidR="00E20B54" w:rsidRDefault="00E20B54">
      <w:pPr>
        <w:spacing w:before="100" w:after="100" w:line="0" w:lineRule="atLeast"/>
      </w:pPr>
    </w:p>
    <w:p w:rsidR="00E20B54" w:rsidRDefault="00733C9E">
      <w:pPr>
        <w:spacing w:line="240" w:lineRule="exact"/>
        <w:rPr>
          <w:sz w:val="18"/>
          <w:szCs w:val="18"/>
        </w:rPr>
      </w:pPr>
      <w:r>
        <w:rPr>
          <w:sz w:val="18"/>
          <w:szCs w:val="18"/>
        </w:rPr>
        <w:t>按组合计提存货跌价准备</w:t>
      </w:r>
    </w:p>
    <w:p w:rsidR="00E20B54" w:rsidRDefault="00733C9E">
      <w:pPr>
        <w:spacing w:before="40" w:after="40" w:line="240" w:lineRule="exact"/>
        <w:jc w:val="right"/>
        <w:rPr>
          <w:sz w:val="18"/>
          <w:szCs w:val="18"/>
        </w:rPr>
      </w:pPr>
      <w:r>
        <w:rPr>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377"/>
        <w:gridCol w:w="1377"/>
        <w:gridCol w:w="1377"/>
        <w:gridCol w:w="1377"/>
        <w:gridCol w:w="1377"/>
        <w:gridCol w:w="1377"/>
        <w:gridCol w:w="1377"/>
      </w:tblGrid>
      <w:tr w:rsidR="00E20B54">
        <w:trPr>
          <w:trHeight w:val="240"/>
        </w:trPr>
        <w:tc>
          <w:tcPr>
            <w:tcW w:w="1377"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组合名称</w:t>
            </w:r>
          </w:p>
        </w:tc>
        <w:tc>
          <w:tcPr>
            <w:tcW w:w="4131" w:type="dxa"/>
            <w:gridSpan w:val="3"/>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期末</w:t>
            </w:r>
          </w:p>
        </w:tc>
        <w:tc>
          <w:tcPr>
            <w:tcW w:w="4131" w:type="dxa"/>
            <w:gridSpan w:val="3"/>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期初</w:t>
            </w:r>
          </w:p>
        </w:tc>
      </w:tr>
      <w:tr w:rsidR="00E20B54">
        <w:trPr>
          <w:trHeight w:val="240"/>
        </w:trPr>
        <w:tc>
          <w:tcPr>
            <w:tcW w:w="1377"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期末余额</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跌价准备</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跌价准备计提比例</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期初余额</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跌价准备</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跌价准备计提比例</w:t>
            </w:r>
          </w:p>
        </w:tc>
      </w:tr>
    </w:tbl>
    <w:p w:rsidR="00E20B54" w:rsidRDefault="00733C9E">
      <w:pPr>
        <w:spacing w:before="100" w:after="100" w:line="240" w:lineRule="exact"/>
        <w:rPr>
          <w:sz w:val="18"/>
          <w:szCs w:val="18"/>
        </w:rPr>
      </w:pPr>
      <w:r>
        <w:rPr>
          <w:sz w:val="18"/>
          <w:szCs w:val="18"/>
        </w:rPr>
        <w:t>按组合计提存货跌价准备的计提标准</w:t>
      </w:r>
    </w:p>
    <w:p w:rsidR="00E20B54" w:rsidRDefault="00733C9E">
      <w:pPr>
        <w:keepNext/>
        <w:keepLines/>
        <w:spacing w:before="300" w:after="300" w:line="280" w:lineRule="exact"/>
        <w:outlineLvl w:val="3"/>
        <w:rPr>
          <w:b/>
          <w:bCs/>
          <w:szCs w:val="21"/>
        </w:rPr>
      </w:pPr>
      <w:bookmarkStart w:id="260" w:name="_Toc989148"/>
      <w:r>
        <w:rPr>
          <w:b/>
          <w:bCs/>
          <w:szCs w:val="21"/>
        </w:rPr>
        <w:t>（</w:t>
      </w:r>
      <w:r>
        <w:rPr>
          <w:b/>
          <w:bCs/>
          <w:szCs w:val="21"/>
        </w:rPr>
        <w:t>4</w:t>
      </w:r>
      <w:r>
        <w:rPr>
          <w:b/>
          <w:bCs/>
          <w:szCs w:val="21"/>
        </w:rPr>
        <w:t>）</w:t>
      </w:r>
      <w:r>
        <w:rPr>
          <w:b/>
          <w:bCs/>
          <w:szCs w:val="21"/>
        </w:rPr>
        <w:t xml:space="preserve"> </w:t>
      </w:r>
      <w:r>
        <w:rPr>
          <w:b/>
          <w:bCs/>
          <w:szCs w:val="21"/>
        </w:rPr>
        <w:t>存货期末余额含有借款费用资本化金额的说明</w:t>
      </w:r>
      <w:bookmarkEnd w:id="260"/>
    </w:p>
    <w:p w:rsidR="00E20B54" w:rsidRDefault="00733C9E">
      <w:pPr>
        <w:keepNext/>
        <w:keepLines/>
        <w:spacing w:before="300" w:after="300" w:line="280" w:lineRule="exact"/>
        <w:outlineLvl w:val="3"/>
        <w:rPr>
          <w:b/>
          <w:bCs/>
          <w:szCs w:val="21"/>
        </w:rPr>
      </w:pPr>
      <w:bookmarkStart w:id="261" w:name="_Toc989149"/>
      <w:r>
        <w:rPr>
          <w:b/>
          <w:bCs/>
          <w:szCs w:val="21"/>
        </w:rPr>
        <w:t>（</w:t>
      </w:r>
      <w:r>
        <w:rPr>
          <w:b/>
          <w:bCs/>
          <w:szCs w:val="21"/>
        </w:rPr>
        <w:t>5</w:t>
      </w:r>
      <w:r>
        <w:rPr>
          <w:b/>
          <w:bCs/>
          <w:szCs w:val="21"/>
        </w:rPr>
        <w:t>）</w:t>
      </w:r>
      <w:r>
        <w:rPr>
          <w:b/>
          <w:bCs/>
          <w:szCs w:val="21"/>
        </w:rPr>
        <w:t xml:space="preserve"> </w:t>
      </w:r>
      <w:r>
        <w:rPr>
          <w:b/>
          <w:bCs/>
          <w:szCs w:val="21"/>
        </w:rPr>
        <w:t>合同履约成本本期摊销金额的说明</w:t>
      </w:r>
      <w:bookmarkEnd w:id="261"/>
    </w:p>
    <w:p w:rsidR="00E20B54" w:rsidRDefault="00733C9E">
      <w:pPr>
        <w:pStyle w:val="3"/>
        <w:spacing w:line="280" w:lineRule="exact"/>
        <w:jc w:val="left"/>
        <w:rPr>
          <w:b/>
          <w:bCs/>
        </w:rPr>
      </w:pPr>
      <w:bookmarkStart w:id="262" w:name="_Toc989150"/>
      <w:r>
        <w:rPr>
          <w:b/>
          <w:bCs/>
        </w:rPr>
        <w:t>8</w:t>
      </w:r>
      <w:r>
        <w:rPr>
          <w:b/>
          <w:bCs/>
        </w:rPr>
        <w:t>、一年内到期的非流动资产</w:t>
      </w:r>
      <w:bookmarkEnd w:id="262"/>
    </w:p>
    <w:p w:rsidR="00E20B54" w:rsidRDefault="00733C9E">
      <w:pPr>
        <w:spacing w:before="40" w:after="40" w:line="240" w:lineRule="exact"/>
        <w:jc w:val="right"/>
        <w:rPr>
          <w:sz w:val="18"/>
          <w:szCs w:val="18"/>
        </w:rPr>
      </w:pPr>
      <w:r>
        <w:rPr>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项目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期末余额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期初余额</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一年内到期的长期应收款</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36,242,782.56</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24,399,620.88</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合计</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36,242,782.56</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24,399,620.88</w:t>
            </w:r>
          </w:p>
        </w:tc>
      </w:tr>
    </w:tbl>
    <w:p w:rsidR="00E20B54" w:rsidRDefault="00733C9E">
      <w:pPr>
        <w:pStyle w:val="3"/>
        <w:spacing w:line="280" w:lineRule="exact"/>
        <w:jc w:val="left"/>
        <w:rPr>
          <w:b/>
          <w:bCs/>
        </w:rPr>
      </w:pPr>
      <w:bookmarkStart w:id="263" w:name="_Toc989151"/>
      <w:r>
        <w:rPr>
          <w:b/>
          <w:bCs/>
        </w:rPr>
        <w:lastRenderedPageBreak/>
        <w:t>9</w:t>
      </w:r>
      <w:r>
        <w:rPr>
          <w:b/>
          <w:bCs/>
        </w:rPr>
        <w:t>、其他流动资产</w:t>
      </w:r>
      <w:bookmarkEnd w:id="263"/>
    </w:p>
    <w:p w:rsidR="00E20B54" w:rsidRDefault="00733C9E">
      <w:pPr>
        <w:spacing w:before="40" w:after="40" w:line="240" w:lineRule="exact"/>
        <w:jc w:val="right"/>
        <w:rPr>
          <w:sz w:val="18"/>
          <w:szCs w:val="18"/>
        </w:rPr>
      </w:pPr>
      <w:r>
        <w:rPr>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项目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期末余额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期初余额</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待认证、待抵扣进项税额</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65,622,320.03</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51,676,777.78</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金融工具应计利息</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312,502.35</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176,982.91</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留抵税额</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1,331.32</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预缴税费</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2,927,389.58</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2,171,579.96</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合计</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68,862,211.96</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54,026,671.97</w:t>
            </w:r>
          </w:p>
        </w:tc>
      </w:tr>
    </w:tbl>
    <w:p w:rsidR="00E20B54" w:rsidRDefault="00733C9E">
      <w:pPr>
        <w:spacing w:before="100" w:after="100" w:line="240" w:lineRule="exact"/>
        <w:rPr>
          <w:sz w:val="18"/>
          <w:szCs w:val="18"/>
        </w:rPr>
      </w:pPr>
      <w:r>
        <w:rPr>
          <w:sz w:val="18"/>
          <w:szCs w:val="18"/>
        </w:rPr>
        <w:t>其他说明：</w:t>
      </w:r>
      <w:r w:rsidR="00E5606C">
        <w:rPr>
          <w:rFonts w:hint="eastAsia"/>
          <w:sz w:val="18"/>
          <w:szCs w:val="18"/>
        </w:rPr>
        <w:t>无</w:t>
      </w:r>
    </w:p>
    <w:p w:rsidR="00E20B54" w:rsidRDefault="00733C9E">
      <w:pPr>
        <w:pStyle w:val="3"/>
        <w:spacing w:line="280" w:lineRule="exact"/>
        <w:jc w:val="left"/>
        <w:rPr>
          <w:b/>
          <w:bCs/>
        </w:rPr>
      </w:pPr>
      <w:bookmarkStart w:id="264" w:name="_Toc989152"/>
      <w:r>
        <w:rPr>
          <w:b/>
          <w:bCs/>
        </w:rPr>
        <w:t>10</w:t>
      </w:r>
      <w:r>
        <w:rPr>
          <w:b/>
          <w:bCs/>
        </w:rPr>
        <w:t>、其他权益工具投资</w:t>
      </w:r>
      <w:bookmarkEnd w:id="264"/>
    </w:p>
    <w:p w:rsidR="00E20B54" w:rsidRDefault="00733C9E">
      <w:pPr>
        <w:spacing w:before="40" w:after="40" w:line="240" w:lineRule="exact"/>
        <w:jc w:val="right"/>
        <w:rPr>
          <w:sz w:val="18"/>
          <w:szCs w:val="18"/>
        </w:rPr>
      </w:pPr>
      <w:r>
        <w:rPr>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071"/>
        <w:gridCol w:w="1164"/>
        <w:gridCol w:w="1275"/>
        <w:gridCol w:w="993"/>
        <w:gridCol w:w="852"/>
        <w:gridCol w:w="1071"/>
        <w:gridCol w:w="1071"/>
        <w:gridCol w:w="1071"/>
        <w:gridCol w:w="1071"/>
      </w:tblGrid>
      <w:tr w:rsidR="00E20B54" w:rsidTr="00E5606C">
        <w:trPr>
          <w:trHeight w:val="240"/>
        </w:trPr>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项目名称</w:t>
            </w:r>
          </w:p>
        </w:tc>
        <w:tc>
          <w:tcPr>
            <w:tcW w:w="1164"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期末余额</w:t>
            </w:r>
          </w:p>
        </w:tc>
        <w:tc>
          <w:tcPr>
            <w:tcW w:w="1275"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期初余额</w:t>
            </w:r>
          </w:p>
        </w:tc>
        <w:tc>
          <w:tcPr>
            <w:tcW w:w="99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本期计入其他综合收益的利得</w:t>
            </w:r>
          </w:p>
        </w:tc>
        <w:tc>
          <w:tcPr>
            <w:tcW w:w="852"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本期计入其他综合收益的损失</w:t>
            </w:r>
          </w:p>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本期末累计计入其他综合收益的利得</w:t>
            </w:r>
          </w:p>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本期末累计计入其他综合收益的损失</w:t>
            </w:r>
          </w:p>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本期确认的股利收入</w:t>
            </w:r>
          </w:p>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指定为以公允价值计量且其变动计入其他综合收益的原因</w:t>
            </w:r>
          </w:p>
        </w:tc>
      </w:tr>
      <w:tr w:rsidR="00E20B54" w:rsidTr="00E5606C">
        <w:trPr>
          <w:trHeight w:val="240"/>
        </w:trPr>
        <w:tc>
          <w:tcPr>
            <w:tcW w:w="1071"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广东潮阳农村商业银行股份有限公司</w:t>
            </w:r>
          </w:p>
        </w:tc>
        <w:tc>
          <w:tcPr>
            <w:tcW w:w="1164"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4,083,400.00</w:t>
            </w:r>
          </w:p>
        </w:tc>
        <w:tc>
          <w:tcPr>
            <w:tcW w:w="1275"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4,083,400.00</w:t>
            </w:r>
          </w:p>
        </w:tc>
        <w:tc>
          <w:tcPr>
            <w:tcW w:w="99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852"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316,600.00</w:t>
            </w:r>
          </w:p>
        </w:tc>
        <w:tc>
          <w:tcPr>
            <w:tcW w:w="1071"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rPr>
                <w:sz w:val="18"/>
                <w:szCs w:val="18"/>
              </w:rPr>
            </w:pPr>
          </w:p>
        </w:tc>
      </w:tr>
      <w:tr w:rsidR="00E20B54" w:rsidTr="00E5606C">
        <w:trPr>
          <w:trHeight w:val="240"/>
        </w:trPr>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合计</w:t>
            </w:r>
          </w:p>
        </w:tc>
        <w:tc>
          <w:tcPr>
            <w:tcW w:w="1164"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4,083,400.00</w:t>
            </w:r>
          </w:p>
        </w:tc>
        <w:tc>
          <w:tcPr>
            <w:tcW w:w="1275"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4,083,400.00</w:t>
            </w:r>
          </w:p>
        </w:tc>
        <w:tc>
          <w:tcPr>
            <w:tcW w:w="99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852"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316,600.00</w:t>
            </w:r>
          </w:p>
        </w:tc>
        <w:tc>
          <w:tcPr>
            <w:tcW w:w="1071"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r>
    </w:tbl>
    <w:p w:rsidR="00E20B54" w:rsidRDefault="00733C9E">
      <w:pPr>
        <w:spacing w:before="100" w:after="100" w:line="240" w:lineRule="exact"/>
        <w:rPr>
          <w:sz w:val="18"/>
          <w:szCs w:val="18"/>
        </w:rPr>
      </w:pPr>
      <w:r>
        <w:rPr>
          <w:sz w:val="18"/>
          <w:szCs w:val="18"/>
        </w:rPr>
        <w:t>本期存在终止确认</w:t>
      </w:r>
    </w:p>
    <w:p w:rsidR="00E20B54" w:rsidRDefault="00733C9E">
      <w:pPr>
        <w:spacing w:before="120" w:after="120" w:line="240" w:lineRule="exact"/>
        <w:jc w:val="right"/>
        <w:rPr>
          <w:sz w:val="18"/>
          <w:szCs w:val="18"/>
        </w:rPr>
      </w:pPr>
      <w:r>
        <w:rPr>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2409"/>
        <w:gridCol w:w="2410"/>
        <w:gridCol w:w="2410"/>
        <w:gridCol w:w="2410"/>
      </w:tblGrid>
      <w:tr w:rsidR="00E20B54">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项目名称</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转入留存收益的累计利得</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转入留存收益的累计损失</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终止确认的原因</w:t>
            </w:r>
          </w:p>
        </w:tc>
      </w:tr>
    </w:tbl>
    <w:p w:rsidR="00E20B54" w:rsidRDefault="00733C9E">
      <w:pPr>
        <w:spacing w:before="100" w:after="100" w:line="240" w:lineRule="exact"/>
        <w:rPr>
          <w:sz w:val="18"/>
          <w:szCs w:val="18"/>
        </w:rPr>
      </w:pPr>
      <w:r>
        <w:rPr>
          <w:sz w:val="18"/>
          <w:szCs w:val="18"/>
        </w:rPr>
        <w:t>分项披露本期非交易性权益工具投资</w:t>
      </w:r>
    </w:p>
    <w:p w:rsidR="00E20B54" w:rsidRDefault="00733C9E">
      <w:pPr>
        <w:spacing w:before="120" w:after="120" w:line="240" w:lineRule="exact"/>
        <w:jc w:val="right"/>
        <w:rPr>
          <w:sz w:val="18"/>
          <w:szCs w:val="18"/>
        </w:rPr>
      </w:pPr>
      <w:r>
        <w:rPr>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377"/>
        <w:gridCol w:w="1377"/>
        <w:gridCol w:w="1377"/>
        <w:gridCol w:w="1377"/>
        <w:gridCol w:w="1377"/>
        <w:gridCol w:w="1377"/>
        <w:gridCol w:w="1377"/>
      </w:tblGrid>
      <w:tr w:rsidR="00E20B54">
        <w:trPr>
          <w:trHeight w:val="240"/>
        </w:trPr>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项目名称</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确认的股利收入</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累计利得</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累计损失</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其他综合收益转入留存收益的金额</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指定为以公允价值计量且其变动计入其他综合收益的原因</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其他综合收益转入留存收益的原因</w:t>
            </w:r>
          </w:p>
        </w:tc>
      </w:tr>
      <w:tr w:rsidR="00E20B54">
        <w:trPr>
          <w:trHeight w:val="240"/>
        </w:trPr>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广东潮阳农村商业银行股份有限公司</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316,600.00</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rPr>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rPr>
                <w:sz w:val="18"/>
                <w:szCs w:val="18"/>
              </w:rPr>
            </w:pPr>
          </w:p>
        </w:tc>
      </w:tr>
    </w:tbl>
    <w:p w:rsidR="00E20B54" w:rsidRDefault="00733C9E">
      <w:pPr>
        <w:spacing w:before="100" w:after="100" w:line="240" w:lineRule="exact"/>
        <w:rPr>
          <w:sz w:val="18"/>
          <w:szCs w:val="18"/>
        </w:rPr>
      </w:pPr>
      <w:r>
        <w:rPr>
          <w:sz w:val="18"/>
          <w:szCs w:val="18"/>
        </w:rPr>
        <w:t>其他说明：</w:t>
      </w:r>
      <w:r w:rsidR="00E5606C">
        <w:rPr>
          <w:rFonts w:hint="eastAsia"/>
          <w:sz w:val="18"/>
          <w:szCs w:val="18"/>
        </w:rPr>
        <w:t>无</w:t>
      </w:r>
    </w:p>
    <w:p w:rsidR="00E20B54" w:rsidRDefault="00733C9E">
      <w:pPr>
        <w:pStyle w:val="3"/>
        <w:spacing w:line="280" w:lineRule="exact"/>
        <w:jc w:val="left"/>
        <w:rPr>
          <w:b/>
          <w:bCs/>
        </w:rPr>
      </w:pPr>
      <w:bookmarkStart w:id="265" w:name="_Toc989153"/>
      <w:r>
        <w:rPr>
          <w:b/>
          <w:bCs/>
        </w:rPr>
        <w:t>11</w:t>
      </w:r>
      <w:r>
        <w:rPr>
          <w:b/>
          <w:bCs/>
        </w:rPr>
        <w:t>、长期应收款</w:t>
      </w:r>
      <w:bookmarkEnd w:id="265"/>
    </w:p>
    <w:p w:rsidR="00E20B54" w:rsidRDefault="00733C9E">
      <w:pPr>
        <w:keepNext/>
        <w:keepLines/>
        <w:spacing w:before="300" w:after="300" w:line="280" w:lineRule="exact"/>
        <w:outlineLvl w:val="3"/>
        <w:rPr>
          <w:b/>
          <w:bCs/>
          <w:szCs w:val="21"/>
        </w:rPr>
      </w:pPr>
      <w:bookmarkStart w:id="266" w:name="_Toc989154"/>
      <w:r>
        <w:rPr>
          <w:b/>
          <w:bCs/>
          <w:szCs w:val="21"/>
        </w:rPr>
        <w:t>（</w:t>
      </w:r>
      <w:r>
        <w:rPr>
          <w:b/>
          <w:bCs/>
          <w:szCs w:val="21"/>
        </w:rPr>
        <w:t>1</w:t>
      </w:r>
      <w:r>
        <w:rPr>
          <w:b/>
          <w:bCs/>
          <w:szCs w:val="21"/>
        </w:rPr>
        <w:t>）</w:t>
      </w:r>
      <w:r>
        <w:rPr>
          <w:b/>
          <w:bCs/>
          <w:szCs w:val="21"/>
        </w:rPr>
        <w:t xml:space="preserve"> </w:t>
      </w:r>
      <w:r>
        <w:rPr>
          <w:b/>
          <w:bCs/>
          <w:szCs w:val="21"/>
        </w:rPr>
        <w:t>长期应收款情况</w:t>
      </w:r>
      <w:bookmarkEnd w:id="266"/>
    </w:p>
    <w:p w:rsidR="00E20B54" w:rsidRDefault="00733C9E">
      <w:pPr>
        <w:spacing w:before="40" w:after="40" w:line="240" w:lineRule="exact"/>
        <w:jc w:val="right"/>
        <w:rPr>
          <w:sz w:val="18"/>
          <w:szCs w:val="18"/>
        </w:rPr>
      </w:pPr>
      <w:r>
        <w:rPr>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204"/>
        <w:gridCol w:w="1205"/>
        <w:gridCol w:w="1205"/>
        <w:gridCol w:w="1205"/>
        <w:gridCol w:w="1205"/>
        <w:gridCol w:w="1205"/>
        <w:gridCol w:w="1205"/>
        <w:gridCol w:w="1205"/>
      </w:tblGrid>
      <w:tr w:rsidR="00E20B54" w:rsidTr="00E5606C">
        <w:trPr>
          <w:trHeight w:val="240"/>
          <w:tblHeader/>
        </w:trPr>
        <w:tc>
          <w:tcPr>
            <w:tcW w:w="1205"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项目</w:t>
            </w:r>
          </w:p>
        </w:tc>
        <w:tc>
          <w:tcPr>
            <w:tcW w:w="3615" w:type="dxa"/>
            <w:gridSpan w:val="3"/>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期末余额</w:t>
            </w:r>
          </w:p>
        </w:tc>
        <w:tc>
          <w:tcPr>
            <w:tcW w:w="3615" w:type="dxa"/>
            <w:gridSpan w:val="3"/>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期初余额</w:t>
            </w:r>
          </w:p>
        </w:tc>
        <w:tc>
          <w:tcPr>
            <w:tcW w:w="1205"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折现率区间</w:t>
            </w:r>
          </w:p>
        </w:tc>
      </w:tr>
      <w:tr w:rsidR="00E20B54" w:rsidTr="00E5606C">
        <w:trPr>
          <w:trHeight w:val="240"/>
          <w:tblHeader/>
        </w:trPr>
        <w:tc>
          <w:tcPr>
            <w:tcW w:w="1205"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c>
          <w:tcPr>
            <w:tcW w:w="1205"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账面余额</w:t>
            </w:r>
          </w:p>
        </w:tc>
        <w:tc>
          <w:tcPr>
            <w:tcW w:w="1205"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坏账准备</w:t>
            </w:r>
          </w:p>
        </w:tc>
        <w:tc>
          <w:tcPr>
            <w:tcW w:w="1205"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账面价值</w:t>
            </w:r>
          </w:p>
        </w:tc>
        <w:tc>
          <w:tcPr>
            <w:tcW w:w="1205"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账面余额</w:t>
            </w:r>
          </w:p>
        </w:tc>
        <w:tc>
          <w:tcPr>
            <w:tcW w:w="1205"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坏账准备</w:t>
            </w:r>
          </w:p>
        </w:tc>
        <w:tc>
          <w:tcPr>
            <w:tcW w:w="1205"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账面价值</w:t>
            </w:r>
          </w:p>
        </w:tc>
        <w:tc>
          <w:tcPr>
            <w:tcW w:w="1205"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r>
      <w:tr w:rsidR="00E20B54">
        <w:trPr>
          <w:trHeight w:val="240"/>
        </w:trPr>
        <w:tc>
          <w:tcPr>
            <w:tcW w:w="1205"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lastRenderedPageBreak/>
              <w:t>分期收款销售商品</w:t>
            </w:r>
          </w:p>
        </w:tc>
        <w:tc>
          <w:tcPr>
            <w:tcW w:w="1205"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97,788,053.77</w:t>
            </w:r>
          </w:p>
        </w:tc>
        <w:tc>
          <w:tcPr>
            <w:tcW w:w="1205"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7,766,459.84</w:t>
            </w:r>
          </w:p>
        </w:tc>
        <w:tc>
          <w:tcPr>
            <w:tcW w:w="1205"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90,021,593.93</w:t>
            </w:r>
          </w:p>
        </w:tc>
        <w:tc>
          <w:tcPr>
            <w:tcW w:w="1205"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42,165,606.77</w:t>
            </w:r>
          </w:p>
        </w:tc>
        <w:tc>
          <w:tcPr>
            <w:tcW w:w="1205"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7,034,901.53</w:t>
            </w:r>
          </w:p>
        </w:tc>
        <w:tc>
          <w:tcPr>
            <w:tcW w:w="1205"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35,130,705.24</w:t>
            </w:r>
          </w:p>
        </w:tc>
        <w:tc>
          <w:tcPr>
            <w:tcW w:w="1205"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3.6%-4.75%</w:t>
            </w:r>
          </w:p>
        </w:tc>
      </w:tr>
      <w:tr w:rsidR="00E20B54" w:rsidTr="00E5606C">
        <w:trPr>
          <w:trHeight w:val="240"/>
        </w:trPr>
        <w:tc>
          <w:tcPr>
            <w:tcW w:w="1205" w:type="dxa"/>
            <w:tcBorders>
              <w:top w:val="single" w:sz="2" w:space="0" w:color="auto"/>
              <w:left w:val="single" w:sz="2" w:space="0" w:color="auto"/>
              <w:bottom w:val="single" w:sz="2" w:space="0" w:color="auto"/>
              <w:right w:val="single" w:sz="2" w:space="0" w:color="auto"/>
            </w:tcBorders>
            <w:shd w:val="clear" w:color="auto" w:fill="D9D9D9" w:themeFill="background1" w:themeFillShade="D9"/>
            <w:vAlign w:val="center"/>
          </w:tcPr>
          <w:p w:rsidR="00E20B54" w:rsidRDefault="00733C9E">
            <w:pPr>
              <w:spacing w:line="240" w:lineRule="exact"/>
              <w:rPr>
                <w:sz w:val="18"/>
                <w:szCs w:val="18"/>
              </w:rPr>
            </w:pPr>
            <w:r>
              <w:rPr>
                <w:sz w:val="18"/>
                <w:szCs w:val="18"/>
              </w:rPr>
              <w:t>减：一年内到期的长期应收款</w:t>
            </w:r>
          </w:p>
        </w:tc>
        <w:tc>
          <w:tcPr>
            <w:tcW w:w="1205"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-44,009,242.40</w:t>
            </w:r>
          </w:p>
        </w:tc>
        <w:tc>
          <w:tcPr>
            <w:tcW w:w="1205"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-7,766,459.84</w:t>
            </w:r>
          </w:p>
        </w:tc>
        <w:tc>
          <w:tcPr>
            <w:tcW w:w="1205"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-36,242,782.56</w:t>
            </w:r>
          </w:p>
        </w:tc>
        <w:tc>
          <w:tcPr>
            <w:tcW w:w="1205"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-31,428,156.81</w:t>
            </w:r>
          </w:p>
        </w:tc>
        <w:tc>
          <w:tcPr>
            <w:tcW w:w="1205"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-7,028,535.93</w:t>
            </w:r>
          </w:p>
        </w:tc>
        <w:tc>
          <w:tcPr>
            <w:tcW w:w="1205"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-24,399,620.88</w:t>
            </w:r>
          </w:p>
        </w:tc>
        <w:tc>
          <w:tcPr>
            <w:tcW w:w="1205"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3.6%-4.75%</w:t>
            </w:r>
          </w:p>
        </w:tc>
      </w:tr>
      <w:tr w:rsidR="00E20B54">
        <w:trPr>
          <w:trHeight w:val="240"/>
        </w:trPr>
        <w:tc>
          <w:tcPr>
            <w:tcW w:w="1205"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合计</w:t>
            </w:r>
          </w:p>
        </w:tc>
        <w:tc>
          <w:tcPr>
            <w:tcW w:w="1205"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53,778,811.37</w:t>
            </w:r>
          </w:p>
        </w:tc>
        <w:tc>
          <w:tcPr>
            <w:tcW w:w="1205"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0.00</w:t>
            </w:r>
          </w:p>
        </w:tc>
        <w:tc>
          <w:tcPr>
            <w:tcW w:w="1205"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53,778,811.37</w:t>
            </w:r>
          </w:p>
        </w:tc>
        <w:tc>
          <w:tcPr>
            <w:tcW w:w="1205"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10,737,449.96</w:t>
            </w:r>
          </w:p>
        </w:tc>
        <w:tc>
          <w:tcPr>
            <w:tcW w:w="1205"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6,365.60</w:t>
            </w:r>
          </w:p>
        </w:tc>
        <w:tc>
          <w:tcPr>
            <w:tcW w:w="1205"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10,731,084.36</w:t>
            </w:r>
          </w:p>
        </w:tc>
        <w:tc>
          <w:tcPr>
            <w:tcW w:w="1205"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r>
    </w:tbl>
    <w:p w:rsidR="00E20B54" w:rsidRDefault="00733C9E">
      <w:pPr>
        <w:keepNext/>
        <w:keepLines/>
        <w:spacing w:before="300" w:after="300" w:line="280" w:lineRule="exact"/>
        <w:outlineLvl w:val="3"/>
        <w:rPr>
          <w:b/>
          <w:bCs/>
          <w:szCs w:val="21"/>
        </w:rPr>
      </w:pPr>
      <w:bookmarkStart w:id="267" w:name="_Toc989155"/>
      <w:r>
        <w:rPr>
          <w:b/>
          <w:bCs/>
          <w:szCs w:val="21"/>
        </w:rPr>
        <w:t>（</w:t>
      </w:r>
      <w:r>
        <w:rPr>
          <w:b/>
          <w:bCs/>
          <w:szCs w:val="21"/>
        </w:rPr>
        <w:t>2</w:t>
      </w:r>
      <w:r>
        <w:rPr>
          <w:b/>
          <w:bCs/>
          <w:szCs w:val="21"/>
        </w:rPr>
        <w:t>）</w:t>
      </w:r>
      <w:r>
        <w:rPr>
          <w:b/>
          <w:bCs/>
          <w:szCs w:val="21"/>
        </w:rPr>
        <w:t xml:space="preserve"> </w:t>
      </w:r>
      <w:r>
        <w:rPr>
          <w:b/>
          <w:bCs/>
          <w:szCs w:val="21"/>
        </w:rPr>
        <w:t>按坏账计提方法分类披露</w:t>
      </w:r>
      <w:bookmarkEnd w:id="267"/>
    </w:p>
    <w:p w:rsidR="00E20B54" w:rsidRDefault="00733C9E">
      <w:pPr>
        <w:spacing w:before="40" w:after="40" w:line="240" w:lineRule="exact"/>
        <w:jc w:val="right"/>
        <w:rPr>
          <w:sz w:val="18"/>
          <w:szCs w:val="18"/>
        </w:rPr>
      </w:pPr>
      <w:r>
        <w:rPr>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875"/>
        <w:gridCol w:w="876"/>
        <w:gridCol w:w="877"/>
        <w:gridCol w:w="876"/>
        <w:gridCol w:w="877"/>
        <w:gridCol w:w="876"/>
        <w:gridCol w:w="876"/>
        <w:gridCol w:w="877"/>
        <w:gridCol w:w="876"/>
        <w:gridCol w:w="877"/>
        <w:gridCol w:w="876"/>
      </w:tblGrid>
      <w:tr w:rsidR="00E20B54">
        <w:trPr>
          <w:trHeight w:val="240"/>
        </w:trPr>
        <w:tc>
          <w:tcPr>
            <w:tcW w:w="876"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类别</w:t>
            </w:r>
          </w:p>
        </w:tc>
        <w:tc>
          <w:tcPr>
            <w:tcW w:w="4381" w:type="dxa"/>
            <w:gridSpan w:val="5"/>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期末余额</w:t>
            </w:r>
          </w:p>
        </w:tc>
        <w:tc>
          <w:tcPr>
            <w:tcW w:w="4381" w:type="dxa"/>
            <w:gridSpan w:val="5"/>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期初余额</w:t>
            </w:r>
          </w:p>
        </w:tc>
      </w:tr>
      <w:tr w:rsidR="00E20B54">
        <w:trPr>
          <w:trHeight w:val="240"/>
        </w:trPr>
        <w:tc>
          <w:tcPr>
            <w:tcW w:w="876"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c>
          <w:tcPr>
            <w:tcW w:w="1753"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账面余额</w:t>
            </w:r>
          </w:p>
        </w:tc>
        <w:tc>
          <w:tcPr>
            <w:tcW w:w="1753"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坏账准备</w:t>
            </w:r>
          </w:p>
        </w:tc>
        <w:tc>
          <w:tcPr>
            <w:tcW w:w="876"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账面价值</w:t>
            </w:r>
          </w:p>
        </w:tc>
        <w:tc>
          <w:tcPr>
            <w:tcW w:w="1753"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账面余额</w:t>
            </w:r>
          </w:p>
        </w:tc>
        <w:tc>
          <w:tcPr>
            <w:tcW w:w="1753"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坏账准备</w:t>
            </w:r>
          </w:p>
        </w:tc>
        <w:tc>
          <w:tcPr>
            <w:tcW w:w="876"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账面价值</w:t>
            </w:r>
          </w:p>
        </w:tc>
      </w:tr>
      <w:tr w:rsidR="00E20B54">
        <w:trPr>
          <w:trHeight w:val="240"/>
        </w:trPr>
        <w:tc>
          <w:tcPr>
            <w:tcW w:w="876"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金额</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比例</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金额</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计提比例</w:t>
            </w:r>
          </w:p>
        </w:tc>
        <w:tc>
          <w:tcPr>
            <w:tcW w:w="876"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金额</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比例</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金额</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计提比例</w:t>
            </w:r>
          </w:p>
        </w:tc>
        <w:tc>
          <w:tcPr>
            <w:tcW w:w="876"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r>
      <w:tr w:rsidR="00E20B54">
        <w:trPr>
          <w:trHeight w:val="240"/>
        </w:trPr>
        <w:tc>
          <w:tcPr>
            <w:tcW w:w="9639" w:type="dxa"/>
            <w:gridSpan w:val="11"/>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其中：</w:t>
            </w:r>
          </w:p>
        </w:tc>
      </w:tr>
      <w:tr w:rsidR="00E20B54">
        <w:trPr>
          <w:trHeight w:val="240"/>
        </w:trPr>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按组合计提坏账准备</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97,788,053.77</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100.00%</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7,766,459.84</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7.94%</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90,021,593.93</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42,165,606.77</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100.00%</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7,034,901.53</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16.68%</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35,130,705.24</w:t>
            </w:r>
          </w:p>
        </w:tc>
      </w:tr>
      <w:tr w:rsidR="00E20B54">
        <w:trPr>
          <w:trHeight w:val="240"/>
        </w:trPr>
        <w:tc>
          <w:tcPr>
            <w:tcW w:w="9639" w:type="dxa"/>
            <w:gridSpan w:val="11"/>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其中：</w:t>
            </w:r>
          </w:p>
        </w:tc>
      </w:tr>
      <w:tr w:rsidR="00E20B54">
        <w:trPr>
          <w:trHeight w:val="240"/>
        </w:trPr>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组合</w:t>
            </w:r>
            <w:r>
              <w:rPr>
                <w:sz w:val="18"/>
                <w:szCs w:val="18"/>
              </w:rPr>
              <w:t>1</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13,530,411.35</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13.84%</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161,864.41</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1.20%</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13,368,546.94</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13,835,221.87</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32.81%</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6,365.60</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0.05%</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13,828,856.27</w:t>
            </w:r>
          </w:p>
        </w:tc>
      </w:tr>
      <w:tr w:rsidR="00E20B54">
        <w:trPr>
          <w:trHeight w:val="240"/>
        </w:trPr>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组合</w:t>
            </w:r>
            <w:r>
              <w:rPr>
                <w:sz w:val="18"/>
                <w:szCs w:val="18"/>
              </w:rPr>
              <w:t>2</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84,257,642.42</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86.16%</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7,604,595.43</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9.03%</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76,653,046.99</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28,330,384.90</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67.19%</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7,028,535.93</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24.81%</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21,301,848.97</w:t>
            </w:r>
          </w:p>
        </w:tc>
      </w:tr>
      <w:tr w:rsidR="00E20B54">
        <w:trPr>
          <w:trHeight w:val="240"/>
        </w:trPr>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合计</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97,788,053.77</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100.00%</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7,766,459.84</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7.94%</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90,021,593.93</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42,165,606.77</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100.00%</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7,034,901.53</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16.68%</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35,130,705.24</w:t>
            </w:r>
          </w:p>
        </w:tc>
      </w:tr>
    </w:tbl>
    <w:p w:rsidR="00E20B54" w:rsidRDefault="00733C9E">
      <w:pPr>
        <w:spacing w:line="240" w:lineRule="exact"/>
        <w:rPr>
          <w:sz w:val="18"/>
          <w:szCs w:val="18"/>
        </w:rPr>
      </w:pPr>
      <w:r>
        <w:rPr>
          <w:sz w:val="18"/>
          <w:szCs w:val="18"/>
        </w:rPr>
        <w:t>按组合计提坏账准备：组合</w:t>
      </w:r>
      <w:r>
        <w:rPr>
          <w:sz w:val="18"/>
          <w:szCs w:val="18"/>
        </w:rPr>
        <w:t>1</w:t>
      </w:r>
    </w:p>
    <w:p w:rsidR="00E20B54" w:rsidRDefault="00733C9E">
      <w:pPr>
        <w:spacing w:before="40" w:after="40" w:line="240" w:lineRule="exact"/>
        <w:jc w:val="right"/>
        <w:rPr>
          <w:sz w:val="18"/>
          <w:szCs w:val="18"/>
        </w:rPr>
      </w:pPr>
      <w:r>
        <w:rPr>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2409"/>
        <w:gridCol w:w="2410"/>
        <w:gridCol w:w="2410"/>
        <w:gridCol w:w="2410"/>
      </w:tblGrid>
      <w:tr w:rsidR="00E20B54">
        <w:trPr>
          <w:trHeight w:val="240"/>
        </w:trPr>
        <w:tc>
          <w:tcPr>
            <w:tcW w:w="2410"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名称</w:t>
            </w:r>
          </w:p>
        </w:tc>
        <w:tc>
          <w:tcPr>
            <w:tcW w:w="7229" w:type="dxa"/>
            <w:gridSpan w:val="3"/>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期末余额</w:t>
            </w:r>
          </w:p>
        </w:tc>
      </w:tr>
      <w:tr w:rsidR="00E20B54">
        <w:trPr>
          <w:trHeight w:val="240"/>
        </w:trPr>
        <w:tc>
          <w:tcPr>
            <w:tcW w:w="2410"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账面余额</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坏账准备</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计提比例</w:t>
            </w:r>
          </w:p>
        </w:tc>
      </w:tr>
      <w:tr w:rsidR="00E20B54">
        <w:trPr>
          <w:trHeight w:val="240"/>
        </w:trPr>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账龄组合</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13,530,411.35</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161,864.41</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1.20%</w:t>
            </w:r>
          </w:p>
        </w:tc>
      </w:tr>
      <w:tr w:rsidR="00E20B54">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合计</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13,530,411.35</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161,864.41</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r>
    </w:tbl>
    <w:p w:rsidR="00E20B54" w:rsidRDefault="00733C9E" w:rsidP="00E5606C">
      <w:pPr>
        <w:spacing w:before="100" w:after="100" w:line="240" w:lineRule="exact"/>
        <w:rPr>
          <w:sz w:val="18"/>
          <w:szCs w:val="18"/>
        </w:rPr>
      </w:pPr>
      <w:r>
        <w:rPr>
          <w:sz w:val="18"/>
          <w:szCs w:val="18"/>
        </w:rPr>
        <w:t>确定该组合依据的说明：</w:t>
      </w:r>
      <w:r>
        <w:rPr>
          <w:color w:val="000000"/>
          <w:sz w:val="18"/>
          <w:szCs w:val="18"/>
          <w:lang w:bidi="ar"/>
        </w:rPr>
        <w:t>确定长期应收款组合的依据详见本节五、</w:t>
      </w:r>
      <w:r>
        <w:rPr>
          <w:color w:val="000000"/>
          <w:sz w:val="18"/>
          <w:szCs w:val="18"/>
          <w:lang w:bidi="ar"/>
        </w:rPr>
        <w:t>21</w:t>
      </w:r>
      <w:r>
        <w:rPr>
          <w:color w:val="000000"/>
          <w:sz w:val="18"/>
          <w:szCs w:val="18"/>
          <w:lang w:bidi="ar"/>
        </w:rPr>
        <w:t>。</w:t>
      </w:r>
    </w:p>
    <w:p w:rsidR="00E20B54" w:rsidRDefault="00733C9E">
      <w:pPr>
        <w:spacing w:line="240" w:lineRule="exact"/>
        <w:rPr>
          <w:sz w:val="18"/>
          <w:szCs w:val="18"/>
        </w:rPr>
      </w:pPr>
      <w:r>
        <w:rPr>
          <w:sz w:val="18"/>
          <w:szCs w:val="18"/>
        </w:rPr>
        <w:t>按组合计提坏账准备：组合</w:t>
      </w:r>
      <w:r>
        <w:rPr>
          <w:sz w:val="18"/>
          <w:szCs w:val="18"/>
        </w:rPr>
        <w:t>2</w:t>
      </w:r>
    </w:p>
    <w:p w:rsidR="00E20B54" w:rsidRDefault="00733C9E">
      <w:pPr>
        <w:spacing w:before="40" w:after="40" w:line="240" w:lineRule="exact"/>
        <w:jc w:val="right"/>
        <w:rPr>
          <w:sz w:val="18"/>
          <w:szCs w:val="18"/>
        </w:rPr>
      </w:pPr>
      <w:r>
        <w:rPr>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2409"/>
        <w:gridCol w:w="2410"/>
        <w:gridCol w:w="2410"/>
        <w:gridCol w:w="2410"/>
      </w:tblGrid>
      <w:tr w:rsidR="00E20B54">
        <w:trPr>
          <w:trHeight w:val="240"/>
        </w:trPr>
        <w:tc>
          <w:tcPr>
            <w:tcW w:w="2410"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名称</w:t>
            </w:r>
          </w:p>
        </w:tc>
        <w:tc>
          <w:tcPr>
            <w:tcW w:w="7229" w:type="dxa"/>
            <w:gridSpan w:val="3"/>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期末余额</w:t>
            </w:r>
          </w:p>
        </w:tc>
      </w:tr>
      <w:tr w:rsidR="00E20B54">
        <w:trPr>
          <w:trHeight w:val="240"/>
        </w:trPr>
        <w:tc>
          <w:tcPr>
            <w:tcW w:w="2410"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账面余额</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坏账准备</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计提比例</w:t>
            </w:r>
          </w:p>
        </w:tc>
      </w:tr>
      <w:tr w:rsidR="00E20B54">
        <w:trPr>
          <w:trHeight w:val="240"/>
        </w:trPr>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账龄组合</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84,257,642.42</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7,604,595.43</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9.03%</w:t>
            </w:r>
          </w:p>
        </w:tc>
      </w:tr>
      <w:tr w:rsidR="00E20B54">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合计</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84,257,642.42</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7,604,595.43</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r>
    </w:tbl>
    <w:p w:rsidR="00E20B54" w:rsidRDefault="00733C9E" w:rsidP="00E5606C">
      <w:pPr>
        <w:spacing w:before="100" w:after="100" w:line="240" w:lineRule="exact"/>
        <w:rPr>
          <w:sz w:val="18"/>
          <w:szCs w:val="18"/>
        </w:rPr>
      </w:pPr>
      <w:r>
        <w:rPr>
          <w:sz w:val="18"/>
          <w:szCs w:val="18"/>
        </w:rPr>
        <w:t>确定该组合依据的说明：</w:t>
      </w:r>
      <w:r>
        <w:rPr>
          <w:color w:val="000000"/>
          <w:sz w:val="18"/>
          <w:szCs w:val="18"/>
          <w:lang w:bidi="ar"/>
        </w:rPr>
        <w:t>确定长期应收款组合的依据详见本节五、</w:t>
      </w:r>
      <w:r>
        <w:rPr>
          <w:color w:val="000000"/>
          <w:sz w:val="18"/>
          <w:szCs w:val="18"/>
          <w:lang w:bidi="ar"/>
        </w:rPr>
        <w:t>21</w:t>
      </w:r>
      <w:r>
        <w:rPr>
          <w:color w:val="000000"/>
          <w:sz w:val="18"/>
          <w:szCs w:val="18"/>
          <w:lang w:bidi="ar"/>
        </w:rPr>
        <w:t>。</w:t>
      </w:r>
    </w:p>
    <w:p w:rsidR="00E20B54" w:rsidRDefault="00733C9E">
      <w:pPr>
        <w:spacing w:before="100" w:after="100" w:line="240" w:lineRule="exact"/>
        <w:rPr>
          <w:sz w:val="18"/>
          <w:szCs w:val="18"/>
        </w:rPr>
      </w:pPr>
      <w:r>
        <w:rPr>
          <w:sz w:val="18"/>
          <w:szCs w:val="18"/>
        </w:rPr>
        <w:t>按预期信用损失一般模型计提坏账准备</w:t>
      </w:r>
    </w:p>
    <w:p w:rsidR="00E20B54" w:rsidRDefault="00733C9E">
      <w:pPr>
        <w:spacing w:before="120" w:after="120" w:line="240" w:lineRule="exact"/>
        <w:jc w:val="right"/>
        <w:rPr>
          <w:sz w:val="18"/>
          <w:szCs w:val="18"/>
        </w:rPr>
      </w:pPr>
      <w:r>
        <w:rPr>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927"/>
        <w:gridCol w:w="1928"/>
        <w:gridCol w:w="1928"/>
        <w:gridCol w:w="1928"/>
        <w:gridCol w:w="1928"/>
      </w:tblGrid>
      <w:tr w:rsidR="00E20B54">
        <w:trPr>
          <w:trHeight w:val="240"/>
        </w:trPr>
        <w:tc>
          <w:tcPr>
            <w:tcW w:w="1928"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坏账准备</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第一阶段</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第二阶段</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第三阶段</w:t>
            </w:r>
          </w:p>
        </w:tc>
        <w:tc>
          <w:tcPr>
            <w:tcW w:w="1928"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合计</w:t>
            </w:r>
          </w:p>
        </w:tc>
      </w:tr>
      <w:tr w:rsidR="00E20B54">
        <w:trPr>
          <w:trHeight w:val="240"/>
        </w:trPr>
        <w:tc>
          <w:tcPr>
            <w:tcW w:w="1928"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未来</w:t>
            </w:r>
            <w:r>
              <w:rPr>
                <w:sz w:val="18"/>
                <w:szCs w:val="18"/>
              </w:rPr>
              <w:t>12</w:t>
            </w:r>
            <w:r>
              <w:rPr>
                <w:sz w:val="18"/>
                <w:szCs w:val="18"/>
              </w:rPr>
              <w:t>个月预期信用损失</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整个存续期预期信用损失</w:t>
            </w:r>
            <w:r>
              <w:rPr>
                <w:sz w:val="18"/>
                <w:szCs w:val="18"/>
              </w:rPr>
              <w:t>(</w:t>
            </w:r>
            <w:r>
              <w:rPr>
                <w:sz w:val="18"/>
                <w:szCs w:val="18"/>
              </w:rPr>
              <w:t>未发生信用减</w:t>
            </w:r>
            <w:r>
              <w:rPr>
                <w:sz w:val="18"/>
                <w:szCs w:val="18"/>
              </w:rPr>
              <w:lastRenderedPageBreak/>
              <w:t>值</w:t>
            </w:r>
            <w:r>
              <w:rPr>
                <w:sz w:val="18"/>
                <w:szCs w:val="18"/>
              </w:rPr>
              <w:t>)</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lastRenderedPageBreak/>
              <w:t>整个存续期预期信用损失</w:t>
            </w:r>
            <w:r>
              <w:rPr>
                <w:sz w:val="18"/>
                <w:szCs w:val="18"/>
              </w:rPr>
              <w:t>(</w:t>
            </w:r>
            <w:r>
              <w:rPr>
                <w:sz w:val="18"/>
                <w:szCs w:val="18"/>
              </w:rPr>
              <w:t>已发生信用减</w:t>
            </w:r>
            <w:r>
              <w:rPr>
                <w:sz w:val="18"/>
                <w:szCs w:val="18"/>
              </w:rPr>
              <w:lastRenderedPageBreak/>
              <w:t>值</w:t>
            </w:r>
            <w:r>
              <w:rPr>
                <w:sz w:val="18"/>
                <w:szCs w:val="18"/>
              </w:rPr>
              <w:t>)</w:t>
            </w:r>
          </w:p>
        </w:tc>
        <w:tc>
          <w:tcPr>
            <w:tcW w:w="1928"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r>
      <w:tr w:rsidR="00E20B54">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lastRenderedPageBreak/>
              <w:t>2025</w:t>
            </w:r>
            <w:r>
              <w:rPr>
                <w:sz w:val="18"/>
                <w:szCs w:val="18"/>
              </w:rPr>
              <w:t>年</w:t>
            </w:r>
            <w:r>
              <w:rPr>
                <w:sz w:val="18"/>
                <w:szCs w:val="18"/>
              </w:rPr>
              <w:t>1</w:t>
            </w:r>
            <w:r>
              <w:rPr>
                <w:sz w:val="18"/>
                <w:szCs w:val="18"/>
              </w:rPr>
              <w:t>月</w:t>
            </w:r>
            <w:r>
              <w:rPr>
                <w:sz w:val="18"/>
                <w:szCs w:val="18"/>
              </w:rPr>
              <w:t>1</w:t>
            </w:r>
            <w:r>
              <w:rPr>
                <w:sz w:val="18"/>
                <w:szCs w:val="18"/>
              </w:rPr>
              <w:t>日余额在本期</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r>
    </w:tbl>
    <w:p w:rsidR="00E20B54" w:rsidRDefault="00733C9E">
      <w:pPr>
        <w:spacing w:before="100" w:after="100" w:line="240" w:lineRule="exact"/>
        <w:rPr>
          <w:sz w:val="18"/>
          <w:szCs w:val="18"/>
        </w:rPr>
      </w:pPr>
      <w:r>
        <w:rPr>
          <w:sz w:val="18"/>
          <w:szCs w:val="18"/>
        </w:rPr>
        <w:t>各阶段划分依据和坏账准备计提比例</w:t>
      </w:r>
    </w:p>
    <w:p w:rsidR="00E20B54" w:rsidRDefault="00733C9E">
      <w:pPr>
        <w:pStyle w:val="a3"/>
        <w:widowControl/>
      </w:pPr>
      <w:r>
        <w:rPr>
          <w:sz w:val="18"/>
          <w:szCs w:val="18"/>
        </w:rPr>
        <w:t>不适用。</w:t>
      </w:r>
    </w:p>
    <w:p w:rsidR="00E20B54" w:rsidRDefault="00733C9E">
      <w:pPr>
        <w:keepNext/>
        <w:keepLines/>
        <w:spacing w:before="300" w:after="300" w:line="280" w:lineRule="exact"/>
        <w:outlineLvl w:val="3"/>
        <w:rPr>
          <w:b/>
          <w:bCs/>
          <w:szCs w:val="21"/>
        </w:rPr>
      </w:pPr>
      <w:bookmarkStart w:id="268" w:name="_Toc989156"/>
      <w:r>
        <w:rPr>
          <w:b/>
          <w:bCs/>
          <w:szCs w:val="21"/>
        </w:rPr>
        <w:t>（</w:t>
      </w:r>
      <w:r>
        <w:rPr>
          <w:b/>
          <w:bCs/>
          <w:szCs w:val="21"/>
        </w:rPr>
        <w:t>3</w:t>
      </w:r>
      <w:r>
        <w:rPr>
          <w:b/>
          <w:bCs/>
          <w:szCs w:val="21"/>
        </w:rPr>
        <w:t>）</w:t>
      </w:r>
      <w:r>
        <w:rPr>
          <w:b/>
          <w:bCs/>
          <w:szCs w:val="21"/>
        </w:rPr>
        <w:t xml:space="preserve"> </w:t>
      </w:r>
      <w:r>
        <w:rPr>
          <w:b/>
          <w:bCs/>
          <w:szCs w:val="21"/>
        </w:rPr>
        <w:t>本期计提、收回或转回的坏账准备的情况</w:t>
      </w:r>
      <w:bookmarkEnd w:id="268"/>
    </w:p>
    <w:p w:rsidR="00E20B54" w:rsidRDefault="00733C9E">
      <w:pPr>
        <w:spacing w:before="120" w:after="120" w:line="240" w:lineRule="exact"/>
        <w:jc w:val="right"/>
        <w:rPr>
          <w:sz w:val="18"/>
          <w:szCs w:val="18"/>
        </w:rPr>
      </w:pPr>
      <w:r>
        <w:rPr>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377"/>
        <w:gridCol w:w="1377"/>
        <w:gridCol w:w="1377"/>
        <w:gridCol w:w="1377"/>
        <w:gridCol w:w="1377"/>
        <w:gridCol w:w="1377"/>
        <w:gridCol w:w="1377"/>
      </w:tblGrid>
      <w:tr w:rsidR="00E20B54">
        <w:trPr>
          <w:trHeight w:val="240"/>
        </w:trPr>
        <w:tc>
          <w:tcPr>
            <w:tcW w:w="1377"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类别</w:t>
            </w:r>
          </w:p>
        </w:tc>
        <w:tc>
          <w:tcPr>
            <w:tcW w:w="1377"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期初余额</w:t>
            </w:r>
          </w:p>
        </w:tc>
        <w:tc>
          <w:tcPr>
            <w:tcW w:w="5508" w:type="dxa"/>
            <w:gridSpan w:val="4"/>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本期变动金额</w:t>
            </w:r>
          </w:p>
        </w:tc>
        <w:tc>
          <w:tcPr>
            <w:tcW w:w="1377"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期末余额</w:t>
            </w:r>
          </w:p>
        </w:tc>
      </w:tr>
      <w:tr w:rsidR="00E20B54">
        <w:trPr>
          <w:trHeight w:val="240"/>
        </w:trPr>
        <w:tc>
          <w:tcPr>
            <w:tcW w:w="1377"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c>
          <w:tcPr>
            <w:tcW w:w="1377"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计提</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收回或转回</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转销或核销</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其他</w:t>
            </w:r>
          </w:p>
        </w:tc>
        <w:tc>
          <w:tcPr>
            <w:tcW w:w="1377"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r>
      <w:tr w:rsidR="00E20B54" w:rsidTr="00E5606C">
        <w:trPr>
          <w:trHeight w:val="240"/>
        </w:trPr>
        <w:tc>
          <w:tcPr>
            <w:tcW w:w="1377" w:type="dxa"/>
            <w:tcBorders>
              <w:top w:val="single" w:sz="2" w:space="0" w:color="auto"/>
              <w:left w:val="single" w:sz="2" w:space="0" w:color="auto"/>
              <w:bottom w:val="single" w:sz="2" w:space="0" w:color="auto"/>
              <w:right w:val="single" w:sz="2" w:space="0" w:color="auto"/>
            </w:tcBorders>
            <w:shd w:val="clear" w:color="auto" w:fill="D9D9D9" w:themeFill="background1" w:themeFillShade="D9"/>
            <w:vAlign w:val="center"/>
          </w:tcPr>
          <w:p w:rsidR="00E20B54" w:rsidRDefault="00733C9E">
            <w:pPr>
              <w:spacing w:line="240" w:lineRule="exact"/>
              <w:rPr>
                <w:sz w:val="18"/>
                <w:szCs w:val="18"/>
              </w:rPr>
            </w:pPr>
            <w:r>
              <w:rPr>
                <w:sz w:val="18"/>
                <w:szCs w:val="18"/>
              </w:rPr>
              <w:t>账龄组合</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7,034,901.53</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731,558.31</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7,766,459.84</w:t>
            </w:r>
          </w:p>
        </w:tc>
      </w:tr>
      <w:tr w:rsidR="00E20B54">
        <w:trPr>
          <w:trHeight w:val="240"/>
        </w:trPr>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合计</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7,034,901.53</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731,558.31</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7,766,459.84</w:t>
            </w:r>
          </w:p>
        </w:tc>
      </w:tr>
    </w:tbl>
    <w:p w:rsidR="00E20B54" w:rsidRDefault="00733C9E">
      <w:pPr>
        <w:spacing w:before="100" w:after="100" w:line="240" w:lineRule="exact"/>
        <w:rPr>
          <w:sz w:val="18"/>
          <w:szCs w:val="18"/>
        </w:rPr>
      </w:pPr>
      <w:r>
        <w:rPr>
          <w:sz w:val="18"/>
          <w:szCs w:val="18"/>
        </w:rPr>
        <w:t>其中本期坏账准备转回或收回金额重要的：</w:t>
      </w:r>
    </w:p>
    <w:p w:rsidR="00E20B54" w:rsidRDefault="00733C9E">
      <w:pPr>
        <w:spacing w:before="120" w:after="120" w:line="240" w:lineRule="exact"/>
        <w:jc w:val="right"/>
        <w:rPr>
          <w:sz w:val="18"/>
          <w:szCs w:val="18"/>
        </w:rPr>
      </w:pPr>
      <w:r>
        <w:rPr>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927"/>
        <w:gridCol w:w="1928"/>
        <w:gridCol w:w="1928"/>
        <w:gridCol w:w="1928"/>
        <w:gridCol w:w="1928"/>
      </w:tblGrid>
      <w:tr w:rsidR="00E20B54">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单位名称</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收回或转回金额</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转回原因</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收回方式</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确定原坏账准备计提比例的依据及其合理性</w:t>
            </w:r>
          </w:p>
        </w:tc>
      </w:tr>
    </w:tbl>
    <w:p w:rsidR="00E20B54" w:rsidRDefault="00733C9E">
      <w:pPr>
        <w:spacing w:before="100" w:after="100" w:line="240" w:lineRule="exact"/>
        <w:rPr>
          <w:sz w:val="18"/>
          <w:szCs w:val="18"/>
        </w:rPr>
      </w:pPr>
      <w:r>
        <w:rPr>
          <w:sz w:val="18"/>
          <w:szCs w:val="18"/>
        </w:rPr>
        <w:t>其他说明：</w:t>
      </w:r>
    </w:p>
    <w:p w:rsidR="00E20B54" w:rsidRDefault="00733C9E">
      <w:pPr>
        <w:keepNext/>
        <w:keepLines/>
        <w:spacing w:before="300" w:after="300" w:line="280" w:lineRule="exact"/>
        <w:outlineLvl w:val="3"/>
        <w:rPr>
          <w:b/>
          <w:bCs/>
          <w:szCs w:val="21"/>
        </w:rPr>
      </w:pPr>
      <w:bookmarkStart w:id="269" w:name="_Toc989157"/>
      <w:r>
        <w:rPr>
          <w:b/>
          <w:bCs/>
          <w:szCs w:val="21"/>
        </w:rPr>
        <w:t>（</w:t>
      </w:r>
      <w:r>
        <w:rPr>
          <w:b/>
          <w:bCs/>
          <w:szCs w:val="21"/>
        </w:rPr>
        <w:t>4</w:t>
      </w:r>
      <w:r>
        <w:rPr>
          <w:b/>
          <w:bCs/>
          <w:szCs w:val="21"/>
        </w:rPr>
        <w:t>）</w:t>
      </w:r>
      <w:r>
        <w:rPr>
          <w:b/>
          <w:bCs/>
          <w:szCs w:val="21"/>
        </w:rPr>
        <w:t xml:space="preserve"> </w:t>
      </w:r>
      <w:r>
        <w:rPr>
          <w:b/>
          <w:bCs/>
          <w:szCs w:val="21"/>
        </w:rPr>
        <w:t>本期实际核销的长期应收款情况</w:t>
      </w:r>
      <w:bookmarkEnd w:id="269"/>
    </w:p>
    <w:p w:rsidR="00E20B54" w:rsidRDefault="00733C9E">
      <w:pPr>
        <w:spacing w:before="40" w:after="40" w:line="240" w:lineRule="exact"/>
        <w:jc w:val="right"/>
        <w:rPr>
          <w:sz w:val="18"/>
          <w:szCs w:val="18"/>
        </w:rPr>
      </w:pPr>
      <w:r>
        <w:rPr>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4820"/>
        <w:gridCol w:w="4819"/>
      </w:tblGrid>
      <w:tr w:rsidR="00E20B54">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项目</w:t>
            </w:r>
          </w:p>
        </w:tc>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核销金额</w:t>
            </w:r>
          </w:p>
        </w:tc>
      </w:tr>
    </w:tbl>
    <w:p w:rsidR="00E20B54" w:rsidRDefault="00733C9E">
      <w:pPr>
        <w:spacing w:before="100" w:after="100" w:line="240" w:lineRule="exact"/>
        <w:rPr>
          <w:sz w:val="18"/>
          <w:szCs w:val="18"/>
        </w:rPr>
      </w:pPr>
      <w:r>
        <w:rPr>
          <w:sz w:val="18"/>
          <w:szCs w:val="18"/>
        </w:rPr>
        <w:t>其中重要的长期应收款核销情况：</w:t>
      </w:r>
    </w:p>
    <w:p w:rsidR="00E20B54" w:rsidRDefault="00733C9E">
      <w:pPr>
        <w:spacing w:before="120" w:after="120" w:line="240" w:lineRule="exact"/>
        <w:jc w:val="right"/>
        <w:rPr>
          <w:sz w:val="18"/>
          <w:szCs w:val="18"/>
        </w:rPr>
      </w:pPr>
      <w:r>
        <w:rPr>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606"/>
        <w:gridCol w:w="1606"/>
        <w:gridCol w:w="1606"/>
        <w:gridCol w:w="1607"/>
        <w:gridCol w:w="1607"/>
        <w:gridCol w:w="1607"/>
      </w:tblGrid>
      <w:tr w:rsidR="00E20B54">
        <w:trPr>
          <w:trHeight w:val="240"/>
        </w:trPr>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单位名称</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款项性质</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核销金额</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核销原因</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履行的核销程序</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款项是否由关联交易产生</w:t>
            </w:r>
          </w:p>
        </w:tc>
      </w:tr>
    </w:tbl>
    <w:p w:rsidR="00E20B54" w:rsidRDefault="00733C9E">
      <w:pPr>
        <w:spacing w:before="100" w:after="100" w:line="240" w:lineRule="exact"/>
        <w:rPr>
          <w:sz w:val="18"/>
          <w:szCs w:val="18"/>
        </w:rPr>
      </w:pPr>
      <w:r>
        <w:rPr>
          <w:sz w:val="18"/>
          <w:szCs w:val="18"/>
        </w:rPr>
        <w:t>长期应收款核销说明：</w:t>
      </w:r>
    </w:p>
    <w:p w:rsidR="00E20B54" w:rsidRDefault="00733C9E">
      <w:pPr>
        <w:pStyle w:val="3"/>
        <w:spacing w:line="280" w:lineRule="exact"/>
        <w:jc w:val="left"/>
        <w:rPr>
          <w:b/>
          <w:bCs/>
        </w:rPr>
      </w:pPr>
      <w:bookmarkStart w:id="270" w:name="_Toc989158"/>
      <w:r>
        <w:rPr>
          <w:b/>
          <w:bCs/>
        </w:rPr>
        <w:t>12</w:t>
      </w:r>
      <w:r>
        <w:rPr>
          <w:b/>
          <w:bCs/>
        </w:rPr>
        <w:t>、长期股权投资</w:t>
      </w:r>
      <w:bookmarkEnd w:id="270"/>
    </w:p>
    <w:p w:rsidR="00E20B54" w:rsidRDefault="00733C9E">
      <w:pPr>
        <w:spacing w:before="40" w:after="40" w:line="240" w:lineRule="exact"/>
        <w:jc w:val="right"/>
        <w:rPr>
          <w:sz w:val="18"/>
          <w:szCs w:val="18"/>
        </w:rPr>
      </w:pPr>
      <w:r>
        <w:rPr>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741"/>
        <w:gridCol w:w="741"/>
        <w:gridCol w:w="741"/>
        <w:gridCol w:w="741"/>
        <w:gridCol w:w="741"/>
        <w:gridCol w:w="741"/>
        <w:gridCol w:w="741"/>
        <w:gridCol w:w="741"/>
        <w:gridCol w:w="741"/>
        <w:gridCol w:w="741"/>
        <w:gridCol w:w="745"/>
        <w:gridCol w:w="741"/>
        <w:gridCol w:w="743"/>
      </w:tblGrid>
      <w:tr w:rsidR="00E20B54">
        <w:trPr>
          <w:trHeight w:val="240"/>
        </w:trPr>
        <w:tc>
          <w:tcPr>
            <w:tcW w:w="741"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被投资单位</w:t>
            </w:r>
          </w:p>
        </w:tc>
        <w:tc>
          <w:tcPr>
            <w:tcW w:w="741"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期初余额（账面价值）</w:t>
            </w:r>
          </w:p>
        </w:tc>
        <w:tc>
          <w:tcPr>
            <w:tcW w:w="741"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减值准备期初余额</w:t>
            </w:r>
          </w:p>
        </w:tc>
        <w:tc>
          <w:tcPr>
            <w:tcW w:w="5932" w:type="dxa"/>
            <w:gridSpan w:val="8"/>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本期增减变动</w:t>
            </w:r>
          </w:p>
        </w:tc>
        <w:tc>
          <w:tcPr>
            <w:tcW w:w="741"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期末余额（账面价值）</w:t>
            </w:r>
          </w:p>
        </w:tc>
        <w:tc>
          <w:tcPr>
            <w:tcW w:w="741"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减值准备期末余额</w:t>
            </w:r>
          </w:p>
        </w:tc>
      </w:tr>
      <w:tr w:rsidR="00E20B54">
        <w:trPr>
          <w:trHeight w:val="240"/>
        </w:trPr>
        <w:tc>
          <w:tcPr>
            <w:tcW w:w="741"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c>
          <w:tcPr>
            <w:tcW w:w="741"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c>
          <w:tcPr>
            <w:tcW w:w="741"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c>
          <w:tcPr>
            <w:tcW w:w="741"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追加投资</w:t>
            </w:r>
          </w:p>
        </w:tc>
        <w:tc>
          <w:tcPr>
            <w:tcW w:w="741"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减少投资</w:t>
            </w:r>
          </w:p>
        </w:tc>
        <w:tc>
          <w:tcPr>
            <w:tcW w:w="741"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权益法下确认的投资损益</w:t>
            </w:r>
          </w:p>
        </w:tc>
        <w:tc>
          <w:tcPr>
            <w:tcW w:w="741"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其他综合收益调整</w:t>
            </w:r>
          </w:p>
        </w:tc>
        <w:tc>
          <w:tcPr>
            <w:tcW w:w="741"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其他权益变动</w:t>
            </w:r>
          </w:p>
        </w:tc>
        <w:tc>
          <w:tcPr>
            <w:tcW w:w="741"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宣告发放现金股利或利润</w:t>
            </w:r>
          </w:p>
        </w:tc>
        <w:tc>
          <w:tcPr>
            <w:tcW w:w="741"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计提减值准备</w:t>
            </w:r>
          </w:p>
        </w:tc>
        <w:tc>
          <w:tcPr>
            <w:tcW w:w="741"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其他</w:t>
            </w:r>
          </w:p>
        </w:tc>
        <w:tc>
          <w:tcPr>
            <w:tcW w:w="741"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c>
          <w:tcPr>
            <w:tcW w:w="741"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r>
      <w:tr w:rsidR="00E20B54">
        <w:trPr>
          <w:trHeight w:val="240"/>
        </w:trPr>
        <w:tc>
          <w:tcPr>
            <w:tcW w:w="9639" w:type="dxa"/>
            <w:gridSpan w:val="13"/>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一、合营企业</w:t>
            </w:r>
          </w:p>
        </w:tc>
      </w:tr>
      <w:tr w:rsidR="00E20B54">
        <w:trPr>
          <w:trHeight w:val="240"/>
        </w:trPr>
        <w:tc>
          <w:tcPr>
            <w:tcW w:w="9639" w:type="dxa"/>
            <w:gridSpan w:val="13"/>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二、联营企业</w:t>
            </w:r>
          </w:p>
        </w:tc>
      </w:tr>
    </w:tbl>
    <w:p w:rsidR="00E20B54" w:rsidRDefault="00733C9E">
      <w:pPr>
        <w:spacing w:before="100" w:after="100" w:line="240" w:lineRule="exact"/>
        <w:rPr>
          <w:sz w:val="18"/>
          <w:szCs w:val="18"/>
        </w:rPr>
      </w:pPr>
      <w:r>
        <w:rPr>
          <w:sz w:val="18"/>
          <w:szCs w:val="18"/>
        </w:rPr>
        <w:t>可收回金额按公允价值减去处置费用后的净额确定</w:t>
      </w:r>
    </w:p>
    <w:p w:rsidR="00E20B54" w:rsidRDefault="00733C9E">
      <w:pPr>
        <w:spacing w:before="100" w:after="100" w:line="240" w:lineRule="exact"/>
        <w:rPr>
          <w:sz w:val="18"/>
          <w:szCs w:val="18"/>
        </w:rPr>
      </w:pPr>
      <w:r>
        <w:rPr>
          <w:sz w:val="18"/>
          <w:szCs w:val="18"/>
        </w:rPr>
        <w:t>□</w:t>
      </w:r>
      <w:r>
        <w:rPr>
          <w:sz w:val="18"/>
          <w:szCs w:val="18"/>
        </w:rPr>
        <w:t>适用</w:t>
      </w:r>
      <w:r>
        <w:rPr>
          <w:sz w:val="18"/>
          <w:szCs w:val="18"/>
        </w:rPr>
        <w:t xml:space="preserve"> </w:t>
      </w:r>
      <w:r>
        <w:rPr>
          <w:sz w:val="18"/>
          <w:szCs w:val="18"/>
        </w:rPr>
        <w:sym w:font="Wingdings 2" w:char="F052"/>
      </w:r>
      <w:r>
        <w:rPr>
          <w:sz w:val="18"/>
          <w:szCs w:val="18"/>
        </w:rPr>
        <w:t>不适用</w:t>
      </w:r>
    </w:p>
    <w:p w:rsidR="00E20B54" w:rsidRDefault="00733C9E">
      <w:pPr>
        <w:spacing w:before="100" w:after="100" w:line="240" w:lineRule="exact"/>
        <w:rPr>
          <w:sz w:val="18"/>
          <w:szCs w:val="18"/>
        </w:rPr>
      </w:pPr>
      <w:r>
        <w:rPr>
          <w:sz w:val="18"/>
          <w:szCs w:val="18"/>
        </w:rPr>
        <w:lastRenderedPageBreak/>
        <w:t>可收回金额按预计未来现金流量的现值确定</w:t>
      </w:r>
    </w:p>
    <w:p w:rsidR="00E20B54" w:rsidRDefault="00733C9E">
      <w:pPr>
        <w:spacing w:before="100" w:after="100" w:line="240" w:lineRule="exact"/>
        <w:rPr>
          <w:sz w:val="18"/>
          <w:szCs w:val="18"/>
        </w:rPr>
      </w:pPr>
      <w:r>
        <w:rPr>
          <w:sz w:val="18"/>
          <w:szCs w:val="18"/>
        </w:rPr>
        <w:t>□</w:t>
      </w:r>
      <w:r>
        <w:rPr>
          <w:sz w:val="18"/>
          <w:szCs w:val="18"/>
        </w:rPr>
        <w:t>适用</w:t>
      </w:r>
      <w:r>
        <w:rPr>
          <w:sz w:val="18"/>
          <w:szCs w:val="18"/>
        </w:rPr>
        <w:t xml:space="preserve"> </w:t>
      </w:r>
      <w:r>
        <w:rPr>
          <w:sz w:val="18"/>
          <w:szCs w:val="18"/>
        </w:rPr>
        <w:sym w:font="Wingdings 2" w:char="F052"/>
      </w:r>
      <w:r>
        <w:rPr>
          <w:sz w:val="18"/>
          <w:szCs w:val="18"/>
        </w:rPr>
        <w:t>不适用</w:t>
      </w:r>
    </w:p>
    <w:p w:rsidR="00E20B54" w:rsidRDefault="00733C9E">
      <w:pPr>
        <w:spacing w:before="100" w:after="100" w:line="240" w:lineRule="exact"/>
        <w:rPr>
          <w:sz w:val="18"/>
          <w:szCs w:val="18"/>
        </w:rPr>
      </w:pPr>
      <w:r>
        <w:rPr>
          <w:sz w:val="18"/>
          <w:szCs w:val="18"/>
        </w:rPr>
        <w:t>前述信息与以前年度减值测试采用的信息或外部信息明显不一致的差异原因</w:t>
      </w:r>
    </w:p>
    <w:p w:rsidR="00E20B54" w:rsidRDefault="00733C9E">
      <w:pPr>
        <w:spacing w:before="100" w:after="100" w:line="240" w:lineRule="exact"/>
        <w:rPr>
          <w:sz w:val="18"/>
          <w:szCs w:val="18"/>
        </w:rPr>
      </w:pPr>
      <w:r>
        <w:rPr>
          <w:sz w:val="18"/>
          <w:szCs w:val="18"/>
        </w:rPr>
        <w:t>公司以前年度减值测试采用信息与当年实际情况明显不一致的差异原因</w:t>
      </w:r>
    </w:p>
    <w:p w:rsidR="00E20B54" w:rsidRDefault="00733C9E">
      <w:pPr>
        <w:spacing w:before="100" w:after="100" w:line="240" w:lineRule="exact"/>
        <w:rPr>
          <w:sz w:val="18"/>
          <w:szCs w:val="18"/>
        </w:rPr>
      </w:pPr>
      <w:r>
        <w:rPr>
          <w:sz w:val="18"/>
          <w:szCs w:val="18"/>
        </w:rPr>
        <w:t>其他说明：</w:t>
      </w:r>
      <w:r w:rsidR="00E5606C">
        <w:rPr>
          <w:rFonts w:hint="eastAsia"/>
          <w:sz w:val="18"/>
          <w:szCs w:val="18"/>
        </w:rPr>
        <w:t>无</w:t>
      </w:r>
    </w:p>
    <w:p w:rsidR="00E20B54" w:rsidRDefault="00733C9E">
      <w:pPr>
        <w:pStyle w:val="3"/>
        <w:spacing w:line="280" w:lineRule="exact"/>
        <w:jc w:val="left"/>
        <w:rPr>
          <w:b/>
          <w:bCs/>
        </w:rPr>
      </w:pPr>
      <w:bookmarkStart w:id="271" w:name="_Toc989159"/>
      <w:r>
        <w:rPr>
          <w:b/>
          <w:bCs/>
        </w:rPr>
        <w:t>13</w:t>
      </w:r>
      <w:r>
        <w:rPr>
          <w:b/>
          <w:bCs/>
        </w:rPr>
        <w:t>、固定资产</w:t>
      </w:r>
      <w:bookmarkEnd w:id="271"/>
    </w:p>
    <w:p w:rsidR="00E20B54" w:rsidRDefault="00733C9E">
      <w:pPr>
        <w:spacing w:before="40" w:after="40" w:line="240" w:lineRule="exact"/>
        <w:jc w:val="right"/>
        <w:rPr>
          <w:sz w:val="18"/>
          <w:szCs w:val="18"/>
        </w:rPr>
      </w:pPr>
      <w:r>
        <w:rPr>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项目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期末余额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期初余额</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固定资产</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513,494,392.57</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125,026,382.09</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合计</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513,494,392.57</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125,026,382.09</w:t>
            </w:r>
          </w:p>
        </w:tc>
      </w:tr>
    </w:tbl>
    <w:p w:rsidR="00E20B54" w:rsidRDefault="00733C9E">
      <w:pPr>
        <w:keepNext/>
        <w:keepLines/>
        <w:spacing w:before="300" w:after="300" w:line="280" w:lineRule="exact"/>
        <w:outlineLvl w:val="3"/>
        <w:rPr>
          <w:b/>
          <w:bCs/>
          <w:szCs w:val="21"/>
        </w:rPr>
      </w:pPr>
      <w:bookmarkStart w:id="272" w:name="_Toc989160"/>
      <w:r>
        <w:rPr>
          <w:b/>
          <w:bCs/>
          <w:szCs w:val="21"/>
        </w:rPr>
        <w:t>（</w:t>
      </w:r>
      <w:r>
        <w:rPr>
          <w:b/>
          <w:bCs/>
          <w:szCs w:val="21"/>
        </w:rPr>
        <w:t>1</w:t>
      </w:r>
      <w:r>
        <w:rPr>
          <w:b/>
          <w:bCs/>
          <w:szCs w:val="21"/>
        </w:rPr>
        <w:t>）</w:t>
      </w:r>
      <w:r>
        <w:rPr>
          <w:b/>
          <w:bCs/>
          <w:szCs w:val="21"/>
        </w:rPr>
        <w:t xml:space="preserve"> </w:t>
      </w:r>
      <w:r>
        <w:rPr>
          <w:b/>
          <w:bCs/>
          <w:szCs w:val="21"/>
        </w:rPr>
        <w:t>固定资产情况</w:t>
      </w:r>
      <w:bookmarkEnd w:id="272"/>
    </w:p>
    <w:p w:rsidR="00E20B54" w:rsidRDefault="00733C9E">
      <w:pPr>
        <w:spacing w:before="40" w:after="40" w:line="240" w:lineRule="exact"/>
        <w:jc w:val="right"/>
        <w:rPr>
          <w:sz w:val="18"/>
          <w:szCs w:val="18"/>
        </w:rPr>
      </w:pPr>
      <w:r>
        <w:rPr>
          <w:sz w:val="18"/>
          <w:szCs w:val="18"/>
        </w:rPr>
        <w:t>单位：元</w:t>
      </w: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29"/>
        <w:gridCol w:w="1251"/>
        <w:gridCol w:w="1341"/>
        <w:gridCol w:w="1341"/>
        <w:gridCol w:w="1161"/>
        <w:gridCol w:w="1251"/>
        <w:gridCol w:w="1238"/>
        <w:gridCol w:w="1341"/>
      </w:tblGrid>
      <w:tr w:rsidR="00E20B54" w:rsidTr="003A5F3D">
        <w:trPr>
          <w:trHeight w:val="240"/>
          <w:tblHeader/>
        </w:trPr>
        <w:tc>
          <w:tcPr>
            <w:tcW w:w="0" w:type="auto"/>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项目</w:t>
            </w:r>
          </w:p>
        </w:tc>
        <w:tc>
          <w:tcPr>
            <w:tcW w:w="0" w:type="auto"/>
            <w:tcBorders>
              <w:top w:val="single" w:sz="2" w:space="0" w:color="auto"/>
              <w:left w:val="single" w:sz="2" w:space="0" w:color="auto"/>
              <w:bottom w:val="single" w:sz="2" w:space="0" w:color="auto"/>
              <w:right w:val="single" w:sz="2" w:space="0" w:color="auto"/>
            </w:tcBorders>
            <w:shd w:val="clear" w:color="auto" w:fill="D9D9D9" w:themeFill="background1" w:themeFillShade="D9"/>
            <w:vAlign w:val="center"/>
          </w:tcPr>
          <w:p w:rsidR="00E20B54" w:rsidRDefault="00733C9E">
            <w:pPr>
              <w:spacing w:line="240" w:lineRule="exact"/>
              <w:jc w:val="center"/>
              <w:rPr>
                <w:sz w:val="18"/>
                <w:szCs w:val="18"/>
              </w:rPr>
            </w:pPr>
            <w:r>
              <w:rPr>
                <w:sz w:val="18"/>
                <w:szCs w:val="18"/>
              </w:rPr>
              <w:t>房屋建筑物</w:t>
            </w:r>
          </w:p>
        </w:tc>
        <w:tc>
          <w:tcPr>
            <w:tcW w:w="0" w:type="auto"/>
            <w:tcBorders>
              <w:top w:val="single" w:sz="2" w:space="0" w:color="auto"/>
              <w:left w:val="single" w:sz="2" w:space="0" w:color="auto"/>
              <w:bottom w:val="single" w:sz="2" w:space="0" w:color="auto"/>
              <w:right w:val="single" w:sz="2" w:space="0" w:color="auto"/>
            </w:tcBorders>
            <w:shd w:val="clear" w:color="auto" w:fill="D9D9D9" w:themeFill="background1" w:themeFillShade="D9"/>
            <w:vAlign w:val="center"/>
          </w:tcPr>
          <w:p w:rsidR="00E20B54" w:rsidRDefault="00733C9E">
            <w:pPr>
              <w:spacing w:line="240" w:lineRule="exact"/>
              <w:jc w:val="center"/>
              <w:rPr>
                <w:sz w:val="18"/>
                <w:szCs w:val="18"/>
              </w:rPr>
            </w:pPr>
            <w:r>
              <w:rPr>
                <w:sz w:val="18"/>
                <w:szCs w:val="18"/>
              </w:rPr>
              <w:t>新能源设备</w:t>
            </w:r>
          </w:p>
        </w:tc>
        <w:tc>
          <w:tcPr>
            <w:tcW w:w="0" w:type="auto"/>
            <w:tcBorders>
              <w:top w:val="single" w:sz="2" w:space="0" w:color="auto"/>
              <w:left w:val="single" w:sz="2" w:space="0" w:color="auto"/>
              <w:bottom w:val="single" w:sz="2" w:space="0" w:color="auto"/>
              <w:right w:val="single" w:sz="2" w:space="0" w:color="auto"/>
            </w:tcBorders>
            <w:shd w:val="clear" w:color="auto" w:fill="D9D9D9" w:themeFill="background1" w:themeFillShade="D9"/>
            <w:vAlign w:val="center"/>
          </w:tcPr>
          <w:p w:rsidR="00E20B54" w:rsidRDefault="00733C9E">
            <w:pPr>
              <w:spacing w:line="240" w:lineRule="exact"/>
              <w:jc w:val="center"/>
              <w:rPr>
                <w:sz w:val="18"/>
                <w:szCs w:val="18"/>
              </w:rPr>
            </w:pPr>
            <w:r>
              <w:rPr>
                <w:sz w:val="18"/>
                <w:szCs w:val="18"/>
              </w:rPr>
              <w:t>算力设备</w:t>
            </w:r>
          </w:p>
        </w:tc>
        <w:tc>
          <w:tcPr>
            <w:tcW w:w="0" w:type="auto"/>
            <w:tcBorders>
              <w:top w:val="single" w:sz="2" w:space="0" w:color="auto"/>
              <w:left w:val="single" w:sz="2" w:space="0" w:color="auto"/>
              <w:bottom w:val="single" w:sz="2" w:space="0" w:color="auto"/>
              <w:right w:val="single" w:sz="2" w:space="0" w:color="auto"/>
            </w:tcBorders>
            <w:shd w:val="clear" w:color="auto" w:fill="D9D9D9" w:themeFill="background1" w:themeFillShade="D9"/>
            <w:vAlign w:val="center"/>
          </w:tcPr>
          <w:p w:rsidR="00E20B54" w:rsidRDefault="00733C9E">
            <w:pPr>
              <w:spacing w:line="240" w:lineRule="exact"/>
              <w:jc w:val="center"/>
              <w:rPr>
                <w:sz w:val="18"/>
                <w:szCs w:val="18"/>
              </w:rPr>
            </w:pPr>
            <w:r>
              <w:rPr>
                <w:sz w:val="18"/>
                <w:szCs w:val="18"/>
              </w:rPr>
              <w:t>运输设备</w:t>
            </w:r>
          </w:p>
        </w:tc>
        <w:tc>
          <w:tcPr>
            <w:tcW w:w="0" w:type="auto"/>
            <w:tcBorders>
              <w:top w:val="single" w:sz="2" w:space="0" w:color="auto"/>
              <w:left w:val="single" w:sz="2" w:space="0" w:color="auto"/>
              <w:bottom w:val="single" w:sz="2" w:space="0" w:color="auto"/>
              <w:right w:val="single" w:sz="2" w:space="0" w:color="auto"/>
            </w:tcBorders>
            <w:shd w:val="clear" w:color="auto" w:fill="D9D9D9" w:themeFill="background1" w:themeFillShade="D9"/>
            <w:vAlign w:val="center"/>
          </w:tcPr>
          <w:p w:rsidR="00E20B54" w:rsidRDefault="00733C9E">
            <w:pPr>
              <w:spacing w:line="240" w:lineRule="exact"/>
              <w:jc w:val="center"/>
              <w:rPr>
                <w:sz w:val="18"/>
                <w:szCs w:val="18"/>
              </w:rPr>
            </w:pPr>
            <w:r>
              <w:rPr>
                <w:sz w:val="18"/>
                <w:szCs w:val="18"/>
              </w:rPr>
              <w:t>电子设备</w:t>
            </w:r>
          </w:p>
        </w:tc>
        <w:tc>
          <w:tcPr>
            <w:tcW w:w="0" w:type="auto"/>
            <w:tcBorders>
              <w:top w:val="single" w:sz="2" w:space="0" w:color="auto"/>
              <w:left w:val="single" w:sz="2" w:space="0" w:color="auto"/>
              <w:bottom w:val="single" w:sz="2" w:space="0" w:color="auto"/>
              <w:right w:val="single" w:sz="2" w:space="0" w:color="auto"/>
            </w:tcBorders>
            <w:shd w:val="clear" w:color="auto" w:fill="D9D9D9" w:themeFill="background1" w:themeFillShade="D9"/>
            <w:vAlign w:val="center"/>
          </w:tcPr>
          <w:p w:rsidR="00E20B54" w:rsidRDefault="00733C9E">
            <w:pPr>
              <w:spacing w:line="240" w:lineRule="exact"/>
              <w:jc w:val="center"/>
              <w:rPr>
                <w:sz w:val="18"/>
                <w:szCs w:val="18"/>
              </w:rPr>
            </w:pPr>
            <w:r>
              <w:rPr>
                <w:sz w:val="18"/>
                <w:szCs w:val="18"/>
              </w:rPr>
              <w:t>办公设备及其他</w:t>
            </w:r>
          </w:p>
        </w:tc>
        <w:tc>
          <w:tcPr>
            <w:tcW w:w="0" w:type="auto"/>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合计</w:t>
            </w:r>
          </w:p>
        </w:tc>
      </w:tr>
      <w:tr w:rsidR="00E20B54" w:rsidTr="003A5F3D">
        <w:trPr>
          <w:trHeight w:val="240"/>
        </w:trPr>
        <w:tc>
          <w:tcPr>
            <w:tcW w:w="0" w:type="auto"/>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一、账面原值：</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r w:rsidR="00E20B54" w:rsidTr="003A5F3D">
        <w:trPr>
          <w:trHeight w:val="240"/>
        </w:trPr>
        <w:tc>
          <w:tcPr>
            <w:tcW w:w="0" w:type="auto"/>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200" w:firstLine="360"/>
              <w:rPr>
                <w:sz w:val="18"/>
                <w:szCs w:val="18"/>
              </w:rPr>
            </w:pPr>
            <w:r>
              <w:rPr>
                <w:sz w:val="18"/>
                <w:szCs w:val="18"/>
              </w:rPr>
              <w:t>1.</w:t>
            </w:r>
            <w:r>
              <w:rPr>
                <w:sz w:val="18"/>
                <w:szCs w:val="18"/>
              </w:rPr>
              <w:t>期初余额</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80,823,372.42</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42,406,157.44</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5,470,888.96</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2,869,401.21</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2,007,614.33</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133,577,434.36</w:t>
            </w:r>
          </w:p>
        </w:tc>
      </w:tr>
      <w:tr w:rsidR="00E20B54" w:rsidTr="003A5F3D">
        <w:trPr>
          <w:trHeight w:val="240"/>
        </w:trPr>
        <w:tc>
          <w:tcPr>
            <w:tcW w:w="0" w:type="auto"/>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200" w:firstLine="360"/>
              <w:rPr>
                <w:sz w:val="18"/>
                <w:szCs w:val="18"/>
              </w:rPr>
            </w:pPr>
            <w:r>
              <w:rPr>
                <w:sz w:val="18"/>
                <w:szCs w:val="18"/>
              </w:rPr>
              <w:t>2.</w:t>
            </w:r>
            <w:r>
              <w:rPr>
                <w:sz w:val="18"/>
                <w:szCs w:val="18"/>
              </w:rPr>
              <w:t>本期增加金额</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327,767.10</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137,388,068.67</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280,973,451.33</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13,428,347.72</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34,591.19</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432,152,226.01</w:t>
            </w:r>
          </w:p>
        </w:tc>
      </w:tr>
      <w:tr w:rsidR="00E20B54" w:rsidTr="003A5F3D">
        <w:trPr>
          <w:trHeight w:val="240"/>
        </w:trPr>
        <w:tc>
          <w:tcPr>
            <w:tcW w:w="0" w:type="auto"/>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400" w:firstLine="720"/>
              <w:rPr>
                <w:sz w:val="18"/>
                <w:szCs w:val="18"/>
              </w:rPr>
            </w:pPr>
            <w:r>
              <w:rPr>
                <w:sz w:val="18"/>
                <w:szCs w:val="18"/>
              </w:rPr>
              <w:t>（</w:t>
            </w:r>
            <w:r>
              <w:rPr>
                <w:sz w:val="18"/>
                <w:szCs w:val="18"/>
              </w:rPr>
              <w:t>1</w:t>
            </w:r>
            <w:r>
              <w:rPr>
                <w:sz w:val="18"/>
                <w:szCs w:val="18"/>
              </w:rPr>
              <w:t>）购置</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327,767.10</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154,011.43</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34,591.19</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516,369.72</w:t>
            </w:r>
          </w:p>
        </w:tc>
      </w:tr>
      <w:tr w:rsidR="00E20B54" w:rsidTr="003A5F3D">
        <w:trPr>
          <w:trHeight w:val="240"/>
        </w:trPr>
        <w:tc>
          <w:tcPr>
            <w:tcW w:w="0" w:type="auto"/>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400" w:firstLine="720"/>
              <w:rPr>
                <w:sz w:val="18"/>
                <w:szCs w:val="18"/>
              </w:rPr>
            </w:pPr>
            <w:r>
              <w:rPr>
                <w:sz w:val="18"/>
                <w:szCs w:val="18"/>
              </w:rPr>
              <w:t>（</w:t>
            </w:r>
            <w:r>
              <w:rPr>
                <w:sz w:val="18"/>
                <w:szCs w:val="18"/>
              </w:rPr>
              <w:t>2</w:t>
            </w:r>
            <w:r>
              <w:rPr>
                <w:sz w:val="18"/>
                <w:szCs w:val="18"/>
              </w:rPr>
              <w:t>）在建工程转入</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137,388,068.67</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280,973,451.33</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13,274,336.29</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431,635,856.29</w:t>
            </w:r>
          </w:p>
        </w:tc>
      </w:tr>
      <w:tr w:rsidR="00E20B54" w:rsidTr="003A5F3D">
        <w:trPr>
          <w:trHeight w:val="240"/>
        </w:trPr>
        <w:tc>
          <w:tcPr>
            <w:tcW w:w="0" w:type="auto"/>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400" w:firstLine="720"/>
              <w:rPr>
                <w:sz w:val="18"/>
                <w:szCs w:val="18"/>
              </w:rPr>
            </w:pPr>
            <w:r>
              <w:rPr>
                <w:sz w:val="18"/>
                <w:szCs w:val="18"/>
              </w:rPr>
              <w:t>（</w:t>
            </w:r>
            <w:r>
              <w:rPr>
                <w:sz w:val="18"/>
                <w:szCs w:val="18"/>
              </w:rPr>
              <w:t>3</w:t>
            </w:r>
            <w:r>
              <w:rPr>
                <w:sz w:val="18"/>
                <w:szCs w:val="18"/>
              </w:rPr>
              <w:t>）企业合并增加</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r w:rsidR="00E20B54" w:rsidTr="003A5F3D">
        <w:trPr>
          <w:trHeight w:val="240"/>
        </w:trPr>
        <w:tc>
          <w:tcPr>
            <w:tcW w:w="0" w:type="auto"/>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200" w:firstLine="360"/>
              <w:rPr>
                <w:sz w:val="18"/>
                <w:szCs w:val="18"/>
              </w:rPr>
            </w:pPr>
            <w:r>
              <w:rPr>
                <w:sz w:val="18"/>
                <w:szCs w:val="18"/>
              </w:rPr>
              <w:t>3.</w:t>
            </w:r>
            <w:r>
              <w:rPr>
                <w:sz w:val="18"/>
                <w:szCs w:val="18"/>
              </w:rPr>
              <w:t>本期减少金额</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334,902.55</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34,906.75</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110,566.13</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480,375.43</w:t>
            </w:r>
          </w:p>
        </w:tc>
      </w:tr>
      <w:tr w:rsidR="00E20B54" w:rsidTr="003A5F3D">
        <w:trPr>
          <w:trHeight w:val="240"/>
        </w:trPr>
        <w:tc>
          <w:tcPr>
            <w:tcW w:w="0" w:type="auto"/>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400" w:firstLine="720"/>
              <w:rPr>
                <w:sz w:val="18"/>
                <w:szCs w:val="18"/>
              </w:rPr>
            </w:pPr>
            <w:r>
              <w:rPr>
                <w:sz w:val="18"/>
                <w:szCs w:val="18"/>
              </w:rPr>
              <w:t>（</w:t>
            </w:r>
            <w:r>
              <w:rPr>
                <w:sz w:val="18"/>
                <w:szCs w:val="18"/>
              </w:rPr>
              <w:t>1</w:t>
            </w:r>
            <w:r>
              <w:rPr>
                <w:sz w:val="18"/>
                <w:szCs w:val="18"/>
              </w:rPr>
              <w:t>）处置或报废</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334,902.55</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34,906.75</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110,566.13</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480,375.43</w:t>
            </w:r>
          </w:p>
        </w:tc>
      </w:tr>
      <w:tr w:rsidR="00E20B54" w:rsidTr="003A5F3D">
        <w:trPr>
          <w:trHeight w:val="240"/>
        </w:trPr>
        <w:tc>
          <w:tcPr>
            <w:tcW w:w="0" w:type="auto"/>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200" w:firstLine="360"/>
              <w:rPr>
                <w:sz w:val="18"/>
                <w:szCs w:val="18"/>
              </w:rPr>
            </w:pPr>
            <w:r>
              <w:rPr>
                <w:sz w:val="18"/>
                <w:szCs w:val="18"/>
              </w:rPr>
              <w:t>4.</w:t>
            </w:r>
            <w:r>
              <w:rPr>
                <w:sz w:val="18"/>
                <w:szCs w:val="18"/>
              </w:rPr>
              <w:t>期末余额</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81,151,139.52</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179,794,226.11</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280,973,451.33</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5,135,986.41</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16,262,842.18</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1,931,639.39</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565,249,284.94</w:t>
            </w:r>
          </w:p>
        </w:tc>
      </w:tr>
      <w:tr w:rsidR="00E20B54" w:rsidTr="003A5F3D">
        <w:trPr>
          <w:trHeight w:val="240"/>
        </w:trPr>
        <w:tc>
          <w:tcPr>
            <w:tcW w:w="0" w:type="auto"/>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二、累计折旧</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r w:rsidR="00E20B54" w:rsidTr="003A5F3D">
        <w:trPr>
          <w:trHeight w:val="240"/>
        </w:trPr>
        <w:tc>
          <w:tcPr>
            <w:tcW w:w="0" w:type="auto"/>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200" w:firstLine="360"/>
              <w:rPr>
                <w:sz w:val="18"/>
                <w:szCs w:val="18"/>
              </w:rPr>
            </w:pPr>
            <w:r>
              <w:rPr>
                <w:sz w:val="18"/>
                <w:szCs w:val="18"/>
              </w:rPr>
              <w:t>1.</w:t>
            </w:r>
            <w:r>
              <w:rPr>
                <w:sz w:val="18"/>
                <w:szCs w:val="18"/>
              </w:rPr>
              <w:t>期初余额</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2,527,721.10</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337,078.88</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1,993,467.98</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2,151,025.04</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1,541,759.27</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8,551,052.27</w:t>
            </w:r>
          </w:p>
        </w:tc>
      </w:tr>
      <w:tr w:rsidR="00E20B54" w:rsidTr="003A5F3D">
        <w:trPr>
          <w:trHeight w:val="240"/>
        </w:trPr>
        <w:tc>
          <w:tcPr>
            <w:tcW w:w="0" w:type="auto"/>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200" w:firstLine="360"/>
              <w:rPr>
                <w:sz w:val="18"/>
                <w:szCs w:val="18"/>
              </w:rPr>
            </w:pPr>
            <w:r>
              <w:rPr>
                <w:sz w:val="18"/>
                <w:szCs w:val="18"/>
              </w:rPr>
              <w:t>2.</w:t>
            </w:r>
            <w:r>
              <w:rPr>
                <w:sz w:val="18"/>
                <w:szCs w:val="18"/>
              </w:rPr>
              <w:t>本</w:t>
            </w:r>
            <w:r>
              <w:rPr>
                <w:sz w:val="18"/>
                <w:szCs w:val="18"/>
              </w:rPr>
              <w:lastRenderedPageBreak/>
              <w:t>期增加金额</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lastRenderedPageBreak/>
              <w:t>2,569,786.08</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6,815,222.44</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31,229,028.38</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415,120.43</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2,495,527.68</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95,741.68</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43,620,426.69</w:t>
            </w:r>
          </w:p>
        </w:tc>
      </w:tr>
      <w:tr w:rsidR="00E20B54" w:rsidTr="003A5F3D">
        <w:trPr>
          <w:trHeight w:val="240"/>
        </w:trPr>
        <w:tc>
          <w:tcPr>
            <w:tcW w:w="0" w:type="auto"/>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400" w:firstLine="720"/>
              <w:rPr>
                <w:sz w:val="18"/>
                <w:szCs w:val="18"/>
              </w:rPr>
            </w:pPr>
            <w:r>
              <w:rPr>
                <w:sz w:val="18"/>
                <w:szCs w:val="18"/>
              </w:rPr>
              <w:lastRenderedPageBreak/>
              <w:t>（</w:t>
            </w:r>
            <w:r>
              <w:rPr>
                <w:sz w:val="18"/>
                <w:szCs w:val="18"/>
              </w:rPr>
              <w:t>1</w:t>
            </w:r>
            <w:r>
              <w:rPr>
                <w:sz w:val="18"/>
                <w:szCs w:val="18"/>
              </w:rPr>
              <w:t>）计提</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2,569,786.08</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6,815,222.44</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31,229,028.38</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415,120.43</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2,495,527.68</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95,741.68</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43,620,426.69</w:t>
            </w:r>
          </w:p>
        </w:tc>
      </w:tr>
      <w:tr w:rsidR="00E20B54" w:rsidTr="003A5F3D">
        <w:trPr>
          <w:trHeight w:val="240"/>
        </w:trPr>
        <w:tc>
          <w:tcPr>
            <w:tcW w:w="0" w:type="auto"/>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200" w:firstLine="360"/>
              <w:rPr>
                <w:sz w:val="18"/>
                <w:szCs w:val="18"/>
              </w:rPr>
            </w:pPr>
            <w:r>
              <w:rPr>
                <w:sz w:val="18"/>
                <w:szCs w:val="18"/>
              </w:rPr>
              <w:t>3.</w:t>
            </w:r>
            <w:r>
              <w:rPr>
                <w:sz w:val="18"/>
                <w:szCs w:val="18"/>
              </w:rPr>
              <w:t>本期减少金额</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278,387.55</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33,161.51</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105,037.53</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416,586.59</w:t>
            </w:r>
          </w:p>
        </w:tc>
      </w:tr>
      <w:tr w:rsidR="00E20B54" w:rsidTr="003A5F3D">
        <w:trPr>
          <w:trHeight w:val="240"/>
        </w:trPr>
        <w:tc>
          <w:tcPr>
            <w:tcW w:w="0" w:type="auto"/>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400" w:firstLine="720"/>
              <w:rPr>
                <w:sz w:val="18"/>
                <w:szCs w:val="18"/>
              </w:rPr>
            </w:pPr>
            <w:r>
              <w:rPr>
                <w:sz w:val="18"/>
                <w:szCs w:val="18"/>
              </w:rPr>
              <w:t>（</w:t>
            </w:r>
            <w:r>
              <w:rPr>
                <w:sz w:val="18"/>
                <w:szCs w:val="18"/>
              </w:rPr>
              <w:t>1</w:t>
            </w:r>
            <w:r>
              <w:rPr>
                <w:sz w:val="18"/>
                <w:szCs w:val="18"/>
              </w:rPr>
              <w:t>）处置或报废</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278,387.55</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33,161.51</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105,037.53</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416,586.59</w:t>
            </w:r>
          </w:p>
        </w:tc>
      </w:tr>
      <w:tr w:rsidR="00E20B54" w:rsidTr="003A5F3D">
        <w:trPr>
          <w:trHeight w:val="240"/>
        </w:trPr>
        <w:tc>
          <w:tcPr>
            <w:tcW w:w="0" w:type="auto"/>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200" w:firstLine="360"/>
              <w:rPr>
                <w:sz w:val="18"/>
                <w:szCs w:val="18"/>
              </w:rPr>
            </w:pPr>
            <w:r>
              <w:rPr>
                <w:sz w:val="18"/>
                <w:szCs w:val="18"/>
              </w:rPr>
              <w:t>4.</w:t>
            </w:r>
            <w:r>
              <w:rPr>
                <w:sz w:val="18"/>
                <w:szCs w:val="18"/>
              </w:rPr>
              <w:t>期末余额</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5,097,507.18</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7,152,301.32</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31,229,028.38</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2,130,200.86</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4,613,391.21</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1,532,463.42</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51,754,892.37</w:t>
            </w:r>
          </w:p>
        </w:tc>
      </w:tr>
      <w:tr w:rsidR="00E20B54" w:rsidTr="003A5F3D">
        <w:trPr>
          <w:trHeight w:val="240"/>
        </w:trPr>
        <w:tc>
          <w:tcPr>
            <w:tcW w:w="0" w:type="auto"/>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三、减值准备</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r w:rsidR="00E20B54" w:rsidTr="003A5F3D">
        <w:trPr>
          <w:trHeight w:val="240"/>
        </w:trPr>
        <w:tc>
          <w:tcPr>
            <w:tcW w:w="0" w:type="auto"/>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200" w:firstLine="360"/>
              <w:rPr>
                <w:sz w:val="18"/>
                <w:szCs w:val="18"/>
              </w:rPr>
            </w:pPr>
            <w:r>
              <w:rPr>
                <w:sz w:val="18"/>
                <w:szCs w:val="18"/>
              </w:rPr>
              <w:t>1.</w:t>
            </w:r>
            <w:r>
              <w:rPr>
                <w:sz w:val="18"/>
                <w:szCs w:val="18"/>
              </w:rPr>
              <w:t>期初余额</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r w:rsidR="00E20B54" w:rsidTr="003A5F3D">
        <w:trPr>
          <w:trHeight w:val="240"/>
        </w:trPr>
        <w:tc>
          <w:tcPr>
            <w:tcW w:w="0" w:type="auto"/>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200" w:firstLine="360"/>
              <w:rPr>
                <w:sz w:val="18"/>
                <w:szCs w:val="18"/>
              </w:rPr>
            </w:pPr>
            <w:r>
              <w:rPr>
                <w:sz w:val="18"/>
                <w:szCs w:val="18"/>
              </w:rPr>
              <w:t>2.</w:t>
            </w:r>
            <w:r>
              <w:rPr>
                <w:sz w:val="18"/>
                <w:szCs w:val="18"/>
              </w:rPr>
              <w:t>本期增加金额</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r w:rsidR="00E20B54" w:rsidTr="003A5F3D">
        <w:trPr>
          <w:trHeight w:val="240"/>
        </w:trPr>
        <w:tc>
          <w:tcPr>
            <w:tcW w:w="0" w:type="auto"/>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400" w:firstLine="720"/>
              <w:rPr>
                <w:sz w:val="18"/>
                <w:szCs w:val="18"/>
              </w:rPr>
            </w:pPr>
            <w:r>
              <w:rPr>
                <w:sz w:val="18"/>
                <w:szCs w:val="18"/>
              </w:rPr>
              <w:t>（</w:t>
            </w:r>
            <w:r>
              <w:rPr>
                <w:sz w:val="18"/>
                <w:szCs w:val="18"/>
              </w:rPr>
              <w:t>1</w:t>
            </w:r>
            <w:r>
              <w:rPr>
                <w:sz w:val="18"/>
                <w:szCs w:val="18"/>
              </w:rPr>
              <w:t>）计提</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r w:rsidR="00E20B54" w:rsidTr="003A5F3D">
        <w:trPr>
          <w:trHeight w:val="240"/>
        </w:trPr>
        <w:tc>
          <w:tcPr>
            <w:tcW w:w="0" w:type="auto"/>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200" w:firstLine="360"/>
              <w:rPr>
                <w:sz w:val="18"/>
                <w:szCs w:val="18"/>
              </w:rPr>
            </w:pPr>
            <w:r>
              <w:rPr>
                <w:sz w:val="18"/>
                <w:szCs w:val="18"/>
              </w:rPr>
              <w:t>3.</w:t>
            </w:r>
            <w:r>
              <w:rPr>
                <w:sz w:val="18"/>
                <w:szCs w:val="18"/>
              </w:rPr>
              <w:t>本期减少金额</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r w:rsidR="00E20B54" w:rsidTr="003A5F3D">
        <w:trPr>
          <w:trHeight w:val="240"/>
        </w:trPr>
        <w:tc>
          <w:tcPr>
            <w:tcW w:w="0" w:type="auto"/>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400" w:firstLine="720"/>
              <w:rPr>
                <w:sz w:val="18"/>
                <w:szCs w:val="18"/>
              </w:rPr>
            </w:pPr>
            <w:r>
              <w:rPr>
                <w:sz w:val="18"/>
                <w:szCs w:val="18"/>
              </w:rPr>
              <w:t>（</w:t>
            </w:r>
            <w:r>
              <w:rPr>
                <w:sz w:val="18"/>
                <w:szCs w:val="18"/>
              </w:rPr>
              <w:t>1</w:t>
            </w:r>
            <w:r>
              <w:rPr>
                <w:sz w:val="18"/>
                <w:szCs w:val="18"/>
              </w:rPr>
              <w:t>）处置或报废</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r w:rsidR="00E20B54" w:rsidTr="003A5F3D">
        <w:trPr>
          <w:trHeight w:val="240"/>
        </w:trPr>
        <w:tc>
          <w:tcPr>
            <w:tcW w:w="0" w:type="auto"/>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200" w:firstLine="360"/>
              <w:rPr>
                <w:sz w:val="18"/>
                <w:szCs w:val="18"/>
              </w:rPr>
            </w:pPr>
            <w:r>
              <w:rPr>
                <w:sz w:val="18"/>
                <w:szCs w:val="18"/>
              </w:rPr>
              <w:t>4.</w:t>
            </w:r>
            <w:r>
              <w:rPr>
                <w:sz w:val="18"/>
                <w:szCs w:val="18"/>
              </w:rPr>
              <w:t>期末余额</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r w:rsidR="00E20B54" w:rsidTr="003A5F3D">
        <w:trPr>
          <w:trHeight w:val="240"/>
        </w:trPr>
        <w:tc>
          <w:tcPr>
            <w:tcW w:w="0" w:type="auto"/>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四、账面价值</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r w:rsidR="00E20B54" w:rsidTr="003A5F3D">
        <w:trPr>
          <w:trHeight w:val="240"/>
        </w:trPr>
        <w:tc>
          <w:tcPr>
            <w:tcW w:w="0" w:type="auto"/>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200" w:firstLine="360"/>
              <w:rPr>
                <w:sz w:val="18"/>
                <w:szCs w:val="18"/>
              </w:rPr>
            </w:pPr>
            <w:r>
              <w:rPr>
                <w:sz w:val="18"/>
                <w:szCs w:val="18"/>
              </w:rPr>
              <w:t>1.</w:t>
            </w:r>
            <w:r>
              <w:rPr>
                <w:sz w:val="18"/>
                <w:szCs w:val="18"/>
              </w:rPr>
              <w:t>期末账面价值</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76,053,632.34</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172,641,924.79</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249,744,422.95</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3,005,785.55</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11,649,450.97</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399,175.97</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513,494,392.57</w:t>
            </w:r>
          </w:p>
        </w:tc>
      </w:tr>
      <w:tr w:rsidR="00E20B54" w:rsidTr="003A5F3D">
        <w:trPr>
          <w:trHeight w:val="240"/>
        </w:trPr>
        <w:tc>
          <w:tcPr>
            <w:tcW w:w="0" w:type="auto"/>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200" w:firstLine="360"/>
              <w:rPr>
                <w:sz w:val="18"/>
                <w:szCs w:val="18"/>
              </w:rPr>
            </w:pPr>
            <w:r>
              <w:rPr>
                <w:sz w:val="18"/>
                <w:szCs w:val="18"/>
              </w:rPr>
              <w:t>2.</w:t>
            </w:r>
            <w:r>
              <w:rPr>
                <w:sz w:val="18"/>
                <w:szCs w:val="18"/>
              </w:rPr>
              <w:t>期初账面价值</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78,295,651.32</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42,069,078.56</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3,477,420.98</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718,376.17</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465,855.06</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125,026,382.09</w:t>
            </w:r>
          </w:p>
        </w:tc>
      </w:tr>
    </w:tbl>
    <w:p w:rsidR="00E20B54" w:rsidRDefault="00733C9E">
      <w:pPr>
        <w:keepNext/>
        <w:keepLines/>
        <w:spacing w:before="300" w:after="300" w:line="280" w:lineRule="exact"/>
        <w:outlineLvl w:val="3"/>
        <w:rPr>
          <w:b/>
          <w:bCs/>
          <w:szCs w:val="21"/>
        </w:rPr>
      </w:pPr>
      <w:bookmarkStart w:id="273" w:name="_Toc989161"/>
      <w:r>
        <w:rPr>
          <w:b/>
          <w:bCs/>
          <w:szCs w:val="21"/>
        </w:rPr>
        <w:t>（</w:t>
      </w:r>
      <w:r>
        <w:rPr>
          <w:b/>
          <w:bCs/>
          <w:szCs w:val="21"/>
        </w:rPr>
        <w:t>2</w:t>
      </w:r>
      <w:r>
        <w:rPr>
          <w:b/>
          <w:bCs/>
          <w:szCs w:val="21"/>
        </w:rPr>
        <w:t>）</w:t>
      </w:r>
      <w:r>
        <w:rPr>
          <w:b/>
          <w:bCs/>
          <w:szCs w:val="21"/>
        </w:rPr>
        <w:t xml:space="preserve"> </w:t>
      </w:r>
      <w:r>
        <w:rPr>
          <w:b/>
          <w:bCs/>
          <w:szCs w:val="21"/>
        </w:rPr>
        <w:t>暂时闲置的固定资产情况</w:t>
      </w:r>
      <w:bookmarkEnd w:id="273"/>
    </w:p>
    <w:p w:rsidR="00E20B54" w:rsidRDefault="00733C9E">
      <w:pPr>
        <w:spacing w:before="40" w:after="40" w:line="240" w:lineRule="exact"/>
        <w:jc w:val="right"/>
        <w:rPr>
          <w:sz w:val="18"/>
          <w:szCs w:val="18"/>
        </w:rPr>
      </w:pPr>
      <w:r>
        <w:rPr>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606"/>
        <w:gridCol w:w="1606"/>
        <w:gridCol w:w="1606"/>
        <w:gridCol w:w="1607"/>
        <w:gridCol w:w="1607"/>
        <w:gridCol w:w="1607"/>
      </w:tblGrid>
      <w:tr w:rsidR="00E20B54">
        <w:trPr>
          <w:trHeight w:val="240"/>
        </w:trPr>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项目</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账面原值</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累计折旧</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减值准备</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账面价值</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备注</w:t>
            </w:r>
          </w:p>
        </w:tc>
      </w:tr>
    </w:tbl>
    <w:p w:rsidR="00E20B54" w:rsidRDefault="00733C9E">
      <w:pPr>
        <w:keepNext/>
        <w:keepLines/>
        <w:spacing w:before="300" w:after="300" w:line="280" w:lineRule="exact"/>
        <w:outlineLvl w:val="3"/>
        <w:rPr>
          <w:b/>
          <w:bCs/>
          <w:szCs w:val="21"/>
        </w:rPr>
      </w:pPr>
      <w:bookmarkStart w:id="274" w:name="_Toc989162"/>
      <w:r>
        <w:rPr>
          <w:b/>
          <w:bCs/>
          <w:szCs w:val="21"/>
        </w:rPr>
        <w:t>（</w:t>
      </w:r>
      <w:r>
        <w:rPr>
          <w:b/>
          <w:bCs/>
          <w:szCs w:val="21"/>
        </w:rPr>
        <w:t>3</w:t>
      </w:r>
      <w:r>
        <w:rPr>
          <w:b/>
          <w:bCs/>
          <w:szCs w:val="21"/>
        </w:rPr>
        <w:t>）</w:t>
      </w:r>
      <w:r>
        <w:rPr>
          <w:b/>
          <w:bCs/>
          <w:szCs w:val="21"/>
        </w:rPr>
        <w:t xml:space="preserve"> </w:t>
      </w:r>
      <w:r>
        <w:rPr>
          <w:b/>
          <w:bCs/>
          <w:szCs w:val="21"/>
        </w:rPr>
        <w:t>通过经营租赁租出的固定资产</w:t>
      </w:r>
      <w:bookmarkEnd w:id="274"/>
    </w:p>
    <w:p w:rsidR="00E20B54" w:rsidRDefault="00733C9E">
      <w:pPr>
        <w:spacing w:before="40" w:after="40" w:line="240" w:lineRule="exact"/>
        <w:jc w:val="right"/>
        <w:rPr>
          <w:sz w:val="18"/>
          <w:szCs w:val="18"/>
        </w:rPr>
      </w:pPr>
      <w:r>
        <w:rPr>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4820"/>
        <w:gridCol w:w="4819"/>
      </w:tblGrid>
      <w:tr w:rsidR="00E20B54">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项目</w:t>
            </w:r>
          </w:p>
        </w:tc>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期末账面价值</w:t>
            </w:r>
          </w:p>
        </w:tc>
      </w:tr>
    </w:tbl>
    <w:p w:rsidR="00E20B54" w:rsidRDefault="00733C9E">
      <w:pPr>
        <w:keepNext/>
        <w:keepLines/>
        <w:spacing w:before="300" w:after="300" w:line="280" w:lineRule="exact"/>
        <w:outlineLvl w:val="3"/>
        <w:rPr>
          <w:b/>
          <w:bCs/>
          <w:szCs w:val="21"/>
        </w:rPr>
      </w:pPr>
      <w:bookmarkStart w:id="275" w:name="_Toc989163"/>
      <w:r>
        <w:rPr>
          <w:b/>
          <w:bCs/>
          <w:szCs w:val="21"/>
        </w:rPr>
        <w:lastRenderedPageBreak/>
        <w:t>（</w:t>
      </w:r>
      <w:r>
        <w:rPr>
          <w:b/>
          <w:bCs/>
          <w:szCs w:val="21"/>
        </w:rPr>
        <w:t>4</w:t>
      </w:r>
      <w:r>
        <w:rPr>
          <w:b/>
          <w:bCs/>
          <w:szCs w:val="21"/>
        </w:rPr>
        <w:t>）</w:t>
      </w:r>
      <w:r>
        <w:rPr>
          <w:b/>
          <w:bCs/>
          <w:szCs w:val="21"/>
        </w:rPr>
        <w:t xml:space="preserve"> </w:t>
      </w:r>
      <w:r>
        <w:rPr>
          <w:b/>
          <w:bCs/>
          <w:szCs w:val="21"/>
        </w:rPr>
        <w:t>未办妥产权证书的固定资产情况</w:t>
      </w:r>
      <w:bookmarkEnd w:id="275"/>
    </w:p>
    <w:p w:rsidR="00E20B54" w:rsidRDefault="00733C9E">
      <w:pPr>
        <w:spacing w:before="40" w:after="40" w:line="240" w:lineRule="exact"/>
        <w:jc w:val="right"/>
        <w:rPr>
          <w:sz w:val="18"/>
          <w:szCs w:val="18"/>
        </w:rPr>
      </w:pPr>
      <w:r>
        <w:rPr>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项目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账面价值</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未办妥产权证书的原因</w:t>
            </w:r>
          </w:p>
        </w:tc>
      </w:tr>
    </w:tbl>
    <w:p w:rsidR="00E20B54" w:rsidRDefault="00733C9E">
      <w:pPr>
        <w:spacing w:before="100" w:after="100" w:line="240" w:lineRule="exact"/>
        <w:rPr>
          <w:sz w:val="18"/>
          <w:szCs w:val="18"/>
        </w:rPr>
      </w:pPr>
      <w:r>
        <w:rPr>
          <w:sz w:val="18"/>
          <w:szCs w:val="18"/>
        </w:rPr>
        <w:t>其他说明：</w:t>
      </w:r>
    </w:p>
    <w:p w:rsidR="00E20B54" w:rsidRDefault="00733C9E">
      <w:pPr>
        <w:keepNext/>
        <w:keepLines/>
        <w:spacing w:before="300" w:after="300" w:line="280" w:lineRule="exact"/>
        <w:outlineLvl w:val="3"/>
        <w:rPr>
          <w:b/>
          <w:bCs/>
          <w:szCs w:val="21"/>
        </w:rPr>
      </w:pPr>
      <w:bookmarkStart w:id="276" w:name="_Toc989164"/>
      <w:r>
        <w:rPr>
          <w:b/>
          <w:bCs/>
          <w:szCs w:val="21"/>
        </w:rPr>
        <w:t>（</w:t>
      </w:r>
      <w:r>
        <w:rPr>
          <w:b/>
          <w:bCs/>
          <w:szCs w:val="21"/>
        </w:rPr>
        <w:t>5</w:t>
      </w:r>
      <w:r>
        <w:rPr>
          <w:b/>
          <w:bCs/>
          <w:szCs w:val="21"/>
        </w:rPr>
        <w:t>）</w:t>
      </w:r>
      <w:r>
        <w:rPr>
          <w:b/>
          <w:bCs/>
          <w:szCs w:val="21"/>
        </w:rPr>
        <w:t xml:space="preserve"> </w:t>
      </w:r>
      <w:r>
        <w:rPr>
          <w:b/>
          <w:bCs/>
          <w:szCs w:val="21"/>
        </w:rPr>
        <w:t>固定资产的减值测试情况</w:t>
      </w:r>
      <w:bookmarkEnd w:id="276"/>
    </w:p>
    <w:p w:rsidR="00E20B54" w:rsidRDefault="00733C9E">
      <w:pPr>
        <w:spacing w:before="100" w:after="100" w:line="240" w:lineRule="exact"/>
        <w:rPr>
          <w:sz w:val="18"/>
          <w:szCs w:val="18"/>
        </w:rPr>
      </w:pPr>
      <w:r>
        <w:rPr>
          <w:sz w:val="18"/>
          <w:szCs w:val="18"/>
        </w:rPr>
        <w:t>□</w:t>
      </w:r>
      <w:r>
        <w:rPr>
          <w:sz w:val="18"/>
          <w:szCs w:val="18"/>
        </w:rPr>
        <w:t>适用</w:t>
      </w:r>
      <w:r>
        <w:rPr>
          <w:sz w:val="18"/>
          <w:szCs w:val="18"/>
        </w:rPr>
        <w:t xml:space="preserve"> </w:t>
      </w:r>
      <w:r>
        <w:rPr>
          <w:sz w:val="18"/>
          <w:szCs w:val="18"/>
        </w:rPr>
        <w:sym w:font="Wingdings 2" w:char="F052"/>
      </w:r>
      <w:r>
        <w:rPr>
          <w:sz w:val="18"/>
          <w:szCs w:val="18"/>
        </w:rPr>
        <w:t>不适用</w:t>
      </w:r>
    </w:p>
    <w:p w:rsidR="00E20B54" w:rsidRDefault="00733C9E">
      <w:pPr>
        <w:keepNext/>
        <w:keepLines/>
        <w:spacing w:before="300" w:after="300" w:line="280" w:lineRule="exact"/>
        <w:outlineLvl w:val="3"/>
        <w:rPr>
          <w:b/>
          <w:bCs/>
          <w:szCs w:val="21"/>
        </w:rPr>
      </w:pPr>
      <w:bookmarkStart w:id="277" w:name="_Toc989165"/>
      <w:r>
        <w:rPr>
          <w:b/>
          <w:bCs/>
          <w:szCs w:val="21"/>
        </w:rPr>
        <w:t>（</w:t>
      </w:r>
      <w:r>
        <w:rPr>
          <w:b/>
          <w:bCs/>
          <w:szCs w:val="21"/>
        </w:rPr>
        <w:t>6</w:t>
      </w:r>
      <w:r>
        <w:rPr>
          <w:b/>
          <w:bCs/>
          <w:szCs w:val="21"/>
        </w:rPr>
        <w:t>）</w:t>
      </w:r>
      <w:r>
        <w:rPr>
          <w:b/>
          <w:bCs/>
          <w:szCs w:val="21"/>
        </w:rPr>
        <w:t xml:space="preserve"> </w:t>
      </w:r>
      <w:r>
        <w:rPr>
          <w:b/>
          <w:bCs/>
          <w:szCs w:val="21"/>
        </w:rPr>
        <w:t>固定资产清理</w:t>
      </w:r>
      <w:bookmarkEnd w:id="277"/>
    </w:p>
    <w:p w:rsidR="00E20B54" w:rsidRDefault="00733C9E">
      <w:pPr>
        <w:spacing w:before="40" w:after="40" w:line="240" w:lineRule="exact"/>
        <w:jc w:val="right"/>
        <w:rPr>
          <w:sz w:val="18"/>
          <w:szCs w:val="18"/>
        </w:rPr>
      </w:pPr>
      <w:r>
        <w:rPr>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项目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期末余额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期初余额</w:t>
            </w:r>
          </w:p>
        </w:tc>
      </w:tr>
    </w:tbl>
    <w:p w:rsidR="00E20B54" w:rsidRDefault="00733C9E">
      <w:pPr>
        <w:spacing w:before="100" w:after="100" w:line="240" w:lineRule="exact"/>
        <w:rPr>
          <w:sz w:val="18"/>
          <w:szCs w:val="18"/>
        </w:rPr>
      </w:pPr>
      <w:r>
        <w:rPr>
          <w:sz w:val="18"/>
          <w:szCs w:val="18"/>
        </w:rPr>
        <w:t>其他说明：</w:t>
      </w:r>
    </w:p>
    <w:p w:rsidR="00E20B54" w:rsidRDefault="00733C9E">
      <w:pPr>
        <w:pStyle w:val="3"/>
        <w:spacing w:line="280" w:lineRule="exact"/>
        <w:jc w:val="left"/>
        <w:rPr>
          <w:b/>
          <w:bCs/>
        </w:rPr>
      </w:pPr>
      <w:bookmarkStart w:id="278" w:name="_Toc989166"/>
      <w:r>
        <w:rPr>
          <w:b/>
          <w:bCs/>
        </w:rPr>
        <w:t>14</w:t>
      </w:r>
      <w:r>
        <w:rPr>
          <w:b/>
          <w:bCs/>
        </w:rPr>
        <w:t>、在建工程</w:t>
      </w:r>
      <w:bookmarkEnd w:id="278"/>
    </w:p>
    <w:p w:rsidR="00E20B54" w:rsidRDefault="00733C9E">
      <w:pPr>
        <w:spacing w:before="40" w:after="40" w:line="240" w:lineRule="exact"/>
        <w:jc w:val="right"/>
        <w:rPr>
          <w:sz w:val="18"/>
          <w:szCs w:val="18"/>
        </w:rPr>
      </w:pPr>
      <w:r>
        <w:rPr>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项目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期末余额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期初余额</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在建工程</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350,737,899.50</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合计</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350,737,899.50</w:t>
            </w:r>
          </w:p>
        </w:tc>
      </w:tr>
    </w:tbl>
    <w:p w:rsidR="00E20B54" w:rsidRDefault="00733C9E">
      <w:pPr>
        <w:keepNext/>
        <w:keepLines/>
        <w:spacing w:before="300" w:after="300" w:line="280" w:lineRule="exact"/>
        <w:outlineLvl w:val="3"/>
        <w:rPr>
          <w:b/>
          <w:bCs/>
          <w:szCs w:val="21"/>
        </w:rPr>
      </w:pPr>
      <w:bookmarkStart w:id="279" w:name="_Toc989167"/>
      <w:r>
        <w:rPr>
          <w:b/>
          <w:bCs/>
          <w:szCs w:val="21"/>
        </w:rPr>
        <w:t>（</w:t>
      </w:r>
      <w:r>
        <w:rPr>
          <w:b/>
          <w:bCs/>
          <w:szCs w:val="21"/>
        </w:rPr>
        <w:t>1</w:t>
      </w:r>
      <w:r>
        <w:rPr>
          <w:b/>
          <w:bCs/>
          <w:szCs w:val="21"/>
        </w:rPr>
        <w:t>）</w:t>
      </w:r>
      <w:r>
        <w:rPr>
          <w:b/>
          <w:bCs/>
          <w:szCs w:val="21"/>
        </w:rPr>
        <w:t xml:space="preserve"> </w:t>
      </w:r>
      <w:r>
        <w:rPr>
          <w:b/>
          <w:bCs/>
          <w:szCs w:val="21"/>
        </w:rPr>
        <w:t>在建工程情况</w:t>
      </w:r>
      <w:bookmarkEnd w:id="279"/>
    </w:p>
    <w:p w:rsidR="00E20B54" w:rsidRDefault="00733C9E">
      <w:pPr>
        <w:spacing w:before="40" w:after="40" w:line="240" w:lineRule="exact"/>
        <w:jc w:val="right"/>
        <w:rPr>
          <w:sz w:val="18"/>
          <w:szCs w:val="18"/>
        </w:rPr>
      </w:pPr>
      <w:r>
        <w:rPr>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377"/>
        <w:gridCol w:w="1377"/>
        <w:gridCol w:w="1377"/>
        <w:gridCol w:w="1377"/>
        <w:gridCol w:w="1377"/>
        <w:gridCol w:w="1377"/>
        <w:gridCol w:w="1377"/>
      </w:tblGrid>
      <w:tr w:rsidR="00E20B54">
        <w:trPr>
          <w:trHeight w:val="240"/>
        </w:trPr>
        <w:tc>
          <w:tcPr>
            <w:tcW w:w="1377"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项目</w:t>
            </w:r>
          </w:p>
        </w:tc>
        <w:tc>
          <w:tcPr>
            <w:tcW w:w="4131" w:type="dxa"/>
            <w:gridSpan w:val="3"/>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期末余额</w:t>
            </w:r>
          </w:p>
        </w:tc>
        <w:tc>
          <w:tcPr>
            <w:tcW w:w="4131" w:type="dxa"/>
            <w:gridSpan w:val="3"/>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期初余额</w:t>
            </w:r>
          </w:p>
        </w:tc>
      </w:tr>
      <w:tr w:rsidR="00E20B54">
        <w:trPr>
          <w:trHeight w:val="240"/>
        </w:trPr>
        <w:tc>
          <w:tcPr>
            <w:tcW w:w="1377"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账面余额</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减值准备</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账面价值</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账面余额</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减值准备</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账面价值</w:t>
            </w:r>
          </w:p>
        </w:tc>
      </w:tr>
      <w:tr w:rsidR="00E20B54">
        <w:trPr>
          <w:trHeight w:val="240"/>
        </w:trPr>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海逸</w:t>
            </w:r>
            <w:r>
              <w:rPr>
                <w:sz w:val="18"/>
                <w:szCs w:val="18"/>
              </w:rPr>
              <w:t>7</w:t>
            </w:r>
            <w:r>
              <w:rPr>
                <w:sz w:val="18"/>
                <w:szCs w:val="18"/>
              </w:rPr>
              <w:t>楼办公装修</w:t>
            </w:r>
            <w:r>
              <w:rPr>
                <w:sz w:val="18"/>
                <w:szCs w:val="18"/>
              </w:rPr>
              <w:t>+</w:t>
            </w:r>
            <w:r>
              <w:rPr>
                <w:sz w:val="18"/>
                <w:szCs w:val="18"/>
              </w:rPr>
              <w:t>弱电项目</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509,080.28</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509,080.28</w:t>
            </w:r>
          </w:p>
        </w:tc>
      </w:tr>
      <w:tr w:rsidR="00E20B54">
        <w:trPr>
          <w:trHeight w:val="240"/>
        </w:trPr>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天宝实业分布式光伏项目发电项目</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53,326,359.55</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53,326,359.55</w:t>
            </w:r>
          </w:p>
        </w:tc>
      </w:tr>
      <w:tr w:rsidR="00E20B54">
        <w:trPr>
          <w:trHeight w:val="240"/>
        </w:trPr>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广西锦江火浪</w:t>
            </w:r>
            <w:r>
              <w:rPr>
                <w:sz w:val="18"/>
                <w:szCs w:val="18"/>
              </w:rPr>
              <w:t>3.379MWp</w:t>
            </w:r>
            <w:r>
              <w:rPr>
                <w:sz w:val="18"/>
                <w:szCs w:val="18"/>
              </w:rPr>
              <w:t>屋顶分布式光伏项目</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2,654,672.05</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2,654,672.05</w:t>
            </w:r>
          </w:p>
        </w:tc>
      </w:tr>
      <w:tr w:rsidR="00E20B54">
        <w:trPr>
          <w:trHeight w:val="240"/>
        </w:trPr>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深圳天亿马公司与某客户算力网络集群服务项目</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294,247,787.62</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294,247,787.62</w:t>
            </w:r>
          </w:p>
        </w:tc>
      </w:tr>
      <w:tr w:rsidR="00E20B54">
        <w:trPr>
          <w:trHeight w:val="240"/>
        </w:trPr>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合计</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350,737,899.50</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350,737,899.50</w:t>
            </w:r>
          </w:p>
        </w:tc>
      </w:tr>
    </w:tbl>
    <w:p w:rsidR="00E20B54" w:rsidRDefault="00733C9E">
      <w:pPr>
        <w:keepNext/>
        <w:keepLines/>
        <w:spacing w:before="300" w:after="300" w:line="280" w:lineRule="exact"/>
        <w:outlineLvl w:val="3"/>
        <w:rPr>
          <w:b/>
          <w:bCs/>
          <w:szCs w:val="21"/>
        </w:rPr>
      </w:pPr>
      <w:bookmarkStart w:id="280" w:name="_Toc989168"/>
      <w:r>
        <w:rPr>
          <w:b/>
          <w:bCs/>
          <w:szCs w:val="21"/>
        </w:rPr>
        <w:t>（</w:t>
      </w:r>
      <w:r>
        <w:rPr>
          <w:b/>
          <w:bCs/>
          <w:szCs w:val="21"/>
        </w:rPr>
        <w:t>2</w:t>
      </w:r>
      <w:r>
        <w:rPr>
          <w:b/>
          <w:bCs/>
          <w:szCs w:val="21"/>
        </w:rPr>
        <w:t>）</w:t>
      </w:r>
      <w:r>
        <w:rPr>
          <w:b/>
          <w:bCs/>
          <w:szCs w:val="21"/>
        </w:rPr>
        <w:t xml:space="preserve"> </w:t>
      </w:r>
      <w:r>
        <w:rPr>
          <w:b/>
          <w:bCs/>
          <w:szCs w:val="21"/>
        </w:rPr>
        <w:t>重要在建工程项目本期变动情况</w:t>
      </w:r>
      <w:bookmarkEnd w:id="280"/>
    </w:p>
    <w:p w:rsidR="00E20B54" w:rsidRDefault="00733C9E">
      <w:pPr>
        <w:spacing w:before="40" w:after="40" w:line="240" w:lineRule="exact"/>
        <w:jc w:val="right"/>
        <w:rPr>
          <w:sz w:val="18"/>
          <w:szCs w:val="18"/>
        </w:rPr>
      </w:pPr>
      <w:r>
        <w:rPr>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636"/>
        <w:gridCol w:w="636"/>
        <w:gridCol w:w="636"/>
        <w:gridCol w:w="636"/>
        <w:gridCol w:w="637"/>
        <w:gridCol w:w="637"/>
        <w:gridCol w:w="637"/>
        <w:gridCol w:w="637"/>
        <w:gridCol w:w="637"/>
        <w:gridCol w:w="637"/>
        <w:gridCol w:w="637"/>
        <w:gridCol w:w="637"/>
        <w:gridCol w:w="1999"/>
      </w:tblGrid>
      <w:tr w:rsidR="00E20B54">
        <w:trPr>
          <w:trHeight w:val="240"/>
        </w:trPr>
        <w:tc>
          <w:tcPr>
            <w:tcW w:w="637"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项目名称</w:t>
            </w:r>
          </w:p>
        </w:tc>
        <w:tc>
          <w:tcPr>
            <w:tcW w:w="637"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预算数</w:t>
            </w:r>
          </w:p>
        </w:tc>
        <w:tc>
          <w:tcPr>
            <w:tcW w:w="637"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期初余额</w:t>
            </w:r>
          </w:p>
        </w:tc>
        <w:tc>
          <w:tcPr>
            <w:tcW w:w="637"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本期增加</w:t>
            </w:r>
            <w:r>
              <w:rPr>
                <w:sz w:val="18"/>
                <w:szCs w:val="18"/>
              </w:rPr>
              <w:lastRenderedPageBreak/>
              <w:t>金额</w:t>
            </w:r>
          </w:p>
        </w:tc>
        <w:tc>
          <w:tcPr>
            <w:tcW w:w="637"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lastRenderedPageBreak/>
              <w:t>本期转入</w:t>
            </w:r>
            <w:r>
              <w:rPr>
                <w:sz w:val="18"/>
                <w:szCs w:val="18"/>
              </w:rPr>
              <w:lastRenderedPageBreak/>
              <w:t>固定资产金额</w:t>
            </w:r>
          </w:p>
        </w:tc>
        <w:tc>
          <w:tcPr>
            <w:tcW w:w="637"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lastRenderedPageBreak/>
              <w:t>本期其他</w:t>
            </w:r>
            <w:r>
              <w:rPr>
                <w:sz w:val="18"/>
                <w:szCs w:val="18"/>
              </w:rPr>
              <w:lastRenderedPageBreak/>
              <w:t>减少金额</w:t>
            </w:r>
          </w:p>
        </w:tc>
        <w:tc>
          <w:tcPr>
            <w:tcW w:w="637"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lastRenderedPageBreak/>
              <w:t>期末余额</w:t>
            </w:r>
          </w:p>
        </w:tc>
        <w:tc>
          <w:tcPr>
            <w:tcW w:w="637"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工程累计</w:t>
            </w:r>
            <w:r>
              <w:rPr>
                <w:sz w:val="18"/>
                <w:szCs w:val="18"/>
              </w:rPr>
              <w:lastRenderedPageBreak/>
              <w:t>投入占预算比例</w:t>
            </w:r>
          </w:p>
        </w:tc>
        <w:tc>
          <w:tcPr>
            <w:tcW w:w="637"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lastRenderedPageBreak/>
              <w:t>工程进度</w:t>
            </w:r>
          </w:p>
        </w:tc>
        <w:tc>
          <w:tcPr>
            <w:tcW w:w="637"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利息资本</w:t>
            </w:r>
            <w:r>
              <w:rPr>
                <w:sz w:val="18"/>
                <w:szCs w:val="18"/>
              </w:rPr>
              <w:lastRenderedPageBreak/>
              <w:t>化累计金额</w:t>
            </w:r>
          </w:p>
        </w:tc>
        <w:tc>
          <w:tcPr>
            <w:tcW w:w="637"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lastRenderedPageBreak/>
              <w:t>其中：</w:t>
            </w:r>
            <w:r>
              <w:rPr>
                <w:sz w:val="18"/>
                <w:szCs w:val="18"/>
              </w:rPr>
              <w:lastRenderedPageBreak/>
              <w:t>本期利息资本化金额</w:t>
            </w:r>
          </w:p>
        </w:tc>
        <w:tc>
          <w:tcPr>
            <w:tcW w:w="637"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lastRenderedPageBreak/>
              <w:t>本期利息</w:t>
            </w:r>
            <w:r>
              <w:rPr>
                <w:sz w:val="18"/>
                <w:szCs w:val="18"/>
              </w:rPr>
              <w:lastRenderedPageBreak/>
              <w:t>资本化率</w:t>
            </w:r>
          </w:p>
        </w:tc>
        <w:tc>
          <w:tcPr>
            <w:tcW w:w="200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lastRenderedPageBreak/>
              <w:t>资金来源</w:t>
            </w:r>
          </w:p>
        </w:tc>
      </w:tr>
      <w:tr w:rsidR="00E20B54">
        <w:trPr>
          <w:trHeight w:val="240"/>
        </w:trPr>
        <w:tc>
          <w:tcPr>
            <w:tcW w:w="63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lastRenderedPageBreak/>
              <w:t>深圳天亿马公司与某客户算力网络集群服务项目</w:t>
            </w:r>
          </w:p>
        </w:tc>
        <w:tc>
          <w:tcPr>
            <w:tcW w:w="63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332,500,000.00</w:t>
            </w:r>
          </w:p>
        </w:tc>
        <w:tc>
          <w:tcPr>
            <w:tcW w:w="63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294,247,787.62</w:t>
            </w:r>
          </w:p>
        </w:tc>
        <w:tc>
          <w:tcPr>
            <w:tcW w:w="637"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63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294,247,787.62</w:t>
            </w:r>
          </w:p>
        </w:tc>
        <w:tc>
          <w:tcPr>
            <w:tcW w:w="637"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637"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63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88.50%</w:t>
            </w:r>
          </w:p>
        </w:tc>
        <w:tc>
          <w:tcPr>
            <w:tcW w:w="637"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rPr>
                <w:sz w:val="18"/>
                <w:szCs w:val="18"/>
              </w:rPr>
            </w:pPr>
          </w:p>
        </w:tc>
        <w:tc>
          <w:tcPr>
            <w:tcW w:w="637"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637"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637"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2000"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rPr>
                <w:sz w:val="18"/>
                <w:szCs w:val="18"/>
              </w:rPr>
            </w:pPr>
          </w:p>
        </w:tc>
      </w:tr>
      <w:tr w:rsidR="00E20B54">
        <w:trPr>
          <w:trHeight w:val="240"/>
        </w:trPr>
        <w:tc>
          <w:tcPr>
            <w:tcW w:w="63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天宝实业分布式光伏项目发电项目</w:t>
            </w:r>
          </w:p>
        </w:tc>
        <w:tc>
          <w:tcPr>
            <w:tcW w:w="63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71,253,434.90</w:t>
            </w:r>
          </w:p>
        </w:tc>
        <w:tc>
          <w:tcPr>
            <w:tcW w:w="63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53,326,359.55</w:t>
            </w:r>
          </w:p>
        </w:tc>
        <w:tc>
          <w:tcPr>
            <w:tcW w:w="63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281,002.74</w:t>
            </w:r>
          </w:p>
        </w:tc>
        <w:tc>
          <w:tcPr>
            <w:tcW w:w="63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53,607,362.29</w:t>
            </w:r>
          </w:p>
        </w:tc>
        <w:tc>
          <w:tcPr>
            <w:tcW w:w="637"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637"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63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75.23%</w:t>
            </w:r>
          </w:p>
        </w:tc>
        <w:tc>
          <w:tcPr>
            <w:tcW w:w="637"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rPr>
                <w:sz w:val="18"/>
                <w:szCs w:val="18"/>
              </w:rPr>
            </w:pPr>
          </w:p>
        </w:tc>
        <w:tc>
          <w:tcPr>
            <w:tcW w:w="63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501,738.34</w:t>
            </w:r>
          </w:p>
        </w:tc>
        <w:tc>
          <w:tcPr>
            <w:tcW w:w="63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111,728.17</w:t>
            </w:r>
          </w:p>
        </w:tc>
        <w:tc>
          <w:tcPr>
            <w:tcW w:w="63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8.14%</w:t>
            </w:r>
          </w:p>
        </w:tc>
        <w:tc>
          <w:tcPr>
            <w:tcW w:w="200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金融机构贷款</w:t>
            </w:r>
          </w:p>
        </w:tc>
      </w:tr>
      <w:tr w:rsidR="00E20B54">
        <w:trPr>
          <w:trHeight w:val="240"/>
        </w:trPr>
        <w:tc>
          <w:tcPr>
            <w:tcW w:w="63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河北省邯郸市复兴区</w:t>
            </w:r>
            <w:r>
              <w:rPr>
                <w:sz w:val="18"/>
                <w:szCs w:val="18"/>
              </w:rPr>
              <w:t xml:space="preserve"> 24MW </w:t>
            </w:r>
            <w:r>
              <w:rPr>
                <w:sz w:val="18"/>
                <w:szCs w:val="18"/>
              </w:rPr>
              <w:t>地面光伏电站项目</w:t>
            </w:r>
          </w:p>
        </w:tc>
        <w:tc>
          <w:tcPr>
            <w:tcW w:w="63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84,141,603.00</w:t>
            </w:r>
          </w:p>
        </w:tc>
        <w:tc>
          <w:tcPr>
            <w:tcW w:w="637"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63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68,877,888.58</w:t>
            </w:r>
          </w:p>
        </w:tc>
        <w:tc>
          <w:tcPr>
            <w:tcW w:w="63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68,877,888.58</w:t>
            </w:r>
          </w:p>
        </w:tc>
        <w:tc>
          <w:tcPr>
            <w:tcW w:w="637"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637"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63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81.86%</w:t>
            </w:r>
          </w:p>
        </w:tc>
        <w:tc>
          <w:tcPr>
            <w:tcW w:w="637"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rPr>
                <w:sz w:val="18"/>
                <w:szCs w:val="18"/>
              </w:rPr>
            </w:pPr>
          </w:p>
        </w:tc>
        <w:tc>
          <w:tcPr>
            <w:tcW w:w="637"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637"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637"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2000"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rPr>
                <w:sz w:val="18"/>
                <w:szCs w:val="18"/>
              </w:rPr>
            </w:pPr>
          </w:p>
        </w:tc>
      </w:tr>
      <w:tr w:rsidR="00E20B54">
        <w:trPr>
          <w:trHeight w:val="240"/>
        </w:trPr>
        <w:tc>
          <w:tcPr>
            <w:tcW w:w="63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广西锦江火浪</w:t>
            </w:r>
            <w:r>
              <w:rPr>
                <w:sz w:val="18"/>
                <w:szCs w:val="18"/>
              </w:rPr>
              <w:t>3.379MWp</w:t>
            </w:r>
            <w:r>
              <w:rPr>
                <w:sz w:val="18"/>
                <w:szCs w:val="18"/>
              </w:rPr>
              <w:t>屋顶分布式光伏项目</w:t>
            </w:r>
          </w:p>
        </w:tc>
        <w:tc>
          <w:tcPr>
            <w:tcW w:w="63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10,474,900.00</w:t>
            </w:r>
          </w:p>
        </w:tc>
        <w:tc>
          <w:tcPr>
            <w:tcW w:w="63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2,654,672.05</w:t>
            </w:r>
          </w:p>
        </w:tc>
        <w:tc>
          <w:tcPr>
            <w:tcW w:w="63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6,794,650.40</w:t>
            </w:r>
          </w:p>
        </w:tc>
        <w:tc>
          <w:tcPr>
            <w:tcW w:w="63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9,449,322.45</w:t>
            </w:r>
          </w:p>
        </w:tc>
        <w:tc>
          <w:tcPr>
            <w:tcW w:w="637"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637"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63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90.21%</w:t>
            </w:r>
          </w:p>
        </w:tc>
        <w:tc>
          <w:tcPr>
            <w:tcW w:w="637"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rPr>
                <w:sz w:val="18"/>
                <w:szCs w:val="18"/>
              </w:rPr>
            </w:pPr>
          </w:p>
        </w:tc>
        <w:tc>
          <w:tcPr>
            <w:tcW w:w="637"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637"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637"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2000"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rPr>
                <w:sz w:val="18"/>
                <w:szCs w:val="18"/>
              </w:rPr>
            </w:pPr>
          </w:p>
        </w:tc>
      </w:tr>
      <w:tr w:rsidR="00E20B54">
        <w:trPr>
          <w:trHeight w:val="240"/>
        </w:trPr>
        <w:tc>
          <w:tcPr>
            <w:tcW w:w="637"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合计</w:t>
            </w:r>
          </w:p>
        </w:tc>
        <w:tc>
          <w:tcPr>
            <w:tcW w:w="63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498,369,937.90</w:t>
            </w:r>
          </w:p>
        </w:tc>
        <w:tc>
          <w:tcPr>
            <w:tcW w:w="63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350,228,819.22</w:t>
            </w:r>
          </w:p>
        </w:tc>
        <w:tc>
          <w:tcPr>
            <w:tcW w:w="63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75,953,541.72</w:t>
            </w:r>
          </w:p>
        </w:tc>
        <w:tc>
          <w:tcPr>
            <w:tcW w:w="63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426,182,360.94</w:t>
            </w:r>
          </w:p>
        </w:tc>
        <w:tc>
          <w:tcPr>
            <w:tcW w:w="637"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637"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637"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c>
          <w:tcPr>
            <w:tcW w:w="637"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c>
          <w:tcPr>
            <w:tcW w:w="63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501,738.34</w:t>
            </w:r>
          </w:p>
        </w:tc>
        <w:tc>
          <w:tcPr>
            <w:tcW w:w="63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111,728.17</w:t>
            </w:r>
          </w:p>
        </w:tc>
        <w:tc>
          <w:tcPr>
            <w:tcW w:w="637"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200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r>
    </w:tbl>
    <w:p w:rsidR="00E20B54" w:rsidRDefault="00733C9E">
      <w:pPr>
        <w:keepNext/>
        <w:keepLines/>
        <w:spacing w:before="300" w:after="300" w:line="280" w:lineRule="exact"/>
        <w:outlineLvl w:val="3"/>
        <w:rPr>
          <w:b/>
          <w:bCs/>
          <w:szCs w:val="21"/>
        </w:rPr>
      </w:pPr>
      <w:bookmarkStart w:id="281" w:name="_Toc989169"/>
      <w:r>
        <w:rPr>
          <w:b/>
          <w:bCs/>
          <w:szCs w:val="21"/>
        </w:rPr>
        <w:t>（</w:t>
      </w:r>
      <w:r>
        <w:rPr>
          <w:b/>
          <w:bCs/>
          <w:szCs w:val="21"/>
        </w:rPr>
        <w:t>3</w:t>
      </w:r>
      <w:r>
        <w:rPr>
          <w:b/>
          <w:bCs/>
          <w:szCs w:val="21"/>
        </w:rPr>
        <w:t>）</w:t>
      </w:r>
      <w:r>
        <w:rPr>
          <w:b/>
          <w:bCs/>
          <w:szCs w:val="21"/>
        </w:rPr>
        <w:t xml:space="preserve"> </w:t>
      </w:r>
      <w:r>
        <w:rPr>
          <w:b/>
          <w:bCs/>
          <w:szCs w:val="21"/>
        </w:rPr>
        <w:t>本期计提在建工程减值准备情况</w:t>
      </w:r>
      <w:bookmarkEnd w:id="281"/>
    </w:p>
    <w:p w:rsidR="00E20B54" w:rsidRDefault="00733C9E">
      <w:pPr>
        <w:spacing w:before="40" w:after="40" w:line="240" w:lineRule="exact"/>
        <w:jc w:val="right"/>
        <w:rPr>
          <w:sz w:val="18"/>
          <w:szCs w:val="18"/>
        </w:rPr>
      </w:pPr>
      <w:r>
        <w:rPr>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606"/>
        <w:gridCol w:w="1606"/>
        <w:gridCol w:w="1606"/>
        <w:gridCol w:w="1607"/>
        <w:gridCol w:w="1607"/>
        <w:gridCol w:w="1607"/>
      </w:tblGrid>
      <w:tr w:rsidR="00E20B54">
        <w:trPr>
          <w:trHeight w:val="240"/>
        </w:trPr>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项目</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期初余额</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本期增加</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本期减少</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期末余额</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计提原因</w:t>
            </w:r>
          </w:p>
        </w:tc>
      </w:tr>
    </w:tbl>
    <w:p w:rsidR="00E20B54" w:rsidRDefault="00733C9E">
      <w:pPr>
        <w:spacing w:before="100" w:after="100" w:line="240" w:lineRule="exact"/>
        <w:rPr>
          <w:sz w:val="18"/>
          <w:szCs w:val="18"/>
        </w:rPr>
      </w:pPr>
      <w:r>
        <w:rPr>
          <w:sz w:val="18"/>
          <w:szCs w:val="18"/>
        </w:rPr>
        <w:t>其他说明：</w:t>
      </w:r>
    </w:p>
    <w:p w:rsidR="00E20B54" w:rsidRDefault="00733C9E">
      <w:pPr>
        <w:keepNext/>
        <w:keepLines/>
        <w:spacing w:before="300" w:after="300" w:line="280" w:lineRule="exact"/>
        <w:outlineLvl w:val="3"/>
        <w:rPr>
          <w:b/>
          <w:bCs/>
          <w:szCs w:val="21"/>
        </w:rPr>
      </w:pPr>
      <w:bookmarkStart w:id="282" w:name="_Toc989170"/>
      <w:r>
        <w:rPr>
          <w:b/>
          <w:bCs/>
          <w:szCs w:val="21"/>
        </w:rPr>
        <w:lastRenderedPageBreak/>
        <w:t>（</w:t>
      </w:r>
      <w:r>
        <w:rPr>
          <w:b/>
          <w:bCs/>
          <w:szCs w:val="21"/>
        </w:rPr>
        <w:t>4</w:t>
      </w:r>
      <w:r>
        <w:rPr>
          <w:b/>
          <w:bCs/>
          <w:szCs w:val="21"/>
        </w:rPr>
        <w:t>）</w:t>
      </w:r>
      <w:r>
        <w:rPr>
          <w:b/>
          <w:bCs/>
          <w:szCs w:val="21"/>
        </w:rPr>
        <w:t xml:space="preserve"> </w:t>
      </w:r>
      <w:r>
        <w:rPr>
          <w:b/>
          <w:bCs/>
          <w:szCs w:val="21"/>
        </w:rPr>
        <w:t>在建工程的减值测试情况</w:t>
      </w:r>
      <w:bookmarkEnd w:id="282"/>
    </w:p>
    <w:p w:rsidR="00E20B54" w:rsidRDefault="00733C9E">
      <w:pPr>
        <w:spacing w:before="100" w:after="100" w:line="240" w:lineRule="exact"/>
        <w:rPr>
          <w:sz w:val="18"/>
          <w:szCs w:val="18"/>
        </w:rPr>
      </w:pPr>
      <w:r>
        <w:rPr>
          <w:sz w:val="18"/>
          <w:szCs w:val="18"/>
        </w:rPr>
        <w:t>□</w:t>
      </w:r>
      <w:r>
        <w:rPr>
          <w:sz w:val="18"/>
          <w:szCs w:val="18"/>
        </w:rPr>
        <w:t>适用</w:t>
      </w:r>
      <w:r>
        <w:rPr>
          <w:sz w:val="18"/>
          <w:szCs w:val="18"/>
        </w:rPr>
        <w:t xml:space="preserve"> </w:t>
      </w:r>
      <w:r>
        <w:rPr>
          <w:sz w:val="18"/>
          <w:szCs w:val="18"/>
        </w:rPr>
        <w:sym w:font="Wingdings 2" w:char="F052"/>
      </w:r>
      <w:r>
        <w:rPr>
          <w:sz w:val="18"/>
          <w:szCs w:val="18"/>
        </w:rPr>
        <w:t>不适用</w:t>
      </w:r>
    </w:p>
    <w:p w:rsidR="00E20B54" w:rsidRDefault="00733C9E">
      <w:pPr>
        <w:pStyle w:val="3"/>
        <w:spacing w:line="280" w:lineRule="exact"/>
        <w:jc w:val="left"/>
        <w:rPr>
          <w:b/>
          <w:bCs/>
        </w:rPr>
      </w:pPr>
      <w:bookmarkStart w:id="283" w:name="_Toc989171"/>
      <w:r>
        <w:rPr>
          <w:b/>
          <w:bCs/>
        </w:rPr>
        <w:t>15</w:t>
      </w:r>
      <w:r>
        <w:rPr>
          <w:b/>
          <w:bCs/>
        </w:rPr>
        <w:t>、使用权资产</w:t>
      </w:r>
      <w:bookmarkEnd w:id="283"/>
    </w:p>
    <w:p w:rsidR="00E20B54" w:rsidRDefault="00733C9E">
      <w:pPr>
        <w:keepNext/>
        <w:keepLines/>
        <w:spacing w:before="300" w:after="300" w:line="280" w:lineRule="exact"/>
        <w:outlineLvl w:val="3"/>
        <w:rPr>
          <w:b/>
          <w:bCs/>
          <w:szCs w:val="21"/>
        </w:rPr>
      </w:pPr>
      <w:bookmarkStart w:id="284" w:name="_Toc989172"/>
      <w:r>
        <w:rPr>
          <w:b/>
          <w:bCs/>
          <w:szCs w:val="21"/>
        </w:rPr>
        <w:t>（</w:t>
      </w:r>
      <w:r>
        <w:rPr>
          <w:b/>
          <w:bCs/>
          <w:szCs w:val="21"/>
        </w:rPr>
        <w:t>1</w:t>
      </w:r>
      <w:r>
        <w:rPr>
          <w:b/>
          <w:bCs/>
          <w:szCs w:val="21"/>
        </w:rPr>
        <w:t>）</w:t>
      </w:r>
      <w:r>
        <w:rPr>
          <w:b/>
          <w:bCs/>
          <w:szCs w:val="21"/>
        </w:rPr>
        <w:t xml:space="preserve"> </w:t>
      </w:r>
      <w:r>
        <w:rPr>
          <w:b/>
          <w:bCs/>
          <w:szCs w:val="21"/>
        </w:rPr>
        <w:t>使用权资产情况</w:t>
      </w:r>
      <w:bookmarkEnd w:id="284"/>
    </w:p>
    <w:p w:rsidR="00E20B54" w:rsidRDefault="00733C9E">
      <w:pPr>
        <w:spacing w:before="40" w:after="40" w:line="240" w:lineRule="exact"/>
        <w:jc w:val="right"/>
        <w:rPr>
          <w:sz w:val="18"/>
          <w:szCs w:val="18"/>
        </w:rPr>
      </w:pPr>
      <w:r>
        <w:rPr>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2409"/>
        <w:gridCol w:w="2410"/>
        <w:gridCol w:w="2410"/>
        <w:gridCol w:w="2410"/>
      </w:tblGrid>
      <w:tr w:rsidR="00E20B54" w:rsidTr="00DC457B">
        <w:trPr>
          <w:trHeight w:val="240"/>
          <w:tblHeader/>
        </w:trPr>
        <w:tc>
          <w:tcPr>
            <w:tcW w:w="2409" w:type="dxa"/>
            <w:tcBorders>
              <w:top w:val="single" w:sz="2" w:space="0" w:color="auto"/>
              <w:left w:val="single" w:sz="2" w:space="0" w:color="auto"/>
              <w:bottom w:val="single" w:sz="2" w:space="0" w:color="auto"/>
              <w:right w:val="single" w:sz="2" w:space="0" w:color="auto"/>
            </w:tcBorders>
            <w:shd w:val="clear" w:color="auto" w:fill="D9D9D9" w:themeFill="background1" w:themeFillShade="D9"/>
            <w:vAlign w:val="center"/>
          </w:tcPr>
          <w:p w:rsidR="00E20B54" w:rsidRDefault="00733C9E">
            <w:pPr>
              <w:spacing w:before="40" w:after="40" w:line="240" w:lineRule="exact"/>
              <w:jc w:val="center"/>
              <w:rPr>
                <w:sz w:val="18"/>
                <w:szCs w:val="18"/>
              </w:rPr>
            </w:pPr>
            <w:r>
              <w:rPr>
                <w:sz w:val="18"/>
                <w:szCs w:val="18"/>
              </w:rPr>
              <w:t>项目</w:t>
            </w:r>
          </w:p>
        </w:tc>
        <w:tc>
          <w:tcPr>
            <w:tcW w:w="2410" w:type="dxa"/>
            <w:tcBorders>
              <w:top w:val="single" w:sz="2" w:space="0" w:color="auto"/>
              <w:left w:val="single" w:sz="2" w:space="0" w:color="auto"/>
              <w:bottom w:val="single" w:sz="2" w:space="0" w:color="auto"/>
              <w:right w:val="single" w:sz="2" w:space="0" w:color="auto"/>
            </w:tcBorders>
            <w:shd w:val="clear" w:color="auto" w:fill="D9D9D9" w:themeFill="background1" w:themeFillShade="D9"/>
            <w:vAlign w:val="center"/>
          </w:tcPr>
          <w:p w:rsidR="00E20B54" w:rsidRDefault="00733C9E">
            <w:pPr>
              <w:spacing w:line="240" w:lineRule="exact"/>
              <w:jc w:val="center"/>
              <w:rPr>
                <w:sz w:val="18"/>
                <w:szCs w:val="18"/>
              </w:rPr>
            </w:pPr>
            <w:r>
              <w:rPr>
                <w:sz w:val="18"/>
                <w:szCs w:val="18"/>
              </w:rPr>
              <w:t>房屋及建筑物</w:t>
            </w:r>
          </w:p>
        </w:tc>
        <w:tc>
          <w:tcPr>
            <w:tcW w:w="2410" w:type="dxa"/>
            <w:tcBorders>
              <w:top w:val="single" w:sz="2" w:space="0" w:color="auto"/>
              <w:left w:val="single" w:sz="2" w:space="0" w:color="auto"/>
              <w:bottom w:val="single" w:sz="2" w:space="0" w:color="auto"/>
              <w:right w:val="single" w:sz="2" w:space="0" w:color="auto"/>
            </w:tcBorders>
            <w:shd w:val="clear" w:color="auto" w:fill="D9D9D9" w:themeFill="background1" w:themeFillShade="D9"/>
            <w:vAlign w:val="center"/>
          </w:tcPr>
          <w:p w:rsidR="00E20B54" w:rsidRDefault="00733C9E">
            <w:pPr>
              <w:spacing w:line="240" w:lineRule="exact"/>
              <w:jc w:val="center"/>
              <w:rPr>
                <w:sz w:val="18"/>
                <w:szCs w:val="18"/>
              </w:rPr>
            </w:pPr>
            <w:r>
              <w:rPr>
                <w:sz w:val="18"/>
                <w:szCs w:val="18"/>
              </w:rPr>
              <w:t>土地使用权</w:t>
            </w:r>
          </w:p>
        </w:tc>
        <w:tc>
          <w:tcPr>
            <w:tcW w:w="2410" w:type="dxa"/>
            <w:tcBorders>
              <w:top w:val="single" w:sz="2" w:space="0" w:color="auto"/>
              <w:left w:val="single" w:sz="2" w:space="0" w:color="auto"/>
              <w:bottom w:val="single" w:sz="2" w:space="0" w:color="auto"/>
              <w:right w:val="single" w:sz="2" w:space="0" w:color="auto"/>
            </w:tcBorders>
            <w:shd w:val="clear" w:color="auto" w:fill="D9D9D9" w:themeFill="background1" w:themeFillShade="D9"/>
            <w:vAlign w:val="center"/>
          </w:tcPr>
          <w:p w:rsidR="00E20B54" w:rsidRDefault="00733C9E">
            <w:pPr>
              <w:spacing w:before="40" w:after="40" w:line="240" w:lineRule="exact"/>
              <w:jc w:val="center"/>
              <w:rPr>
                <w:sz w:val="18"/>
                <w:szCs w:val="18"/>
              </w:rPr>
            </w:pPr>
            <w:r>
              <w:rPr>
                <w:sz w:val="18"/>
                <w:szCs w:val="18"/>
              </w:rPr>
              <w:t>合计</w:t>
            </w:r>
          </w:p>
        </w:tc>
      </w:tr>
      <w:tr w:rsidR="00E20B54" w:rsidTr="00043EC0">
        <w:trPr>
          <w:trHeight w:val="240"/>
        </w:trPr>
        <w:tc>
          <w:tcPr>
            <w:tcW w:w="2409"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一、账面原值</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r w:rsidR="00E20B54" w:rsidTr="00043EC0">
        <w:trPr>
          <w:trHeight w:val="240"/>
        </w:trPr>
        <w:tc>
          <w:tcPr>
            <w:tcW w:w="2409"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200" w:firstLine="360"/>
              <w:rPr>
                <w:sz w:val="18"/>
                <w:szCs w:val="18"/>
              </w:rPr>
            </w:pPr>
            <w:r>
              <w:rPr>
                <w:sz w:val="18"/>
                <w:szCs w:val="18"/>
              </w:rPr>
              <w:t>1.</w:t>
            </w:r>
            <w:r>
              <w:rPr>
                <w:sz w:val="18"/>
                <w:szCs w:val="18"/>
              </w:rPr>
              <w:t>期初余额</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11,285,446.47</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11,285,446.47</w:t>
            </w:r>
          </w:p>
        </w:tc>
      </w:tr>
      <w:tr w:rsidR="00E20B54" w:rsidTr="00043EC0">
        <w:trPr>
          <w:trHeight w:val="240"/>
        </w:trPr>
        <w:tc>
          <w:tcPr>
            <w:tcW w:w="2409"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200" w:firstLine="360"/>
              <w:rPr>
                <w:sz w:val="18"/>
                <w:szCs w:val="18"/>
              </w:rPr>
            </w:pPr>
            <w:r>
              <w:rPr>
                <w:sz w:val="18"/>
                <w:szCs w:val="18"/>
              </w:rPr>
              <w:t>2.</w:t>
            </w:r>
            <w:r>
              <w:rPr>
                <w:sz w:val="18"/>
                <w:szCs w:val="18"/>
              </w:rPr>
              <w:t>本期增加金额</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5,464,349.42</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4,585,845.98</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10,050,195.40</w:t>
            </w:r>
          </w:p>
        </w:tc>
      </w:tr>
      <w:tr w:rsidR="00E20B54" w:rsidTr="00043EC0">
        <w:trPr>
          <w:trHeight w:val="240"/>
        </w:trPr>
        <w:tc>
          <w:tcPr>
            <w:tcW w:w="2409"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200" w:firstLine="360"/>
              <w:rPr>
                <w:sz w:val="18"/>
                <w:szCs w:val="18"/>
              </w:rPr>
            </w:pPr>
            <w:r>
              <w:rPr>
                <w:sz w:val="18"/>
                <w:szCs w:val="18"/>
              </w:rPr>
              <w:t>3.</w:t>
            </w:r>
            <w:r>
              <w:rPr>
                <w:sz w:val="18"/>
                <w:szCs w:val="18"/>
              </w:rPr>
              <w:t>本期减少金额</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3,671,762.00</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3,671,762.00</w:t>
            </w:r>
          </w:p>
        </w:tc>
      </w:tr>
      <w:tr w:rsidR="00E20B54" w:rsidTr="00043EC0">
        <w:trPr>
          <w:trHeight w:val="240"/>
        </w:trPr>
        <w:tc>
          <w:tcPr>
            <w:tcW w:w="2409"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200" w:firstLine="360"/>
              <w:rPr>
                <w:sz w:val="18"/>
                <w:szCs w:val="18"/>
              </w:rPr>
            </w:pPr>
            <w:r>
              <w:rPr>
                <w:sz w:val="18"/>
                <w:szCs w:val="18"/>
              </w:rPr>
              <w:t>4.</w:t>
            </w:r>
            <w:r>
              <w:rPr>
                <w:sz w:val="18"/>
                <w:szCs w:val="18"/>
              </w:rPr>
              <w:t>期末余额</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13,078,033.89</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4,585,845.98</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17,663,879.87</w:t>
            </w:r>
          </w:p>
        </w:tc>
      </w:tr>
      <w:tr w:rsidR="00E20B54" w:rsidTr="00043EC0">
        <w:trPr>
          <w:trHeight w:val="240"/>
        </w:trPr>
        <w:tc>
          <w:tcPr>
            <w:tcW w:w="2409"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二、累计折旧</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r w:rsidR="00E20B54" w:rsidTr="00043EC0">
        <w:trPr>
          <w:trHeight w:val="240"/>
        </w:trPr>
        <w:tc>
          <w:tcPr>
            <w:tcW w:w="2409"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200" w:firstLine="360"/>
              <w:rPr>
                <w:sz w:val="18"/>
                <w:szCs w:val="18"/>
              </w:rPr>
            </w:pPr>
            <w:r>
              <w:rPr>
                <w:sz w:val="18"/>
                <w:szCs w:val="18"/>
              </w:rPr>
              <w:t>1.</w:t>
            </w:r>
            <w:r>
              <w:rPr>
                <w:sz w:val="18"/>
                <w:szCs w:val="18"/>
              </w:rPr>
              <w:t>期初余额</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2,690,737.61</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2,690,737.61</w:t>
            </w:r>
          </w:p>
        </w:tc>
      </w:tr>
      <w:tr w:rsidR="00E20B54" w:rsidTr="00043EC0">
        <w:trPr>
          <w:trHeight w:val="240"/>
        </w:trPr>
        <w:tc>
          <w:tcPr>
            <w:tcW w:w="2409"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200" w:firstLine="360"/>
              <w:rPr>
                <w:sz w:val="18"/>
                <w:szCs w:val="18"/>
              </w:rPr>
            </w:pPr>
            <w:r>
              <w:rPr>
                <w:sz w:val="18"/>
                <w:szCs w:val="18"/>
              </w:rPr>
              <w:t>2.</w:t>
            </w:r>
            <w:r>
              <w:rPr>
                <w:sz w:val="18"/>
                <w:szCs w:val="18"/>
              </w:rPr>
              <w:t>本期增加金额</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3,540,101.84</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191,076.90</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3,731,178.74</w:t>
            </w:r>
          </w:p>
        </w:tc>
      </w:tr>
      <w:tr w:rsidR="00E20B54" w:rsidTr="00043EC0">
        <w:trPr>
          <w:trHeight w:val="240"/>
        </w:trPr>
        <w:tc>
          <w:tcPr>
            <w:tcW w:w="2409"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400" w:firstLine="720"/>
              <w:rPr>
                <w:sz w:val="18"/>
                <w:szCs w:val="18"/>
              </w:rPr>
            </w:pPr>
            <w:r>
              <w:rPr>
                <w:sz w:val="18"/>
                <w:szCs w:val="18"/>
              </w:rPr>
              <w:t>（</w:t>
            </w:r>
            <w:r>
              <w:rPr>
                <w:sz w:val="18"/>
                <w:szCs w:val="18"/>
              </w:rPr>
              <w:t>1</w:t>
            </w:r>
            <w:r>
              <w:rPr>
                <w:sz w:val="18"/>
                <w:szCs w:val="18"/>
              </w:rPr>
              <w:t>）计提</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3,540,101.84</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191,076.90</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3,731,178.74</w:t>
            </w:r>
          </w:p>
        </w:tc>
      </w:tr>
      <w:tr w:rsidR="00E20B54" w:rsidTr="00043EC0">
        <w:trPr>
          <w:trHeight w:val="240"/>
        </w:trPr>
        <w:tc>
          <w:tcPr>
            <w:tcW w:w="2409"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200" w:firstLine="360"/>
              <w:rPr>
                <w:sz w:val="18"/>
                <w:szCs w:val="18"/>
              </w:rPr>
            </w:pPr>
            <w:r>
              <w:rPr>
                <w:sz w:val="18"/>
                <w:szCs w:val="18"/>
              </w:rPr>
              <w:t>3.</w:t>
            </w:r>
            <w:r>
              <w:rPr>
                <w:sz w:val="18"/>
                <w:szCs w:val="18"/>
              </w:rPr>
              <w:t>本期减少金额</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3,344,540.14</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3,344,540.14</w:t>
            </w:r>
          </w:p>
        </w:tc>
      </w:tr>
      <w:tr w:rsidR="00E20B54" w:rsidTr="00043EC0">
        <w:trPr>
          <w:trHeight w:val="240"/>
        </w:trPr>
        <w:tc>
          <w:tcPr>
            <w:tcW w:w="2409"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400" w:firstLine="720"/>
              <w:rPr>
                <w:sz w:val="18"/>
                <w:szCs w:val="18"/>
              </w:rPr>
            </w:pPr>
            <w:r>
              <w:rPr>
                <w:sz w:val="18"/>
                <w:szCs w:val="18"/>
              </w:rPr>
              <w:t>（</w:t>
            </w:r>
            <w:r>
              <w:rPr>
                <w:sz w:val="18"/>
                <w:szCs w:val="18"/>
              </w:rPr>
              <w:t>1</w:t>
            </w:r>
            <w:r>
              <w:rPr>
                <w:sz w:val="18"/>
                <w:szCs w:val="18"/>
              </w:rPr>
              <w:t>）处置</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3,344,540.14</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3,344,540.14</w:t>
            </w:r>
          </w:p>
        </w:tc>
      </w:tr>
      <w:tr w:rsidR="00E20B54" w:rsidTr="00043EC0">
        <w:trPr>
          <w:trHeight w:val="240"/>
        </w:trPr>
        <w:tc>
          <w:tcPr>
            <w:tcW w:w="2409"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200" w:firstLine="360"/>
              <w:rPr>
                <w:sz w:val="18"/>
                <w:szCs w:val="18"/>
              </w:rPr>
            </w:pPr>
            <w:r>
              <w:rPr>
                <w:sz w:val="18"/>
                <w:szCs w:val="18"/>
              </w:rPr>
              <w:t>4.</w:t>
            </w:r>
            <w:r>
              <w:rPr>
                <w:sz w:val="18"/>
                <w:szCs w:val="18"/>
              </w:rPr>
              <w:t>期末余额</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2,886,299.31</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191,076.90</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3,077,376.21</w:t>
            </w:r>
          </w:p>
        </w:tc>
      </w:tr>
      <w:tr w:rsidR="00E20B54" w:rsidTr="00043EC0">
        <w:trPr>
          <w:trHeight w:val="240"/>
        </w:trPr>
        <w:tc>
          <w:tcPr>
            <w:tcW w:w="2409"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三、减值准备</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r w:rsidR="00E20B54" w:rsidTr="00043EC0">
        <w:trPr>
          <w:trHeight w:val="240"/>
        </w:trPr>
        <w:tc>
          <w:tcPr>
            <w:tcW w:w="2409"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200" w:firstLine="360"/>
              <w:rPr>
                <w:sz w:val="18"/>
                <w:szCs w:val="18"/>
              </w:rPr>
            </w:pPr>
            <w:r>
              <w:rPr>
                <w:sz w:val="18"/>
                <w:szCs w:val="18"/>
              </w:rPr>
              <w:t>1.</w:t>
            </w:r>
            <w:r>
              <w:rPr>
                <w:sz w:val="18"/>
                <w:szCs w:val="18"/>
              </w:rPr>
              <w:t>期初余额</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r w:rsidR="00E20B54" w:rsidTr="00043EC0">
        <w:trPr>
          <w:trHeight w:val="240"/>
        </w:trPr>
        <w:tc>
          <w:tcPr>
            <w:tcW w:w="2409"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200" w:firstLine="360"/>
              <w:rPr>
                <w:sz w:val="18"/>
                <w:szCs w:val="18"/>
              </w:rPr>
            </w:pPr>
            <w:r>
              <w:rPr>
                <w:sz w:val="18"/>
                <w:szCs w:val="18"/>
              </w:rPr>
              <w:t>2.</w:t>
            </w:r>
            <w:r>
              <w:rPr>
                <w:sz w:val="18"/>
                <w:szCs w:val="18"/>
              </w:rPr>
              <w:t>本期增加金额</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r w:rsidR="00E20B54" w:rsidTr="00043EC0">
        <w:trPr>
          <w:trHeight w:val="240"/>
        </w:trPr>
        <w:tc>
          <w:tcPr>
            <w:tcW w:w="2409"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400" w:firstLine="720"/>
              <w:rPr>
                <w:sz w:val="18"/>
                <w:szCs w:val="18"/>
              </w:rPr>
            </w:pPr>
            <w:r>
              <w:rPr>
                <w:sz w:val="18"/>
                <w:szCs w:val="18"/>
              </w:rPr>
              <w:t>（</w:t>
            </w:r>
            <w:r>
              <w:rPr>
                <w:sz w:val="18"/>
                <w:szCs w:val="18"/>
              </w:rPr>
              <w:t>1</w:t>
            </w:r>
            <w:r>
              <w:rPr>
                <w:sz w:val="18"/>
                <w:szCs w:val="18"/>
              </w:rPr>
              <w:t>）计提</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r w:rsidR="00E20B54" w:rsidTr="00043EC0">
        <w:trPr>
          <w:trHeight w:val="240"/>
        </w:trPr>
        <w:tc>
          <w:tcPr>
            <w:tcW w:w="2409"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200" w:firstLine="360"/>
              <w:rPr>
                <w:sz w:val="18"/>
                <w:szCs w:val="18"/>
              </w:rPr>
            </w:pPr>
            <w:r>
              <w:rPr>
                <w:sz w:val="18"/>
                <w:szCs w:val="18"/>
              </w:rPr>
              <w:t>3.</w:t>
            </w:r>
            <w:r>
              <w:rPr>
                <w:sz w:val="18"/>
                <w:szCs w:val="18"/>
              </w:rPr>
              <w:t>本期减少金额</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r w:rsidR="00E20B54" w:rsidTr="00043EC0">
        <w:trPr>
          <w:trHeight w:val="240"/>
        </w:trPr>
        <w:tc>
          <w:tcPr>
            <w:tcW w:w="2409"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400" w:firstLine="720"/>
              <w:rPr>
                <w:sz w:val="18"/>
                <w:szCs w:val="18"/>
              </w:rPr>
            </w:pPr>
            <w:r>
              <w:rPr>
                <w:sz w:val="18"/>
                <w:szCs w:val="18"/>
              </w:rPr>
              <w:t>（</w:t>
            </w:r>
            <w:r>
              <w:rPr>
                <w:sz w:val="18"/>
                <w:szCs w:val="18"/>
              </w:rPr>
              <w:t>1</w:t>
            </w:r>
            <w:r>
              <w:rPr>
                <w:sz w:val="18"/>
                <w:szCs w:val="18"/>
              </w:rPr>
              <w:t>）处置</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r w:rsidR="00E20B54" w:rsidTr="00043EC0">
        <w:trPr>
          <w:trHeight w:val="240"/>
        </w:trPr>
        <w:tc>
          <w:tcPr>
            <w:tcW w:w="2409"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200" w:firstLine="360"/>
              <w:rPr>
                <w:sz w:val="18"/>
                <w:szCs w:val="18"/>
              </w:rPr>
            </w:pPr>
            <w:r>
              <w:rPr>
                <w:sz w:val="18"/>
                <w:szCs w:val="18"/>
              </w:rPr>
              <w:t>4.</w:t>
            </w:r>
            <w:r>
              <w:rPr>
                <w:sz w:val="18"/>
                <w:szCs w:val="18"/>
              </w:rPr>
              <w:t>期末余额</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r w:rsidR="00E20B54" w:rsidTr="00043EC0">
        <w:trPr>
          <w:trHeight w:val="240"/>
        </w:trPr>
        <w:tc>
          <w:tcPr>
            <w:tcW w:w="2409"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四、账面价值</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r w:rsidR="00E20B54" w:rsidTr="00043EC0">
        <w:trPr>
          <w:trHeight w:val="240"/>
        </w:trPr>
        <w:tc>
          <w:tcPr>
            <w:tcW w:w="2409"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200" w:firstLine="360"/>
              <w:rPr>
                <w:sz w:val="18"/>
                <w:szCs w:val="18"/>
              </w:rPr>
            </w:pPr>
            <w:r>
              <w:rPr>
                <w:sz w:val="18"/>
                <w:szCs w:val="18"/>
              </w:rPr>
              <w:t>1.</w:t>
            </w:r>
            <w:r>
              <w:rPr>
                <w:sz w:val="18"/>
                <w:szCs w:val="18"/>
              </w:rPr>
              <w:t>期末账面价值</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10,191,734.58</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4,394,769.08</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14,586,503.66</w:t>
            </w:r>
          </w:p>
        </w:tc>
      </w:tr>
      <w:tr w:rsidR="00E20B54" w:rsidTr="00043EC0">
        <w:trPr>
          <w:trHeight w:val="240"/>
        </w:trPr>
        <w:tc>
          <w:tcPr>
            <w:tcW w:w="2409"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200" w:firstLine="360"/>
              <w:rPr>
                <w:sz w:val="18"/>
                <w:szCs w:val="18"/>
              </w:rPr>
            </w:pPr>
            <w:r>
              <w:rPr>
                <w:sz w:val="18"/>
                <w:szCs w:val="18"/>
              </w:rPr>
              <w:t>2.</w:t>
            </w:r>
            <w:r>
              <w:rPr>
                <w:sz w:val="18"/>
                <w:szCs w:val="18"/>
              </w:rPr>
              <w:t>期初账面价值</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8,594,708.86</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8,594,708.86</w:t>
            </w:r>
          </w:p>
        </w:tc>
      </w:tr>
    </w:tbl>
    <w:p w:rsidR="00E20B54" w:rsidRDefault="00733C9E">
      <w:pPr>
        <w:keepNext/>
        <w:keepLines/>
        <w:spacing w:before="300" w:after="300" w:line="280" w:lineRule="exact"/>
        <w:outlineLvl w:val="3"/>
        <w:rPr>
          <w:b/>
          <w:bCs/>
          <w:szCs w:val="21"/>
        </w:rPr>
      </w:pPr>
      <w:bookmarkStart w:id="285" w:name="_Toc989173"/>
      <w:r>
        <w:rPr>
          <w:b/>
          <w:bCs/>
          <w:szCs w:val="21"/>
        </w:rPr>
        <w:t>（</w:t>
      </w:r>
      <w:r>
        <w:rPr>
          <w:b/>
          <w:bCs/>
          <w:szCs w:val="21"/>
        </w:rPr>
        <w:t>2</w:t>
      </w:r>
      <w:r>
        <w:rPr>
          <w:b/>
          <w:bCs/>
          <w:szCs w:val="21"/>
        </w:rPr>
        <w:t>）</w:t>
      </w:r>
      <w:r>
        <w:rPr>
          <w:b/>
          <w:bCs/>
          <w:szCs w:val="21"/>
        </w:rPr>
        <w:t xml:space="preserve"> </w:t>
      </w:r>
      <w:r>
        <w:rPr>
          <w:b/>
          <w:bCs/>
          <w:szCs w:val="21"/>
        </w:rPr>
        <w:t>使用权资产的减值测试情况</w:t>
      </w:r>
      <w:bookmarkEnd w:id="285"/>
    </w:p>
    <w:p w:rsidR="00E20B54" w:rsidRDefault="00733C9E">
      <w:pPr>
        <w:spacing w:before="100" w:after="100" w:line="240" w:lineRule="exact"/>
        <w:rPr>
          <w:sz w:val="18"/>
          <w:szCs w:val="18"/>
        </w:rPr>
      </w:pPr>
      <w:r>
        <w:rPr>
          <w:sz w:val="18"/>
          <w:szCs w:val="18"/>
        </w:rPr>
        <w:t>□</w:t>
      </w:r>
      <w:r>
        <w:rPr>
          <w:sz w:val="18"/>
          <w:szCs w:val="18"/>
        </w:rPr>
        <w:t>适用</w:t>
      </w:r>
      <w:r>
        <w:rPr>
          <w:sz w:val="18"/>
          <w:szCs w:val="18"/>
        </w:rPr>
        <w:t xml:space="preserve"> </w:t>
      </w:r>
      <w:r>
        <w:rPr>
          <w:sz w:val="18"/>
          <w:szCs w:val="18"/>
        </w:rPr>
        <w:sym w:font="Wingdings 2" w:char="F052"/>
      </w:r>
      <w:r>
        <w:rPr>
          <w:sz w:val="18"/>
          <w:szCs w:val="18"/>
        </w:rPr>
        <w:t>不适用</w:t>
      </w:r>
    </w:p>
    <w:p w:rsidR="00E20B54" w:rsidRDefault="00733C9E">
      <w:pPr>
        <w:spacing w:before="100" w:after="100" w:line="240" w:lineRule="exact"/>
        <w:rPr>
          <w:sz w:val="18"/>
          <w:szCs w:val="18"/>
        </w:rPr>
      </w:pPr>
      <w:r>
        <w:rPr>
          <w:sz w:val="18"/>
          <w:szCs w:val="18"/>
        </w:rPr>
        <w:t>其他说明：</w:t>
      </w:r>
      <w:r w:rsidR="00DC457B">
        <w:rPr>
          <w:rFonts w:hint="eastAsia"/>
          <w:sz w:val="18"/>
          <w:szCs w:val="18"/>
        </w:rPr>
        <w:t>无</w:t>
      </w:r>
    </w:p>
    <w:p w:rsidR="00E20B54" w:rsidRDefault="00733C9E">
      <w:pPr>
        <w:pStyle w:val="3"/>
        <w:spacing w:line="280" w:lineRule="exact"/>
        <w:jc w:val="left"/>
        <w:rPr>
          <w:b/>
          <w:bCs/>
        </w:rPr>
      </w:pPr>
      <w:bookmarkStart w:id="286" w:name="_Toc989174"/>
      <w:r>
        <w:rPr>
          <w:b/>
          <w:bCs/>
        </w:rPr>
        <w:t>16</w:t>
      </w:r>
      <w:r>
        <w:rPr>
          <w:b/>
          <w:bCs/>
        </w:rPr>
        <w:t>、无形资产</w:t>
      </w:r>
      <w:bookmarkEnd w:id="286"/>
    </w:p>
    <w:p w:rsidR="00E20B54" w:rsidRDefault="00733C9E">
      <w:pPr>
        <w:keepNext/>
        <w:keepLines/>
        <w:spacing w:before="300" w:after="300" w:line="280" w:lineRule="exact"/>
        <w:outlineLvl w:val="3"/>
        <w:rPr>
          <w:b/>
          <w:bCs/>
          <w:szCs w:val="21"/>
        </w:rPr>
      </w:pPr>
      <w:bookmarkStart w:id="287" w:name="_Toc989175"/>
      <w:r>
        <w:rPr>
          <w:b/>
          <w:bCs/>
          <w:szCs w:val="21"/>
        </w:rPr>
        <w:t>（</w:t>
      </w:r>
      <w:r>
        <w:rPr>
          <w:b/>
          <w:bCs/>
          <w:szCs w:val="21"/>
        </w:rPr>
        <w:t>1</w:t>
      </w:r>
      <w:r>
        <w:rPr>
          <w:b/>
          <w:bCs/>
          <w:szCs w:val="21"/>
        </w:rPr>
        <w:t>）</w:t>
      </w:r>
      <w:r>
        <w:rPr>
          <w:b/>
          <w:bCs/>
          <w:szCs w:val="21"/>
        </w:rPr>
        <w:t xml:space="preserve"> </w:t>
      </w:r>
      <w:r>
        <w:rPr>
          <w:b/>
          <w:bCs/>
          <w:szCs w:val="21"/>
        </w:rPr>
        <w:t>无形资产情况</w:t>
      </w:r>
      <w:bookmarkEnd w:id="287"/>
    </w:p>
    <w:p w:rsidR="00E20B54" w:rsidRDefault="00733C9E">
      <w:pPr>
        <w:spacing w:before="40" w:after="40" w:line="240" w:lineRule="exact"/>
        <w:jc w:val="right"/>
        <w:rPr>
          <w:sz w:val="18"/>
          <w:szCs w:val="18"/>
        </w:rPr>
      </w:pPr>
      <w:r>
        <w:rPr>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204"/>
        <w:gridCol w:w="1205"/>
        <w:gridCol w:w="1205"/>
        <w:gridCol w:w="1205"/>
        <w:gridCol w:w="1205"/>
        <w:gridCol w:w="1205"/>
        <w:gridCol w:w="1205"/>
        <w:gridCol w:w="1205"/>
      </w:tblGrid>
      <w:tr w:rsidR="00E20B54" w:rsidTr="00DC457B">
        <w:trPr>
          <w:trHeight w:val="240"/>
          <w:tblHeader/>
        </w:trPr>
        <w:tc>
          <w:tcPr>
            <w:tcW w:w="1204" w:type="dxa"/>
            <w:tcBorders>
              <w:top w:val="single" w:sz="2" w:space="0" w:color="auto"/>
              <w:left w:val="single" w:sz="2" w:space="0" w:color="auto"/>
              <w:bottom w:val="single" w:sz="2" w:space="0" w:color="auto"/>
              <w:right w:val="single" w:sz="2" w:space="0" w:color="auto"/>
            </w:tcBorders>
            <w:shd w:val="clear" w:color="auto" w:fill="D9D9D9" w:themeFill="background1" w:themeFillShade="D9"/>
            <w:vAlign w:val="center"/>
          </w:tcPr>
          <w:p w:rsidR="00E20B54" w:rsidRDefault="00733C9E">
            <w:pPr>
              <w:spacing w:before="40" w:after="40" w:line="240" w:lineRule="exact"/>
              <w:jc w:val="center"/>
              <w:rPr>
                <w:sz w:val="18"/>
                <w:szCs w:val="18"/>
              </w:rPr>
            </w:pPr>
            <w:r>
              <w:rPr>
                <w:sz w:val="18"/>
                <w:szCs w:val="18"/>
              </w:rPr>
              <w:t>项目</w:t>
            </w:r>
          </w:p>
        </w:tc>
        <w:tc>
          <w:tcPr>
            <w:tcW w:w="1205" w:type="dxa"/>
            <w:tcBorders>
              <w:top w:val="single" w:sz="2" w:space="0" w:color="auto"/>
              <w:left w:val="single" w:sz="2" w:space="0" w:color="auto"/>
              <w:bottom w:val="single" w:sz="2" w:space="0" w:color="auto"/>
              <w:right w:val="single" w:sz="2" w:space="0" w:color="auto"/>
            </w:tcBorders>
            <w:shd w:val="clear" w:color="auto" w:fill="D9D9D9" w:themeFill="background1" w:themeFillShade="D9"/>
            <w:vAlign w:val="center"/>
          </w:tcPr>
          <w:p w:rsidR="00E20B54" w:rsidRDefault="00733C9E">
            <w:pPr>
              <w:spacing w:before="40" w:after="40" w:line="240" w:lineRule="exact"/>
              <w:jc w:val="center"/>
              <w:rPr>
                <w:sz w:val="18"/>
                <w:szCs w:val="18"/>
              </w:rPr>
            </w:pPr>
            <w:r>
              <w:rPr>
                <w:sz w:val="18"/>
                <w:szCs w:val="18"/>
              </w:rPr>
              <w:t>土地使用权</w:t>
            </w:r>
          </w:p>
        </w:tc>
        <w:tc>
          <w:tcPr>
            <w:tcW w:w="1205" w:type="dxa"/>
            <w:tcBorders>
              <w:top w:val="single" w:sz="2" w:space="0" w:color="auto"/>
              <w:left w:val="single" w:sz="2" w:space="0" w:color="auto"/>
              <w:bottom w:val="single" w:sz="2" w:space="0" w:color="auto"/>
              <w:right w:val="single" w:sz="2" w:space="0" w:color="auto"/>
            </w:tcBorders>
            <w:shd w:val="clear" w:color="auto" w:fill="D9D9D9" w:themeFill="background1" w:themeFillShade="D9"/>
            <w:vAlign w:val="center"/>
          </w:tcPr>
          <w:p w:rsidR="00E20B54" w:rsidRDefault="00733C9E">
            <w:pPr>
              <w:spacing w:before="40" w:after="40" w:line="240" w:lineRule="exact"/>
              <w:jc w:val="center"/>
              <w:rPr>
                <w:sz w:val="18"/>
                <w:szCs w:val="18"/>
              </w:rPr>
            </w:pPr>
            <w:r>
              <w:rPr>
                <w:sz w:val="18"/>
                <w:szCs w:val="18"/>
              </w:rPr>
              <w:t>专利权</w:t>
            </w:r>
          </w:p>
        </w:tc>
        <w:tc>
          <w:tcPr>
            <w:tcW w:w="1205" w:type="dxa"/>
            <w:tcBorders>
              <w:top w:val="single" w:sz="2" w:space="0" w:color="auto"/>
              <w:left w:val="single" w:sz="2" w:space="0" w:color="auto"/>
              <w:bottom w:val="single" w:sz="2" w:space="0" w:color="auto"/>
              <w:right w:val="single" w:sz="2" w:space="0" w:color="auto"/>
            </w:tcBorders>
            <w:shd w:val="clear" w:color="auto" w:fill="D9D9D9" w:themeFill="background1" w:themeFillShade="D9"/>
            <w:vAlign w:val="center"/>
          </w:tcPr>
          <w:p w:rsidR="00E20B54" w:rsidRDefault="00733C9E">
            <w:pPr>
              <w:spacing w:before="40" w:after="40" w:line="240" w:lineRule="exact"/>
              <w:jc w:val="center"/>
              <w:rPr>
                <w:sz w:val="18"/>
                <w:szCs w:val="18"/>
              </w:rPr>
            </w:pPr>
            <w:r>
              <w:rPr>
                <w:sz w:val="18"/>
                <w:szCs w:val="18"/>
              </w:rPr>
              <w:t>非专利技术</w:t>
            </w:r>
          </w:p>
        </w:tc>
        <w:tc>
          <w:tcPr>
            <w:tcW w:w="1205" w:type="dxa"/>
            <w:tcBorders>
              <w:top w:val="single" w:sz="2" w:space="0" w:color="auto"/>
              <w:left w:val="single" w:sz="2" w:space="0" w:color="auto"/>
              <w:bottom w:val="single" w:sz="2" w:space="0" w:color="auto"/>
              <w:right w:val="single" w:sz="2" w:space="0" w:color="auto"/>
            </w:tcBorders>
            <w:shd w:val="clear" w:color="auto" w:fill="D9D9D9" w:themeFill="background1" w:themeFillShade="D9"/>
            <w:vAlign w:val="center"/>
          </w:tcPr>
          <w:p w:rsidR="00E20B54" w:rsidRDefault="00733C9E">
            <w:pPr>
              <w:spacing w:line="240" w:lineRule="exact"/>
              <w:jc w:val="center"/>
              <w:rPr>
                <w:sz w:val="18"/>
                <w:szCs w:val="18"/>
              </w:rPr>
            </w:pPr>
            <w:r>
              <w:rPr>
                <w:sz w:val="18"/>
                <w:szCs w:val="18"/>
              </w:rPr>
              <w:t>软件</w:t>
            </w:r>
          </w:p>
        </w:tc>
        <w:tc>
          <w:tcPr>
            <w:tcW w:w="1205" w:type="dxa"/>
            <w:tcBorders>
              <w:top w:val="single" w:sz="2" w:space="0" w:color="auto"/>
              <w:left w:val="single" w:sz="2" w:space="0" w:color="auto"/>
              <w:bottom w:val="single" w:sz="2" w:space="0" w:color="auto"/>
              <w:right w:val="single" w:sz="2" w:space="0" w:color="auto"/>
            </w:tcBorders>
            <w:shd w:val="clear" w:color="auto" w:fill="D9D9D9" w:themeFill="background1" w:themeFillShade="D9"/>
            <w:vAlign w:val="center"/>
          </w:tcPr>
          <w:p w:rsidR="00E20B54" w:rsidRDefault="00733C9E">
            <w:pPr>
              <w:spacing w:line="240" w:lineRule="exact"/>
              <w:jc w:val="center"/>
              <w:rPr>
                <w:sz w:val="18"/>
                <w:szCs w:val="18"/>
              </w:rPr>
            </w:pPr>
            <w:r>
              <w:rPr>
                <w:sz w:val="18"/>
                <w:szCs w:val="18"/>
              </w:rPr>
              <w:t>著作权</w:t>
            </w:r>
          </w:p>
        </w:tc>
        <w:tc>
          <w:tcPr>
            <w:tcW w:w="1205" w:type="dxa"/>
            <w:tcBorders>
              <w:top w:val="single" w:sz="2" w:space="0" w:color="auto"/>
              <w:left w:val="single" w:sz="2" w:space="0" w:color="auto"/>
              <w:bottom w:val="single" w:sz="2" w:space="0" w:color="auto"/>
              <w:right w:val="single" w:sz="2" w:space="0" w:color="auto"/>
            </w:tcBorders>
            <w:shd w:val="clear" w:color="auto" w:fill="D9D9D9" w:themeFill="background1" w:themeFillShade="D9"/>
            <w:vAlign w:val="center"/>
          </w:tcPr>
          <w:p w:rsidR="00E20B54" w:rsidRDefault="00733C9E">
            <w:pPr>
              <w:spacing w:line="240" w:lineRule="exact"/>
              <w:jc w:val="center"/>
              <w:rPr>
                <w:sz w:val="18"/>
                <w:szCs w:val="18"/>
              </w:rPr>
            </w:pPr>
            <w:r>
              <w:rPr>
                <w:sz w:val="18"/>
                <w:szCs w:val="18"/>
              </w:rPr>
              <w:t>数据资源</w:t>
            </w:r>
          </w:p>
        </w:tc>
        <w:tc>
          <w:tcPr>
            <w:tcW w:w="1205" w:type="dxa"/>
            <w:tcBorders>
              <w:top w:val="single" w:sz="2" w:space="0" w:color="auto"/>
              <w:left w:val="single" w:sz="2" w:space="0" w:color="auto"/>
              <w:bottom w:val="single" w:sz="2" w:space="0" w:color="auto"/>
              <w:right w:val="single" w:sz="2" w:space="0" w:color="auto"/>
            </w:tcBorders>
            <w:shd w:val="clear" w:color="auto" w:fill="D9D9D9" w:themeFill="background1" w:themeFillShade="D9"/>
            <w:vAlign w:val="center"/>
          </w:tcPr>
          <w:p w:rsidR="00E20B54" w:rsidRDefault="00733C9E">
            <w:pPr>
              <w:spacing w:before="40" w:after="40" w:line="240" w:lineRule="exact"/>
              <w:jc w:val="center"/>
              <w:rPr>
                <w:sz w:val="18"/>
                <w:szCs w:val="18"/>
              </w:rPr>
            </w:pPr>
            <w:r>
              <w:rPr>
                <w:sz w:val="18"/>
                <w:szCs w:val="18"/>
              </w:rPr>
              <w:t>合计</w:t>
            </w:r>
          </w:p>
        </w:tc>
      </w:tr>
      <w:tr w:rsidR="00E20B54" w:rsidTr="00DC457B">
        <w:trPr>
          <w:trHeight w:val="240"/>
        </w:trPr>
        <w:tc>
          <w:tcPr>
            <w:tcW w:w="1204"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一、账面原</w:t>
            </w:r>
            <w:r>
              <w:rPr>
                <w:sz w:val="18"/>
                <w:szCs w:val="18"/>
              </w:rPr>
              <w:lastRenderedPageBreak/>
              <w:t>值</w:t>
            </w:r>
          </w:p>
        </w:tc>
        <w:tc>
          <w:tcPr>
            <w:tcW w:w="1205"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r w:rsidR="00E20B54" w:rsidTr="00DC457B">
        <w:trPr>
          <w:trHeight w:val="240"/>
        </w:trPr>
        <w:tc>
          <w:tcPr>
            <w:tcW w:w="1204"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200" w:firstLine="360"/>
              <w:rPr>
                <w:sz w:val="18"/>
                <w:szCs w:val="18"/>
              </w:rPr>
            </w:pPr>
            <w:r>
              <w:rPr>
                <w:sz w:val="18"/>
                <w:szCs w:val="18"/>
              </w:rPr>
              <w:lastRenderedPageBreak/>
              <w:t>1.</w:t>
            </w:r>
            <w:r>
              <w:rPr>
                <w:sz w:val="18"/>
                <w:szCs w:val="18"/>
              </w:rPr>
              <w:t>期初余额</w:t>
            </w:r>
          </w:p>
        </w:tc>
        <w:tc>
          <w:tcPr>
            <w:tcW w:w="1205"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1,500,000.00</w:t>
            </w:r>
          </w:p>
        </w:tc>
        <w:tc>
          <w:tcPr>
            <w:tcW w:w="1205"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7,122,513.69</w:t>
            </w:r>
          </w:p>
        </w:tc>
        <w:tc>
          <w:tcPr>
            <w:tcW w:w="1205"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7,580,000.00</w:t>
            </w:r>
          </w:p>
        </w:tc>
        <w:tc>
          <w:tcPr>
            <w:tcW w:w="1205"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16,202,513.69</w:t>
            </w:r>
          </w:p>
        </w:tc>
      </w:tr>
      <w:tr w:rsidR="00E20B54" w:rsidTr="00DC457B">
        <w:trPr>
          <w:trHeight w:val="240"/>
        </w:trPr>
        <w:tc>
          <w:tcPr>
            <w:tcW w:w="1204"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200" w:firstLine="360"/>
              <w:rPr>
                <w:sz w:val="18"/>
                <w:szCs w:val="18"/>
              </w:rPr>
            </w:pPr>
            <w:r>
              <w:rPr>
                <w:sz w:val="18"/>
                <w:szCs w:val="18"/>
              </w:rPr>
              <w:t>2.</w:t>
            </w:r>
            <w:r>
              <w:rPr>
                <w:sz w:val="18"/>
                <w:szCs w:val="18"/>
              </w:rPr>
              <w:t>本期增加金额</w:t>
            </w:r>
          </w:p>
        </w:tc>
        <w:tc>
          <w:tcPr>
            <w:tcW w:w="1205"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110,713.99</w:t>
            </w:r>
          </w:p>
        </w:tc>
        <w:tc>
          <w:tcPr>
            <w:tcW w:w="1205"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110,713.99</w:t>
            </w:r>
          </w:p>
        </w:tc>
      </w:tr>
      <w:tr w:rsidR="00E20B54" w:rsidTr="00DC457B">
        <w:trPr>
          <w:trHeight w:val="240"/>
        </w:trPr>
        <w:tc>
          <w:tcPr>
            <w:tcW w:w="1204"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400" w:firstLine="720"/>
              <w:rPr>
                <w:sz w:val="18"/>
                <w:szCs w:val="18"/>
              </w:rPr>
            </w:pPr>
            <w:r>
              <w:rPr>
                <w:sz w:val="18"/>
                <w:szCs w:val="18"/>
              </w:rPr>
              <w:t>（</w:t>
            </w:r>
            <w:r>
              <w:rPr>
                <w:sz w:val="18"/>
                <w:szCs w:val="18"/>
              </w:rPr>
              <w:t>1</w:t>
            </w:r>
            <w:r>
              <w:rPr>
                <w:sz w:val="18"/>
                <w:szCs w:val="18"/>
              </w:rPr>
              <w:t>）购置</w:t>
            </w:r>
          </w:p>
        </w:tc>
        <w:tc>
          <w:tcPr>
            <w:tcW w:w="1205"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r w:rsidR="00E20B54" w:rsidTr="00DC457B">
        <w:trPr>
          <w:trHeight w:val="240"/>
        </w:trPr>
        <w:tc>
          <w:tcPr>
            <w:tcW w:w="1204"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400" w:firstLine="720"/>
              <w:rPr>
                <w:sz w:val="18"/>
                <w:szCs w:val="18"/>
              </w:rPr>
            </w:pPr>
            <w:r>
              <w:rPr>
                <w:sz w:val="18"/>
                <w:szCs w:val="18"/>
              </w:rPr>
              <w:t>（</w:t>
            </w:r>
            <w:r>
              <w:rPr>
                <w:sz w:val="18"/>
                <w:szCs w:val="18"/>
              </w:rPr>
              <w:t>2</w:t>
            </w:r>
            <w:r>
              <w:rPr>
                <w:sz w:val="18"/>
                <w:szCs w:val="18"/>
              </w:rPr>
              <w:t>）内部研发</w:t>
            </w:r>
          </w:p>
        </w:tc>
        <w:tc>
          <w:tcPr>
            <w:tcW w:w="1205"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110,713.99</w:t>
            </w:r>
          </w:p>
        </w:tc>
        <w:tc>
          <w:tcPr>
            <w:tcW w:w="1205"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110,713.99</w:t>
            </w:r>
          </w:p>
        </w:tc>
      </w:tr>
      <w:tr w:rsidR="00E20B54" w:rsidTr="00DC457B">
        <w:trPr>
          <w:trHeight w:val="240"/>
        </w:trPr>
        <w:tc>
          <w:tcPr>
            <w:tcW w:w="1204"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400" w:firstLine="720"/>
              <w:rPr>
                <w:sz w:val="18"/>
                <w:szCs w:val="18"/>
              </w:rPr>
            </w:pPr>
            <w:r>
              <w:rPr>
                <w:sz w:val="18"/>
                <w:szCs w:val="18"/>
              </w:rPr>
              <w:t>（</w:t>
            </w:r>
            <w:r>
              <w:rPr>
                <w:sz w:val="18"/>
                <w:szCs w:val="18"/>
              </w:rPr>
              <w:t>3</w:t>
            </w:r>
            <w:r>
              <w:rPr>
                <w:sz w:val="18"/>
                <w:szCs w:val="18"/>
              </w:rPr>
              <w:t>）企业合并增加</w:t>
            </w:r>
          </w:p>
        </w:tc>
        <w:tc>
          <w:tcPr>
            <w:tcW w:w="1205"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r w:rsidR="00E20B54" w:rsidTr="00DC457B">
        <w:trPr>
          <w:trHeight w:val="240"/>
        </w:trPr>
        <w:tc>
          <w:tcPr>
            <w:tcW w:w="1204"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200" w:firstLine="360"/>
              <w:rPr>
                <w:sz w:val="18"/>
                <w:szCs w:val="18"/>
              </w:rPr>
            </w:pPr>
            <w:r>
              <w:rPr>
                <w:sz w:val="18"/>
                <w:szCs w:val="18"/>
              </w:rPr>
              <w:t>3.</w:t>
            </w:r>
            <w:r>
              <w:rPr>
                <w:sz w:val="18"/>
                <w:szCs w:val="18"/>
              </w:rPr>
              <w:t>本期减少金额</w:t>
            </w:r>
          </w:p>
        </w:tc>
        <w:tc>
          <w:tcPr>
            <w:tcW w:w="1205"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r w:rsidR="00E20B54" w:rsidTr="00DC457B">
        <w:trPr>
          <w:trHeight w:val="240"/>
        </w:trPr>
        <w:tc>
          <w:tcPr>
            <w:tcW w:w="1204"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400" w:firstLine="720"/>
              <w:rPr>
                <w:sz w:val="18"/>
                <w:szCs w:val="18"/>
              </w:rPr>
            </w:pPr>
            <w:r>
              <w:rPr>
                <w:sz w:val="18"/>
                <w:szCs w:val="18"/>
              </w:rPr>
              <w:t>（</w:t>
            </w:r>
            <w:r>
              <w:rPr>
                <w:sz w:val="18"/>
                <w:szCs w:val="18"/>
              </w:rPr>
              <w:t>1</w:t>
            </w:r>
            <w:r>
              <w:rPr>
                <w:sz w:val="18"/>
                <w:szCs w:val="18"/>
              </w:rPr>
              <w:t>）处置</w:t>
            </w:r>
          </w:p>
        </w:tc>
        <w:tc>
          <w:tcPr>
            <w:tcW w:w="1205"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r w:rsidR="00E20B54" w:rsidTr="00DC457B">
        <w:trPr>
          <w:trHeight w:val="240"/>
        </w:trPr>
        <w:tc>
          <w:tcPr>
            <w:tcW w:w="1204"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200" w:firstLine="360"/>
              <w:rPr>
                <w:sz w:val="18"/>
                <w:szCs w:val="18"/>
              </w:rPr>
            </w:pPr>
            <w:r>
              <w:rPr>
                <w:sz w:val="18"/>
                <w:szCs w:val="18"/>
              </w:rPr>
              <w:t>4.</w:t>
            </w:r>
            <w:r>
              <w:rPr>
                <w:sz w:val="18"/>
                <w:szCs w:val="18"/>
              </w:rPr>
              <w:t>期末余额</w:t>
            </w:r>
          </w:p>
        </w:tc>
        <w:tc>
          <w:tcPr>
            <w:tcW w:w="1205"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1,500,000.00</w:t>
            </w:r>
          </w:p>
        </w:tc>
        <w:tc>
          <w:tcPr>
            <w:tcW w:w="1205"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7,122,513.69</w:t>
            </w:r>
          </w:p>
        </w:tc>
        <w:tc>
          <w:tcPr>
            <w:tcW w:w="1205"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7,580,000.00</w:t>
            </w:r>
          </w:p>
        </w:tc>
        <w:tc>
          <w:tcPr>
            <w:tcW w:w="1205"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110,713.99</w:t>
            </w:r>
          </w:p>
        </w:tc>
        <w:tc>
          <w:tcPr>
            <w:tcW w:w="1205"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16,313,227.68</w:t>
            </w:r>
          </w:p>
        </w:tc>
      </w:tr>
      <w:tr w:rsidR="00E20B54" w:rsidTr="00DC457B">
        <w:trPr>
          <w:trHeight w:val="240"/>
        </w:trPr>
        <w:tc>
          <w:tcPr>
            <w:tcW w:w="1204"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二、累计摊销</w:t>
            </w:r>
          </w:p>
        </w:tc>
        <w:tc>
          <w:tcPr>
            <w:tcW w:w="1205"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r w:rsidR="00E20B54" w:rsidTr="00DC457B">
        <w:trPr>
          <w:trHeight w:val="240"/>
        </w:trPr>
        <w:tc>
          <w:tcPr>
            <w:tcW w:w="1204"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200" w:firstLine="360"/>
              <w:rPr>
                <w:sz w:val="18"/>
                <w:szCs w:val="18"/>
              </w:rPr>
            </w:pPr>
            <w:r>
              <w:rPr>
                <w:sz w:val="18"/>
                <w:szCs w:val="18"/>
              </w:rPr>
              <w:t>1.</w:t>
            </w:r>
            <w:r>
              <w:rPr>
                <w:sz w:val="18"/>
                <w:szCs w:val="18"/>
              </w:rPr>
              <w:t>期初余额</w:t>
            </w:r>
          </w:p>
        </w:tc>
        <w:tc>
          <w:tcPr>
            <w:tcW w:w="1205"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1,500,000.00</w:t>
            </w:r>
          </w:p>
        </w:tc>
        <w:tc>
          <w:tcPr>
            <w:tcW w:w="1205"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6,954,914.80</w:t>
            </w:r>
          </w:p>
        </w:tc>
        <w:tc>
          <w:tcPr>
            <w:tcW w:w="1205"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5,626,625.00</w:t>
            </w:r>
          </w:p>
        </w:tc>
        <w:tc>
          <w:tcPr>
            <w:tcW w:w="1205"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14,081,539.80</w:t>
            </w:r>
          </w:p>
        </w:tc>
      </w:tr>
      <w:tr w:rsidR="00E20B54" w:rsidTr="00DC457B">
        <w:trPr>
          <w:trHeight w:val="240"/>
        </w:trPr>
        <w:tc>
          <w:tcPr>
            <w:tcW w:w="1204"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200" w:firstLine="360"/>
              <w:rPr>
                <w:sz w:val="18"/>
                <w:szCs w:val="18"/>
              </w:rPr>
            </w:pPr>
            <w:r>
              <w:rPr>
                <w:sz w:val="18"/>
                <w:szCs w:val="18"/>
              </w:rPr>
              <w:t>2.</w:t>
            </w:r>
            <w:r>
              <w:rPr>
                <w:sz w:val="18"/>
                <w:szCs w:val="18"/>
              </w:rPr>
              <w:t>本期增加金额</w:t>
            </w:r>
          </w:p>
        </w:tc>
        <w:tc>
          <w:tcPr>
            <w:tcW w:w="1205"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18,283.56</w:t>
            </w:r>
          </w:p>
        </w:tc>
        <w:tc>
          <w:tcPr>
            <w:tcW w:w="1205"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11,071.38</w:t>
            </w:r>
          </w:p>
        </w:tc>
        <w:tc>
          <w:tcPr>
            <w:tcW w:w="1205"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29,354.94</w:t>
            </w:r>
          </w:p>
        </w:tc>
      </w:tr>
      <w:tr w:rsidR="00E20B54" w:rsidTr="00DC457B">
        <w:trPr>
          <w:trHeight w:val="240"/>
        </w:trPr>
        <w:tc>
          <w:tcPr>
            <w:tcW w:w="1204"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400" w:firstLine="720"/>
              <w:rPr>
                <w:sz w:val="18"/>
                <w:szCs w:val="18"/>
              </w:rPr>
            </w:pPr>
            <w:r>
              <w:rPr>
                <w:sz w:val="18"/>
                <w:szCs w:val="18"/>
              </w:rPr>
              <w:t>（</w:t>
            </w:r>
            <w:r>
              <w:rPr>
                <w:sz w:val="18"/>
                <w:szCs w:val="18"/>
              </w:rPr>
              <w:t>1</w:t>
            </w:r>
            <w:r>
              <w:rPr>
                <w:sz w:val="18"/>
                <w:szCs w:val="18"/>
              </w:rPr>
              <w:t>）计提</w:t>
            </w:r>
          </w:p>
        </w:tc>
        <w:tc>
          <w:tcPr>
            <w:tcW w:w="1205"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18,283.56</w:t>
            </w:r>
          </w:p>
        </w:tc>
        <w:tc>
          <w:tcPr>
            <w:tcW w:w="1205"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11,071.38</w:t>
            </w:r>
          </w:p>
        </w:tc>
        <w:tc>
          <w:tcPr>
            <w:tcW w:w="1205"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29,354.94</w:t>
            </w:r>
          </w:p>
        </w:tc>
      </w:tr>
      <w:tr w:rsidR="00E20B54" w:rsidTr="00DC457B">
        <w:trPr>
          <w:trHeight w:val="240"/>
        </w:trPr>
        <w:tc>
          <w:tcPr>
            <w:tcW w:w="1204"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200" w:firstLine="360"/>
              <w:rPr>
                <w:sz w:val="18"/>
                <w:szCs w:val="18"/>
              </w:rPr>
            </w:pPr>
            <w:r>
              <w:rPr>
                <w:sz w:val="18"/>
                <w:szCs w:val="18"/>
              </w:rPr>
              <w:t>3.</w:t>
            </w:r>
            <w:r>
              <w:rPr>
                <w:sz w:val="18"/>
                <w:szCs w:val="18"/>
              </w:rPr>
              <w:t>本期减少金额</w:t>
            </w:r>
          </w:p>
        </w:tc>
        <w:tc>
          <w:tcPr>
            <w:tcW w:w="1205"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r w:rsidR="00E20B54" w:rsidTr="00DC457B">
        <w:trPr>
          <w:trHeight w:val="240"/>
        </w:trPr>
        <w:tc>
          <w:tcPr>
            <w:tcW w:w="1204"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400" w:firstLine="720"/>
              <w:rPr>
                <w:sz w:val="18"/>
                <w:szCs w:val="18"/>
              </w:rPr>
            </w:pPr>
            <w:r>
              <w:rPr>
                <w:sz w:val="18"/>
                <w:szCs w:val="18"/>
              </w:rPr>
              <w:t>（</w:t>
            </w:r>
            <w:r>
              <w:rPr>
                <w:sz w:val="18"/>
                <w:szCs w:val="18"/>
              </w:rPr>
              <w:t>1</w:t>
            </w:r>
            <w:r>
              <w:rPr>
                <w:sz w:val="18"/>
                <w:szCs w:val="18"/>
              </w:rPr>
              <w:t>）处置</w:t>
            </w:r>
          </w:p>
        </w:tc>
        <w:tc>
          <w:tcPr>
            <w:tcW w:w="1205"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r w:rsidR="00E20B54" w:rsidTr="00DC457B">
        <w:trPr>
          <w:trHeight w:val="240"/>
        </w:trPr>
        <w:tc>
          <w:tcPr>
            <w:tcW w:w="1204"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200" w:firstLine="360"/>
              <w:rPr>
                <w:sz w:val="18"/>
                <w:szCs w:val="18"/>
              </w:rPr>
            </w:pPr>
            <w:r>
              <w:rPr>
                <w:sz w:val="18"/>
                <w:szCs w:val="18"/>
              </w:rPr>
              <w:t>4.</w:t>
            </w:r>
            <w:r>
              <w:rPr>
                <w:sz w:val="18"/>
                <w:szCs w:val="18"/>
              </w:rPr>
              <w:t>期末余额</w:t>
            </w:r>
          </w:p>
        </w:tc>
        <w:tc>
          <w:tcPr>
            <w:tcW w:w="1205"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1,500,000.00</w:t>
            </w:r>
          </w:p>
        </w:tc>
        <w:tc>
          <w:tcPr>
            <w:tcW w:w="1205"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6,973,198.36</w:t>
            </w:r>
          </w:p>
        </w:tc>
        <w:tc>
          <w:tcPr>
            <w:tcW w:w="1205"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5,626,625.00</w:t>
            </w:r>
          </w:p>
        </w:tc>
        <w:tc>
          <w:tcPr>
            <w:tcW w:w="1205"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11,071.38</w:t>
            </w:r>
          </w:p>
        </w:tc>
        <w:tc>
          <w:tcPr>
            <w:tcW w:w="1205"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14,110,894.74</w:t>
            </w:r>
          </w:p>
        </w:tc>
      </w:tr>
      <w:tr w:rsidR="00E20B54" w:rsidTr="00DC457B">
        <w:trPr>
          <w:trHeight w:val="240"/>
        </w:trPr>
        <w:tc>
          <w:tcPr>
            <w:tcW w:w="1204"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三、减值准备</w:t>
            </w:r>
          </w:p>
        </w:tc>
        <w:tc>
          <w:tcPr>
            <w:tcW w:w="1205"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r w:rsidR="00E20B54" w:rsidTr="00DC457B">
        <w:trPr>
          <w:trHeight w:val="240"/>
        </w:trPr>
        <w:tc>
          <w:tcPr>
            <w:tcW w:w="1204"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200" w:firstLine="360"/>
              <w:rPr>
                <w:sz w:val="18"/>
                <w:szCs w:val="18"/>
              </w:rPr>
            </w:pPr>
            <w:r>
              <w:rPr>
                <w:sz w:val="18"/>
                <w:szCs w:val="18"/>
              </w:rPr>
              <w:t>1.</w:t>
            </w:r>
            <w:r>
              <w:rPr>
                <w:sz w:val="18"/>
                <w:szCs w:val="18"/>
              </w:rPr>
              <w:t>期初余额</w:t>
            </w:r>
          </w:p>
        </w:tc>
        <w:tc>
          <w:tcPr>
            <w:tcW w:w="1205"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1,953,375.00</w:t>
            </w:r>
          </w:p>
        </w:tc>
        <w:tc>
          <w:tcPr>
            <w:tcW w:w="1205"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1,953,375.00</w:t>
            </w:r>
          </w:p>
        </w:tc>
      </w:tr>
      <w:tr w:rsidR="00E20B54" w:rsidTr="00DC457B">
        <w:trPr>
          <w:trHeight w:val="240"/>
        </w:trPr>
        <w:tc>
          <w:tcPr>
            <w:tcW w:w="1204"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200" w:firstLine="360"/>
              <w:rPr>
                <w:sz w:val="18"/>
                <w:szCs w:val="18"/>
              </w:rPr>
            </w:pPr>
            <w:r>
              <w:rPr>
                <w:sz w:val="18"/>
                <w:szCs w:val="18"/>
              </w:rPr>
              <w:t>2.</w:t>
            </w:r>
            <w:r>
              <w:rPr>
                <w:sz w:val="18"/>
                <w:szCs w:val="18"/>
              </w:rPr>
              <w:t>本期增加金额</w:t>
            </w:r>
          </w:p>
        </w:tc>
        <w:tc>
          <w:tcPr>
            <w:tcW w:w="1205"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r w:rsidR="00E20B54" w:rsidTr="00DC457B">
        <w:trPr>
          <w:trHeight w:val="240"/>
        </w:trPr>
        <w:tc>
          <w:tcPr>
            <w:tcW w:w="1204"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400" w:firstLine="720"/>
              <w:rPr>
                <w:sz w:val="18"/>
                <w:szCs w:val="18"/>
              </w:rPr>
            </w:pPr>
            <w:r>
              <w:rPr>
                <w:sz w:val="18"/>
                <w:szCs w:val="18"/>
              </w:rPr>
              <w:t>（</w:t>
            </w:r>
            <w:r>
              <w:rPr>
                <w:sz w:val="18"/>
                <w:szCs w:val="18"/>
              </w:rPr>
              <w:t>1</w:t>
            </w:r>
            <w:r>
              <w:rPr>
                <w:sz w:val="18"/>
                <w:szCs w:val="18"/>
              </w:rPr>
              <w:t>）计提</w:t>
            </w:r>
          </w:p>
        </w:tc>
        <w:tc>
          <w:tcPr>
            <w:tcW w:w="1205"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r w:rsidR="00E20B54" w:rsidTr="00DC457B">
        <w:trPr>
          <w:trHeight w:val="240"/>
        </w:trPr>
        <w:tc>
          <w:tcPr>
            <w:tcW w:w="1204"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200" w:firstLine="360"/>
              <w:rPr>
                <w:sz w:val="18"/>
                <w:szCs w:val="18"/>
              </w:rPr>
            </w:pPr>
            <w:r>
              <w:rPr>
                <w:sz w:val="18"/>
                <w:szCs w:val="18"/>
              </w:rPr>
              <w:t>3.</w:t>
            </w:r>
            <w:r>
              <w:rPr>
                <w:sz w:val="18"/>
                <w:szCs w:val="18"/>
              </w:rPr>
              <w:t>本期减少金额</w:t>
            </w:r>
          </w:p>
        </w:tc>
        <w:tc>
          <w:tcPr>
            <w:tcW w:w="1205"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r w:rsidR="00E20B54" w:rsidTr="00DC457B">
        <w:trPr>
          <w:trHeight w:val="240"/>
        </w:trPr>
        <w:tc>
          <w:tcPr>
            <w:tcW w:w="1204"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400" w:firstLine="720"/>
              <w:rPr>
                <w:sz w:val="18"/>
                <w:szCs w:val="18"/>
              </w:rPr>
            </w:pPr>
            <w:r>
              <w:rPr>
                <w:sz w:val="18"/>
                <w:szCs w:val="18"/>
              </w:rPr>
              <w:t>（</w:t>
            </w:r>
            <w:r>
              <w:rPr>
                <w:sz w:val="18"/>
                <w:szCs w:val="18"/>
              </w:rPr>
              <w:t>1</w:t>
            </w:r>
            <w:r>
              <w:rPr>
                <w:sz w:val="18"/>
                <w:szCs w:val="18"/>
              </w:rPr>
              <w:t>）处置</w:t>
            </w:r>
          </w:p>
        </w:tc>
        <w:tc>
          <w:tcPr>
            <w:tcW w:w="1205"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r w:rsidR="00E20B54" w:rsidTr="00DC457B">
        <w:trPr>
          <w:trHeight w:val="240"/>
        </w:trPr>
        <w:tc>
          <w:tcPr>
            <w:tcW w:w="1204"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200" w:firstLine="360"/>
              <w:rPr>
                <w:sz w:val="18"/>
                <w:szCs w:val="18"/>
              </w:rPr>
            </w:pPr>
            <w:r>
              <w:rPr>
                <w:sz w:val="18"/>
                <w:szCs w:val="18"/>
              </w:rPr>
              <w:t>4.</w:t>
            </w:r>
            <w:r>
              <w:rPr>
                <w:sz w:val="18"/>
                <w:szCs w:val="18"/>
              </w:rPr>
              <w:t>期末余额</w:t>
            </w:r>
          </w:p>
        </w:tc>
        <w:tc>
          <w:tcPr>
            <w:tcW w:w="1205"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1,953,375.00</w:t>
            </w:r>
          </w:p>
        </w:tc>
        <w:tc>
          <w:tcPr>
            <w:tcW w:w="1205"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1,953,375.00</w:t>
            </w:r>
          </w:p>
        </w:tc>
      </w:tr>
      <w:tr w:rsidR="00E20B54" w:rsidTr="00DC457B">
        <w:trPr>
          <w:trHeight w:val="240"/>
        </w:trPr>
        <w:tc>
          <w:tcPr>
            <w:tcW w:w="1204"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四、账面价</w:t>
            </w:r>
            <w:r>
              <w:rPr>
                <w:sz w:val="18"/>
                <w:szCs w:val="18"/>
              </w:rPr>
              <w:lastRenderedPageBreak/>
              <w:t>值</w:t>
            </w:r>
          </w:p>
        </w:tc>
        <w:tc>
          <w:tcPr>
            <w:tcW w:w="1205"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r w:rsidR="00E20B54" w:rsidTr="00DC457B">
        <w:trPr>
          <w:trHeight w:val="240"/>
        </w:trPr>
        <w:tc>
          <w:tcPr>
            <w:tcW w:w="1204"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200" w:firstLine="360"/>
              <w:rPr>
                <w:sz w:val="18"/>
                <w:szCs w:val="18"/>
              </w:rPr>
            </w:pPr>
            <w:r>
              <w:rPr>
                <w:sz w:val="18"/>
                <w:szCs w:val="18"/>
              </w:rPr>
              <w:lastRenderedPageBreak/>
              <w:t>1.</w:t>
            </w:r>
            <w:r>
              <w:rPr>
                <w:sz w:val="18"/>
                <w:szCs w:val="18"/>
              </w:rPr>
              <w:t>期末账面价值</w:t>
            </w:r>
          </w:p>
        </w:tc>
        <w:tc>
          <w:tcPr>
            <w:tcW w:w="1205"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149,315.33</w:t>
            </w:r>
          </w:p>
        </w:tc>
        <w:tc>
          <w:tcPr>
            <w:tcW w:w="1205"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99,642.61</w:t>
            </w:r>
          </w:p>
        </w:tc>
        <w:tc>
          <w:tcPr>
            <w:tcW w:w="1205"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248,957.94</w:t>
            </w:r>
          </w:p>
        </w:tc>
      </w:tr>
      <w:tr w:rsidR="00E20B54" w:rsidTr="00DC457B">
        <w:trPr>
          <w:trHeight w:val="240"/>
        </w:trPr>
        <w:tc>
          <w:tcPr>
            <w:tcW w:w="1204"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200" w:firstLine="360"/>
              <w:rPr>
                <w:sz w:val="18"/>
                <w:szCs w:val="18"/>
              </w:rPr>
            </w:pPr>
            <w:r>
              <w:rPr>
                <w:sz w:val="18"/>
                <w:szCs w:val="18"/>
              </w:rPr>
              <w:t>2.</w:t>
            </w:r>
            <w:r>
              <w:rPr>
                <w:sz w:val="18"/>
                <w:szCs w:val="18"/>
              </w:rPr>
              <w:t>期初账面价值</w:t>
            </w:r>
          </w:p>
        </w:tc>
        <w:tc>
          <w:tcPr>
            <w:tcW w:w="1205"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167,598.89</w:t>
            </w:r>
          </w:p>
        </w:tc>
        <w:tc>
          <w:tcPr>
            <w:tcW w:w="1205"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167,598.89</w:t>
            </w:r>
          </w:p>
        </w:tc>
      </w:tr>
    </w:tbl>
    <w:p w:rsidR="00E20B54" w:rsidRDefault="00733C9E">
      <w:pPr>
        <w:spacing w:line="240" w:lineRule="exact"/>
        <w:rPr>
          <w:sz w:val="18"/>
          <w:szCs w:val="18"/>
        </w:rPr>
      </w:pPr>
      <w:r>
        <w:rPr>
          <w:sz w:val="18"/>
          <w:szCs w:val="18"/>
        </w:rPr>
        <w:t>本期末通过公司内部研发形成的无形资产占无形资产余额的比例</w:t>
      </w:r>
      <w:r>
        <w:rPr>
          <w:sz w:val="18"/>
          <w:szCs w:val="18"/>
        </w:rPr>
        <w:t>40.02%</w:t>
      </w:r>
      <w:r>
        <w:rPr>
          <w:sz w:val="18"/>
          <w:szCs w:val="18"/>
        </w:rPr>
        <w:t>。</w:t>
      </w:r>
    </w:p>
    <w:p w:rsidR="00E20B54" w:rsidRDefault="00733C9E">
      <w:pPr>
        <w:keepNext/>
        <w:keepLines/>
        <w:spacing w:before="300" w:after="300" w:line="280" w:lineRule="exact"/>
        <w:outlineLvl w:val="3"/>
        <w:rPr>
          <w:b/>
          <w:bCs/>
          <w:szCs w:val="21"/>
        </w:rPr>
      </w:pPr>
      <w:bookmarkStart w:id="288" w:name="_Toc989176"/>
      <w:r>
        <w:rPr>
          <w:b/>
          <w:bCs/>
          <w:szCs w:val="21"/>
        </w:rPr>
        <w:t>（</w:t>
      </w:r>
      <w:r>
        <w:rPr>
          <w:b/>
          <w:bCs/>
          <w:szCs w:val="21"/>
        </w:rPr>
        <w:t>2</w:t>
      </w:r>
      <w:r>
        <w:rPr>
          <w:b/>
          <w:bCs/>
          <w:szCs w:val="21"/>
        </w:rPr>
        <w:t>）</w:t>
      </w:r>
      <w:r>
        <w:rPr>
          <w:b/>
          <w:bCs/>
          <w:szCs w:val="21"/>
        </w:rPr>
        <w:t xml:space="preserve"> </w:t>
      </w:r>
      <w:r>
        <w:rPr>
          <w:b/>
          <w:bCs/>
          <w:szCs w:val="21"/>
        </w:rPr>
        <w:t>确认为无形资产的数据资源</w:t>
      </w:r>
      <w:bookmarkEnd w:id="288"/>
    </w:p>
    <w:p w:rsidR="00E20B54" w:rsidRDefault="00733C9E">
      <w:pPr>
        <w:spacing w:line="240" w:lineRule="exact"/>
        <w:rPr>
          <w:sz w:val="18"/>
          <w:szCs w:val="18"/>
        </w:rPr>
      </w:pPr>
      <w:r>
        <w:rPr>
          <w:sz w:val="18"/>
          <w:szCs w:val="18"/>
        </w:rPr>
        <w:sym w:font="Wingdings 2" w:char="F052"/>
      </w:r>
      <w:r>
        <w:rPr>
          <w:sz w:val="18"/>
          <w:szCs w:val="18"/>
        </w:rPr>
        <w:t>适用</w:t>
      </w:r>
      <w:r>
        <w:rPr>
          <w:sz w:val="18"/>
          <w:szCs w:val="18"/>
        </w:rPr>
        <w:t xml:space="preserve"> □</w:t>
      </w:r>
      <w:r>
        <w:rPr>
          <w:sz w:val="18"/>
          <w:szCs w:val="18"/>
        </w:rPr>
        <w:t>不适用</w:t>
      </w:r>
    </w:p>
    <w:p w:rsidR="00E20B54" w:rsidRDefault="00733C9E">
      <w:pPr>
        <w:spacing w:before="40" w:after="40" w:line="240" w:lineRule="exact"/>
        <w:jc w:val="right"/>
        <w:rPr>
          <w:sz w:val="18"/>
          <w:szCs w:val="18"/>
        </w:rPr>
      </w:pPr>
      <w:r>
        <w:rPr>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927"/>
        <w:gridCol w:w="1928"/>
        <w:gridCol w:w="1928"/>
        <w:gridCol w:w="1928"/>
        <w:gridCol w:w="1928"/>
      </w:tblGrid>
      <w:tr w:rsidR="00E20B54">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项目</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外购的数据资源无形资产</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自行开发的数据资源无形资产</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其他方式取得的数据资源无形资产</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合计</w:t>
            </w:r>
          </w:p>
        </w:tc>
      </w:tr>
      <w:tr w:rsidR="00E20B54">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2.</w:t>
            </w:r>
            <w:r>
              <w:rPr>
                <w:sz w:val="18"/>
                <w:szCs w:val="18"/>
              </w:rPr>
              <w:t>本期增加金额</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110,713.99</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110,713.99</w:t>
            </w:r>
          </w:p>
        </w:tc>
      </w:tr>
      <w:tr w:rsidR="00E20B54">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500" w:firstLine="900"/>
              <w:rPr>
                <w:sz w:val="18"/>
                <w:szCs w:val="18"/>
              </w:rPr>
            </w:pPr>
            <w:r>
              <w:rPr>
                <w:sz w:val="18"/>
                <w:szCs w:val="18"/>
              </w:rPr>
              <w:t>内部研发</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110,713.99</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110,713.99</w:t>
            </w:r>
          </w:p>
        </w:tc>
      </w:tr>
      <w:tr w:rsidR="00E20B54">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4.</w:t>
            </w:r>
            <w:r>
              <w:rPr>
                <w:sz w:val="18"/>
                <w:szCs w:val="18"/>
              </w:rPr>
              <w:t>期末余额</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110,713.99</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110,713.99</w:t>
            </w:r>
          </w:p>
        </w:tc>
      </w:tr>
      <w:tr w:rsidR="00E20B54">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二、累计摊销</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11,071.38</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11,071.38</w:t>
            </w:r>
          </w:p>
        </w:tc>
      </w:tr>
      <w:tr w:rsidR="00E20B54">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2.</w:t>
            </w:r>
            <w:r>
              <w:rPr>
                <w:sz w:val="18"/>
                <w:szCs w:val="18"/>
              </w:rPr>
              <w:t>本期增加金额</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11,071.38</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11,071.38</w:t>
            </w:r>
          </w:p>
        </w:tc>
      </w:tr>
      <w:tr w:rsidR="00E20B54">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4.</w:t>
            </w:r>
            <w:r>
              <w:rPr>
                <w:sz w:val="18"/>
                <w:szCs w:val="18"/>
              </w:rPr>
              <w:t>期末余额</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99,642.61</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99,642.61</w:t>
            </w:r>
          </w:p>
        </w:tc>
      </w:tr>
      <w:tr w:rsidR="00E20B54">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1.</w:t>
            </w:r>
            <w:r>
              <w:rPr>
                <w:sz w:val="18"/>
                <w:szCs w:val="18"/>
              </w:rPr>
              <w:t>期末账面价值</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99,642.61</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99,642.61</w:t>
            </w:r>
          </w:p>
        </w:tc>
      </w:tr>
    </w:tbl>
    <w:p w:rsidR="00E20B54" w:rsidRDefault="00733C9E" w:rsidP="00DC457B">
      <w:pPr>
        <w:pStyle w:val="a3"/>
        <w:widowControl/>
        <w:spacing w:beforeAutospacing="0" w:afterAutospacing="0"/>
        <w:ind w:firstLine="420"/>
        <w:jc w:val="both"/>
        <w:rPr>
          <w:sz w:val="21"/>
          <w:szCs w:val="21"/>
        </w:rPr>
      </w:pPr>
      <w:r>
        <w:rPr>
          <w:sz w:val="21"/>
          <w:szCs w:val="21"/>
        </w:rPr>
        <w:t>“</w:t>
      </w:r>
      <w:r>
        <w:rPr>
          <w:sz w:val="21"/>
          <w:szCs w:val="21"/>
        </w:rPr>
        <w:t>翼启</w:t>
      </w:r>
      <w:r>
        <w:rPr>
          <w:sz w:val="21"/>
          <w:szCs w:val="21"/>
        </w:rPr>
        <w:t>AI</w:t>
      </w:r>
      <w:r>
        <w:rPr>
          <w:sz w:val="21"/>
          <w:szCs w:val="21"/>
        </w:rPr>
        <w:t>政策计算器</w:t>
      </w:r>
      <w:r>
        <w:rPr>
          <w:sz w:val="21"/>
          <w:szCs w:val="21"/>
        </w:rPr>
        <w:t>”</w:t>
      </w:r>
      <w:r>
        <w:rPr>
          <w:sz w:val="21"/>
          <w:szCs w:val="21"/>
        </w:rPr>
        <w:t>已于</w:t>
      </w:r>
      <w:r>
        <w:rPr>
          <w:sz w:val="21"/>
          <w:szCs w:val="21"/>
        </w:rPr>
        <w:t>2025</w:t>
      </w:r>
      <w:r>
        <w:rPr>
          <w:sz w:val="21"/>
          <w:szCs w:val="21"/>
        </w:rPr>
        <w:t>年</w:t>
      </w:r>
      <w:r>
        <w:rPr>
          <w:sz w:val="21"/>
          <w:szCs w:val="21"/>
        </w:rPr>
        <w:t>7</w:t>
      </w:r>
      <w:r>
        <w:rPr>
          <w:sz w:val="21"/>
          <w:szCs w:val="21"/>
        </w:rPr>
        <w:t>月完成深圳数据交易所数据商品上市流程，取得数据产权登记证书，数据</w:t>
      </w:r>
      <w:r>
        <w:rPr>
          <w:sz w:val="21"/>
          <w:szCs w:val="21"/>
        </w:rPr>
        <w:t>(</w:t>
      </w:r>
      <w:r>
        <w:rPr>
          <w:sz w:val="21"/>
          <w:szCs w:val="21"/>
        </w:rPr>
        <w:t>商品</w:t>
      </w:r>
      <w:r>
        <w:rPr>
          <w:sz w:val="21"/>
          <w:szCs w:val="21"/>
        </w:rPr>
        <w:t>)</w:t>
      </w:r>
      <w:r>
        <w:rPr>
          <w:sz w:val="21"/>
          <w:szCs w:val="21"/>
        </w:rPr>
        <w:t>上市证书，数据产权正式确权，可正式公开流通交易。根据市场调研和初步估算，该数据资产预计将带来一定的经济效益，未来该资产也可复制到全国的其他城市，其服务计费方式可能与产品销售、使用许可等相关。至此</w:t>
      </w:r>
      <w:r>
        <w:rPr>
          <w:sz w:val="21"/>
          <w:szCs w:val="21"/>
        </w:rPr>
        <w:t>“</w:t>
      </w:r>
      <w:r>
        <w:rPr>
          <w:sz w:val="21"/>
          <w:szCs w:val="21"/>
        </w:rPr>
        <w:t>翼启</w:t>
      </w:r>
      <w:r>
        <w:rPr>
          <w:sz w:val="21"/>
          <w:szCs w:val="21"/>
        </w:rPr>
        <w:t>AI</w:t>
      </w:r>
      <w:r>
        <w:rPr>
          <w:sz w:val="21"/>
          <w:szCs w:val="21"/>
        </w:rPr>
        <w:t>政策计算器</w:t>
      </w:r>
      <w:r>
        <w:rPr>
          <w:sz w:val="21"/>
          <w:szCs w:val="21"/>
        </w:rPr>
        <w:t>”</w:t>
      </w:r>
      <w:r>
        <w:rPr>
          <w:sz w:val="21"/>
          <w:szCs w:val="21"/>
        </w:rPr>
        <w:t>开发完成达到了预定可使用状态，符合资本化条件，于</w:t>
      </w:r>
      <w:r>
        <w:rPr>
          <w:sz w:val="21"/>
          <w:szCs w:val="21"/>
        </w:rPr>
        <w:t>2025</w:t>
      </w:r>
      <w:r>
        <w:rPr>
          <w:sz w:val="21"/>
          <w:szCs w:val="21"/>
        </w:rPr>
        <w:t>年</w:t>
      </w:r>
      <w:r>
        <w:rPr>
          <w:sz w:val="21"/>
          <w:szCs w:val="21"/>
        </w:rPr>
        <w:t>7</w:t>
      </w:r>
      <w:r>
        <w:rPr>
          <w:sz w:val="21"/>
          <w:szCs w:val="21"/>
        </w:rPr>
        <w:t>月正式转为公司的无形资产，按</w:t>
      </w:r>
      <w:r>
        <w:rPr>
          <w:sz w:val="21"/>
          <w:szCs w:val="21"/>
        </w:rPr>
        <w:t>5</w:t>
      </w:r>
      <w:r>
        <w:rPr>
          <w:sz w:val="21"/>
          <w:szCs w:val="21"/>
        </w:rPr>
        <w:t>年期直线法进行摊销，相关会计处理按照</w:t>
      </w:r>
      <w:r>
        <w:rPr>
          <w:sz w:val="21"/>
          <w:szCs w:val="21"/>
        </w:rPr>
        <w:t xml:space="preserve"> </w:t>
      </w:r>
      <w:r>
        <w:rPr>
          <w:sz w:val="21"/>
          <w:szCs w:val="21"/>
        </w:rPr>
        <w:t>《企业数据资源相关会计处理暂行规定》及《企业会计准则第</w:t>
      </w:r>
      <w:r>
        <w:rPr>
          <w:sz w:val="21"/>
          <w:szCs w:val="21"/>
        </w:rPr>
        <w:t>6</w:t>
      </w:r>
      <w:r>
        <w:rPr>
          <w:sz w:val="21"/>
          <w:szCs w:val="21"/>
        </w:rPr>
        <w:t>号</w:t>
      </w:r>
      <w:r>
        <w:rPr>
          <w:sz w:val="21"/>
          <w:szCs w:val="21"/>
        </w:rPr>
        <w:t>—</w:t>
      </w:r>
      <w:r>
        <w:rPr>
          <w:sz w:val="21"/>
          <w:szCs w:val="21"/>
        </w:rPr>
        <w:t>无形资产》的相关规定执行。</w:t>
      </w:r>
      <w:r>
        <w:rPr>
          <w:sz w:val="21"/>
          <w:szCs w:val="21"/>
        </w:rPr>
        <w:t> </w:t>
      </w:r>
    </w:p>
    <w:p w:rsidR="00E20B54" w:rsidRDefault="00733C9E">
      <w:pPr>
        <w:keepNext/>
        <w:keepLines/>
        <w:spacing w:before="300" w:after="300" w:line="280" w:lineRule="exact"/>
        <w:outlineLvl w:val="3"/>
        <w:rPr>
          <w:b/>
          <w:bCs/>
          <w:szCs w:val="21"/>
        </w:rPr>
      </w:pPr>
      <w:bookmarkStart w:id="289" w:name="_Toc989177"/>
      <w:r>
        <w:rPr>
          <w:b/>
          <w:bCs/>
          <w:szCs w:val="21"/>
        </w:rPr>
        <w:t>（</w:t>
      </w:r>
      <w:r>
        <w:rPr>
          <w:b/>
          <w:bCs/>
          <w:szCs w:val="21"/>
        </w:rPr>
        <w:t>3</w:t>
      </w:r>
      <w:r>
        <w:rPr>
          <w:b/>
          <w:bCs/>
          <w:szCs w:val="21"/>
        </w:rPr>
        <w:t>）</w:t>
      </w:r>
      <w:r>
        <w:rPr>
          <w:b/>
          <w:bCs/>
          <w:szCs w:val="21"/>
        </w:rPr>
        <w:t xml:space="preserve"> </w:t>
      </w:r>
      <w:r>
        <w:rPr>
          <w:b/>
          <w:bCs/>
          <w:szCs w:val="21"/>
        </w:rPr>
        <w:t>无形资产的减值测试情况</w:t>
      </w:r>
      <w:bookmarkEnd w:id="289"/>
    </w:p>
    <w:p w:rsidR="00E20B54" w:rsidRDefault="00733C9E">
      <w:pPr>
        <w:spacing w:before="100" w:after="100" w:line="240" w:lineRule="exact"/>
        <w:rPr>
          <w:sz w:val="18"/>
          <w:szCs w:val="18"/>
        </w:rPr>
      </w:pPr>
      <w:r>
        <w:rPr>
          <w:sz w:val="18"/>
          <w:szCs w:val="18"/>
        </w:rPr>
        <w:t>□</w:t>
      </w:r>
      <w:r>
        <w:rPr>
          <w:sz w:val="18"/>
          <w:szCs w:val="18"/>
        </w:rPr>
        <w:t>适用</w:t>
      </w:r>
      <w:r>
        <w:rPr>
          <w:sz w:val="18"/>
          <w:szCs w:val="18"/>
        </w:rPr>
        <w:t xml:space="preserve"> </w:t>
      </w:r>
      <w:r>
        <w:rPr>
          <w:sz w:val="18"/>
          <w:szCs w:val="18"/>
        </w:rPr>
        <w:sym w:font="Wingdings 2" w:char="F052"/>
      </w:r>
      <w:r>
        <w:rPr>
          <w:sz w:val="18"/>
          <w:szCs w:val="18"/>
        </w:rPr>
        <w:t>不适用</w:t>
      </w:r>
    </w:p>
    <w:p w:rsidR="00E20B54" w:rsidRDefault="00733C9E">
      <w:pPr>
        <w:pStyle w:val="3"/>
        <w:spacing w:line="280" w:lineRule="exact"/>
        <w:jc w:val="left"/>
        <w:rPr>
          <w:b/>
          <w:bCs/>
        </w:rPr>
      </w:pPr>
      <w:bookmarkStart w:id="290" w:name="_Toc989178"/>
      <w:r>
        <w:rPr>
          <w:b/>
          <w:bCs/>
        </w:rPr>
        <w:t>17</w:t>
      </w:r>
      <w:r>
        <w:rPr>
          <w:b/>
          <w:bCs/>
        </w:rPr>
        <w:t>、商誉</w:t>
      </w:r>
      <w:bookmarkEnd w:id="290"/>
    </w:p>
    <w:p w:rsidR="00E20B54" w:rsidRDefault="00733C9E">
      <w:pPr>
        <w:keepNext/>
        <w:keepLines/>
        <w:spacing w:before="300" w:after="300" w:line="280" w:lineRule="exact"/>
        <w:outlineLvl w:val="3"/>
        <w:rPr>
          <w:b/>
          <w:bCs/>
          <w:szCs w:val="21"/>
        </w:rPr>
      </w:pPr>
      <w:bookmarkStart w:id="291" w:name="_Toc989179"/>
      <w:r>
        <w:rPr>
          <w:b/>
          <w:bCs/>
          <w:szCs w:val="21"/>
        </w:rPr>
        <w:t>（</w:t>
      </w:r>
      <w:r>
        <w:rPr>
          <w:b/>
          <w:bCs/>
          <w:szCs w:val="21"/>
        </w:rPr>
        <w:t>1</w:t>
      </w:r>
      <w:r>
        <w:rPr>
          <w:b/>
          <w:bCs/>
          <w:szCs w:val="21"/>
        </w:rPr>
        <w:t>）</w:t>
      </w:r>
      <w:r>
        <w:rPr>
          <w:b/>
          <w:bCs/>
          <w:szCs w:val="21"/>
        </w:rPr>
        <w:t xml:space="preserve"> </w:t>
      </w:r>
      <w:r>
        <w:rPr>
          <w:b/>
          <w:bCs/>
          <w:szCs w:val="21"/>
        </w:rPr>
        <w:t>商誉账面原值</w:t>
      </w:r>
      <w:bookmarkEnd w:id="291"/>
    </w:p>
    <w:p w:rsidR="00E20B54" w:rsidRDefault="00733C9E">
      <w:pPr>
        <w:spacing w:before="40" w:after="40" w:line="240" w:lineRule="exact"/>
        <w:jc w:val="right"/>
        <w:rPr>
          <w:sz w:val="18"/>
          <w:szCs w:val="18"/>
        </w:rPr>
      </w:pPr>
      <w:r>
        <w:rPr>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377"/>
        <w:gridCol w:w="1377"/>
        <w:gridCol w:w="2754"/>
        <w:gridCol w:w="2754"/>
        <w:gridCol w:w="1377"/>
      </w:tblGrid>
      <w:tr w:rsidR="00E20B54" w:rsidTr="00DC457B">
        <w:trPr>
          <w:trHeight w:val="240"/>
          <w:tblHeader/>
        </w:trPr>
        <w:tc>
          <w:tcPr>
            <w:tcW w:w="1377"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被投资单位名称或形成商誉的事项</w:t>
            </w:r>
          </w:p>
        </w:tc>
        <w:tc>
          <w:tcPr>
            <w:tcW w:w="1377"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期初余额</w:t>
            </w:r>
          </w:p>
        </w:tc>
        <w:tc>
          <w:tcPr>
            <w:tcW w:w="2754"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本期增加</w:t>
            </w:r>
          </w:p>
        </w:tc>
        <w:tc>
          <w:tcPr>
            <w:tcW w:w="2754"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本期减少</w:t>
            </w:r>
          </w:p>
        </w:tc>
        <w:tc>
          <w:tcPr>
            <w:tcW w:w="1377"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期末余额</w:t>
            </w:r>
          </w:p>
        </w:tc>
      </w:tr>
      <w:tr w:rsidR="00DC457B" w:rsidTr="00733C9E">
        <w:trPr>
          <w:trHeight w:val="240"/>
          <w:tblHeader/>
        </w:trPr>
        <w:tc>
          <w:tcPr>
            <w:tcW w:w="1377" w:type="dxa"/>
            <w:vMerge/>
            <w:tcBorders>
              <w:top w:val="single" w:sz="2" w:space="0" w:color="auto"/>
              <w:left w:val="single" w:sz="2" w:space="0" w:color="auto"/>
              <w:bottom w:val="single" w:sz="2" w:space="0" w:color="auto"/>
              <w:right w:val="single" w:sz="2" w:space="0" w:color="auto"/>
            </w:tcBorders>
            <w:vAlign w:val="center"/>
          </w:tcPr>
          <w:p w:rsidR="00DC457B" w:rsidRDefault="00DC457B"/>
        </w:tc>
        <w:tc>
          <w:tcPr>
            <w:tcW w:w="1377"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DC457B" w:rsidRDefault="00DC457B"/>
        </w:tc>
        <w:tc>
          <w:tcPr>
            <w:tcW w:w="2754" w:type="dxa"/>
            <w:tcBorders>
              <w:top w:val="single" w:sz="2" w:space="0" w:color="auto"/>
              <w:left w:val="single" w:sz="2" w:space="0" w:color="auto"/>
              <w:bottom w:val="single" w:sz="2" w:space="0" w:color="auto"/>
              <w:right w:val="single" w:sz="2" w:space="0" w:color="auto"/>
            </w:tcBorders>
            <w:shd w:val="clear" w:color="auto" w:fill="D3D3D3"/>
            <w:vAlign w:val="center"/>
          </w:tcPr>
          <w:p w:rsidR="00DC457B" w:rsidRDefault="00DC457B">
            <w:pPr>
              <w:spacing w:line="240" w:lineRule="exact"/>
              <w:jc w:val="center"/>
              <w:rPr>
                <w:sz w:val="18"/>
                <w:szCs w:val="18"/>
              </w:rPr>
            </w:pPr>
            <w:r>
              <w:rPr>
                <w:sz w:val="18"/>
                <w:szCs w:val="18"/>
              </w:rPr>
              <w:t>企业合并形成的</w:t>
            </w:r>
          </w:p>
        </w:tc>
        <w:tc>
          <w:tcPr>
            <w:tcW w:w="2754" w:type="dxa"/>
            <w:tcBorders>
              <w:top w:val="single" w:sz="2" w:space="0" w:color="auto"/>
              <w:left w:val="single" w:sz="2" w:space="0" w:color="auto"/>
              <w:bottom w:val="single" w:sz="2" w:space="0" w:color="auto"/>
              <w:right w:val="single" w:sz="2" w:space="0" w:color="auto"/>
            </w:tcBorders>
            <w:shd w:val="clear" w:color="auto" w:fill="D3D3D3"/>
            <w:vAlign w:val="center"/>
          </w:tcPr>
          <w:p w:rsidR="00DC457B" w:rsidRDefault="00DC457B">
            <w:pPr>
              <w:spacing w:line="240" w:lineRule="exact"/>
              <w:jc w:val="center"/>
              <w:rPr>
                <w:sz w:val="18"/>
                <w:szCs w:val="18"/>
              </w:rPr>
            </w:pPr>
            <w:r>
              <w:rPr>
                <w:sz w:val="18"/>
                <w:szCs w:val="18"/>
              </w:rPr>
              <w:t>处置</w:t>
            </w:r>
          </w:p>
        </w:tc>
        <w:tc>
          <w:tcPr>
            <w:tcW w:w="1377"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DC457B" w:rsidRDefault="00DC457B"/>
        </w:tc>
      </w:tr>
      <w:tr w:rsidR="00DC457B" w:rsidTr="00733C9E">
        <w:trPr>
          <w:trHeight w:val="240"/>
        </w:trPr>
        <w:tc>
          <w:tcPr>
            <w:tcW w:w="1377" w:type="dxa"/>
            <w:tcBorders>
              <w:top w:val="single" w:sz="2" w:space="0" w:color="auto"/>
              <w:left w:val="single" w:sz="2" w:space="0" w:color="auto"/>
              <w:bottom w:val="single" w:sz="2" w:space="0" w:color="auto"/>
              <w:right w:val="single" w:sz="2" w:space="0" w:color="auto"/>
            </w:tcBorders>
            <w:vAlign w:val="center"/>
          </w:tcPr>
          <w:p w:rsidR="00DC457B" w:rsidRDefault="00DC457B">
            <w:pPr>
              <w:spacing w:line="240" w:lineRule="exact"/>
              <w:rPr>
                <w:sz w:val="18"/>
                <w:szCs w:val="18"/>
              </w:rPr>
            </w:pPr>
            <w:r>
              <w:rPr>
                <w:sz w:val="18"/>
                <w:szCs w:val="18"/>
              </w:rPr>
              <w:t>深圳市互联精英信息技术有限公司</w:t>
            </w:r>
          </w:p>
        </w:tc>
        <w:tc>
          <w:tcPr>
            <w:tcW w:w="1377" w:type="dxa"/>
            <w:tcBorders>
              <w:top w:val="single" w:sz="2" w:space="0" w:color="auto"/>
              <w:left w:val="single" w:sz="2" w:space="0" w:color="auto"/>
              <w:bottom w:val="single" w:sz="2" w:space="0" w:color="auto"/>
              <w:right w:val="single" w:sz="2" w:space="0" w:color="auto"/>
            </w:tcBorders>
            <w:vAlign w:val="center"/>
          </w:tcPr>
          <w:p w:rsidR="00DC457B" w:rsidRDefault="00DC457B">
            <w:pPr>
              <w:spacing w:line="240" w:lineRule="exact"/>
              <w:jc w:val="right"/>
              <w:rPr>
                <w:sz w:val="18"/>
                <w:szCs w:val="18"/>
              </w:rPr>
            </w:pPr>
            <w:r>
              <w:rPr>
                <w:sz w:val="18"/>
                <w:szCs w:val="18"/>
              </w:rPr>
              <w:t>2,682,094.38</w:t>
            </w:r>
          </w:p>
        </w:tc>
        <w:tc>
          <w:tcPr>
            <w:tcW w:w="2754" w:type="dxa"/>
            <w:tcBorders>
              <w:top w:val="single" w:sz="2" w:space="0" w:color="auto"/>
              <w:left w:val="single" w:sz="2" w:space="0" w:color="auto"/>
              <w:bottom w:val="single" w:sz="2" w:space="0" w:color="auto"/>
              <w:right w:val="single" w:sz="2" w:space="0" w:color="auto"/>
            </w:tcBorders>
            <w:vAlign w:val="center"/>
          </w:tcPr>
          <w:p w:rsidR="00DC457B" w:rsidRDefault="00DC457B">
            <w:pPr>
              <w:spacing w:line="240" w:lineRule="exact"/>
              <w:jc w:val="right"/>
              <w:rPr>
                <w:sz w:val="18"/>
                <w:szCs w:val="18"/>
              </w:rPr>
            </w:pPr>
          </w:p>
        </w:tc>
        <w:tc>
          <w:tcPr>
            <w:tcW w:w="2754" w:type="dxa"/>
            <w:tcBorders>
              <w:top w:val="single" w:sz="2" w:space="0" w:color="auto"/>
              <w:left w:val="single" w:sz="2" w:space="0" w:color="auto"/>
              <w:bottom w:val="single" w:sz="2" w:space="0" w:color="auto"/>
              <w:right w:val="single" w:sz="2" w:space="0" w:color="auto"/>
            </w:tcBorders>
            <w:vAlign w:val="center"/>
          </w:tcPr>
          <w:p w:rsidR="00DC457B" w:rsidRDefault="00DC457B">
            <w:pPr>
              <w:spacing w:line="240" w:lineRule="exact"/>
              <w:jc w:val="right"/>
              <w:rPr>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rsidR="00DC457B" w:rsidRDefault="00DC457B">
            <w:pPr>
              <w:spacing w:line="240" w:lineRule="exact"/>
              <w:jc w:val="right"/>
              <w:rPr>
                <w:sz w:val="18"/>
                <w:szCs w:val="18"/>
              </w:rPr>
            </w:pPr>
            <w:r>
              <w:rPr>
                <w:sz w:val="18"/>
                <w:szCs w:val="18"/>
              </w:rPr>
              <w:t>2,682,094.38</w:t>
            </w:r>
          </w:p>
        </w:tc>
      </w:tr>
      <w:tr w:rsidR="00DC457B" w:rsidTr="00733C9E">
        <w:trPr>
          <w:trHeight w:val="240"/>
        </w:trPr>
        <w:tc>
          <w:tcPr>
            <w:tcW w:w="1377" w:type="dxa"/>
            <w:tcBorders>
              <w:top w:val="single" w:sz="2" w:space="0" w:color="auto"/>
              <w:left w:val="single" w:sz="2" w:space="0" w:color="auto"/>
              <w:bottom w:val="single" w:sz="2" w:space="0" w:color="auto"/>
              <w:right w:val="single" w:sz="2" w:space="0" w:color="auto"/>
            </w:tcBorders>
            <w:vAlign w:val="center"/>
          </w:tcPr>
          <w:p w:rsidR="00DC457B" w:rsidRDefault="00DC457B">
            <w:pPr>
              <w:spacing w:line="240" w:lineRule="exact"/>
              <w:rPr>
                <w:sz w:val="18"/>
                <w:szCs w:val="18"/>
              </w:rPr>
            </w:pPr>
            <w:r>
              <w:rPr>
                <w:sz w:val="18"/>
                <w:szCs w:val="18"/>
              </w:rPr>
              <w:t>广图粤科（广州）科技有限公司</w:t>
            </w:r>
          </w:p>
        </w:tc>
        <w:tc>
          <w:tcPr>
            <w:tcW w:w="1377" w:type="dxa"/>
            <w:tcBorders>
              <w:top w:val="single" w:sz="2" w:space="0" w:color="auto"/>
              <w:left w:val="single" w:sz="2" w:space="0" w:color="auto"/>
              <w:bottom w:val="single" w:sz="2" w:space="0" w:color="auto"/>
              <w:right w:val="single" w:sz="2" w:space="0" w:color="auto"/>
            </w:tcBorders>
            <w:vAlign w:val="center"/>
          </w:tcPr>
          <w:p w:rsidR="00DC457B" w:rsidRDefault="00DC457B">
            <w:pPr>
              <w:spacing w:line="240" w:lineRule="exact"/>
              <w:jc w:val="right"/>
              <w:rPr>
                <w:sz w:val="18"/>
                <w:szCs w:val="18"/>
              </w:rPr>
            </w:pPr>
            <w:r>
              <w:rPr>
                <w:sz w:val="18"/>
                <w:szCs w:val="18"/>
              </w:rPr>
              <w:t>1,810,891.86</w:t>
            </w:r>
          </w:p>
        </w:tc>
        <w:tc>
          <w:tcPr>
            <w:tcW w:w="2754" w:type="dxa"/>
            <w:tcBorders>
              <w:top w:val="single" w:sz="2" w:space="0" w:color="auto"/>
              <w:left w:val="single" w:sz="2" w:space="0" w:color="auto"/>
              <w:bottom w:val="single" w:sz="2" w:space="0" w:color="auto"/>
              <w:right w:val="single" w:sz="2" w:space="0" w:color="auto"/>
            </w:tcBorders>
            <w:vAlign w:val="center"/>
          </w:tcPr>
          <w:p w:rsidR="00DC457B" w:rsidRDefault="00DC457B">
            <w:pPr>
              <w:spacing w:line="240" w:lineRule="exact"/>
              <w:jc w:val="right"/>
              <w:rPr>
                <w:sz w:val="18"/>
                <w:szCs w:val="18"/>
              </w:rPr>
            </w:pPr>
          </w:p>
        </w:tc>
        <w:tc>
          <w:tcPr>
            <w:tcW w:w="2754" w:type="dxa"/>
            <w:tcBorders>
              <w:top w:val="single" w:sz="2" w:space="0" w:color="auto"/>
              <w:left w:val="single" w:sz="2" w:space="0" w:color="auto"/>
              <w:bottom w:val="single" w:sz="2" w:space="0" w:color="auto"/>
              <w:right w:val="single" w:sz="2" w:space="0" w:color="auto"/>
            </w:tcBorders>
            <w:vAlign w:val="center"/>
          </w:tcPr>
          <w:p w:rsidR="00DC457B" w:rsidRDefault="00DC457B">
            <w:pPr>
              <w:spacing w:line="240" w:lineRule="exact"/>
              <w:jc w:val="right"/>
              <w:rPr>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rsidR="00DC457B" w:rsidRDefault="00DC457B">
            <w:pPr>
              <w:spacing w:line="240" w:lineRule="exact"/>
              <w:jc w:val="right"/>
              <w:rPr>
                <w:sz w:val="18"/>
                <w:szCs w:val="18"/>
              </w:rPr>
            </w:pPr>
            <w:r>
              <w:rPr>
                <w:sz w:val="18"/>
                <w:szCs w:val="18"/>
              </w:rPr>
              <w:t>1,810,891.86</w:t>
            </w:r>
          </w:p>
        </w:tc>
      </w:tr>
      <w:tr w:rsidR="00DC457B" w:rsidTr="00733C9E">
        <w:trPr>
          <w:trHeight w:val="240"/>
        </w:trPr>
        <w:tc>
          <w:tcPr>
            <w:tcW w:w="1377" w:type="dxa"/>
            <w:tcBorders>
              <w:top w:val="single" w:sz="2" w:space="0" w:color="auto"/>
              <w:left w:val="single" w:sz="2" w:space="0" w:color="auto"/>
              <w:bottom w:val="single" w:sz="2" w:space="0" w:color="auto"/>
              <w:right w:val="single" w:sz="2" w:space="0" w:color="auto"/>
            </w:tcBorders>
            <w:vAlign w:val="center"/>
          </w:tcPr>
          <w:p w:rsidR="00DC457B" w:rsidRDefault="00DC457B">
            <w:pPr>
              <w:spacing w:line="240" w:lineRule="exact"/>
              <w:rPr>
                <w:sz w:val="18"/>
                <w:szCs w:val="18"/>
              </w:rPr>
            </w:pPr>
            <w:r>
              <w:rPr>
                <w:sz w:val="18"/>
                <w:szCs w:val="18"/>
              </w:rPr>
              <w:t>广东翼启数据产业有限公司</w:t>
            </w:r>
          </w:p>
        </w:tc>
        <w:tc>
          <w:tcPr>
            <w:tcW w:w="1377" w:type="dxa"/>
            <w:tcBorders>
              <w:top w:val="single" w:sz="2" w:space="0" w:color="auto"/>
              <w:left w:val="single" w:sz="2" w:space="0" w:color="auto"/>
              <w:bottom w:val="single" w:sz="2" w:space="0" w:color="auto"/>
              <w:right w:val="single" w:sz="2" w:space="0" w:color="auto"/>
            </w:tcBorders>
            <w:vAlign w:val="center"/>
          </w:tcPr>
          <w:p w:rsidR="00DC457B" w:rsidRDefault="00DC457B">
            <w:pPr>
              <w:spacing w:line="240" w:lineRule="exact"/>
              <w:jc w:val="right"/>
              <w:rPr>
                <w:sz w:val="18"/>
                <w:szCs w:val="18"/>
              </w:rPr>
            </w:pPr>
            <w:r>
              <w:rPr>
                <w:sz w:val="18"/>
                <w:szCs w:val="18"/>
              </w:rPr>
              <w:t>303,959.67</w:t>
            </w:r>
          </w:p>
        </w:tc>
        <w:tc>
          <w:tcPr>
            <w:tcW w:w="2754" w:type="dxa"/>
            <w:tcBorders>
              <w:top w:val="single" w:sz="2" w:space="0" w:color="auto"/>
              <w:left w:val="single" w:sz="2" w:space="0" w:color="auto"/>
              <w:bottom w:val="single" w:sz="2" w:space="0" w:color="auto"/>
              <w:right w:val="single" w:sz="2" w:space="0" w:color="auto"/>
            </w:tcBorders>
            <w:vAlign w:val="center"/>
          </w:tcPr>
          <w:p w:rsidR="00DC457B" w:rsidRDefault="00DC457B">
            <w:pPr>
              <w:spacing w:line="240" w:lineRule="exact"/>
              <w:jc w:val="right"/>
              <w:rPr>
                <w:sz w:val="18"/>
                <w:szCs w:val="18"/>
              </w:rPr>
            </w:pPr>
          </w:p>
        </w:tc>
        <w:tc>
          <w:tcPr>
            <w:tcW w:w="2754" w:type="dxa"/>
            <w:tcBorders>
              <w:top w:val="single" w:sz="2" w:space="0" w:color="auto"/>
              <w:left w:val="single" w:sz="2" w:space="0" w:color="auto"/>
              <w:bottom w:val="single" w:sz="2" w:space="0" w:color="auto"/>
              <w:right w:val="single" w:sz="2" w:space="0" w:color="auto"/>
            </w:tcBorders>
            <w:vAlign w:val="center"/>
          </w:tcPr>
          <w:p w:rsidR="00DC457B" w:rsidRDefault="00DC457B">
            <w:pPr>
              <w:spacing w:line="240" w:lineRule="exact"/>
              <w:jc w:val="right"/>
              <w:rPr>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rsidR="00DC457B" w:rsidRDefault="00DC457B">
            <w:pPr>
              <w:spacing w:line="240" w:lineRule="exact"/>
              <w:jc w:val="right"/>
              <w:rPr>
                <w:sz w:val="18"/>
                <w:szCs w:val="18"/>
              </w:rPr>
            </w:pPr>
            <w:r>
              <w:rPr>
                <w:sz w:val="18"/>
                <w:szCs w:val="18"/>
              </w:rPr>
              <w:t>303,959.67</w:t>
            </w:r>
          </w:p>
        </w:tc>
      </w:tr>
      <w:tr w:rsidR="00DC457B" w:rsidTr="00733C9E">
        <w:trPr>
          <w:trHeight w:val="240"/>
        </w:trPr>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DC457B" w:rsidRDefault="00DC457B">
            <w:pPr>
              <w:spacing w:before="40" w:after="40" w:line="240" w:lineRule="exact"/>
              <w:rPr>
                <w:sz w:val="18"/>
                <w:szCs w:val="18"/>
              </w:rPr>
            </w:pPr>
            <w:r>
              <w:rPr>
                <w:sz w:val="18"/>
                <w:szCs w:val="18"/>
              </w:rPr>
              <w:lastRenderedPageBreak/>
              <w:t>合计</w:t>
            </w:r>
          </w:p>
        </w:tc>
        <w:tc>
          <w:tcPr>
            <w:tcW w:w="1377" w:type="dxa"/>
            <w:tcBorders>
              <w:top w:val="single" w:sz="2" w:space="0" w:color="auto"/>
              <w:left w:val="single" w:sz="2" w:space="0" w:color="auto"/>
              <w:bottom w:val="single" w:sz="2" w:space="0" w:color="auto"/>
              <w:right w:val="single" w:sz="2" w:space="0" w:color="auto"/>
            </w:tcBorders>
            <w:vAlign w:val="center"/>
          </w:tcPr>
          <w:p w:rsidR="00DC457B" w:rsidRDefault="00DC457B">
            <w:pPr>
              <w:spacing w:line="240" w:lineRule="exact"/>
              <w:jc w:val="right"/>
              <w:rPr>
                <w:sz w:val="18"/>
                <w:szCs w:val="18"/>
              </w:rPr>
            </w:pPr>
            <w:r>
              <w:rPr>
                <w:sz w:val="18"/>
                <w:szCs w:val="18"/>
              </w:rPr>
              <w:t>4,796,945.91</w:t>
            </w:r>
          </w:p>
        </w:tc>
        <w:tc>
          <w:tcPr>
            <w:tcW w:w="2754" w:type="dxa"/>
            <w:tcBorders>
              <w:top w:val="single" w:sz="2" w:space="0" w:color="auto"/>
              <w:left w:val="single" w:sz="2" w:space="0" w:color="auto"/>
              <w:bottom w:val="single" w:sz="2" w:space="0" w:color="auto"/>
              <w:right w:val="single" w:sz="2" w:space="0" w:color="auto"/>
            </w:tcBorders>
            <w:vAlign w:val="center"/>
          </w:tcPr>
          <w:p w:rsidR="00DC457B" w:rsidRDefault="00DC457B">
            <w:pPr>
              <w:spacing w:line="240" w:lineRule="exact"/>
              <w:jc w:val="right"/>
              <w:rPr>
                <w:sz w:val="18"/>
                <w:szCs w:val="18"/>
              </w:rPr>
            </w:pPr>
          </w:p>
        </w:tc>
        <w:tc>
          <w:tcPr>
            <w:tcW w:w="2754" w:type="dxa"/>
            <w:tcBorders>
              <w:top w:val="single" w:sz="2" w:space="0" w:color="auto"/>
              <w:left w:val="single" w:sz="2" w:space="0" w:color="auto"/>
              <w:bottom w:val="single" w:sz="2" w:space="0" w:color="auto"/>
              <w:right w:val="single" w:sz="2" w:space="0" w:color="auto"/>
            </w:tcBorders>
            <w:vAlign w:val="center"/>
          </w:tcPr>
          <w:p w:rsidR="00DC457B" w:rsidRDefault="00DC457B">
            <w:pPr>
              <w:spacing w:line="240" w:lineRule="exact"/>
              <w:jc w:val="right"/>
              <w:rPr>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rsidR="00DC457B" w:rsidRDefault="00DC457B">
            <w:pPr>
              <w:spacing w:line="240" w:lineRule="exact"/>
              <w:jc w:val="right"/>
              <w:rPr>
                <w:sz w:val="18"/>
                <w:szCs w:val="18"/>
              </w:rPr>
            </w:pPr>
            <w:r>
              <w:rPr>
                <w:sz w:val="18"/>
                <w:szCs w:val="18"/>
              </w:rPr>
              <w:t>4,796,945.91</w:t>
            </w:r>
          </w:p>
        </w:tc>
      </w:tr>
    </w:tbl>
    <w:p w:rsidR="00E20B54" w:rsidRDefault="00733C9E">
      <w:pPr>
        <w:keepNext/>
        <w:keepLines/>
        <w:spacing w:before="300" w:after="300" w:line="280" w:lineRule="exact"/>
        <w:outlineLvl w:val="3"/>
        <w:rPr>
          <w:b/>
          <w:bCs/>
          <w:szCs w:val="21"/>
        </w:rPr>
      </w:pPr>
      <w:bookmarkStart w:id="292" w:name="_Toc989180"/>
      <w:r>
        <w:rPr>
          <w:b/>
          <w:bCs/>
          <w:szCs w:val="21"/>
        </w:rPr>
        <w:t>（</w:t>
      </w:r>
      <w:r>
        <w:rPr>
          <w:b/>
          <w:bCs/>
          <w:szCs w:val="21"/>
        </w:rPr>
        <w:t>2</w:t>
      </w:r>
      <w:r>
        <w:rPr>
          <w:b/>
          <w:bCs/>
          <w:szCs w:val="21"/>
        </w:rPr>
        <w:t>）</w:t>
      </w:r>
      <w:r>
        <w:rPr>
          <w:b/>
          <w:bCs/>
          <w:szCs w:val="21"/>
        </w:rPr>
        <w:t xml:space="preserve"> </w:t>
      </w:r>
      <w:r>
        <w:rPr>
          <w:b/>
          <w:bCs/>
          <w:szCs w:val="21"/>
        </w:rPr>
        <w:t>商誉减值准备</w:t>
      </w:r>
      <w:bookmarkEnd w:id="292"/>
    </w:p>
    <w:p w:rsidR="00E20B54" w:rsidRDefault="00733C9E">
      <w:pPr>
        <w:spacing w:before="40" w:after="40" w:line="240" w:lineRule="exact"/>
        <w:jc w:val="right"/>
        <w:rPr>
          <w:sz w:val="18"/>
          <w:szCs w:val="18"/>
        </w:rPr>
      </w:pPr>
      <w:r>
        <w:rPr>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377"/>
        <w:gridCol w:w="1377"/>
        <w:gridCol w:w="2754"/>
        <w:gridCol w:w="2754"/>
        <w:gridCol w:w="1377"/>
      </w:tblGrid>
      <w:tr w:rsidR="00E20B54">
        <w:trPr>
          <w:trHeight w:val="240"/>
        </w:trPr>
        <w:tc>
          <w:tcPr>
            <w:tcW w:w="1377"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被投资单位名称或形成商誉的事项</w:t>
            </w:r>
          </w:p>
        </w:tc>
        <w:tc>
          <w:tcPr>
            <w:tcW w:w="1377"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期初余额</w:t>
            </w:r>
          </w:p>
        </w:tc>
        <w:tc>
          <w:tcPr>
            <w:tcW w:w="2754"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本期增加</w:t>
            </w:r>
          </w:p>
        </w:tc>
        <w:tc>
          <w:tcPr>
            <w:tcW w:w="2754"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本期减少</w:t>
            </w:r>
          </w:p>
        </w:tc>
        <w:tc>
          <w:tcPr>
            <w:tcW w:w="1377"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期末余额</w:t>
            </w:r>
          </w:p>
        </w:tc>
      </w:tr>
      <w:tr w:rsidR="00DC457B" w:rsidTr="00733C9E">
        <w:trPr>
          <w:trHeight w:val="240"/>
        </w:trPr>
        <w:tc>
          <w:tcPr>
            <w:tcW w:w="1377" w:type="dxa"/>
            <w:vMerge/>
            <w:tcBorders>
              <w:top w:val="single" w:sz="2" w:space="0" w:color="auto"/>
              <w:left w:val="single" w:sz="2" w:space="0" w:color="auto"/>
              <w:bottom w:val="single" w:sz="2" w:space="0" w:color="auto"/>
              <w:right w:val="single" w:sz="2" w:space="0" w:color="auto"/>
            </w:tcBorders>
            <w:vAlign w:val="center"/>
          </w:tcPr>
          <w:p w:rsidR="00DC457B" w:rsidRDefault="00DC457B"/>
        </w:tc>
        <w:tc>
          <w:tcPr>
            <w:tcW w:w="1377"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DC457B" w:rsidRDefault="00DC457B"/>
        </w:tc>
        <w:tc>
          <w:tcPr>
            <w:tcW w:w="2754" w:type="dxa"/>
            <w:tcBorders>
              <w:top w:val="single" w:sz="2" w:space="0" w:color="auto"/>
              <w:left w:val="single" w:sz="2" w:space="0" w:color="auto"/>
              <w:bottom w:val="single" w:sz="2" w:space="0" w:color="auto"/>
              <w:right w:val="single" w:sz="2" w:space="0" w:color="auto"/>
            </w:tcBorders>
            <w:shd w:val="clear" w:color="auto" w:fill="D3D3D3"/>
            <w:vAlign w:val="center"/>
          </w:tcPr>
          <w:p w:rsidR="00DC457B" w:rsidRDefault="00DC457B">
            <w:pPr>
              <w:spacing w:line="240" w:lineRule="exact"/>
              <w:jc w:val="center"/>
              <w:rPr>
                <w:sz w:val="18"/>
                <w:szCs w:val="18"/>
              </w:rPr>
            </w:pPr>
            <w:r>
              <w:rPr>
                <w:sz w:val="18"/>
                <w:szCs w:val="18"/>
              </w:rPr>
              <w:t>计提</w:t>
            </w:r>
          </w:p>
        </w:tc>
        <w:tc>
          <w:tcPr>
            <w:tcW w:w="2754" w:type="dxa"/>
            <w:tcBorders>
              <w:top w:val="single" w:sz="2" w:space="0" w:color="auto"/>
              <w:left w:val="single" w:sz="2" w:space="0" w:color="auto"/>
              <w:bottom w:val="single" w:sz="2" w:space="0" w:color="auto"/>
              <w:right w:val="single" w:sz="2" w:space="0" w:color="auto"/>
            </w:tcBorders>
            <w:shd w:val="clear" w:color="auto" w:fill="D3D3D3"/>
            <w:vAlign w:val="center"/>
          </w:tcPr>
          <w:p w:rsidR="00DC457B" w:rsidRDefault="00DC457B">
            <w:pPr>
              <w:spacing w:line="240" w:lineRule="exact"/>
              <w:jc w:val="center"/>
              <w:rPr>
                <w:sz w:val="18"/>
                <w:szCs w:val="18"/>
              </w:rPr>
            </w:pPr>
            <w:r>
              <w:rPr>
                <w:sz w:val="18"/>
                <w:szCs w:val="18"/>
              </w:rPr>
              <w:t>处置</w:t>
            </w:r>
          </w:p>
        </w:tc>
        <w:tc>
          <w:tcPr>
            <w:tcW w:w="1377"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DC457B" w:rsidRDefault="00DC457B"/>
        </w:tc>
      </w:tr>
      <w:tr w:rsidR="00DC457B" w:rsidTr="00733C9E">
        <w:trPr>
          <w:trHeight w:val="240"/>
        </w:trPr>
        <w:tc>
          <w:tcPr>
            <w:tcW w:w="1377" w:type="dxa"/>
            <w:tcBorders>
              <w:top w:val="single" w:sz="2" w:space="0" w:color="auto"/>
              <w:left w:val="single" w:sz="2" w:space="0" w:color="auto"/>
              <w:bottom w:val="single" w:sz="2" w:space="0" w:color="auto"/>
              <w:right w:val="single" w:sz="2" w:space="0" w:color="auto"/>
            </w:tcBorders>
            <w:vAlign w:val="center"/>
          </w:tcPr>
          <w:p w:rsidR="00DC457B" w:rsidRDefault="00DC457B">
            <w:pPr>
              <w:spacing w:line="240" w:lineRule="exact"/>
              <w:rPr>
                <w:sz w:val="18"/>
                <w:szCs w:val="18"/>
              </w:rPr>
            </w:pPr>
            <w:r>
              <w:rPr>
                <w:sz w:val="18"/>
                <w:szCs w:val="18"/>
              </w:rPr>
              <w:t>深圳市互联精英信息技术有限公司</w:t>
            </w:r>
          </w:p>
        </w:tc>
        <w:tc>
          <w:tcPr>
            <w:tcW w:w="1377" w:type="dxa"/>
            <w:tcBorders>
              <w:top w:val="single" w:sz="2" w:space="0" w:color="auto"/>
              <w:left w:val="single" w:sz="2" w:space="0" w:color="auto"/>
              <w:bottom w:val="single" w:sz="2" w:space="0" w:color="auto"/>
              <w:right w:val="single" w:sz="2" w:space="0" w:color="auto"/>
            </w:tcBorders>
            <w:vAlign w:val="center"/>
          </w:tcPr>
          <w:p w:rsidR="00DC457B" w:rsidRDefault="00DC457B">
            <w:pPr>
              <w:spacing w:line="240" w:lineRule="exact"/>
              <w:jc w:val="right"/>
              <w:rPr>
                <w:sz w:val="18"/>
                <w:szCs w:val="18"/>
              </w:rPr>
            </w:pPr>
            <w:r>
              <w:rPr>
                <w:sz w:val="18"/>
                <w:szCs w:val="18"/>
              </w:rPr>
              <w:t>1,110,600.00</w:t>
            </w:r>
          </w:p>
        </w:tc>
        <w:tc>
          <w:tcPr>
            <w:tcW w:w="2754" w:type="dxa"/>
            <w:tcBorders>
              <w:top w:val="single" w:sz="2" w:space="0" w:color="auto"/>
              <w:left w:val="single" w:sz="2" w:space="0" w:color="auto"/>
              <w:bottom w:val="single" w:sz="2" w:space="0" w:color="auto"/>
              <w:right w:val="single" w:sz="2" w:space="0" w:color="auto"/>
            </w:tcBorders>
            <w:vAlign w:val="center"/>
          </w:tcPr>
          <w:p w:rsidR="00DC457B" w:rsidRDefault="00DC457B">
            <w:pPr>
              <w:spacing w:line="240" w:lineRule="exact"/>
              <w:jc w:val="right"/>
              <w:rPr>
                <w:sz w:val="18"/>
                <w:szCs w:val="18"/>
              </w:rPr>
            </w:pPr>
          </w:p>
        </w:tc>
        <w:tc>
          <w:tcPr>
            <w:tcW w:w="2754" w:type="dxa"/>
            <w:tcBorders>
              <w:top w:val="single" w:sz="2" w:space="0" w:color="auto"/>
              <w:left w:val="single" w:sz="2" w:space="0" w:color="auto"/>
              <w:bottom w:val="single" w:sz="2" w:space="0" w:color="auto"/>
              <w:right w:val="single" w:sz="2" w:space="0" w:color="auto"/>
            </w:tcBorders>
            <w:vAlign w:val="center"/>
          </w:tcPr>
          <w:p w:rsidR="00DC457B" w:rsidRDefault="00DC457B">
            <w:pPr>
              <w:spacing w:line="240" w:lineRule="exact"/>
              <w:jc w:val="right"/>
              <w:rPr>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rsidR="00DC457B" w:rsidRDefault="00DC457B">
            <w:pPr>
              <w:spacing w:line="240" w:lineRule="exact"/>
              <w:jc w:val="right"/>
              <w:rPr>
                <w:sz w:val="18"/>
                <w:szCs w:val="18"/>
              </w:rPr>
            </w:pPr>
            <w:r>
              <w:rPr>
                <w:sz w:val="18"/>
                <w:szCs w:val="18"/>
              </w:rPr>
              <w:t>1,110,600.00</w:t>
            </w:r>
          </w:p>
        </w:tc>
      </w:tr>
      <w:tr w:rsidR="00DC457B" w:rsidTr="00733C9E">
        <w:trPr>
          <w:trHeight w:val="240"/>
        </w:trPr>
        <w:tc>
          <w:tcPr>
            <w:tcW w:w="1377" w:type="dxa"/>
            <w:tcBorders>
              <w:top w:val="single" w:sz="2" w:space="0" w:color="auto"/>
              <w:left w:val="single" w:sz="2" w:space="0" w:color="auto"/>
              <w:bottom w:val="single" w:sz="2" w:space="0" w:color="auto"/>
              <w:right w:val="single" w:sz="2" w:space="0" w:color="auto"/>
            </w:tcBorders>
            <w:vAlign w:val="center"/>
          </w:tcPr>
          <w:p w:rsidR="00DC457B" w:rsidRDefault="00DC457B">
            <w:pPr>
              <w:spacing w:line="240" w:lineRule="exact"/>
              <w:rPr>
                <w:sz w:val="18"/>
                <w:szCs w:val="18"/>
              </w:rPr>
            </w:pPr>
            <w:r>
              <w:rPr>
                <w:sz w:val="18"/>
                <w:szCs w:val="18"/>
              </w:rPr>
              <w:t>广图粤科（广州）科技有限公司</w:t>
            </w:r>
          </w:p>
        </w:tc>
        <w:tc>
          <w:tcPr>
            <w:tcW w:w="1377" w:type="dxa"/>
            <w:tcBorders>
              <w:top w:val="single" w:sz="2" w:space="0" w:color="auto"/>
              <w:left w:val="single" w:sz="2" w:space="0" w:color="auto"/>
              <w:bottom w:val="single" w:sz="2" w:space="0" w:color="auto"/>
              <w:right w:val="single" w:sz="2" w:space="0" w:color="auto"/>
            </w:tcBorders>
            <w:vAlign w:val="center"/>
          </w:tcPr>
          <w:p w:rsidR="00DC457B" w:rsidRDefault="00DC457B">
            <w:pPr>
              <w:spacing w:line="240" w:lineRule="exact"/>
              <w:jc w:val="right"/>
              <w:rPr>
                <w:sz w:val="18"/>
                <w:szCs w:val="18"/>
              </w:rPr>
            </w:pPr>
            <w:r>
              <w:rPr>
                <w:sz w:val="18"/>
                <w:szCs w:val="18"/>
              </w:rPr>
              <w:t>1,810,891.86</w:t>
            </w:r>
          </w:p>
        </w:tc>
        <w:tc>
          <w:tcPr>
            <w:tcW w:w="2754" w:type="dxa"/>
            <w:tcBorders>
              <w:top w:val="single" w:sz="2" w:space="0" w:color="auto"/>
              <w:left w:val="single" w:sz="2" w:space="0" w:color="auto"/>
              <w:bottom w:val="single" w:sz="2" w:space="0" w:color="auto"/>
              <w:right w:val="single" w:sz="2" w:space="0" w:color="auto"/>
            </w:tcBorders>
            <w:vAlign w:val="center"/>
          </w:tcPr>
          <w:p w:rsidR="00DC457B" w:rsidRDefault="00DC457B">
            <w:pPr>
              <w:spacing w:line="240" w:lineRule="exact"/>
              <w:jc w:val="right"/>
              <w:rPr>
                <w:sz w:val="18"/>
                <w:szCs w:val="18"/>
              </w:rPr>
            </w:pPr>
          </w:p>
        </w:tc>
        <w:tc>
          <w:tcPr>
            <w:tcW w:w="2754" w:type="dxa"/>
            <w:tcBorders>
              <w:top w:val="single" w:sz="2" w:space="0" w:color="auto"/>
              <w:left w:val="single" w:sz="2" w:space="0" w:color="auto"/>
              <w:bottom w:val="single" w:sz="2" w:space="0" w:color="auto"/>
              <w:right w:val="single" w:sz="2" w:space="0" w:color="auto"/>
            </w:tcBorders>
            <w:vAlign w:val="center"/>
          </w:tcPr>
          <w:p w:rsidR="00DC457B" w:rsidRDefault="00DC457B">
            <w:pPr>
              <w:spacing w:line="240" w:lineRule="exact"/>
              <w:jc w:val="right"/>
              <w:rPr>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rsidR="00DC457B" w:rsidRDefault="00DC457B">
            <w:pPr>
              <w:spacing w:line="240" w:lineRule="exact"/>
              <w:jc w:val="right"/>
              <w:rPr>
                <w:sz w:val="18"/>
                <w:szCs w:val="18"/>
              </w:rPr>
            </w:pPr>
            <w:r>
              <w:rPr>
                <w:sz w:val="18"/>
                <w:szCs w:val="18"/>
              </w:rPr>
              <w:t>1,810,891.86</w:t>
            </w:r>
          </w:p>
        </w:tc>
      </w:tr>
      <w:tr w:rsidR="00DC457B" w:rsidTr="00733C9E">
        <w:trPr>
          <w:trHeight w:val="240"/>
        </w:trPr>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DC457B" w:rsidRDefault="00DC457B">
            <w:pPr>
              <w:spacing w:before="40" w:after="40" w:line="240" w:lineRule="exact"/>
              <w:rPr>
                <w:sz w:val="18"/>
                <w:szCs w:val="18"/>
              </w:rPr>
            </w:pPr>
            <w:r>
              <w:rPr>
                <w:sz w:val="18"/>
                <w:szCs w:val="18"/>
              </w:rPr>
              <w:t>合计</w:t>
            </w:r>
          </w:p>
        </w:tc>
        <w:tc>
          <w:tcPr>
            <w:tcW w:w="1377" w:type="dxa"/>
            <w:tcBorders>
              <w:top w:val="single" w:sz="2" w:space="0" w:color="auto"/>
              <w:left w:val="single" w:sz="2" w:space="0" w:color="auto"/>
              <w:bottom w:val="single" w:sz="2" w:space="0" w:color="auto"/>
              <w:right w:val="single" w:sz="2" w:space="0" w:color="auto"/>
            </w:tcBorders>
            <w:vAlign w:val="center"/>
          </w:tcPr>
          <w:p w:rsidR="00DC457B" w:rsidRDefault="00DC457B">
            <w:pPr>
              <w:spacing w:line="240" w:lineRule="exact"/>
              <w:jc w:val="right"/>
              <w:rPr>
                <w:sz w:val="18"/>
                <w:szCs w:val="18"/>
              </w:rPr>
            </w:pPr>
            <w:r>
              <w:rPr>
                <w:sz w:val="18"/>
                <w:szCs w:val="18"/>
              </w:rPr>
              <w:t>2,921,491.86</w:t>
            </w:r>
          </w:p>
        </w:tc>
        <w:tc>
          <w:tcPr>
            <w:tcW w:w="2754" w:type="dxa"/>
            <w:tcBorders>
              <w:top w:val="single" w:sz="2" w:space="0" w:color="auto"/>
              <w:left w:val="single" w:sz="2" w:space="0" w:color="auto"/>
              <w:bottom w:val="single" w:sz="2" w:space="0" w:color="auto"/>
              <w:right w:val="single" w:sz="2" w:space="0" w:color="auto"/>
            </w:tcBorders>
            <w:vAlign w:val="center"/>
          </w:tcPr>
          <w:p w:rsidR="00DC457B" w:rsidRDefault="00DC457B">
            <w:pPr>
              <w:spacing w:line="240" w:lineRule="exact"/>
              <w:jc w:val="right"/>
              <w:rPr>
                <w:sz w:val="18"/>
                <w:szCs w:val="18"/>
              </w:rPr>
            </w:pPr>
          </w:p>
        </w:tc>
        <w:tc>
          <w:tcPr>
            <w:tcW w:w="2754" w:type="dxa"/>
            <w:tcBorders>
              <w:top w:val="single" w:sz="2" w:space="0" w:color="auto"/>
              <w:left w:val="single" w:sz="2" w:space="0" w:color="auto"/>
              <w:bottom w:val="single" w:sz="2" w:space="0" w:color="auto"/>
              <w:right w:val="single" w:sz="2" w:space="0" w:color="auto"/>
            </w:tcBorders>
            <w:vAlign w:val="center"/>
          </w:tcPr>
          <w:p w:rsidR="00DC457B" w:rsidRDefault="00DC457B">
            <w:pPr>
              <w:spacing w:line="240" w:lineRule="exact"/>
              <w:jc w:val="right"/>
              <w:rPr>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rsidR="00DC457B" w:rsidRDefault="00DC457B">
            <w:pPr>
              <w:spacing w:line="240" w:lineRule="exact"/>
              <w:jc w:val="right"/>
              <w:rPr>
                <w:sz w:val="18"/>
                <w:szCs w:val="18"/>
              </w:rPr>
            </w:pPr>
            <w:r>
              <w:rPr>
                <w:sz w:val="18"/>
                <w:szCs w:val="18"/>
              </w:rPr>
              <w:t>2,921,491.86</w:t>
            </w:r>
          </w:p>
        </w:tc>
      </w:tr>
    </w:tbl>
    <w:p w:rsidR="00E20B54" w:rsidRDefault="00733C9E">
      <w:pPr>
        <w:keepNext/>
        <w:keepLines/>
        <w:spacing w:before="300" w:after="300" w:line="280" w:lineRule="exact"/>
        <w:outlineLvl w:val="3"/>
        <w:rPr>
          <w:b/>
          <w:bCs/>
          <w:szCs w:val="21"/>
        </w:rPr>
      </w:pPr>
      <w:bookmarkStart w:id="293" w:name="_Toc989181"/>
      <w:r>
        <w:rPr>
          <w:b/>
          <w:bCs/>
          <w:szCs w:val="21"/>
        </w:rPr>
        <w:t>（</w:t>
      </w:r>
      <w:r>
        <w:rPr>
          <w:b/>
          <w:bCs/>
          <w:szCs w:val="21"/>
        </w:rPr>
        <w:t>3</w:t>
      </w:r>
      <w:r>
        <w:rPr>
          <w:b/>
          <w:bCs/>
          <w:szCs w:val="21"/>
        </w:rPr>
        <w:t>）</w:t>
      </w:r>
      <w:r>
        <w:rPr>
          <w:b/>
          <w:bCs/>
          <w:szCs w:val="21"/>
        </w:rPr>
        <w:t xml:space="preserve"> </w:t>
      </w:r>
      <w:r>
        <w:rPr>
          <w:b/>
          <w:bCs/>
          <w:szCs w:val="21"/>
        </w:rPr>
        <w:t>商誉所在资产组或资产组组合的相关信息</w:t>
      </w:r>
      <w:bookmarkEnd w:id="293"/>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2802"/>
        <w:gridCol w:w="2693"/>
        <w:gridCol w:w="2835"/>
        <w:gridCol w:w="1309"/>
      </w:tblGrid>
      <w:tr w:rsidR="00E20B54" w:rsidTr="00DC457B">
        <w:trPr>
          <w:trHeight w:val="240"/>
        </w:trPr>
        <w:tc>
          <w:tcPr>
            <w:tcW w:w="2802"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名称</w:t>
            </w:r>
          </w:p>
        </w:tc>
        <w:tc>
          <w:tcPr>
            <w:tcW w:w="269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所属资产组或组合的构成及依据</w:t>
            </w:r>
          </w:p>
        </w:tc>
        <w:tc>
          <w:tcPr>
            <w:tcW w:w="2835"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所属经营分部及依据</w:t>
            </w:r>
          </w:p>
        </w:tc>
        <w:tc>
          <w:tcPr>
            <w:tcW w:w="1309"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是否与以前年度保持一致</w:t>
            </w:r>
          </w:p>
        </w:tc>
      </w:tr>
      <w:tr w:rsidR="00E20B54" w:rsidTr="00DC457B">
        <w:trPr>
          <w:trHeight w:val="240"/>
        </w:trPr>
        <w:tc>
          <w:tcPr>
            <w:tcW w:w="2802"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深圳市互联精英信息技术有限公司</w:t>
            </w:r>
          </w:p>
        </w:tc>
        <w:tc>
          <w:tcPr>
            <w:tcW w:w="269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深圳市互联精英信息技术有限公司经营性资产组</w:t>
            </w:r>
          </w:p>
        </w:tc>
        <w:tc>
          <w:tcPr>
            <w:tcW w:w="2835"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根据从事的业务类型，划分为软件开发与服务行业分布</w:t>
            </w:r>
          </w:p>
        </w:tc>
        <w:tc>
          <w:tcPr>
            <w:tcW w:w="1309"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是</w:t>
            </w:r>
          </w:p>
        </w:tc>
      </w:tr>
      <w:tr w:rsidR="00E20B54" w:rsidTr="00DC457B">
        <w:trPr>
          <w:trHeight w:val="240"/>
        </w:trPr>
        <w:tc>
          <w:tcPr>
            <w:tcW w:w="2802"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广图粤科（广州）科技有限公司</w:t>
            </w:r>
          </w:p>
        </w:tc>
        <w:tc>
          <w:tcPr>
            <w:tcW w:w="269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广图粤科（广州）科技有限公司经营性资产组</w:t>
            </w:r>
          </w:p>
        </w:tc>
        <w:tc>
          <w:tcPr>
            <w:tcW w:w="2835"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根据从事的业务类型，划分为软件开发与服务行业分布</w:t>
            </w:r>
          </w:p>
        </w:tc>
        <w:tc>
          <w:tcPr>
            <w:tcW w:w="1309"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是</w:t>
            </w:r>
          </w:p>
        </w:tc>
      </w:tr>
      <w:tr w:rsidR="00E20B54" w:rsidTr="00DC457B">
        <w:trPr>
          <w:trHeight w:val="240"/>
        </w:trPr>
        <w:tc>
          <w:tcPr>
            <w:tcW w:w="2802"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广东翼启数据产业有限公司</w:t>
            </w:r>
          </w:p>
        </w:tc>
        <w:tc>
          <w:tcPr>
            <w:tcW w:w="269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广东翼启数据产业有限公司经营性资产组</w:t>
            </w:r>
          </w:p>
        </w:tc>
        <w:tc>
          <w:tcPr>
            <w:tcW w:w="2835"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根据从事的业务类型，划分为软件开发与服务行业分布</w:t>
            </w:r>
          </w:p>
        </w:tc>
        <w:tc>
          <w:tcPr>
            <w:tcW w:w="1309"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是</w:t>
            </w:r>
          </w:p>
        </w:tc>
      </w:tr>
    </w:tbl>
    <w:p w:rsidR="00E20B54" w:rsidRDefault="00733C9E">
      <w:pPr>
        <w:spacing w:before="100" w:after="100" w:line="240" w:lineRule="exact"/>
        <w:rPr>
          <w:sz w:val="18"/>
          <w:szCs w:val="18"/>
        </w:rPr>
      </w:pPr>
      <w:r>
        <w:rPr>
          <w:sz w:val="18"/>
          <w:szCs w:val="18"/>
        </w:rPr>
        <w:t>资产组或资产组组合发生变化</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2409"/>
        <w:gridCol w:w="2410"/>
        <w:gridCol w:w="2410"/>
        <w:gridCol w:w="2410"/>
      </w:tblGrid>
      <w:tr w:rsidR="00E20B54">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名称</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变化前的构成</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变化后的构成</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导致变化的客观事实及依据</w:t>
            </w:r>
          </w:p>
        </w:tc>
      </w:tr>
    </w:tbl>
    <w:p w:rsidR="00E20B54" w:rsidRDefault="00733C9E">
      <w:pPr>
        <w:spacing w:before="100" w:after="100" w:line="240" w:lineRule="exact"/>
        <w:rPr>
          <w:sz w:val="18"/>
          <w:szCs w:val="18"/>
        </w:rPr>
      </w:pPr>
      <w:r>
        <w:rPr>
          <w:sz w:val="18"/>
          <w:szCs w:val="18"/>
        </w:rPr>
        <w:t>其他说明</w:t>
      </w:r>
    </w:p>
    <w:p w:rsidR="00E20B54" w:rsidRDefault="00733C9E" w:rsidP="00DC457B">
      <w:pPr>
        <w:widowControl/>
        <w:ind w:firstLineChars="200" w:firstLine="420"/>
        <w:rPr>
          <w:sz w:val="18"/>
          <w:szCs w:val="18"/>
        </w:rPr>
      </w:pPr>
      <w:r>
        <w:rPr>
          <w:rFonts w:eastAsia="瀹嬩綋"/>
          <w:color w:val="000000"/>
          <w:szCs w:val="21"/>
          <w:lang w:bidi="ar"/>
        </w:rPr>
        <w:t>商誉减值测试涉及的资产组或资产组组合的构成情况如下：资产负债表日的测试范围为与商誉相关的最小资产组所涉及的资产及负债，该资产组与购买日及以前年度商誉减值测试时所确定的资产组或资产组组合一致。</w:t>
      </w:r>
    </w:p>
    <w:p w:rsidR="00E20B54" w:rsidRDefault="00733C9E">
      <w:pPr>
        <w:keepNext/>
        <w:keepLines/>
        <w:spacing w:before="300" w:after="300" w:line="280" w:lineRule="exact"/>
        <w:outlineLvl w:val="3"/>
        <w:rPr>
          <w:b/>
          <w:bCs/>
          <w:szCs w:val="21"/>
        </w:rPr>
      </w:pPr>
      <w:bookmarkStart w:id="294" w:name="_Toc989182"/>
      <w:r>
        <w:rPr>
          <w:b/>
          <w:bCs/>
          <w:szCs w:val="21"/>
        </w:rPr>
        <w:t>（</w:t>
      </w:r>
      <w:r>
        <w:rPr>
          <w:b/>
          <w:bCs/>
          <w:szCs w:val="21"/>
        </w:rPr>
        <w:t>4</w:t>
      </w:r>
      <w:r>
        <w:rPr>
          <w:b/>
          <w:bCs/>
          <w:szCs w:val="21"/>
        </w:rPr>
        <w:t>）</w:t>
      </w:r>
      <w:r>
        <w:rPr>
          <w:b/>
          <w:bCs/>
          <w:szCs w:val="21"/>
        </w:rPr>
        <w:t xml:space="preserve"> </w:t>
      </w:r>
      <w:r>
        <w:rPr>
          <w:b/>
          <w:bCs/>
          <w:szCs w:val="21"/>
        </w:rPr>
        <w:t>可收回金额的具体确定方法</w:t>
      </w:r>
      <w:bookmarkEnd w:id="294"/>
    </w:p>
    <w:p w:rsidR="00E20B54" w:rsidRDefault="00733C9E">
      <w:pPr>
        <w:spacing w:before="100" w:after="100" w:line="240" w:lineRule="exact"/>
        <w:rPr>
          <w:sz w:val="18"/>
          <w:szCs w:val="18"/>
        </w:rPr>
      </w:pPr>
      <w:r>
        <w:rPr>
          <w:sz w:val="18"/>
          <w:szCs w:val="18"/>
        </w:rPr>
        <w:t>可收回金额按公允价值减去处置费用后的净额确定</w:t>
      </w:r>
    </w:p>
    <w:p w:rsidR="00E20B54" w:rsidRDefault="00733C9E">
      <w:pPr>
        <w:spacing w:before="40" w:after="40" w:line="240" w:lineRule="exact"/>
        <w:rPr>
          <w:sz w:val="18"/>
          <w:szCs w:val="18"/>
        </w:rPr>
      </w:pPr>
      <w:r>
        <w:rPr>
          <w:sz w:val="18"/>
          <w:szCs w:val="18"/>
        </w:rPr>
        <w:t>□</w:t>
      </w:r>
      <w:r>
        <w:rPr>
          <w:sz w:val="18"/>
          <w:szCs w:val="18"/>
        </w:rPr>
        <w:t>适用</w:t>
      </w:r>
      <w:r>
        <w:rPr>
          <w:sz w:val="18"/>
          <w:szCs w:val="18"/>
        </w:rPr>
        <w:t xml:space="preserve"> </w:t>
      </w:r>
      <w:r>
        <w:rPr>
          <w:sz w:val="18"/>
          <w:szCs w:val="18"/>
        </w:rPr>
        <w:sym w:font="Wingdings 2" w:char="F052"/>
      </w:r>
      <w:r>
        <w:rPr>
          <w:sz w:val="18"/>
          <w:szCs w:val="18"/>
        </w:rPr>
        <w:t>不适用</w:t>
      </w:r>
    </w:p>
    <w:p w:rsidR="00E20B54" w:rsidRDefault="00733C9E">
      <w:pPr>
        <w:spacing w:before="100" w:after="100" w:line="240" w:lineRule="exact"/>
        <w:rPr>
          <w:sz w:val="18"/>
          <w:szCs w:val="18"/>
        </w:rPr>
      </w:pPr>
      <w:r>
        <w:rPr>
          <w:sz w:val="18"/>
          <w:szCs w:val="18"/>
        </w:rPr>
        <w:t>可收回金额按预计未来现金流量的现值确定</w:t>
      </w:r>
    </w:p>
    <w:p w:rsidR="00E20B54" w:rsidRDefault="00733C9E">
      <w:pPr>
        <w:spacing w:before="40" w:after="40" w:line="240" w:lineRule="exact"/>
        <w:rPr>
          <w:sz w:val="18"/>
          <w:szCs w:val="18"/>
        </w:rPr>
      </w:pPr>
      <w:r>
        <w:rPr>
          <w:sz w:val="18"/>
          <w:szCs w:val="18"/>
        </w:rPr>
        <w:sym w:font="Wingdings 2" w:char="F052"/>
      </w:r>
      <w:r>
        <w:rPr>
          <w:sz w:val="18"/>
          <w:szCs w:val="18"/>
        </w:rPr>
        <w:t>适用</w:t>
      </w:r>
      <w:r>
        <w:rPr>
          <w:sz w:val="18"/>
          <w:szCs w:val="18"/>
        </w:rPr>
        <w:t xml:space="preserve"> □</w:t>
      </w:r>
      <w:r>
        <w:rPr>
          <w:sz w:val="18"/>
          <w:szCs w:val="18"/>
        </w:rPr>
        <w:t>不适用</w:t>
      </w:r>
    </w:p>
    <w:p w:rsidR="00E20B54" w:rsidRDefault="00733C9E">
      <w:pPr>
        <w:spacing w:before="120" w:after="120" w:line="240" w:lineRule="exact"/>
        <w:jc w:val="right"/>
        <w:rPr>
          <w:sz w:val="18"/>
          <w:szCs w:val="18"/>
        </w:rPr>
      </w:pPr>
      <w:r>
        <w:rPr>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204"/>
        <w:gridCol w:w="1205"/>
        <w:gridCol w:w="1205"/>
        <w:gridCol w:w="1205"/>
        <w:gridCol w:w="1205"/>
        <w:gridCol w:w="1205"/>
        <w:gridCol w:w="1205"/>
        <w:gridCol w:w="1205"/>
      </w:tblGrid>
      <w:tr w:rsidR="00E20B54" w:rsidTr="00DC457B">
        <w:trPr>
          <w:trHeight w:val="240"/>
          <w:tblHeader/>
        </w:trPr>
        <w:tc>
          <w:tcPr>
            <w:tcW w:w="1205"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项目</w:t>
            </w:r>
          </w:p>
        </w:tc>
        <w:tc>
          <w:tcPr>
            <w:tcW w:w="1205"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账面价值</w:t>
            </w:r>
          </w:p>
        </w:tc>
        <w:tc>
          <w:tcPr>
            <w:tcW w:w="1205"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可收回金额</w:t>
            </w:r>
          </w:p>
        </w:tc>
        <w:tc>
          <w:tcPr>
            <w:tcW w:w="1205"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减值金额</w:t>
            </w:r>
          </w:p>
        </w:tc>
        <w:tc>
          <w:tcPr>
            <w:tcW w:w="1205"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预测期的年限</w:t>
            </w:r>
          </w:p>
        </w:tc>
        <w:tc>
          <w:tcPr>
            <w:tcW w:w="1205"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预测期的关键参数</w:t>
            </w:r>
          </w:p>
        </w:tc>
        <w:tc>
          <w:tcPr>
            <w:tcW w:w="1205"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稳定期的关键参数</w:t>
            </w:r>
          </w:p>
        </w:tc>
        <w:tc>
          <w:tcPr>
            <w:tcW w:w="1205"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稳定期的关键参数的确定依据</w:t>
            </w:r>
          </w:p>
        </w:tc>
      </w:tr>
      <w:tr w:rsidR="00E20B54">
        <w:trPr>
          <w:trHeight w:val="240"/>
        </w:trPr>
        <w:tc>
          <w:tcPr>
            <w:tcW w:w="1205"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深圳市互联精英信息技</w:t>
            </w:r>
            <w:r>
              <w:rPr>
                <w:sz w:val="18"/>
                <w:szCs w:val="18"/>
              </w:rPr>
              <w:lastRenderedPageBreak/>
              <w:t>术有限公司</w:t>
            </w:r>
          </w:p>
        </w:tc>
        <w:tc>
          <w:tcPr>
            <w:tcW w:w="1205"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lastRenderedPageBreak/>
              <w:t>79,935,125.08</w:t>
            </w:r>
          </w:p>
        </w:tc>
        <w:tc>
          <w:tcPr>
            <w:tcW w:w="1205"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84,000,000.00</w:t>
            </w:r>
          </w:p>
        </w:tc>
        <w:tc>
          <w:tcPr>
            <w:tcW w:w="1205"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5</w:t>
            </w:r>
            <w:r>
              <w:rPr>
                <w:sz w:val="18"/>
                <w:szCs w:val="18"/>
              </w:rPr>
              <w:t>年</w:t>
            </w:r>
          </w:p>
        </w:tc>
        <w:tc>
          <w:tcPr>
            <w:tcW w:w="1205"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预计未来现金流量</w:t>
            </w:r>
          </w:p>
        </w:tc>
        <w:tc>
          <w:tcPr>
            <w:tcW w:w="1205"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与预测期末持平</w:t>
            </w:r>
          </w:p>
        </w:tc>
        <w:tc>
          <w:tcPr>
            <w:tcW w:w="1205"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税前折现率</w:t>
            </w:r>
            <w:r>
              <w:rPr>
                <w:sz w:val="18"/>
                <w:szCs w:val="18"/>
              </w:rPr>
              <w:t>12.78%</w:t>
            </w:r>
          </w:p>
        </w:tc>
      </w:tr>
      <w:tr w:rsidR="00E20B54">
        <w:trPr>
          <w:trHeight w:val="240"/>
        </w:trPr>
        <w:tc>
          <w:tcPr>
            <w:tcW w:w="1205"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lastRenderedPageBreak/>
              <w:t>广东翼启数据产业有限公司</w:t>
            </w:r>
          </w:p>
        </w:tc>
        <w:tc>
          <w:tcPr>
            <w:tcW w:w="1205"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10,630,339.80</w:t>
            </w:r>
          </w:p>
        </w:tc>
        <w:tc>
          <w:tcPr>
            <w:tcW w:w="1205"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17,000,000.00</w:t>
            </w:r>
          </w:p>
        </w:tc>
        <w:tc>
          <w:tcPr>
            <w:tcW w:w="1205"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5</w:t>
            </w:r>
            <w:r>
              <w:rPr>
                <w:sz w:val="18"/>
                <w:szCs w:val="18"/>
              </w:rPr>
              <w:t>年</w:t>
            </w:r>
          </w:p>
        </w:tc>
        <w:tc>
          <w:tcPr>
            <w:tcW w:w="1205"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预计未来现金流量</w:t>
            </w:r>
          </w:p>
        </w:tc>
        <w:tc>
          <w:tcPr>
            <w:tcW w:w="1205"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与预测期末持平</w:t>
            </w:r>
          </w:p>
        </w:tc>
        <w:tc>
          <w:tcPr>
            <w:tcW w:w="1205"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税前折现率</w:t>
            </w:r>
            <w:r>
              <w:rPr>
                <w:sz w:val="18"/>
                <w:szCs w:val="18"/>
              </w:rPr>
              <w:t>12.78%</w:t>
            </w:r>
          </w:p>
        </w:tc>
      </w:tr>
      <w:tr w:rsidR="00E20B54">
        <w:trPr>
          <w:trHeight w:val="240"/>
        </w:trPr>
        <w:tc>
          <w:tcPr>
            <w:tcW w:w="1205"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合计</w:t>
            </w:r>
          </w:p>
        </w:tc>
        <w:tc>
          <w:tcPr>
            <w:tcW w:w="1205"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90,565,464.88</w:t>
            </w:r>
          </w:p>
        </w:tc>
        <w:tc>
          <w:tcPr>
            <w:tcW w:w="1205"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101,000,000.00</w:t>
            </w:r>
          </w:p>
        </w:tc>
        <w:tc>
          <w:tcPr>
            <w:tcW w:w="1205"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205"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c>
          <w:tcPr>
            <w:tcW w:w="1205"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c>
          <w:tcPr>
            <w:tcW w:w="1205"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c>
          <w:tcPr>
            <w:tcW w:w="1205"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r>
    </w:tbl>
    <w:p w:rsidR="00E20B54" w:rsidRDefault="00733C9E">
      <w:pPr>
        <w:spacing w:before="100" w:after="100" w:line="240" w:lineRule="exact"/>
        <w:rPr>
          <w:sz w:val="18"/>
          <w:szCs w:val="18"/>
        </w:rPr>
      </w:pPr>
      <w:r>
        <w:rPr>
          <w:sz w:val="18"/>
          <w:szCs w:val="18"/>
        </w:rPr>
        <w:t>前述信息与以前年度减值测试采用的信息或外部信息明显不一致的差异原因</w:t>
      </w:r>
    </w:p>
    <w:p w:rsidR="00E20B54" w:rsidRDefault="00733C9E">
      <w:pPr>
        <w:pStyle w:val="a3"/>
        <w:widowControl/>
      </w:pPr>
      <w:r>
        <w:rPr>
          <w:sz w:val="18"/>
          <w:szCs w:val="18"/>
        </w:rPr>
        <w:t>不适用。</w:t>
      </w:r>
    </w:p>
    <w:p w:rsidR="00E20B54" w:rsidRDefault="00733C9E">
      <w:pPr>
        <w:spacing w:before="100" w:after="100" w:line="240" w:lineRule="exact"/>
        <w:rPr>
          <w:sz w:val="18"/>
          <w:szCs w:val="18"/>
        </w:rPr>
      </w:pPr>
      <w:r>
        <w:rPr>
          <w:sz w:val="18"/>
          <w:szCs w:val="18"/>
        </w:rPr>
        <w:t>公司以前年度减值测试采用信息与当年实际情况明显不一致的差异原因</w:t>
      </w:r>
    </w:p>
    <w:p w:rsidR="00E20B54" w:rsidRDefault="00733C9E">
      <w:pPr>
        <w:pStyle w:val="a3"/>
        <w:widowControl/>
      </w:pPr>
      <w:r>
        <w:rPr>
          <w:sz w:val="18"/>
          <w:szCs w:val="18"/>
        </w:rPr>
        <w:t>不适用。</w:t>
      </w:r>
    </w:p>
    <w:p w:rsidR="00E20B54" w:rsidRDefault="00733C9E">
      <w:pPr>
        <w:keepNext/>
        <w:keepLines/>
        <w:spacing w:before="300" w:after="300" w:line="280" w:lineRule="exact"/>
        <w:outlineLvl w:val="3"/>
        <w:rPr>
          <w:b/>
          <w:bCs/>
          <w:szCs w:val="21"/>
        </w:rPr>
      </w:pPr>
      <w:bookmarkStart w:id="295" w:name="_Toc989183"/>
      <w:r>
        <w:rPr>
          <w:b/>
          <w:bCs/>
          <w:szCs w:val="21"/>
        </w:rPr>
        <w:t>（</w:t>
      </w:r>
      <w:r>
        <w:rPr>
          <w:b/>
          <w:bCs/>
          <w:szCs w:val="21"/>
        </w:rPr>
        <w:t>5</w:t>
      </w:r>
      <w:r>
        <w:rPr>
          <w:b/>
          <w:bCs/>
          <w:szCs w:val="21"/>
        </w:rPr>
        <w:t>）</w:t>
      </w:r>
      <w:r>
        <w:rPr>
          <w:b/>
          <w:bCs/>
          <w:szCs w:val="21"/>
        </w:rPr>
        <w:t xml:space="preserve"> </w:t>
      </w:r>
      <w:r>
        <w:rPr>
          <w:b/>
          <w:bCs/>
          <w:szCs w:val="21"/>
        </w:rPr>
        <w:t>业绩承诺完成及对应商誉减值情况</w:t>
      </w:r>
      <w:bookmarkEnd w:id="295"/>
    </w:p>
    <w:p w:rsidR="00E20B54" w:rsidRDefault="00733C9E">
      <w:pPr>
        <w:spacing w:before="100" w:after="100" w:line="240" w:lineRule="exact"/>
        <w:rPr>
          <w:sz w:val="18"/>
          <w:szCs w:val="18"/>
        </w:rPr>
      </w:pPr>
      <w:r>
        <w:rPr>
          <w:sz w:val="18"/>
          <w:szCs w:val="18"/>
        </w:rPr>
        <w:t>形成商誉时存在业绩承诺且报告期或报告期上一期间处于业绩承诺期内</w:t>
      </w:r>
    </w:p>
    <w:p w:rsidR="00E20B54" w:rsidRDefault="00733C9E">
      <w:pPr>
        <w:spacing w:before="40" w:after="40" w:line="240" w:lineRule="exact"/>
        <w:rPr>
          <w:sz w:val="18"/>
          <w:szCs w:val="18"/>
        </w:rPr>
      </w:pPr>
      <w:r>
        <w:rPr>
          <w:sz w:val="18"/>
          <w:szCs w:val="18"/>
        </w:rPr>
        <w:t>□</w:t>
      </w:r>
      <w:r>
        <w:rPr>
          <w:sz w:val="18"/>
          <w:szCs w:val="18"/>
        </w:rPr>
        <w:t>适用</w:t>
      </w:r>
      <w:r>
        <w:rPr>
          <w:sz w:val="18"/>
          <w:szCs w:val="18"/>
        </w:rPr>
        <w:t xml:space="preserve"> </w:t>
      </w:r>
      <w:r>
        <w:rPr>
          <w:sz w:val="18"/>
          <w:szCs w:val="18"/>
        </w:rPr>
        <w:sym w:font="Wingdings 2" w:char="F052"/>
      </w:r>
      <w:r>
        <w:rPr>
          <w:sz w:val="18"/>
          <w:szCs w:val="18"/>
        </w:rPr>
        <w:t>不适用</w:t>
      </w:r>
    </w:p>
    <w:p w:rsidR="00E20B54" w:rsidRDefault="00733C9E">
      <w:pPr>
        <w:spacing w:before="100" w:after="100" w:line="240" w:lineRule="exact"/>
        <w:rPr>
          <w:sz w:val="18"/>
          <w:szCs w:val="18"/>
        </w:rPr>
      </w:pPr>
      <w:r>
        <w:rPr>
          <w:sz w:val="18"/>
          <w:szCs w:val="18"/>
        </w:rPr>
        <w:t>其他说明：</w:t>
      </w:r>
    </w:p>
    <w:p w:rsidR="00E20B54" w:rsidRDefault="00733C9E">
      <w:pPr>
        <w:pStyle w:val="3"/>
        <w:spacing w:line="280" w:lineRule="exact"/>
        <w:jc w:val="left"/>
        <w:rPr>
          <w:b/>
          <w:bCs/>
        </w:rPr>
      </w:pPr>
      <w:bookmarkStart w:id="296" w:name="_Toc989184"/>
      <w:r>
        <w:rPr>
          <w:b/>
          <w:bCs/>
        </w:rPr>
        <w:t>18</w:t>
      </w:r>
      <w:r>
        <w:rPr>
          <w:b/>
          <w:bCs/>
        </w:rPr>
        <w:t>、长期待摊费用</w:t>
      </w:r>
      <w:bookmarkEnd w:id="296"/>
    </w:p>
    <w:p w:rsidR="00E20B54" w:rsidRDefault="00733C9E">
      <w:pPr>
        <w:spacing w:before="40" w:after="40" w:line="240" w:lineRule="exact"/>
        <w:jc w:val="right"/>
        <w:rPr>
          <w:sz w:val="18"/>
          <w:szCs w:val="18"/>
        </w:rPr>
      </w:pPr>
      <w:r>
        <w:rPr>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606"/>
        <w:gridCol w:w="1606"/>
        <w:gridCol w:w="1606"/>
        <w:gridCol w:w="1607"/>
        <w:gridCol w:w="1607"/>
        <w:gridCol w:w="1607"/>
      </w:tblGrid>
      <w:tr w:rsidR="00E20B54">
        <w:trPr>
          <w:trHeight w:val="240"/>
        </w:trPr>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项目</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期初余额</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本期增加金额</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本期摊销金额</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其他减少金额</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期末余额</w:t>
            </w:r>
          </w:p>
        </w:tc>
      </w:tr>
      <w:tr w:rsidR="00E20B54">
        <w:trPr>
          <w:trHeight w:val="240"/>
        </w:trPr>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装修费用</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2,644,196.98</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1,433,189.18</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702,514.46</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3,374,871.70</w:t>
            </w:r>
          </w:p>
        </w:tc>
      </w:tr>
      <w:tr w:rsidR="00E20B54">
        <w:trPr>
          <w:trHeight w:val="240"/>
        </w:trPr>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OA</w:t>
            </w:r>
            <w:r>
              <w:rPr>
                <w:sz w:val="18"/>
                <w:szCs w:val="18"/>
              </w:rPr>
              <w:t>软件实施</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250,753.77</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50,150.76</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200,603.01</w:t>
            </w:r>
          </w:p>
        </w:tc>
      </w:tr>
      <w:tr w:rsidR="00E20B54">
        <w:trPr>
          <w:trHeight w:val="240"/>
        </w:trPr>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配电室供电线路改造</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882,321.10</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882,321.10</w:t>
            </w:r>
          </w:p>
        </w:tc>
      </w:tr>
      <w:tr w:rsidR="00E20B54">
        <w:trPr>
          <w:trHeight w:val="240"/>
        </w:trPr>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合计</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2,894,950.75</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2,315,510.28</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752,665.22</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4,457,795.81</w:t>
            </w:r>
          </w:p>
        </w:tc>
      </w:tr>
    </w:tbl>
    <w:p w:rsidR="00E20B54" w:rsidRDefault="00733C9E" w:rsidP="00DC457B">
      <w:pPr>
        <w:spacing w:before="100" w:after="100" w:line="240" w:lineRule="exact"/>
        <w:rPr>
          <w:sz w:val="18"/>
          <w:szCs w:val="18"/>
        </w:rPr>
      </w:pPr>
      <w:r>
        <w:rPr>
          <w:sz w:val="18"/>
          <w:szCs w:val="18"/>
        </w:rPr>
        <w:t>其他说明：</w:t>
      </w:r>
      <w:r>
        <w:rPr>
          <w:color w:val="000000"/>
          <w:sz w:val="18"/>
          <w:szCs w:val="18"/>
          <w:lang w:bidi="ar"/>
        </w:rPr>
        <w:t>本期新增主要系办公装修</w:t>
      </w:r>
      <w:r>
        <w:rPr>
          <w:color w:val="000000"/>
          <w:sz w:val="18"/>
          <w:szCs w:val="18"/>
          <w:lang w:bidi="ar"/>
        </w:rPr>
        <w:t>+</w:t>
      </w:r>
      <w:r>
        <w:rPr>
          <w:color w:val="000000"/>
          <w:sz w:val="18"/>
          <w:szCs w:val="18"/>
          <w:lang w:bidi="ar"/>
        </w:rPr>
        <w:t>弱电项目、光伏电站线路改造。</w:t>
      </w:r>
    </w:p>
    <w:p w:rsidR="00E20B54" w:rsidRDefault="00733C9E">
      <w:pPr>
        <w:pStyle w:val="3"/>
        <w:spacing w:line="280" w:lineRule="exact"/>
        <w:jc w:val="left"/>
        <w:rPr>
          <w:b/>
          <w:bCs/>
        </w:rPr>
      </w:pPr>
      <w:bookmarkStart w:id="297" w:name="_Toc989185"/>
      <w:r>
        <w:rPr>
          <w:b/>
          <w:bCs/>
        </w:rPr>
        <w:t>19</w:t>
      </w:r>
      <w:r>
        <w:rPr>
          <w:b/>
          <w:bCs/>
        </w:rPr>
        <w:t>、递延所得税资产</w:t>
      </w:r>
      <w:r>
        <w:rPr>
          <w:b/>
          <w:bCs/>
        </w:rPr>
        <w:t>/</w:t>
      </w:r>
      <w:r>
        <w:rPr>
          <w:b/>
          <w:bCs/>
        </w:rPr>
        <w:t>递延所得税负债</w:t>
      </w:r>
      <w:bookmarkEnd w:id="297"/>
    </w:p>
    <w:p w:rsidR="00E20B54" w:rsidRDefault="00733C9E">
      <w:pPr>
        <w:keepNext/>
        <w:keepLines/>
        <w:spacing w:before="300" w:after="300" w:line="280" w:lineRule="exact"/>
        <w:outlineLvl w:val="3"/>
        <w:rPr>
          <w:b/>
          <w:bCs/>
          <w:szCs w:val="21"/>
        </w:rPr>
      </w:pPr>
      <w:bookmarkStart w:id="298" w:name="_Toc989186"/>
      <w:r>
        <w:rPr>
          <w:b/>
          <w:bCs/>
          <w:szCs w:val="21"/>
        </w:rPr>
        <w:t>（</w:t>
      </w:r>
      <w:r>
        <w:rPr>
          <w:b/>
          <w:bCs/>
          <w:szCs w:val="21"/>
        </w:rPr>
        <w:t>1</w:t>
      </w:r>
      <w:r>
        <w:rPr>
          <w:b/>
          <w:bCs/>
          <w:szCs w:val="21"/>
        </w:rPr>
        <w:t>）</w:t>
      </w:r>
      <w:r>
        <w:rPr>
          <w:b/>
          <w:bCs/>
          <w:szCs w:val="21"/>
        </w:rPr>
        <w:t xml:space="preserve"> </w:t>
      </w:r>
      <w:r>
        <w:rPr>
          <w:b/>
          <w:bCs/>
          <w:szCs w:val="21"/>
        </w:rPr>
        <w:t>未经抵销的递延所得税资产</w:t>
      </w:r>
      <w:bookmarkEnd w:id="298"/>
    </w:p>
    <w:p w:rsidR="00E20B54" w:rsidRDefault="00733C9E">
      <w:pPr>
        <w:spacing w:before="40" w:after="40" w:line="240" w:lineRule="exact"/>
        <w:jc w:val="right"/>
        <w:rPr>
          <w:sz w:val="18"/>
          <w:szCs w:val="18"/>
        </w:rPr>
      </w:pPr>
      <w:r>
        <w:rPr>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927"/>
        <w:gridCol w:w="1928"/>
        <w:gridCol w:w="1928"/>
        <w:gridCol w:w="1928"/>
        <w:gridCol w:w="1928"/>
      </w:tblGrid>
      <w:tr w:rsidR="00E20B54" w:rsidTr="00DC457B">
        <w:trPr>
          <w:trHeight w:val="240"/>
          <w:tblHeader/>
        </w:trPr>
        <w:tc>
          <w:tcPr>
            <w:tcW w:w="1928"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项目</w:t>
            </w:r>
          </w:p>
        </w:tc>
        <w:tc>
          <w:tcPr>
            <w:tcW w:w="3856"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期末余额</w:t>
            </w:r>
          </w:p>
        </w:tc>
        <w:tc>
          <w:tcPr>
            <w:tcW w:w="3856"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期初余额</w:t>
            </w:r>
          </w:p>
        </w:tc>
      </w:tr>
      <w:tr w:rsidR="00E20B54" w:rsidTr="00DC457B">
        <w:trPr>
          <w:trHeight w:val="240"/>
          <w:tblHeader/>
        </w:trPr>
        <w:tc>
          <w:tcPr>
            <w:tcW w:w="1928"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可抵扣暂时性差异</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递延所得税资产</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可抵扣暂时性差异</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递延所得税资产</w:t>
            </w:r>
          </w:p>
        </w:tc>
      </w:tr>
      <w:tr w:rsidR="00E20B54">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资产减值准备</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113,878,905.08</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17,160,047.76</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93,289,217.85</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14,069,102.19</w:t>
            </w:r>
          </w:p>
        </w:tc>
      </w:tr>
      <w:tr w:rsidR="00E20B54">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内部交易未实现利润</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65,242.46</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9,786.37</w:t>
            </w:r>
          </w:p>
        </w:tc>
      </w:tr>
      <w:tr w:rsidR="00E20B54">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可抵扣亏损</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54,454,608.03</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10,219,868.43</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56,490,835.53</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9,546,509.54</w:t>
            </w:r>
          </w:p>
        </w:tc>
      </w:tr>
      <w:tr w:rsidR="00E20B54" w:rsidTr="00DC457B">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9D9D9" w:themeFill="background1" w:themeFillShade="D9"/>
            <w:vAlign w:val="center"/>
          </w:tcPr>
          <w:p w:rsidR="00E20B54" w:rsidRDefault="00733C9E">
            <w:pPr>
              <w:spacing w:line="240" w:lineRule="exact"/>
              <w:rPr>
                <w:sz w:val="18"/>
                <w:szCs w:val="18"/>
              </w:rPr>
            </w:pPr>
            <w:r>
              <w:rPr>
                <w:sz w:val="18"/>
                <w:szCs w:val="18"/>
              </w:rPr>
              <w:t>分期收款销售商品存货的所得税影响</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69,562,799.93</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10,434,419.99</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27,635,156.65</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4,145,273.50</w:t>
            </w:r>
          </w:p>
        </w:tc>
      </w:tr>
      <w:tr w:rsidR="00E20B54" w:rsidTr="00DC457B">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9D9D9" w:themeFill="background1" w:themeFillShade="D9"/>
            <w:vAlign w:val="center"/>
          </w:tcPr>
          <w:p w:rsidR="00E20B54" w:rsidRDefault="00733C9E">
            <w:pPr>
              <w:spacing w:line="240" w:lineRule="exact"/>
              <w:rPr>
                <w:sz w:val="18"/>
                <w:szCs w:val="18"/>
              </w:rPr>
            </w:pPr>
            <w:r>
              <w:rPr>
                <w:sz w:val="18"/>
                <w:szCs w:val="18"/>
              </w:rPr>
              <w:t>无形资产摊销差异</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2,228,134.28</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334,220.14</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2,809,182.98</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421,377.45</w:t>
            </w:r>
          </w:p>
        </w:tc>
      </w:tr>
      <w:tr w:rsidR="00E20B54" w:rsidTr="00DC457B">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9D9D9" w:themeFill="background1" w:themeFillShade="D9"/>
            <w:vAlign w:val="center"/>
          </w:tcPr>
          <w:p w:rsidR="00E20B54" w:rsidRDefault="00733C9E">
            <w:pPr>
              <w:spacing w:line="240" w:lineRule="exact"/>
              <w:rPr>
                <w:sz w:val="18"/>
                <w:szCs w:val="18"/>
              </w:rPr>
            </w:pPr>
            <w:r>
              <w:rPr>
                <w:sz w:val="18"/>
                <w:szCs w:val="18"/>
              </w:rPr>
              <w:t>其他权益工具投资</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316,600.00</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47,490.00</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316,600.00</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47,490.00</w:t>
            </w:r>
          </w:p>
        </w:tc>
      </w:tr>
      <w:tr w:rsidR="00E20B54" w:rsidTr="00DC457B">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9D9D9" w:themeFill="background1" w:themeFillShade="D9"/>
            <w:vAlign w:val="center"/>
          </w:tcPr>
          <w:p w:rsidR="00E20B54" w:rsidRDefault="00733C9E">
            <w:pPr>
              <w:spacing w:line="240" w:lineRule="exact"/>
              <w:rPr>
                <w:sz w:val="18"/>
                <w:szCs w:val="18"/>
              </w:rPr>
            </w:pPr>
            <w:r>
              <w:rPr>
                <w:sz w:val="18"/>
                <w:szCs w:val="18"/>
              </w:rPr>
              <w:t>租赁负债</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14,410,018.72</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2,515,754.99</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8,517,744.37</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1,365,840.83</w:t>
            </w:r>
          </w:p>
        </w:tc>
      </w:tr>
      <w:tr w:rsidR="00E20B54" w:rsidTr="00DC457B">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9D9D9" w:themeFill="background1" w:themeFillShade="D9"/>
            <w:vAlign w:val="center"/>
          </w:tcPr>
          <w:p w:rsidR="00E20B54" w:rsidRDefault="00733C9E">
            <w:pPr>
              <w:spacing w:line="240" w:lineRule="exact"/>
              <w:rPr>
                <w:sz w:val="18"/>
                <w:szCs w:val="18"/>
              </w:rPr>
            </w:pPr>
            <w:r>
              <w:rPr>
                <w:sz w:val="18"/>
                <w:szCs w:val="18"/>
              </w:rPr>
              <w:lastRenderedPageBreak/>
              <w:t>股份支付</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25,577,633.05</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4,114,519.60</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14,209,796.15</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2,219,148.20</w:t>
            </w:r>
          </w:p>
        </w:tc>
      </w:tr>
      <w:tr w:rsidR="00E20B54">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合计</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280,428,699.09</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44,826,320.91</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203,333,775.99</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31,824,528.08</w:t>
            </w:r>
          </w:p>
        </w:tc>
      </w:tr>
    </w:tbl>
    <w:p w:rsidR="00E20B54" w:rsidRDefault="00733C9E">
      <w:pPr>
        <w:keepNext/>
        <w:keepLines/>
        <w:spacing w:before="300" w:after="300" w:line="280" w:lineRule="exact"/>
        <w:outlineLvl w:val="3"/>
        <w:rPr>
          <w:b/>
          <w:bCs/>
          <w:szCs w:val="21"/>
        </w:rPr>
      </w:pPr>
      <w:bookmarkStart w:id="299" w:name="_Toc989187"/>
      <w:r>
        <w:rPr>
          <w:b/>
          <w:bCs/>
          <w:szCs w:val="21"/>
        </w:rPr>
        <w:t>（</w:t>
      </w:r>
      <w:r>
        <w:rPr>
          <w:b/>
          <w:bCs/>
          <w:szCs w:val="21"/>
        </w:rPr>
        <w:t>2</w:t>
      </w:r>
      <w:r>
        <w:rPr>
          <w:b/>
          <w:bCs/>
          <w:szCs w:val="21"/>
        </w:rPr>
        <w:t>）</w:t>
      </w:r>
      <w:r>
        <w:rPr>
          <w:b/>
          <w:bCs/>
          <w:szCs w:val="21"/>
        </w:rPr>
        <w:t xml:space="preserve"> </w:t>
      </w:r>
      <w:r>
        <w:rPr>
          <w:b/>
          <w:bCs/>
          <w:szCs w:val="21"/>
        </w:rPr>
        <w:t>未经抵销的递延所得税负债</w:t>
      </w:r>
      <w:bookmarkEnd w:id="299"/>
    </w:p>
    <w:p w:rsidR="00E20B54" w:rsidRDefault="00733C9E">
      <w:pPr>
        <w:spacing w:before="40" w:after="40" w:line="240" w:lineRule="exact"/>
        <w:jc w:val="right"/>
        <w:rPr>
          <w:sz w:val="18"/>
          <w:szCs w:val="18"/>
        </w:rPr>
      </w:pPr>
      <w:r>
        <w:rPr>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927"/>
        <w:gridCol w:w="1928"/>
        <w:gridCol w:w="1928"/>
        <w:gridCol w:w="1928"/>
        <w:gridCol w:w="1928"/>
      </w:tblGrid>
      <w:tr w:rsidR="00E20B54">
        <w:trPr>
          <w:trHeight w:val="240"/>
        </w:trPr>
        <w:tc>
          <w:tcPr>
            <w:tcW w:w="1928"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项目</w:t>
            </w:r>
          </w:p>
        </w:tc>
        <w:tc>
          <w:tcPr>
            <w:tcW w:w="3856"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期末余额</w:t>
            </w:r>
          </w:p>
        </w:tc>
        <w:tc>
          <w:tcPr>
            <w:tcW w:w="3856"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期初余额</w:t>
            </w:r>
          </w:p>
        </w:tc>
      </w:tr>
      <w:tr w:rsidR="00E20B54">
        <w:trPr>
          <w:trHeight w:val="240"/>
        </w:trPr>
        <w:tc>
          <w:tcPr>
            <w:tcW w:w="1928"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应纳税暂时性差异</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递延所得税负债</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应纳税暂时性差异</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递延所得税负债</w:t>
            </w:r>
          </w:p>
        </w:tc>
      </w:tr>
      <w:tr w:rsidR="00E20B54" w:rsidTr="00DC457B">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9D9D9" w:themeFill="background1" w:themeFillShade="D9"/>
            <w:vAlign w:val="center"/>
          </w:tcPr>
          <w:p w:rsidR="00E20B54" w:rsidRDefault="00733C9E">
            <w:pPr>
              <w:spacing w:line="240" w:lineRule="exact"/>
              <w:rPr>
                <w:sz w:val="18"/>
                <w:szCs w:val="18"/>
              </w:rPr>
            </w:pPr>
            <w:r>
              <w:rPr>
                <w:sz w:val="18"/>
                <w:szCs w:val="18"/>
              </w:rPr>
              <w:t>长期应收款</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91,754,735.86</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13,763,210.38</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38,727,568.34</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5,809,135.25</w:t>
            </w:r>
          </w:p>
        </w:tc>
      </w:tr>
      <w:tr w:rsidR="00E20B54" w:rsidTr="00DC457B">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9D9D9" w:themeFill="background1" w:themeFillShade="D9"/>
            <w:vAlign w:val="center"/>
          </w:tcPr>
          <w:p w:rsidR="00E20B54" w:rsidRDefault="00733C9E">
            <w:pPr>
              <w:spacing w:line="240" w:lineRule="exact"/>
              <w:rPr>
                <w:sz w:val="18"/>
                <w:szCs w:val="18"/>
              </w:rPr>
            </w:pPr>
            <w:r>
              <w:rPr>
                <w:sz w:val="18"/>
                <w:szCs w:val="18"/>
              </w:rPr>
              <w:t>使用权资产</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14,643,826.73</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2,470,900.91</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8,594,708.86</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1,372,625.36</w:t>
            </w:r>
          </w:p>
        </w:tc>
      </w:tr>
      <w:tr w:rsidR="00E20B54">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合计</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106,398,562.59</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16,234,111.29</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47,322,277.20</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7,181,760.61</w:t>
            </w:r>
          </w:p>
        </w:tc>
      </w:tr>
    </w:tbl>
    <w:p w:rsidR="00E20B54" w:rsidRDefault="00733C9E">
      <w:pPr>
        <w:keepNext/>
        <w:keepLines/>
        <w:spacing w:before="300" w:after="300" w:line="280" w:lineRule="exact"/>
        <w:outlineLvl w:val="3"/>
        <w:rPr>
          <w:b/>
          <w:bCs/>
          <w:szCs w:val="21"/>
        </w:rPr>
      </w:pPr>
      <w:bookmarkStart w:id="300" w:name="_Toc989188"/>
      <w:r>
        <w:rPr>
          <w:b/>
          <w:bCs/>
          <w:szCs w:val="21"/>
        </w:rPr>
        <w:t>（</w:t>
      </w:r>
      <w:r>
        <w:rPr>
          <w:b/>
          <w:bCs/>
          <w:szCs w:val="21"/>
        </w:rPr>
        <w:t>3</w:t>
      </w:r>
      <w:r>
        <w:rPr>
          <w:b/>
          <w:bCs/>
          <w:szCs w:val="21"/>
        </w:rPr>
        <w:t>）</w:t>
      </w:r>
      <w:r>
        <w:rPr>
          <w:b/>
          <w:bCs/>
          <w:szCs w:val="21"/>
        </w:rPr>
        <w:t xml:space="preserve"> </w:t>
      </w:r>
      <w:r>
        <w:rPr>
          <w:b/>
          <w:bCs/>
          <w:szCs w:val="21"/>
        </w:rPr>
        <w:t>以抵销后净额列示的递延所得税资产或负债</w:t>
      </w:r>
      <w:bookmarkEnd w:id="300"/>
    </w:p>
    <w:p w:rsidR="00E20B54" w:rsidRDefault="00733C9E">
      <w:pPr>
        <w:spacing w:before="40" w:after="40" w:line="240" w:lineRule="exact"/>
        <w:jc w:val="right"/>
        <w:rPr>
          <w:sz w:val="18"/>
          <w:szCs w:val="18"/>
        </w:rPr>
      </w:pPr>
      <w:r>
        <w:rPr>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927"/>
        <w:gridCol w:w="1928"/>
        <w:gridCol w:w="1928"/>
        <w:gridCol w:w="1928"/>
        <w:gridCol w:w="1928"/>
      </w:tblGrid>
      <w:tr w:rsidR="00E20B54">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项目</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递延所得税资产和负债期末互抵金额</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抵销后递延所得税资产或负债期末余额</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递延所得税资产和负债期初互抵金额</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抵销后递延所得税资产或负债期初余额</w:t>
            </w:r>
          </w:p>
        </w:tc>
      </w:tr>
      <w:tr w:rsidR="00E20B54">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递延所得税资产</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44,826,320.91</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31,824,528.08</w:t>
            </w:r>
          </w:p>
        </w:tc>
      </w:tr>
      <w:tr w:rsidR="00E20B54">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递延所得税负债</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16,234,111.29</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7,181,760.61</w:t>
            </w:r>
          </w:p>
        </w:tc>
      </w:tr>
    </w:tbl>
    <w:p w:rsidR="00E20B54" w:rsidRDefault="00733C9E">
      <w:pPr>
        <w:pStyle w:val="3"/>
        <w:spacing w:line="280" w:lineRule="exact"/>
        <w:jc w:val="left"/>
        <w:rPr>
          <w:b/>
          <w:bCs/>
        </w:rPr>
      </w:pPr>
      <w:bookmarkStart w:id="301" w:name="_Toc989189"/>
      <w:r>
        <w:rPr>
          <w:b/>
          <w:bCs/>
        </w:rPr>
        <w:t>20</w:t>
      </w:r>
      <w:r>
        <w:rPr>
          <w:b/>
          <w:bCs/>
        </w:rPr>
        <w:t>、其他非流动资产</w:t>
      </w:r>
      <w:bookmarkEnd w:id="301"/>
    </w:p>
    <w:p w:rsidR="00E20B54" w:rsidRDefault="00733C9E">
      <w:pPr>
        <w:spacing w:before="40" w:after="40" w:line="240" w:lineRule="exact"/>
        <w:jc w:val="right"/>
        <w:rPr>
          <w:sz w:val="18"/>
          <w:szCs w:val="18"/>
        </w:rPr>
      </w:pPr>
      <w:r>
        <w:rPr>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377"/>
        <w:gridCol w:w="1377"/>
        <w:gridCol w:w="1377"/>
        <w:gridCol w:w="1377"/>
        <w:gridCol w:w="1377"/>
        <w:gridCol w:w="1377"/>
        <w:gridCol w:w="1377"/>
      </w:tblGrid>
      <w:tr w:rsidR="00E20B54">
        <w:trPr>
          <w:trHeight w:val="240"/>
        </w:trPr>
        <w:tc>
          <w:tcPr>
            <w:tcW w:w="1377"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项目</w:t>
            </w:r>
          </w:p>
        </w:tc>
        <w:tc>
          <w:tcPr>
            <w:tcW w:w="4131" w:type="dxa"/>
            <w:gridSpan w:val="3"/>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期末余额</w:t>
            </w:r>
          </w:p>
        </w:tc>
        <w:tc>
          <w:tcPr>
            <w:tcW w:w="4131" w:type="dxa"/>
            <w:gridSpan w:val="3"/>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期初余额</w:t>
            </w:r>
          </w:p>
        </w:tc>
      </w:tr>
      <w:tr w:rsidR="00E20B54">
        <w:trPr>
          <w:trHeight w:val="240"/>
        </w:trPr>
        <w:tc>
          <w:tcPr>
            <w:tcW w:w="1377"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账面余额</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减值准备</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账面价值</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账面余额</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减值准备</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账面价值</w:t>
            </w:r>
          </w:p>
        </w:tc>
      </w:tr>
      <w:tr w:rsidR="00E20B54">
        <w:trPr>
          <w:trHeight w:val="240"/>
        </w:trPr>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合同资产</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708,618.94</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35,430.95</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673,187.99</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821,399.89</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41,069.99</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780,329.90</w:t>
            </w:r>
          </w:p>
        </w:tc>
      </w:tr>
      <w:tr w:rsidR="00E20B54">
        <w:trPr>
          <w:trHeight w:val="240"/>
        </w:trPr>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软件实施成本</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276,061.95</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276,061.95</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r w:rsidR="00E20B54">
        <w:trPr>
          <w:trHeight w:val="240"/>
        </w:trPr>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合计</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984,680.89</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35,430.95</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949,249.94</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821,399.89</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41,069.99</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780,329.90</w:t>
            </w:r>
          </w:p>
        </w:tc>
      </w:tr>
    </w:tbl>
    <w:p w:rsidR="00E20B54" w:rsidRDefault="00733C9E">
      <w:pPr>
        <w:spacing w:before="100" w:after="100" w:line="240" w:lineRule="exact"/>
        <w:rPr>
          <w:sz w:val="18"/>
          <w:szCs w:val="18"/>
        </w:rPr>
      </w:pPr>
      <w:r>
        <w:rPr>
          <w:sz w:val="18"/>
          <w:szCs w:val="18"/>
        </w:rPr>
        <w:t>其他说明：</w:t>
      </w:r>
      <w:r w:rsidR="00DC457B">
        <w:rPr>
          <w:rFonts w:hint="eastAsia"/>
          <w:sz w:val="18"/>
          <w:szCs w:val="18"/>
        </w:rPr>
        <w:t>无。</w:t>
      </w:r>
    </w:p>
    <w:p w:rsidR="00E20B54" w:rsidRDefault="00733C9E">
      <w:pPr>
        <w:pStyle w:val="3"/>
        <w:spacing w:line="280" w:lineRule="exact"/>
        <w:jc w:val="left"/>
        <w:rPr>
          <w:b/>
          <w:bCs/>
        </w:rPr>
      </w:pPr>
      <w:bookmarkStart w:id="302" w:name="_Toc989190"/>
      <w:r>
        <w:rPr>
          <w:b/>
          <w:bCs/>
        </w:rPr>
        <w:t>21</w:t>
      </w:r>
      <w:r>
        <w:rPr>
          <w:b/>
          <w:bCs/>
        </w:rPr>
        <w:t>、所有权或使用权受到限制的资产</w:t>
      </w:r>
      <w:bookmarkEnd w:id="302"/>
    </w:p>
    <w:p w:rsidR="00E20B54" w:rsidRDefault="00733C9E">
      <w:pPr>
        <w:spacing w:before="40" w:after="40" w:line="240" w:lineRule="exact"/>
        <w:jc w:val="right"/>
        <w:rPr>
          <w:sz w:val="18"/>
          <w:szCs w:val="18"/>
        </w:rPr>
      </w:pPr>
      <w:r>
        <w:rPr>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071"/>
        <w:gridCol w:w="1071"/>
        <w:gridCol w:w="1071"/>
        <w:gridCol w:w="1071"/>
        <w:gridCol w:w="1071"/>
        <w:gridCol w:w="1071"/>
        <w:gridCol w:w="1071"/>
        <w:gridCol w:w="1071"/>
        <w:gridCol w:w="1071"/>
      </w:tblGrid>
      <w:tr w:rsidR="00E20B54" w:rsidTr="00DC457B">
        <w:trPr>
          <w:trHeight w:val="240"/>
          <w:tblHeader/>
        </w:trPr>
        <w:tc>
          <w:tcPr>
            <w:tcW w:w="1071"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项目</w:t>
            </w:r>
          </w:p>
        </w:tc>
        <w:tc>
          <w:tcPr>
            <w:tcW w:w="4284" w:type="dxa"/>
            <w:gridSpan w:val="4"/>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期末</w:t>
            </w:r>
          </w:p>
        </w:tc>
        <w:tc>
          <w:tcPr>
            <w:tcW w:w="4284" w:type="dxa"/>
            <w:gridSpan w:val="4"/>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期初</w:t>
            </w:r>
          </w:p>
        </w:tc>
      </w:tr>
      <w:tr w:rsidR="00E20B54" w:rsidTr="00DC457B">
        <w:trPr>
          <w:trHeight w:val="240"/>
          <w:tblHeader/>
        </w:trPr>
        <w:tc>
          <w:tcPr>
            <w:tcW w:w="1071"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账面余额</w:t>
            </w:r>
          </w:p>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账面价值</w:t>
            </w:r>
          </w:p>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受限类型</w:t>
            </w:r>
          </w:p>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受限情况</w:t>
            </w:r>
          </w:p>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账面余额</w:t>
            </w:r>
          </w:p>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账面价值</w:t>
            </w:r>
          </w:p>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受限类型</w:t>
            </w:r>
          </w:p>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受限情况</w:t>
            </w:r>
          </w:p>
        </w:tc>
      </w:tr>
      <w:tr w:rsidR="00E20B54">
        <w:trPr>
          <w:trHeight w:val="240"/>
        </w:trPr>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货币资金</w:t>
            </w:r>
          </w:p>
        </w:tc>
        <w:tc>
          <w:tcPr>
            <w:tcW w:w="1071"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306,390.45</w:t>
            </w:r>
          </w:p>
        </w:tc>
        <w:tc>
          <w:tcPr>
            <w:tcW w:w="1071"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306,390.45</w:t>
            </w:r>
          </w:p>
        </w:tc>
        <w:tc>
          <w:tcPr>
            <w:tcW w:w="1071"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承兑保证金、冻结</w:t>
            </w:r>
          </w:p>
        </w:tc>
        <w:tc>
          <w:tcPr>
            <w:tcW w:w="1071"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承兑保证金、冻结</w:t>
            </w:r>
          </w:p>
        </w:tc>
        <w:tc>
          <w:tcPr>
            <w:tcW w:w="1071"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62,901,653.46</w:t>
            </w:r>
          </w:p>
        </w:tc>
        <w:tc>
          <w:tcPr>
            <w:tcW w:w="1071"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62,901,653.46</w:t>
            </w:r>
          </w:p>
        </w:tc>
        <w:tc>
          <w:tcPr>
            <w:tcW w:w="1071"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承兑保证金、保函保证金、质押存款、大额定期存单</w:t>
            </w:r>
          </w:p>
        </w:tc>
        <w:tc>
          <w:tcPr>
            <w:tcW w:w="1071"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承兑保证金、保函保证金、质押存款、大额定期存单</w:t>
            </w:r>
          </w:p>
        </w:tc>
      </w:tr>
      <w:tr w:rsidR="00E20B54">
        <w:trPr>
          <w:trHeight w:val="240"/>
        </w:trPr>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固定资产</w:t>
            </w:r>
          </w:p>
        </w:tc>
        <w:tc>
          <w:tcPr>
            <w:tcW w:w="1071"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303,697,110.07</w:t>
            </w:r>
          </w:p>
        </w:tc>
        <w:tc>
          <w:tcPr>
            <w:tcW w:w="1071"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269,856,906.35</w:t>
            </w:r>
          </w:p>
        </w:tc>
        <w:tc>
          <w:tcPr>
            <w:tcW w:w="1071"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借款抵押</w:t>
            </w:r>
          </w:p>
        </w:tc>
        <w:tc>
          <w:tcPr>
            <w:tcW w:w="1071"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借款抵押</w:t>
            </w:r>
          </w:p>
        </w:tc>
        <w:tc>
          <w:tcPr>
            <w:tcW w:w="1071"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rPr>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rPr>
                <w:sz w:val="18"/>
                <w:szCs w:val="18"/>
              </w:rPr>
            </w:pPr>
          </w:p>
        </w:tc>
      </w:tr>
      <w:tr w:rsidR="00E20B54" w:rsidTr="00DC457B">
        <w:trPr>
          <w:trHeight w:val="240"/>
        </w:trPr>
        <w:tc>
          <w:tcPr>
            <w:tcW w:w="1071" w:type="dxa"/>
            <w:tcBorders>
              <w:top w:val="single" w:sz="2" w:space="0" w:color="auto"/>
              <w:left w:val="single" w:sz="2" w:space="0" w:color="auto"/>
              <w:bottom w:val="single" w:sz="2" w:space="0" w:color="auto"/>
              <w:right w:val="single" w:sz="2" w:space="0" w:color="auto"/>
            </w:tcBorders>
            <w:shd w:val="clear" w:color="auto" w:fill="D9D9D9" w:themeFill="background1" w:themeFillShade="D9"/>
            <w:vAlign w:val="center"/>
          </w:tcPr>
          <w:p w:rsidR="00E20B54" w:rsidRDefault="00733C9E">
            <w:pPr>
              <w:spacing w:line="240" w:lineRule="exact"/>
              <w:rPr>
                <w:sz w:val="18"/>
                <w:szCs w:val="18"/>
              </w:rPr>
            </w:pPr>
            <w:r>
              <w:rPr>
                <w:sz w:val="18"/>
                <w:szCs w:val="18"/>
              </w:rPr>
              <w:t>应收账款</w:t>
            </w:r>
          </w:p>
        </w:tc>
        <w:tc>
          <w:tcPr>
            <w:tcW w:w="1071"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19,077,817.79</w:t>
            </w:r>
          </w:p>
        </w:tc>
        <w:tc>
          <w:tcPr>
            <w:tcW w:w="1071"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18,123,926.90</w:t>
            </w:r>
          </w:p>
        </w:tc>
        <w:tc>
          <w:tcPr>
            <w:tcW w:w="1071"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借款质押</w:t>
            </w:r>
          </w:p>
        </w:tc>
        <w:tc>
          <w:tcPr>
            <w:tcW w:w="1071"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借款质押</w:t>
            </w:r>
          </w:p>
        </w:tc>
        <w:tc>
          <w:tcPr>
            <w:tcW w:w="1071"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rPr>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rPr>
                <w:sz w:val="18"/>
                <w:szCs w:val="18"/>
              </w:rPr>
            </w:pPr>
          </w:p>
        </w:tc>
      </w:tr>
      <w:tr w:rsidR="00E20B54" w:rsidTr="00DC457B">
        <w:trPr>
          <w:trHeight w:val="240"/>
        </w:trPr>
        <w:tc>
          <w:tcPr>
            <w:tcW w:w="1071" w:type="dxa"/>
            <w:tcBorders>
              <w:top w:val="single" w:sz="2" w:space="0" w:color="auto"/>
              <w:left w:val="single" w:sz="2" w:space="0" w:color="auto"/>
              <w:bottom w:val="single" w:sz="2" w:space="0" w:color="auto"/>
              <w:right w:val="single" w:sz="2" w:space="0" w:color="auto"/>
            </w:tcBorders>
            <w:shd w:val="clear" w:color="auto" w:fill="D9D9D9" w:themeFill="background1" w:themeFillShade="D9"/>
            <w:vAlign w:val="center"/>
          </w:tcPr>
          <w:p w:rsidR="00E20B54" w:rsidRDefault="00733C9E">
            <w:pPr>
              <w:spacing w:line="240" w:lineRule="exact"/>
              <w:rPr>
                <w:sz w:val="18"/>
                <w:szCs w:val="18"/>
              </w:rPr>
            </w:pPr>
            <w:r>
              <w:rPr>
                <w:sz w:val="18"/>
                <w:szCs w:val="18"/>
              </w:rPr>
              <w:t>一年内到</w:t>
            </w:r>
            <w:r>
              <w:rPr>
                <w:sz w:val="18"/>
                <w:szCs w:val="18"/>
              </w:rPr>
              <w:lastRenderedPageBreak/>
              <w:t>期的非流动资产</w:t>
            </w:r>
          </w:p>
        </w:tc>
        <w:tc>
          <w:tcPr>
            <w:tcW w:w="1071"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lastRenderedPageBreak/>
              <w:t>21,588,600.</w:t>
            </w:r>
            <w:r>
              <w:rPr>
                <w:sz w:val="18"/>
                <w:szCs w:val="18"/>
              </w:rPr>
              <w:lastRenderedPageBreak/>
              <w:t>00</w:t>
            </w:r>
          </w:p>
        </w:tc>
        <w:tc>
          <w:tcPr>
            <w:tcW w:w="1071"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lastRenderedPageBreak/>
              <w:t>19,935,383.</w:t>
            </w:r>
            <w:r>
              <w:rPr>
                <w:sz w:val="18"/>
                <w:szCs w:val="18"/>
              </w:rPr>
              <w:lastRenderedPageBreak/>
              <w:t>60</w:t>
            </w:r>
          </w:p>
        </w:tc>
        <w:tc>
          <w:tcPr>
            <w:tcW w:w="1071"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lastRenderedPageBreak/>
              <w:t>借款质押</w:t>
            </w:r>
          </w:p>
        </w:tc>
        <w:tc>
          <w:tcPr>
            <w:tcW w:w="1071"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借款质押</w:t>
            </w:r>
          </w:p>
        </w:tc>
        <w:tc>
          <w:tcPr>
            <w:tcW w:w="1071"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rPr>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rPr>
                <w:sz w:val="18"/>
                <w:szCs w:val="18"/>
              </w:rPr>
            </w:pPr>
          </w:p>
        </w:tc>
      </w:tr>
      <w:tr w:rsidR="00E20B54" w:rsidTr="00DC457B">
        <w:trPr>
          <w:trHeight w:val="240"/>
        </w:trPr>
        <w:tc>
          <w:tcPr>
            <w:tcW w:w="1071" w:type="dxa"/>
            <w:tcBorders>
              <w:top w:val="single" w:sz="2" w:space="0" w:color="auto"/>
              <w:left w:val="single" w:sz="2" w:space="0" w:color="auto"/>
              <w:bottom w:val="single" w:sz="2" w:space="0" w:color="auto"/>
              <w:right w:val="single" w:sz="2" w:space="0" w:color="auto"/>
            </w:tcBorders>
            <w:shd w:val="clear" w:color="auto" w:fill="D9D9D9" w:themeFill="background1" w:themeFillShade="D9"/>
            <w:vAlign w:val="center"/>
          </w:tcPr>
          <w:p w:rsidR="00E20B54" w:rsidRDefault="00733C9E">
            <w:pPr>
              <w:spacing w:line="240" w:lineRule="exact"/>
              <w:rPr>
                <w:sz w:val="18"/>
                <w:szCs w:val="18"/>
              </w:rPr>
            </w:pPr>
            <w:r>
              <w:rPr>
                <w:sz w:val="18"/>
                <w:szCs w:val="18"/>
              </w:rPr>
              <w:lastRenderedPageBreak/>
              <w:t>长期应收款</w:t>
            </w:r>
          </w:p>
        </w:tc>
        <w:tc>
          <w:tcPr>
            <w:tcW w:w="1071"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47,810,400.00</w:t>
            </w:r>
          </w:p>
        </w:tc>
        <w:tc>
          <w:tcPr>
            <w:tcW w:w="1071"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46,102,879.70</w:t>
            </w:r>
          </w:p>
        </w:tc>
        <w:tc>
          <w:tcPr>
            <w:tcW w:w="1071"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借款质押</w:t>
            </w:r>
          </w:p>
        </w:tc>
        <w:tc>
          <w:tcPr>
            <w:tcW w:w="1071"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借款质押</w:t>
            </w:r>
          </w:p>
        </w:tc>
        <w:tc>
          <w:tcPr>
            <w:tcW w:w="1071"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rPr>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rPr>
                <w:sz w:val="18"/>
                <w:szCs w:val="18"/>
              </w:rPr>
            </w:pPr>
          </w:p>
        </w:tc>
      </w:tr>
      <w:tr w:rsidR="00E20B54">
        <w:trPr>
          <w:trHeight w:val="240"/>
        </w:trPr>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合计</w:t>
            </w:r>
          </w:p>
        </w:tc>
        <w:tc>
          <w:tcPr>
            <w:tcW w:w="1071"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392,480,318.31</w:t>
            </w:r>
          </w:p>
        </w:tc>
        <w:tc>
          <w:tcPr>
            <w:tcW w:w="1071"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354,325,487.00</w:t>
            </w:r>
          </w:p>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c>
          <w:tcPr>
            <w:tcW w:w="1071"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62,901,653.46</w:t>
            </w:r>
          </w:p>
        </w:tc>
        <w:tc>
          <w:tcPr>
            <w:tcW w:w="1071"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62,901,653.46</w:t>
            </w:r>
          </w:p>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r>
    </w:tbl>
    <w:p w:rsidR="00E20B54" w:rsidRDefault="00733C9E">
      <w:pPr>
        <w:spacing w:before="100" w:after="100" w:line="240" w:lineRule="exact"/>
        <w:rPr>
          <w:sz w:val="18"/>
          <w:szCs w:val="18"/>
        </w:rPr>
      </w:pPr>
      <w:r>
        <w:rPr>
          <w:sz w:val="18"/>
          <w:szCs w:val="18"/>
        </w:rPr>
        <w:t>其他说明：</w:t>
      </w:r>
      <w:r w:rsidR="00DC457B">
        <w:rPr>
          <w:rFonts w:hint="eastAsia"/>
          <w:sz w:val="18"/>
          <w:szCs w:val="18"/>
        </w:rPr>
        <w:t>无。</w:t>
      </w:r>
    </w:p>
    <w:p w:rsidR="00E20B54" w:rsidRDefault="00733C9E">
      <w:pPr>
        <w:pStyle w:val="3"/>
        <w:spacing w:line="280" w:lineRule="exact"/>
        <w:jc w:val="left"/>
        <w:rPr>
          <w:b/>
          <w:bCs/>
        </w:rPr>
      </w:pPr>
      <w:bookmarkStart w:id="303" w:name="_Toc989191"/>
      <w:r>
        <w:rPr>
          <w:b/>
          <w:bCs/>
        </w:rPr>
        <w:t>22</w:t>
      </w:r>
      <w:r>
        <w:rPr>
          <w:b/>
          <w:bCs/>
        </w:rPr>
        <w:t>、短期借款</w:t>
      </w:r>
      <w:bookmarkEnd w:id="303"/>
    </w:p>
    <w:p w:rsidR="00E20B54" w:rsidRDefault="00733C9E">
      <w:pPr>
        <w:keepNext/>
        <w:keepLines/>
        <w:spacing w:before="300" w:after="300" w:line="280" w:lineRule="exact"/>
        <w:outlineLvl w:val="3"/>
        <w:rPr>
          <w:b/>
          <w:bCs/>
          <w:szCs w:val="21"/>
        </w:rPr>
      </w:pPr>
      <w:bookmarkStart w:id="304" w:name="_Toc989192"/>
      <w:r>
        <w:rPr>
          <w:b/>
          <w:bCs/>
          <w:szCs w:val="21"/>
        </w:rPr>
        <w:t>（</w:t>
      </w:r>
      <w:r>
        <w:rPr>
          <w:b/>
          <w:bCs/>
          <w:szCs w:val="21"/>
        </w:rPr>
        <w:t>1</w:t>
      </w:r>
      <w:r>
        <w:rPr>
          <w:b/>
          <w:bCs/>
          <w:szCs w:val="21"/>
        </w:rPr>
        <w:t>）</w:t>
      </w:r>
      <w:r>
        <w:rPr>
          <w:b/>
          <w:bCs/>
          <w:szCs w:val="21"/>
        </w:rPr>
        <w:t xml:space="preserve"> </w:t>
      </w:r>
      <w:r>
        <w:rPr>
          <w:b/>
          <w:bCs/>
          <w:szCs w:val="21"/>
        </w:rPr>
        <w:t>短期借款分类</w:t>
      </w:r>
      <w:bookmarkEnd w:id="304"/>
    </w:p>
    <w:p w:rsidR="00E20B54" w:rsidRDefault="00733C9E">
      <w:pPr>
        <w:spacing w:before="40" w:after="40" w:line="240" w:lineRule="exact"/>
        <w:jc w:val="right"/>
        <w:rPr>
          <w:sz w:val="18"/>
          <w:szCs w:val="18"/>
        </w:rPr>
      </w:pPr>
      <w:r>
        <w:rPr>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项目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期末余额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期初余额</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质押借款</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8,241,128.00</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保证借款</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67,080,000.00</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46,173,050.40</w:t>
            </w:r>
          </w:p>
        </w:tc>
      </w:tr>
      <w:tr w:rsidR="00E20B54" w:rsidTr="00DC457B">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9D9D9" w:themeFill="background1" w:themeFillShade="D9"/>
            <w:vAlign w:val="center"/>
          </w:tcPr>
          <w:p w:rsidR="00E20B54" w:rsidRDefault="00733C9E">
            <w:pPr>
              <w:spacing w:line="240" w:lineRule="exact"/>
              <w:rPr>
                <w:sz w:val="18"/>
                <w:szCs w:val="18"/>
              </w:rPr>
            </w:pPr>
            <w:r>
              <w:rPr>
                <w:sz w:val="18"/>
                <w:szCs w:val="18"/>
              </w:rPr>
              <w:t>应计利息</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65,242.12</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50,730.73</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合计</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75,386,370.12</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46,223,781.13</w:t>
            </w:r>
          </w:p>
        </w:tc>
      </w:tr>
    </w:tbl>
    <w:p w:rsidR="00E20B54" w:rsidRDefault="00733C9E" w:rsidP="00DC457B">
      <w:pPr>
        <w:spacing w:before="100" w:after="100" w:line="240" w:lineRule="exact"/>
      </w:pPr>
      <w:r>
        <w:rPr>
          <w:sz w:val="18"/>
          <w:szCs w:val="18"/>
        </w:rPr>
        <w:t>短期借款分类的说明：无</w:t>
      </w:r>
    </w:p>
    <w:p w:rsidR="00E20B54" w:rsidRDefault="00733C9E">
      <w:pPr>
        <w:keepNext/>
        <w:keepLines/>
        <w:spacing w:before="300" w:after="300" w:line="280" w:lineRule="exact"/>
        <w:outlineLvl w:val="3"/>
        <w:rPr>
          <w:b/>
          <w:bCs/>
          <w:szCs w:val="21"/>
        </w:rPr>
      </w:pPr>
      <w:bookmarkStart w:id="305" w:name="_Toc989193"/>
      <w:r>
        <w:rPr>
          <w:b/>
          <w:bCs/>
          <w:szCs w:val="21"/>
        </w:rPr>
        <w:t>（</w:t>
      </w:r>
      <w:r>
        <w:rPr>
          <w:b/>
          <w:bCs/>
          <w:szCs w:val="21"/>
        </w:rPr>
        <w:t>2</w:t>
      </w:r>
      <w:r>
        <w:rPr>
          <w:b/>
          <w:bCs/>
          <w:szCs w:val="21"/>
        </w:rPr>
        <w:t>）</w:t>
      </w:r>
      <w:r>
        <w:rPr>
          <w:b/>
          <w:bCs/>
          <w:szCs w:val="21"/>
        </w:rPr>
        <w:t xml:space="preserve"> </w:t>
      </w:r>
      <w:r>
        <w:rPr>
          <w:b/>
          <w:bCs/>
          <w:szCs w:val="21"/>
        </w:rPr>
        <w:t>已逾期未偿还的短期借款情况</w:t>
      </w:r>
      <w:bookmarkEnd w:id="305"/>
    </w:p>
    <w:p w:rsidR="00E20B54" w:rsidRDefault="00733C9E">
      <w:pPr>
        <w:spacing w:before="100" w:after="100" w:line="240" w:lineRule="exact"/>
        <w:rPr>
          <w:sz w:val="18"/>
          <w:szCs w:val="18"/>
        </w:rPr>
      </w:pPr>
      <w:r>
        <w:rPr>
          <w:sz w:val="18"/>
          <w:szCs w:val="18"/>
        </w:rPr>
        <w:t>本期末已逾期未偿还的短期借款总额为</w:t>
      </w:r>
      <w:r>
        <w:rPr>
          <w:sz w:val="18"/>
          <w:szCs w:val="18"/>
        </w:rPr>
        <w:t>0.00</w:t>
      </w:r>
      <w:r>
        <w:rPr>
          <w:sz w:val="18"/>
          <w:szCs w:val="18"/>
        </w:rPr>
        <w:t>元，其中重要的已逾期未偿还的短期借款情况如下：</w:t>
      </w:r>
    </w:p>
    <w:p w:rsidR="00E20B54" w:rsidRDefault="00733C9E">
      <w:pPr>
        <w:spacing w:before="120" w:after="120" w:line="240" w:lineRule="exact"/>
        <w:jc w:val="right"/>
        <w:rPr>
          <w:sz w:val="18"/>
          <w:szCs w:val="18"/>
        </w:rPr>
      </w:pPr>
      <w:r>
        <w:rPr>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927"/>
        <w:gridCol w:w="1928"/>
        <w:gridCol w:w="1928"/>
        <w:gridCol w:w="1928"/>
        <w:gridCol w:w="1928"/>
      </w:tblGrid>
      <w:tr w:rsidR="00E20B54">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借款单位</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期末余额</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借款利率</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逾期时间</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逾期利率</w:t>
            </w:r>
          </w:p>
        </w:tc>
      </w:tr>
    </w:tbl>
    <w:p w:rsidR="00E20B54" w:rsidRDefault="00733C9E">
      <w:pPr>
        <w:spacing w:before="100" w:after="100" w:line="240" w:lineRule="exact"/>
        <w:rPr>
          <w:sz w:val="18"/>
          <w:szCs w:val="18"/>
        </w:rPr>
      </w:pPr>
      <w:r>
        <w:rPr>
          <w:sz w:val="18"/>
          <w:szCs w:val="18"/>
        </w:rPr>
        <w:t>其他说明：</w:t>
      </w:r>
      <w:r w:rsidR="00DC457B">
        <w:rPr>
          <w:rFonts w:hint="eastAsia"/>
          <w:sz w:val="18"/>
          <w:szCs w:val="18"/>
        </w:rPr>
        <w:t>无</w:t>
      </w:r>
    </w:p>
    <w:p w:rsidR="00E20B54" w:rsidRDefault="00733C9E">
      <w:pPr>
        <w:pStyle w:val="3"/>
        <w:spacing w:line="280" w:lineRule="exact"/>
        <w:jc w:val="left"/>
        <w:rPr>
          <w:b/>
          <w:bCs/>
        </w:rPr>
      </w:pPr>
      <w:bookmarkStart w:id="306" w:name="_Toc989194"/>
      <w:r>
        <w:rPr>
          <w:b/>
          <w:bCs/>
        </w:rPr>
        <w:t>23</w:t>
      </w:r>
      <w:r>
        <w:rPr>
          <w:b/>
          <w:bCs/>
        </w:rPr>
        <w:t>、应付账款</w:t>
      </w:r>
      <w:bookmarkEnd w:id="306"/>
    </w:p>
    <w:p w:rsidR="00E20B54" w:rsidRDefault="00733C9E">
      <w:pPr>
        <w:keepNext/>
        <w:keepLines/>
        <w:spacing w:before="300" w:after="300" w:line="280" w:lineRule="exact"/>
        <w:outlineLvl w:val="3"/>
        <w:rPr>
          <w:b/>
          <w:bCs/>
          <w:sz w:val="18"/>
          <w:szCs w:val="18"/>
        </w:rPr>
      </w:pPr>
      <w:bookmarkStart w:id="307" w:name="_Toc989195"/>
      <w:r>
        <w:rPr>
          <w:b/>
          <w:bCs/>
          <w:sz w:val="18"/>
          <w:szCs w:val="18"/>
        </w:rPr>
        <w:t>（</w:t>
      </w:r>
      <w:r>
        <w:rPr>
          <w:b/>
          <w:bCs/>
          <w:sz w:val="18"/>
          <w:szCs w:val="18"/>
        </w:rPr>
        <w:t>1</w:t>
      </w:r>
      <w:r>
        <w:rPr>
          <w:b/>
          <w:bCs/>
          <w:sz w:val="18"/>
          <w:szCs w:val="18"/>
        </w:rPr>
        <w:t>）</w:t>
      </w:r>
      <w:r>
        <w:rPr>
          <w:b/>
          <w:bCs/>
          <w:sz w:val="18"/>
          <w:szCs w:val="18"/>
        </w:rPr>
        <w:t xml:space="preserve"> </w:t>
      </w:r>
      <w:r>
        <w:rPr>
          <w:b/>
          <w:bCs/>
          <w:sz w:val="18"/>
          <w:szCs w:val="18"/>
        </w:rPr>
        <w:t>应付账款列示</w:t>
      </w:r>
      <w:bookmarkEnd w:id="307"/>
    </w:p>
    <w:p w:rsidR="00E20B54" w:rsidRDefault="00733C9E">
      <w:pPr>
        <w:spacing w:before="40" w:after="40" w:line="240" w:lineRule="exact"/>
        <w:jc w:val="right"/>
        <w:rPr>
          <w:sz w:val="18"/>
          <w:szCs w:val="18"/>
        </w:rPr>
      </w:pPr>
      <w:r>
        <w:rPr>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项目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期末余额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期初余额</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1</w:t>
            </w:r>
            <w:r>
              <w:rPr>
                <w:sz w:val="18"/>
                <w:szCs w:val="18"/>
              </w:rPr>
              <w:t>年以内</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77,794,863.49</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282,864,639.37</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1</w:t>
            </w:r>
            <w:r>
              <w:rPr>
                <w:sz w:val="18"/>
                <w:szCs w:val="18"/>
              </w:rPr>
              <w:t>至</w:t>
            </w:r>
            <w:r>
              <w:rPr>
                <w:sz w:val="18"/>
                <w:szCs w:val="18"/>
              </w:rPr>
              <w:t>2</w:t>
            </w:r>
            <w:r>
              <w:rPr>
                <w:sz w:val="18"/>
                <w:szCs w:val="18"/>
              </w:rPr>
              <w:t>年</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12,038,727.65</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16,514,339.02</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2</w:t>
            </w:r>
            <w:r>
              <w:rPr>
                <w:sz w:val="18"/>
                <w:szCs w:val="18"/>
              </w:rPr>
              <w:t>至</w:t>
            </w:r>
            <w:r>
              <w:rPr>
                <w:sz w:val="18"/>
                <w:szCs w:val="18"/>
              </w:rPr>
              <w:t>3</w:t>
            </w:r>
            <w:r>
              <w:rPr>
                <w:sz w:val="18"/>
                <w:szCs w:val="18"/>
              </w:rPr>
              <w:t>年</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9,766,436.00</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7,630,570.52</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3</w:t>
            </w:r>
            <w:r>
              <w:rPr>
                <w:sz w:val="18"/>
                <w:szCs w:val="18"/>
              </w:rPr>
              <w:t>至</w:t>
            </w:r>
            <w:r>
              <w:rPr>
                <w:sz w:val="18"/>
                <w:szCs w:val="18"/>
              </w:rPr>
              <w:t>4</w:t>
            </w:r>
            <w:r>
              <w:rPr>
                <w:sz w:val="18"/>
                <w:szCs w:val="18"/>
              </w:rPr>
              <w:t>年</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3,058,750.44</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3,088,569.55</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4</w:t>
            </w:r>
            <w:r>
              <w:rPr>
                <w:sz w:val="18"/>
                <w:szCs w:val="18"/>
              </w:rPr>
              <w:t>至</w:t>
            </w:r>
            <w:r>
              <w:rPr>
                <w:sz w:val="18"/>
                <w:szCs w:val="18"/>
              </w:rPr>
              <w:t>5</w:t>
            </w:r>
            <w:r>
              <w:rPr>
                <w:sz w:val="18"/>
                <w:szCs w:val="18"/>
              </w:rPr>
              <w:t>年</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1,302,284.70</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130,869.11</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5</w:t>
            </w:r>
            <w:r>
              <w:rPr>
                <w:sz w:val="18"/>
                <w:szCs w:val="18"/>
              </w:rPr>
              <w:t>年以上</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525,253.47</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466,308.87</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合计</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104,486,315.75</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310,695,296.44</w:t>
            </w:r>
          </w:p>
        </w:tc>
      </w:tr>
    </w:tbl>
    <w:p w:rsidR="00E20B54" w:rsidRDefault="00733C9E">
      <w:pPr>
        <w:keepNext/>
        <w:keepLines/>
        <w:spacing w:before="300" w:after="300" w:line="280" w:lineRule="exact"/>
        <w:outlineLvl w:val="3"/>
        <w:rPr>
          <w:b/>
          <w:bCs/>
          <w:sz w:val="18"/>
          <w:szCs w:val="18"/>
        </w:rPr>
      </w:pPr>
      <w:bookmarkStart w:id="308" w:name="_Toc989196"/>
      <w:r>
        <w:rPr>
          <w:b/>
          <w:bCs/>
          <w:sz w:val="18"/>
          <w:szCs w:val="18"/>
        </w:rPr>
        <w:t>（</w:t>
      </w:r>
      <w:r>
        <w:rPr>
          <w:b/>
          <w:bCs/>
          <w:sz w:val="18"/>
          <w:szCs w:val="18"/>
        </w:rPr>
        <w:t>2</w:t>
      </w:r>
      <w:r>
        <w:rPr>
          <w:b/>
          <w:bCs/>
          <w:sz w:val="18"/>
          <w:szCs w:val="18"/>
        </w:rPr>
        <w:t>）</w:t>
      </w:r>
      <w:r>
        <w:rPr>
          <w:b/>
          <w:bCs/>
          <w:sz w:val="18"/>
          <w:szCs w:val="18"/>
        </w:rPr>
        <w:t xml:space="preserve"> </w:t>
      </w:r>
      <w:r>
        <w:rPr>
          <w:b/>
          <w:bCs/>
          <w:sz w:val="18"/>
          <w:szCs w:val="18"/>
        </w:rPr>
        <w:t>账龄超过</w:t>
      </w:r>
      <w:r>
        <w:rPr>
          <w:b/>
          <w:bCs/>
          <w:sz w:val="18"/>
          <w:szCs w:val="18"/>
        </w:rPr>
        <w:t>1</w:t>
      </w:r>
      <w:r>
        <w:rPr>
          <w:b/>
          <w:bCs/>
          <w:sz w:val="18"/>
          <w:szCs w:val="18"/>
        </w:rPr>
        <w:t>年或逾期的重要应付账款</w:t>
      </w:r>
      <w:bookmarkEnd w:id="308"/>
    </w:p>
    <w:p w:rsidR="00E20B54" w:rsidRDefault="00733C9E">
      <w:pPr>
        <w:spacing w:before="40" w:after="40" w:line="240" w:lineRule="exact"/>
        <w:jc w:val="right"/>
        <w:rPr>
          <w:sz w:val="18"/>
          <w:szCs w:val="18"/>
        </w:rPr>
      </w:pPr>
      <w:r>
        <w:rPr>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E20B54" w:rsidTr="00677162">
        <w:trPr>
          <w:trHeight w:val="240"/>
          <w:tblHeader/>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项目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期末余额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未偿还或结转的原因</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第一名</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7,691,905.52</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合同未履行完毕</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lastRenderedPageBreak/>
              <w:t>第二名</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1,968,335.14</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合同未履行完毕</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第三名</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1,523,548.71</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合同未履行完毕</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第四名</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1,454,858.15</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合同未履行完毕</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第五名</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1,351,744.78</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合同未履行完毕</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合计</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13,990,392.30</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r>
    </w:tbl>
    <w:p w:rsidR="00E20B54" w:rsidRDefault="00733C9E">
      <w:pPr>
        <w:spacing w:before="100" w:after="100" w:line="240" w:lineRule="exact"/>
        <w:rPr>
          <w:sz w:val="18"/>
          <w:szCs w:val="18"/>
        </w:rPr>
      </w:pPr>
      <w:r>
        <w:rPr>
          <w:sz w:val="18"/>
          <w:szCs w:val="18"/>
        </w:rPr>
        <w:t>其他说明：</w:t>
      </w:r>
      <w:r w:rsidR="00677162">
        <w:rPr>
          <w:rFonts w:hint="eastAsia"/>
          <w:sz w:val="18"/>
          <w:szCs w:val="18"/>
        </w:rPr>
        <w:t>无</w:t>
      </w:r>
    </w:p>
    <w:p w:rsidR="00E20B54" w:rsidRDefault="00733C9E">
      <w:pPr>
        <w:keepNext/>
        <w:keepLines/>
        <w:spacing w:before="300" w:after="300" w:line="280" w:lineRule="exact"/>
        <w:outlineLvl w:val="3"/>
        <w:rPr>
          <w:b/>
          <w:bCs/>
          <w:sz w:val="18"/>
          <w:szCs w:val="18"/>
        </w:rPr>
      </w:pPr>
      <w:bookmarkStart w:id="309" w:name="_Toc989197"/>
      <w:r>
        <w:rPr>
          <w:b/>
          <w:bCs/>
          <w:sz w:val="18"/>
          <w:szCs w:val="18"/>
        </w:rPr>
        <w:t>（</w:t>
      </w:r>
      <w:r>
        <w:rPr>
          <w:b/>
          <w:bCs/>
          <w:sz w:val="18"/>
          <w:szCs w:val="18"/>
        </w:rPr>
        <w:t>3</w:t>
      </w:r>
      <w:r>
        <w:rPr>
          <w:b/>
          <w:bCs/>
          <w:sz w:val="18"/>
          <w:szCs w:val="18"/>
        </w:rPr>
        <w:t>）</w:t>
      </w:r>
      <w:r>
        <w:rPr>
          <w:b/>
          <w:bCs/>
          <w:sz w:val="18"/>
          <w:szCs w:val="18"/>
        </w:rPr>
        <w:t xml:space="preserve"> </w:t>
      </w:r>
      <w:r>
        <w:rPr>
          <w:b/>
          <w:bCs/>
          <w:sz w:val="18"/>
          <w:szCs w:val="18"/>
        </w:rPr>
        <w:t>是否存在逾期尚未支付中小企业款项的情况</w:t>
      </w:r>
      <w:bookmarkEnd w:id="309"/>
    </w:p>
    <w:p w:rsidR="00E20B54" w:rsidRDefault="00733C9E">
      <w:pPr>
        <w:spacing w:before="100" w:after="100" w:line="240" w:lineRule="exact"/>
        <w:rPr>
          <w:sz w:val="18"/>
          <w:szCs w:val="18"/>
        </w:rPr>
      </w:pPr>
      <w:r>
        <w:rPr>
          <w:sz w:val="18"/>
          <w:szCs w:val="18"/>
        </w:rPr>
        <w:t>是否属于大型企业</w:t>
      </w:r>
    </w:p>
    <w:p w:rsidR="00E20B54" w:rsidRDefault="00733C9E">
      <w:pPr>
        <w:spacing w:before="40" w:after="40" w:line="240" w:lineRule="exact"/>
        <w:rPr>
          <w:sz w:val="18"/>
          <w:szCs w:val="18"/>
        </w:rPr>
      </w:pPr>
      <w:r>
        <w:rPr>
          <w:sz w:val="18"/>
          <w:szCs w:val="18"/>
        </w:rPr>
        <w:t>□</w:t>
      </w:r>
      <w:r>
        <w:rPr>
          <w:sz w:val="18"/>
          <w:szCs w:val="18"/>
        </w:rPr>
        <w:t>是</w:t>
      </w:r>
      <w:r>
        <w:rPr>
          <w:sz w:val="18"/>
          <w:szCs w:val="18"/>
        </w:rPr>
        <w:t xml:space="preserve"> </w:t>
      </w:r>
      <w:r>
        <w:rPr>
          <w:sz w:val="18"/>
          <w:szCs w:val="18"/>
        </w:rPr>
        <w:sym w:font="Wingdings 2" w:char="F052"/>
      </w:r>
      <w:r>
        <w:rPr>
          <w:sz w:val="18"/>
          <w:szCs w:val="18"/>
        </w:rPr>
        <w:t>否</w:t>
      </w:r>
    </w:p>
    <w:p w:rsidR="00E20B54" w:rsidRDefault="00733C9E">
      <w:pPr>
        <w:pStyle w:val="3"/>
        <w:spacing w:line="280" w:lineRule="exact"/>
        <w:jc w:val="left"/>
        <w:rPr>
          <w:b/>
          <w:bCs/>
        </w:rPr>
      </w:pPr>
      <w:bookmarkStart w:id="310" w:name="_Toc989198"/>
      <w:r>
        <w:rPr>
          <w:b/>
          <w:bCs/>
        </w:rPr>
        <w:t>24</w:t>
      </w:r>
      <w:r>
        <w:rPr>
          <w:b/>
          <w:bCs/>
        </w:rPr>
        <w:t>、其他应付款</w:t>
      </w:r>
      <w:bookmarkEnd w:id="310"/>
    </w:p>
    <w:p w:rsidR="00E20B54" w:rsidRDefault="00733C9E">
      <w:pPr>
        <w:spacing w:before="40" w:after="40" w:line="240" w:lineRule="exact"/>
        <w:jc w:val="right"/>
        <w:rPr>
          <w:sz w:val="18"/>
          <w:szCs w:val="18"/>
        </w:rPr>
      </w:pPr>
      <w:r>
        <w:rPr>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项目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期末余额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期初余额</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其他应付款</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24,285,873.06</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29,616,531.12</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合计</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24,285,873.06</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29,616,531.12</w:t>
            </w:r>
          </w:p>
        </w:tc>
      </w:tr>
    </w:tbl>
    <w:p w:rsidR="00E20B54" w:rsidRDefault="00733C9E">
      <w:pPr>
        <w:keepNext/>
        <w:keepLines/>
        <w:spacing w:before="300" w:after="300" w:line="280" w:lineRule="exact"/>
        <w:outlineLvl w:val="3"/>
        <w:rPr>
          <w:b/>
          <w:bCs/>
          <w:sz w:val="18"/>
          <w:szCs w:val="18"/>
        </w:rPr>
      </w:pPr>
      <w:bookmarkStart w:id="311" w:name="_Toc989199"/>
      <w:r>
        <w:rPr>
          <w:b/>
          <w:bCs/>
          <w:sz w:val="18"/>
          <w:szCs w:val="18"/>
        </w:rPr>
        <w:t>（</w:t>
      </w:r>
      <w:r>
        <w:rPr>
          <w:b/>
          <w:bCs/>
          <w:sz w:val="18"/>
          <w:szCs w:val="18"/>
        </w:rPr>
        <w:t>1</w:t>
      </w:r>
      <w:r>
        <w:rPr>
          <w:b/>
          <w:bCs/>
          <w:sz w:val="18"/>
          <w:szCs w:val="18"/>
        </w:rPr>
        <w:t>）</w:t>
      </w:r>
      <w:r>
        <w:rPr>
          <w:b/>
          <w:bCs/>
          <w:sz w:val="18"/>
          <w:szCs w:val="18"/>
        </w:rPr>
        <w:t xml:space="preserve"> </w:t>
      </w:r>
      <w:r>
        <w:rPr>
          <w:b/>
          <w:bCs/>
          <w:sz w:val="18"/>
          <w:szCs w:val="18"/>
        </w:rPr>
        <w:t>其他应付款</w:t>
      </w:r>
      <w:bookmarkEnd w:id="311"/>
    </w:p>
    <w:p w:rsidR="00E20B54" w:rsidRDefault="00733C9E">
      <w:pPr>
        <w:keepNext/>
        <w:keepLines/>
        <w:spacing w:before="300" w:after="300" w:line="280" w:lineRule="exact"/>
        <w:outlineLvl w:val="4"/>
        <w:rPr>
          <w:b/>
          <w:bCs/>
          <w:sz w:val="18"/>
          <w:szCs w:val="18"/>
        </w:rPr>
      </w:pPr>
      <w:bookmarkStart w:id="312" w:name="_Toc989200"/>
      <w:r>
        <w:rPr>
          <w:b/>
          <w:bCs/>
          <w:sz w:val="18"/>
          <w:szCs w:val="18"/>
        </w:rPr>
        <w:t>1</w:t>
      </w:r>
      <w:r>
        <w:rPr>
          <w:b/>
          <w:bCs/>
          <w:sz w:val="18"/>
          <w:szCs w:val="18"/>
        </w:rPr>
        <w:t>）</w:t>
      </w:r>
      <w:r>
        <w:rPr>
          <w:b/>
          <w:bCs/>
          <w:sz w:val="18"/>
          <w:szCs w:val="18"/>
        </w:rPr>
        <w:t xml:space="preserve"> </w:t>
      </w:r>
      <w:r>
        <w:rPr>
          <w:b/>
          <w:bCs/>
          <w:sz w:val="18"/>
          <w:szCs w:val="18"/>
        </w:rPr>
        <w:t>按款项性质列示其他应付款</w:t>
      </w:r>
      <w:bookmarkEnd w:id="312"/>
    </w:p>
    <w:p w:rsidR="00E20B54" w:rsidRDefault="00733C9E">
      <w:pPr>
        <w:spacing w:before="40" w:after="40" w:line="240" w:lineRule="exact"/>
        <w:jc w:val="right"/>
        <w:rPr>
          <w:sz w:val="18"/>
          <w:szCs w:val="18"/>
        </w:rPr>
      </w:pPr>
      <w:r>
        <w:rPr>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项目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期末余额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期初余额</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押金保证金</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115,166.78</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往来款项</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764,324.58</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2,274,624.99</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员工报销款</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1,622,640.38</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444,494.79</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股票回购款</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21,681,644.00</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25,729,004.00</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其他</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217,264.10</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1,053,240.56</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合计</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24,285,873.06</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29,616,531.12</w:t>
            </w:r>
          </w:p>
        </w:tc>
      </w:tr>
    </w:tbl>
    <w:p w:rsidR="00E20B54" w:rsidRDefault="00733C9E">
      <w:pPr>
        <w:keepNext/>
        <w:keepLines/>
        <w:spacing w:before="300" w:after="300" w:line="280" w:lineRule="exact"/>
        <w:outlineLvl w:val="4"/>
        <w:rPr>
          <w:b/>
          <w:bCs/>
          <w:sz w:val="18"/>
          <w:szCs w:val="18"/>
        </w:rPr>
      </w:pPr>
      <w:bookmarkStart w:id="313" w:name="_Toc989201"/>
      <w:r>
        <w:rPr>
          <w:b/>
          <w:bCs/>
          <w:sz w:val="18"/>
          <w:szCs w:val="18"/>
        </w:rPr>
        <w:t>2</w:t>
      </w:r>
      <w:r>
        <w:rPr>
          <w:b/>
          <w:bCs/>
          <w:sz w:val="18"/>
          <w:szCs w:val="18"/>
        </w:rPr>
        <w:t>）</w:t>
      </w:r>
      <w:r>
        <w:rPr>
          <w:b/>
          <w:bCs/>
          <w:sz w:val="18"/>
          <w:szCs w:val="18"/>
        </w:rPr>
        <w:t xml:space="preserve"> </w:t>
      </w:r>
      <w:r>
        <w:rPr>
          <w:b/>
          <w:bCs/>
          <w:sz w:val="18"/>
          <w:szCs w:val="18"/>
        </w:rPr>
        <w:t>账龄超过</w:t>
      </w:r>
      <w:r>
        <w:rPr>
          <w:b/>
          <w:bCs/>
          <w:sz w:val="18"/>
          <w:szCs w:val="18"/>
        </w:rPr>
        <w:t>1</w:t>
      </w:r>
      <w:r>
        <w:rPr>
          <w:b/>
          <w:bCs/>
          <w:sz w:val="18"/>
          <w:szCs w:val="18"/>
        </w:rPr>
        <w:t>年或逾期的重要其他应付款</w:t>
      </w:r>
      <w:bookmarkEnd w:id="313"/>
    </w:p>
    <w:p w:rsidR="00E20B54" w:rsidRDefault="00733C9E">
      <w:pPr>
        <w:spacing w:before="40" w:after="40" w:line="240" w:lineRule="exact"/>
        <w:jc w:val="right"/>
        <w:rPr>
          <w:sz w:val="18"/>
          <w:szCs w:val="18"/>
        </w:rPr>
      </w:pPr>
      <w:r>
        <w:rPr>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项目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期末余额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未偿还或结转的原因</w:t>
            </w:r>
          </w:p>
        </w:tc>
      </w:tr>
    </w:tbl>
    <w:p w:rsidR="00E20B54" w:rsidRDefault="00733C9E">
      <w:pPr>
        <w:spacing w:before="100" w:after="100" w:line="240" w:lineRule="exact"/>
        <w:rPr>
          <w:sz w:val="18"/>
          <w:szCs w:val="18"/>
        </w:rPr>
      </w:pPr>
      <w:r>
        <w:rPr>
          <w:sz w:val="18"/>
          <w:szCs w:val="18"/>
        </w:rPr>
        <w:t>其他说明：</w:t>
      </w:r>
      <w:r w:rsidR="00677162">
        <w:rPr>
          <w:rFonts w:hint="eastAsia"/>
          <w:sz w:val="18"/>
          <w:szCs w:val="18"/>
        </w:rPr>
        <w:t>无</w:t>
      </w:r>
    </w:p>
    <w:p w:rsidR="00E20B54" w:rsidRDefault="00733C9E">
      <w:pPr>
        <w:pStyle w:val="3"/>
        <w:spacing w:line="280" w:lineRule="exact"/>
        <w:jc w:val="left"/>
        <w:rPr>
          <w:b/>
          <w:bCs/>
        </w:rPr>
      </w:pPr>
      <w:bookmarkStart w:id="314" w:name="_Toc989202"/>
      <w:r>
        <w:rPr>
          <w:b/>
          <w:bCs/>
        </w:rPr>
        <w:t>25</w:t>
      </w:r>
      <w:r>
        <w:rPr>
          <w:b/>
          <w:bCs/>
        </w:rPr>
        <w:t>、合同负债</w:t>
      </w:r>
      <w:bookmarkEnd w:id="314"/>
    </w:p>
    <w:p w:rsidR="00E20B54" w:rsidRDefault="00733C9E">
      <w:pPr>
        <w:spacing w:before="40" w:after="40" w:line="240" w:lineRule="exact"/>
        <w:jc w:val="right"/>
        <w:rPr>
          <w:sz w:val="18"/>
          <w:szCs w:val="18"/>
        </w:rPr>
      </w:pPr>
      <w:r>
        <w:rPr>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项目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期末余额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期初余额</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销货合同相关的合同负债</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42,612,287.12</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48,564,228.45</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合计</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42,612,287.12</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48,564,228.45</w:t>
            </w:r>
          </w:p>
        </w:tc>
      </w:tr>
    </w:tbl>
    <w:p w:rsidR="00E20B54" w:rsidRDefault="00733C9E">
      <w:pPr>
        <w:spacing w:line="240" w:lineRule="exact"/>
        <w:rPr>
          <w:sz w:val="18"/>
          <w:szCs w:val="18"/>
        </w:rPr>
      </w:pPr>
      <w:r>
        <w:rPr>
          <w:sz w:val="18"/>
          <w:szCs w:val="18"/>
        </w:rPr>
        <w:t>账龄超过</w:t>
      </w:r>
      <w:r>
        <w:rPr>
          <w:sz w:val="18"/>
          <w:szCs w:val="18"/>
        </w:rPr>
        <w:t>1</w:t>
      </w:r>
      <w:r>
        <w:rPr>
          <w:sz w:val="18"/>
          <w:szCs w:val="18"/>
        </w:rPr>
        <w:t>年的重要合同负债</w:t>
      </w:r>
    </w:p>
    <w:p w:rsidR="00E20B54" w:rsidRDefault="00733C9E">
      <w:pPr>
        <w:spacing w:before="40" w:after="40" w:line="240" w:lineRule="exact"/>
        <w:jc w:val="right"/>
        <w:rPr>
          <w:sz w:val="18"/>
          <w:szCs w:val="18"/>
        </w:rPr>
      </w:pPr>
      <w:r>
        <w:rPr>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lastRenderedPageBreak/>
              <w:t>项目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期末余额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未偿还或结转的原因</w:t>
            </w:r>
          </w:p>
        </w:tc>
      </w:tr>
    </w:tbl>
    <w:p w:rsidR="00E20B54" w:rsidRDefault="00733C9E">
      <w:pPr>
        <w:spacing w:line="240" w:lineRule="exact"/>
        <w:rPr>
          <w:sz w:val="18"/>
          <w:szCs w:val="18"/>
        </w:rPr>
      </w:pPr>
      <w:r>
        <w:rPr>
          <w:sz w:val="18"/>
          <w:szCs w:val="18"/>
        </w:rPr>
        <w:t>报告期内账面价值发生重大变动的金额和原因</w:t>
      </w:r>
    </w:p>
    <w:p w:rsidR="00E20B54" w:rsidRDefault="00733C9E">
      <w:pPr>
        <w:spacing w:before="40" w:after="40" w:line="240" w:lineRule="exact"/>
        <w:jc w:val="right"/>
        <w:rPr>
          <w:sz w:val="18"/>
          <w:szCs w:val="18"/>
        </w:rPr>
      </w:pPr>
      <w:r>
        <w:rPr>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项目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变动金额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变动原因</w:t>
            </w:r>
          </w:p>
        </w:tc>
      </w:tr>
    </w:tbl>
    <w:p w:rsidR="00E20B54" w:rsidRDefault="00733C9E">
      <w:pPr>
        <w:pStyle w:val="3"/>
        <w:spacing w:line="280" w:lineRule="exact"/>
        <w:jc w:val="left"/>
        <w:rPr>
          <w:b/>
          <w:bCs/>
        </w:rPr>
      </w:pPr>
      <w:bookmarkStart w:id="315" w:name="_Toc989203"/>
      <w:r>
        <w:rPr>
          <w:b/>
          <w:bCs/>
        </w:rPr>
        <w:t>26</w:t>
      </w:r>
      <w:r>
        <w:rPr>
          <w:b/>
          <w:bCs/>
        </w:rPr>
        <w:t>、应付职工薪酬</w:t>
      </w:r>
      <w:bookmarkEnd w:id="315"/>
    </w:p>
    <w:p w:rsidR="00E20B54" w:rsidRDefault="00733C9E">
      <w:pPr>
        <w:keepNext/>
        <w:keepLines/>
        <w:spacing w:before="300" w:after="300" w:line="280" w:lineRule="exact"/>
        <w:outlineLvl w:val="3"/>
        <w:rPr>
          <w:b/>
          <w:bCs/>
          <w:szCs w:val="21"/>
        </w:rPr>
      </w:pPr>
      <w:bookmarkStart w:id="316" w:name="_Toc989204"/>
      <w:r>
        <w:rPr>
          <w:b/>
          <w:bCs/>
          <w:szCs w:val="21"/>
        </w:rPr>
        <w:t>（</w:t>
      </w:r>
      <w:r>
        <w:rPr>
          <w:b/>
          <w:bCs/>
          <w:szCs w:val="21"/>
        </w:rPr>
        <w:t>1</w:t>
      </w:r>
      <w:r>
        <w:rPr>
          <w:b/>
          <w:bCs/>
          <w:szCs w:val="21"/>
        </w:rPr>
        <w:t>）</w:t>
      </w:r>
      <w:r>
        <w:rPr>
          <w:b/>
          <w:bCs/>
          <w:szCs w:val="21"/>
        </w:rPr>
        <w:t xml:space="preserve"> </w:t>
      </w:r>
      <w:r>
        <w:rPr>
          <w:b/>
          <w:bCs/>
          <w:szCs w:val="21"/>
        </w:rPr>
        <w:t>应付职工薪酬列示</w:t>
      </w:r>
      <w:bookmarkEnd w:id="316"/>
    </w:p>
    <w:p w:rsidR="00E20B54" w:rsidRDefault="00733C9E">
      <w:pPr>
        <w:spacing w:before="40" w:after="40" w:line="240" w:lineRule="exact"/>
        <w:jc w:val="right"/>
        <w:rPr>
          <w:sz w:val="18"/>
          <w:szCs w:val="18"/>
        </w:rPr>
      </w:pPr>
      <w:r>
        <w:rPr>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927"/>
        <w:gridCol w:w="1928"/>
        <w:gridCol w:w="1928"/>
        <w:gridCol w:w="1928"/>
        <w:gridCol w:w="1928"/>
      </w:tblGrid>
      <w:tr w:rsidR="00E20B54">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项目</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期初余额</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本期增加</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本期减少</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期末余额</w:t>
            </w:r>
          </w:p>
        </w:tc>
      </w:tr>
      <w:tr w:rsidR="00E20B54">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一、短期薪酬</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11,340,345.24</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47,224,667.46</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47,783,991.75</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10,781,020.95</w:t>
            </w:r>
          </w:p>
        </w:tc>
      </w:tr>
      <w:tr w:rsidR="00E20B54">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二、离职后福利</w:t>
            </w:r>
            <w:r>
              <w:rPr>
                <w:sz w:val="18"/>
                <w:szCs w:val="18"/>
              </w:rPr>
              <w:t>-</w:t>
            </w:r>
            <w:r>
              <w:rPr>
                <w:sz w:val="18"/>
                <w:szCs w:val="18"/>
              </w:rPr>
              <w:t>设定提存计划</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12,183.69</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3,425,812.77</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3,424,444.02</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13,552.44</w:t>
            </w:r>
          </w:p>
        </w:tc>
      </w:tr>
      <w:tr w:rsidR="00E20B54">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三、辞退福利</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1,356,729.07</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1,224,878.70</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131,850.37</w:t>
            </w:r>
          </w:p>
        </w:tc>
      </w:tr>
      <w:tr w:rsidR="00E20B54">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合计</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11,352,528.93</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52,007,209.30</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52,433,314.47</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10,926,423.76</w:t>
            </w:r>
          </w:p>
        </w:tc>
      </w:tr>
    </w:tbl>
    <w:p w:rsidR="00E20B54" w:rsidRDefault="00733C9E">
      <w:pPr>
        <w:keepNext/>
        <w:keepLines/>
        <w:spacing w:before="300" w:after="300" w:line="280" w:lineRule="exact"/>
        <w:outlineLvl w:val="3"/>
        <w:rPr>
          <w:b/>
          <w:bCs/>
          <w:szCs w:val="21"/>
        </w:rPr>
      </w:pPr>
      <w:bookmarkStart w:id="317" w:name="_Toc989205"/>
      <w:r>
        <w:rPr>
          <w:b/>
          <w:bCs/>
          <w:szCs w:val="21"/>
        </w:rPr>
        <w:t>（</w:t>
      </w:r>
      <w:r>
        <w:rPr>
          <w:b/>
          <w:bCs/>
          <w:szCs w:val="21"/>
        </w:rPr>
        <w:t>2</w:t>
      </w:r>
      <w:r>
        <w:rPr>
          <w:b/>
          <w:bCs/>
          <w:szCs w:val="21"/>
        </w:rPr>
        <w:t>）</w:t>
      </w:r>
      <w:r>
        <w:rPr>
          <w:b/>
          <w:bCs/>
          <w:szCs w:val="21"/>
        </w:rPr>
        <w:t xml:space="preserve"> </w:t>
      </w:r>
      <w:r>
        <w:rPr>
          <w:b/>
          <w:bCs/>
          <w:szCs w:val="21"/>
        </w:rPr>
        <w:t>短期薪酬列示</w:t>
      </w:r>
      <w:bookmarkEnd w:id="317"/>
    </w:p>
    <w:p w:rsidR="00E20B54" w:rsidRDefault="00733C9E">
      <w:pPr>
        <w:spacing w:before="40" w:after="40" w:line="240" w:lineRule="exact"/>
        <w:jc w:val="right"/>
        <w:rPr>
          <w:sz w:val="18"/>
          <w:szCs w:val="18"/>
        </w:rPr>
      </w:pPr>
      <w:r>
        <w:rPr>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927"/>
        <w:gridCol w:w="1928"/>
        <w:gridCol w:w="1928"/>
        <w:gridCol w:w="1928"/>
        <w:gridCol w:w="1928"/>
      </w:tblGrid>
      <w:tr w:rsidR="00E20B54">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项目</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期初余额</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本期增加</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本期减少</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期末余额</w:t>
            </w:r>
          </w:p>
        </w:tc>
      </w:tr>
      <w:tr w:rsidR="00E20B54">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1</w:t>
            </w:r>
            <w:r>
              <w:rPr>
                <w:sz w:val="18"/>
                <w:szCs w:val="18"/>
              </w:rPr>
              <w:t>、工资、奖金、津贴和补贴</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10,877,731.27</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44,824,749.79</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45,345,772.38</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10,356,708.68</w:t>
            </w:r>
          </w:p>
        </w:tc>
      </w:tr>
      <w:tr w:rsidR="00E20B54">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2</w:t>
            </w:r>
            <w:r>
              <w:rPr>
                <w:sz w:val="18"/>
                <w:szCs w:val="18"/>
              </w:rPr>
              <w:t>、职工福利费</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39,200.00</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525,335.52</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564,535.52</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r w:rsidR="00E20B54">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3</w:t>
            </w:r>
            <w:r>
              <w:rPr>
                <w:sz w:val="18"/>
                <w:szCs w:val="18"/>
              </w:rPr>
              <w:t>、社会保险费</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6,763.44</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1,303,401.04</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1,302,637.74</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7,526.74</w:t>
            </w:r>
          </w:p>
        </w:tc>
      </w:tr>
      <w:tr w:rsidR="00E20B54">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200" w:firstLine="360"/>
              <w:rPr>
                <w:sz w:val="18"/>
                <w:szCs w:val="18"/>
              </w:rPr>
            </w:pPr>
            <w:r>
              <w:rPr>
                <w:sz w:val="18"/>
                <w:szCs w:val="18"/>
              </w:rPr>
              <w:t>其中：医疗保险费</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6,645.60</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1,255,662.70</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1,254,916.06</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7,392.24</w:t>
            </w:r>
          </w:p>
        </w:tc>
      </w:tr>
      <w:tr w:rsidR="00E20B54">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500" w:firstLine="900"/>
              <w:rPr>
                <w:sz w:val="18"/>
                <w:szCs w:val="18"/>
              </w:rPr>
            </w:pPr>
            <w:r>
              <w:rPr>
                <w:sz w:val="18"/>
                <w:szCs w:val="18"/>
              </w:rPr>
              <w:t>工伤保险费</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117.84</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30,969.85</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30,953.19</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134.50</w:t>
            </w:r>
          </w:p>
        </w:tc>
      </w:tr>
      <w:tr w:rsidR="00E20B54">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500" w:firstLine="900"/>
              <w:rPr>
                <w:sz w:val="18"/>
                <w:szCs w:val="18"/>
              </w:rPr>
            </w:pPr>
            <w:r>
              <w:rPr>
                <w:sz w:val="18"/>
                <w:szCs w:val="18"/>
              </w:rPr>
              <w:t>生育保险费</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16,768.49</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16,768.49</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r w:rsidR="00E20B54">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4</w:t>
            </w:r>
            <w:r>
              <w:rPr>
                <w:sz w:val="18"/>
                <w:szCs w:val="18"/>
              </w:rPr>
              <w:t>、住房公积金</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1,350.00</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513,921.30</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513,786.30</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1,485.00</w:t>
            </w:r>
          </w:p>
        </w:tc>
      </w:tr>
      <w:tr w:rsidR="00E20B54">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5</w:t>
            </w:r>
            <w:r>
              <w:rPr>
                <w:sz w:val="18"/>
                <w:szCs w:val="18"/>
              </w:rPr>
              <w:t>、工会经费和职工教育经费</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415,300.53</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57,259.81</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57,259.81</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415,300.53</w:t>
            </w:r>
          </w:p>
        </w:tc>
      </w:tr>
      <w:tr w:rsidR="00E20B54">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合计</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11,340,345.24</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47,224,667.46</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47,783,991.75</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10,781,020.95</w:t>
            </w:r>
          </w:p>
        </w:tc>
      </w:tr>
    </w:tbl>
    <w:p w:rsidR="00E20B54" w:rsidRDefault="00733C9E">
      <w:pPr>
        <w:keepNext/>
        <w:keepLines/>
        <w:spacing w:before="300" w:after="300" w:line="280" w:lineRule="exact"/>
        <w:outlineLvl w:val="3"/>
        <w:rPr>
          <w:b/>
          <w:bCs/>
          <w:szCs w:val="21"/>
        </w:rPr>
      </w:pPr>
      <w:bookmarkStart w:id="318" w:name="_Toc989206"/>
      <w:r>
        <w:rPr>
          <w:b/>
          <w:bCs/>
          <w:szCs w:val="21"/>
        </w:rPr>
        <w:t>（</w:t>
      </w:r>
      <w:r>
        <w:rPr>
          <w:b/>
          <w:bCs/>
          <w:szCs w:val="21"/>
        </w:rPr>
        <w:t>3</w:t>
      </w:r>
      <w:r>
        <w:rPr>
          <w:b/>
          <w:bCs/>
          <w:szCs w:val="21"/>
        </w:rPr>
        <w:t>）</w:t>
      </w:r>
      <w:r>
        <w:rPr>
          <w:b/>
          <w:bCs/>
          <w:szCs w:val="21"/>
        </w:rPr>
        <w:t xml:space="preserve"> </w:t>
      </w:r>
      <w:r>
        <w:rPr>
          <w:b/>
          <w:bCs/>
          <w:szCs w:val="21"/>
        </w:rPr>
        <w:t>设定提存计划列示</w:t>
      </w:r>
      <w:bookmarkEnd w:id="318"/>
    </w:p>
    <w:p w:rsidR="00E20B54" w:rsidRDefault="00733C9E">
      <w:pPr>
        <w:spacing w:before="40" w:after="40" w:line="240" w:lineRule="exact"/>
        <w:jc w:val="right"/>
        <w:rPr>
          <w:sz w:val="18"/>
          <w:szCs w:val="18"/>
        </w:rPr>
      </w:pPr>
      <w:r>
        <w:rPr>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927"/>
        <w:gridCol w:w="1928"/>
        <w:gridCol w:w="1928"/>
        <w:gridCol w:w="1928"/>
        <w:gridCol w:w="1928"/>
      </w:tblGrid>
      <w:tr w:rsidR="00E20B54">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项目</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期初余额</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本期增加</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本期减少</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期末余额</w:t>
            </w:r>
          </w:p>
        </w:tc>
      </w:tr>
      <w:tr w:rsidR="00E20B54">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1</w:t>
            </w:r>
            <w:r>
              <w:rPr>
                <w:sz w:val="18"/>
                <w:szCs w:val="18"/>
              </w:rPr>
              <w:t>、基本养老保险</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11,814.40</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3,311,162.60</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3,309,835.24</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13,141.76</w:t>
            </w:r>
          </w:p>
        </w:tc>
      </w:tr>
      <w:tr w:rsidR="00E20B54">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2</w:t>
            </w:r>
            <w:r>
              <w:rPr>
                <w:sz w:val="18"/>
                <w:szCs w:val="18"/>
              </w:rPr>
              <w:t>、失业保险费</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369.29</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114,650.17</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114,608.78</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410.68</w:t>
            </w:r>
          </w:p>
        </w:tc>
      </w:tr>
      <w:tr w:rsidR="00E20B54">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合计</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12,183.69</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3,425,812.77</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3,424,444.02</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13,552.44</w:t>
            </w:r>
          </w:p>
        </w:tc>
      </w:tr>
    </w:tbl>
    <w:p w:rsidR="00E20B54" w:rsidRDefault="00733C9E">
      <w:pPr>
        <w:spacing w:before="100" w:after="100" w:line="240" w:lineRule="exact"/>
        <w:rPr>
          <w:sz w:val="18"/>
          <w:szCs w:val="18"/>
        </w:rPr>
      </w:pPr>
      <w:r>
        <w:rPr>
          <w:sz w:val="18"/>
          <w:szCs w:val="18"/>
        </w:rPr>
        <w:t>其他说明：</w:t>
      </w:r>
      <w:r w:rsidR="00677162">
        <w:rPr>
          <w:rFonts w:hint="eastAsia"/>
          <w:sz w:val="18"/>
          <w:szCs w:val="18"/>
        </w:rPr>
        <w:t>无</w:t>
      </w:r>
    </w:p>
    <w:p w:rsidR="00E20B54" w:rsidRDefault="00733C9E">
      <w:pPr>
        <w:pStyle w:val="3"/>
        <w:spacing w:line="280" w:lineRule="exact"/>
        <w:jc w:val="left"/>
        <w:rPr>
          <w:b/>
          <w:bCs/>
        </w:rPr>
      </w:pPr>
      <w:bookmarkStart w:id="319" w:name="_Toc989207"/>
      <w:r>
        <w:rPr>
          <w:b/>
          <w:bCs/>
        </w:rPr>
        <w:lastRenderedPageBreak/>
        <w:t>27</w:t>
      </w:r>
      <w:r>
        <w:rPr>
          <w:b/>
          <w:bCs/>
        </w:rPr>
        <w:t>、应交税费</w:t>
      </w:r>
      <w:bookmarkEnd w:id="319"/>
    </w:p>
    <w:p w:rsidR="00E20B54" w:rsidRDefault="00733C9E">
      <w:pPr>
        <w:spacing w:before="40" w:after="40" w:line="240" w:lineRule="exact"/>
        <w:jc w:val="right"/>
        <w:rPr>
          <w:sz w:val="18"/>
          <w:szCs w:val="18"/>
        </w:rPr>
      </w:pPr>
      <w:r>
        <w:rPr>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项目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期末余额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期初余额</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增值税</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46,377,547.47</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45,101,524.08</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企业所得税</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51,686.93</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69,259.31</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个人所得税</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157,630.30</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城市维护建设税</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2,299,557.15</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2,282,817.93</w:t>
            </w:r>
          </w:p>
        </w:tc>
      </w:tr>
      <w:tr w:rsidR="00E20B54" w:rsidTr="0067716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9D9D9" w:themeFill="background1" w:themeFillShade="D9"/>
            <w:vAlign w:val="center"/>
          </w:tcPr>
          <w:p w:rsidR="00E20B54" w:rsidRDefault="00733C9E">
            <w:pPr>
              <w:spacing w:line="240" w:lineRule="exact"/>
              <w:rPr>
                <w:sz w:val="18"/>
                <w:szCs w:val="18"/>
              </w:rPr>
            </w:pPr>
            <w:r>
              <w:rPr>
                <w:sz w:val="18"/>
                <w:szCs w:val="18"/>
              </w:rPr>
              <w:t>教育费附加（含地方教育费附加）</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1,642,519.41</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1,630,562.83</w:t>
            </w:r>
          </w:p>
        </w:tc>
      </w:tr>
      <w:tr w:rsidR="00E20B54" w:rsidTr="0067716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9D9D9" w:themeFill="background1" w:themeFillShade="D9"/>
            <w:vAlign w:val="center"/>
          </w:tcPr>
          <w:p w:rsidR="00E20B54" w:rsidRDefault="00733C9E">
            <w:pPr>
              <w:spacing w:line="240" w:lineRule="exact"/>
              <w:rPr>
                <w:sz w:val="18"/>
                <w:szCs w:val="18"/>
              </w:rPr>
            </w:pPr>
            <w:r>
              <w:rPr>
                <w:sz w:val="18"/>
                <w:szCs w:val="18"/>
              </w:rPr>
              <w:t>印花税</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107,840.79</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262,896.66</w:t>
            </w:r>
          </w:p>
        </w:tc>
      </w:tr>
      <w:tr w:rsidR="00E20B54" w:rsidTr="0067716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9D9D9" w:themeFill="background1" w:themeFillShade="D9"/>
            <w:vAlign w:val="center"/>
          </w:tcPr>
          <w:p w:rsidR="00E20B54" w:rsidRDefault="00733C9E">
            <w:pPr>
              <w:spacing w:line="240" w:lineRule="exact"/>
              <w:rPr>
                <w:sz w:val="18"/>
                <w:szCs w:val="18"/>
              </w:rPr>
            </w:pPr>
            <w:r>
              <w:rPr>
                <w:sz w:val="18"/>
                <w:szCs w:val="18"/>
              </w:rPr>
              <w:t>其他税费</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1,022.80</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125,232.57</w:t>
            </w:r>
          </w:p>
        </w:tc>
      </w:tr>
      <w:tr w:rsidR="00E20B54" w:rsidTr="0067716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9D9D9" w:themeFill="background1" w:themeFillShade="D9"/>
            <w:vAlign w:val="center"/>
          </w:tcPr>
          <w:p w:rsidR="00E20B54" w:rsidRDefault="00733C9E">
            <w:pPr>
              <w:spacing w:before="40" w:after="40" w:line="240" w:lineRule="exact"/>
              <w:rPr>
                <w:sz w:val="18"/>
                <w:szCs w:val="18"/>
              </w:rPr>
            </w:pPr>
            <w:r>
              <w:rPr>
                <w:sz w:val="18"/>
                <w:szCs w:val="18"/>
              </w:rPr>
              <w:t>合计</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50,637,804.85</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49,472,293.38</w:t>
            </w:r>
          </w:p>
        </w:tc>
      </w:tr>
    </w:tbl>
    <w:p w:rsidR="00E20B54" w:rsidRDefault="00733C9E">
      <w:pPr>
        <w:spacing w:before="100" w:after="100" w:line="240" w:lineRule="exact"/>
        <w:rPr>
          <w:sz w:val="18"/>
          <w:szCs w:val="18"/>
        </w:rPr>
      </w:pPr>
      <w:r>
        <w:rPr>
          <w:sz w:val="18"/>
          <w:szCs w:val="18"/>
        </w:rPr>
        <w:t>其他说明：</w:t>
      </w:r>
      <w:r w:rsidR="00677162">
        <w:rPr>
          <w:rFonts w:hint="eastAsia"/>
          <w:sz w:val="18"/>
          <w:szCs w:val="18"/>
        </w:rPr>
        <w:t>无</w:t>
      </w:r>
    </w:p>
    <w:p w:rsidR="00E20B54" w:rsidRDefault="00733C9E">
      <w:pPr>
        <w:pStyle w:val="3"/>
        <w:spacing w:line="280" w:lineRule="exact"/>
        <w:jc w:val="left"/>
        <w:rPr>
          <w:b/>
          <w:bCs/>
        </w:rPr>
      </w:pPr>
      <w:bookmarkStart w:id="320" w:name="_Toc989208"/>
      <w:r>
        <w:rPr>
          <w:b/>
          <w:bCs/>
        </w:rPr>
        <w:t>28</w:t>
      </w:r>
      <w:r>
        <w:rPr>
          <w:b/>
          <w:bCs/>
        </w:rPr>
        <w:t>、一年内到期的非流动负债</w:t>
      </w:r>
      <w:bookmarkEnd w:id="320"/>
    </w:p>
    <w:p w:rsidR="00E20B54" w:rsidRDefault="00733C9E">
      <w:pPr>
        <w:spacing w:before="40" w:after="40" w:line="240" w:lineRule="exact"/>
        <w:jc w:val="right"/>
        <w:rPr>
          <w:sz w:val="18"/>
          <w:szCs w:val="18"/>
        </w:rPr>
      </w:pPr>
      <w:r>
        <w:rPr>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项目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期末余额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期初余额</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一年内到期的长期借款</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60,916,123.52</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2,755,899.35</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一年内到期的长期应付款</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3,653,655.84</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1,725,937.50</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一年内到期的租赁负债</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3,408,843.11</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2,731,671.29</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合计</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67,978,622.47</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7,213,508.14</w:t>
            </w:r>
          </w:p>
        </w:tc>
      </w:tr>
    </w:tbl>
    <w:p w:rsidR="00E20B54" w:rsidRDefault="00733C9E">
      <w:pPr>
        <w:spacing w:before="100" w:after="100" w:line="240" w:lineRule="exact"/>
        <w:rPr>
          <w:sz w:val="18"/>
          <w:szCs w:val="18"/>
        </w:rPr>
      </w:pPr>
      <w:r>
        <w:rPr>
          <w:sz w:val="18"/>
          <w:szCs w:val="18"/>
        </w:rPr>
        <w:t>其他说明：</w:t>
      </w:r>
      <w:r w:rsidR="00677162">
        <w:rPr>
          <w:rFonts w:hint="eastAsia"/>
          <w:sz w:val="18"/>
          <w:szCs w:val="18"/>
        </w:rPr>
        <w:t>无</w:t>
      </w:r>
    </w:p>
    <w:p w:rsidR="00E20B54" w:rsidRDefault="00733C9E">
      <w:pPr>
        <w:pStyle w:val="3"/>
        <w:spacing w:line="280" w:lineRule="exact"/>
        <w:jc w:val="left"/>
        <w:rPr>
          <w:b/>
          <w:bCs/>
        </w:rPr>
      </w:pPr>
      <w:bookmarkStart w:id="321" w:name="_Toc989209"/>
      <w:r>
        <w:rPr>
          <w:b/>
          <w:bCs/>
        </w:rPr>
        <w:t>29</w:t>
      </w:r>
      <w:r>
        <w:rPr>
          <w:b/>
          <w:bCs/>
        </w:rPr>
        <w:t>、其他流动负债</w:t>
      </w:r>
      <w:bookmarkEnd w:id="321"/>
    </w:p>
    <w:p w:rsidR="00E20B54" w:rsidRDefault="00733C9E">
      <w:pPr>
        <w:spacing w:before="40" w:after="40" w:line="240" w:lineRule="exact"/>
        <w:jc w:val="right"/>
        <w:rPr>
          <w:sz w:val="18"/>
          <w:szCs w:val="18"/>
        </w:rPr>
      </w:pPr>
      <w:r>
        <w:rPr>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项目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期末余额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期初余额</w:t>
            </w:r>
          </w:p>
        </w:tc>
      </w:tr>
      <w:tr w:rsidR="00E20B54" w:rsidTr="000E78D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9D9D9" w:themeFill="background1" w:themeFillShade="D9"/>
            <w:vAlign w:val="center"/>
          </w:tcPr>
          <w:p w:rsidR="00E20B54" w:rsidRDefault="00733C9E">
            <w:pPr>
              <w:spacing w:line="240" w:lineRule="exact"/>
              <w:rPr>
                <w:sz w:val="18"/>
                <w:szCs w:val="18"/>
              </w:rPr>
            </w:pPr>
            <w:r>
              <w:rPr>
                <w:sz w:val="18"/>
                <w:szCs w:val="18"/>
              </w:rPr>
              <w:t>已背书未到期的应收票据</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160,000.00</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合计</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160,000.00</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bl>
    <w:p w:rsidR="00E20B54" w:rsidRDefault="00733C9E">
      <w:pPr>
        <w:spacing w:before="100" w:after="100" w:line="240" w:lineRule="exact"/>
        <w:rPr>
          <w:sz w:val="18"/>
          <w:szCs w:val="18"/>
        </w:rPr>
      </w:pPr>
      <w:r>
        <w:rPr>
          <w:sz w:val="18"/>
          <w:szCs w:val="18"/>
        </w:rPr>
        <w:t>短期应付债券的增减变动：</w:t>
      </w:r>
      <w:r w:rsidR="00677162">
        <w:rPr>
          <w:rFonts w:hint="eastAsia"/>
          <w:sz w:val="18"/>
          <w:szCs w:val="18"/>
        </w:rPr>
        <w:t>不适用</w:t>
      </w:r>
    </w:p>
    <w:p w:rsidR="00E20B54" w:rsidRDefault="00733C9E">
      <w:pPr>
        <w:pStyle w:val="3"/>
        <w:spacing w:line="280" w:lineRule="exact"/>
        <w:jc w:val="left"/>
        <w:rPr>
          <w:b/>
          <w:bCs/>
        </w:rPr>
      </w:pPr>
      <w:bookmarkStart w:id="322" w:name="_Toc989210"/>
      <w:r>
        <w:rPr>
          <w:b/>
          <w:bCs/>
        </w:rPr>
        <w:t>30</w:t>
      </w:r>
      <w:r>
        <w:rPr>
          <w:b/>
          <w:bCs/>
        </w:rPr>
        <w:t>、长期借款</w:t>
      </w:r>
      <w:bookmarkEnd w:id="322"/>
    </w:p>
    <w:p w:rsidR="00E20B54" w:rsidRDefault="00733C9E">
      <w:pPr>
        <w:keepNext/>
        <w:keepLines/>
        <w:spacing w:before="300" w:after="300" w:line="280" w:lineRule="exact"/>
        <w:outlineLvl w:val="3"/>
        <w:rPr>
          <w:b/>
          <w:bCs/>
          <w:sz w:val="18"/>
          <w:szCs w:val="18"/>
        </w:rPr>
      </w:pPr>
      <w:bookmarkStart w:id="323" w:name="_Toc989211"/>
      <w:r>
        <w:rPr>
          <w:b/>
          <w:bCs/>
          <w:sz w:val="18"/>
          <w:szCs w:val="18"/>
        </w:rPr>
        <w:t>（</w:t>
      </w:r>
      <w:r>
        <w:rPr>
          <w:b/>
          <w:bCs/>
          <w:sz w:val="18"/>
          <w:szCs w:val="18"/>
        </w:rPr>
        <w:t>1</w:t>
      </w:r>
      <w:r>
        <w:rPr>
          <w:b/>
          <w:bCs/>
          <w:sz w:val="18"/>
          <w:szCs w:val="18"/>
        </w:rPr>
        <w:t>）</w:t>
      </w:r>
      <w:r>
        <w:rPr>
          <w:b/>
          <w:bCs/>
          <w:sz w:val="18"/>
          <w:szCs w:val="18"/>
        </w:rPr>
        <w:t xml:space="preserve"> </w:t>
      </w:r>
      <w:r>
        <w:rPr>
          <w:b/>
          <w:bCs/>
          <w:sz w:val="18"/>
          <w:szCs w:val="18"/>
        </w:rPr>
        <w:t>长期借款分类</w:t>
      </w:r>
      <w:bookmarkEnd w:id="323"/>
    </w:p>
    <w:p w:rsidR="00E20B54" w:rsidRDefault="00733C9E">
      <w:pPr>
        <w:spacing w:before="40" w:after="40" w:line="240" w:lineRule="exact"/>
        <w:jc w:val="right"/>
        <w:rPr>
          <w:sz w:val="18"/>
          <w:szCs w:val="18"/>
        </w:rPr>
      </w:pPr>
      <w:r>
        <w:rPr>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项目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期末余额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期初余额</w:t>
            </w:r>
          </w:p>
        </w:tc>
      </w:tr>
      <w:tr w:rsidR="00E20B54" w:rsidTr="000E78D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9D9D9" w:themeFill="background1" w:themeFillShade="D9"/>
            <w:vAlign w:val="center"/>
          </w:tcPr>
          <w:p w:rsidR="00E20B54" w:rsidRDefault="00733C9E">
            <w:pPr>
              <w:spacing w:line="240" w:lineRule="exact"/>
              <w:rPr>
                <w:sz w:val="18"/>
                <w:szCs w:val="18"/>
              </w:rPr>
            </w:pPr>
            <w:r>
              <w:rPr>
                <w:sz w:val="18"/>
                <w:szCs w:val="18"/>
              </w:rPr>
              <w:t>质押及保证借款</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78,221,044.07</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34,657,786.17</w:t>
            </w:r>
          </w:p>
        </w:tc>
      </w:tr>
      <w:tr w:rsidR="00E20B54" w:rsidTr="000E78D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9D9D9" w:themeFill="background1" w:themeFillShade="D9"/>
            <w:vAlign w:val="center"/>
          </w:tcPr>
          <w:p w:rsidR="00E20B54" w:rsidRDefault="00733C9E">
            <w:pPr>
              <w:spacing w:line="240" w:lineRule="exact"/>
              <w:rPr>
                <w:sz w:val="18"/>
                <w:szCs w:val="18"/>
              </w:rPr>
            </w:pPr>
            <w:r>
              <w:rPr>
                <w:sz w:val="18"/>
                <w:szCs w:val="18"/>
              </w:rPr>
              <w:t>质押及抵押借款</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195,940,000.00</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r w:rsidR="00E20B54" w:rsidTr="000E78D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9D9D9" w:themeFill="background1" w:themeFillShade="D9"/>
            <w:vAlign w:val="center"/>
          </w:tcPr>
          <w:p w:rsidR="00E20B54" w:rsidRDefault="00733C9E">
            <w:pPr>
              <w:spacing w:line="240" w:lineRule="exact"/>
              <w:rPr>
                <w:sz w:val="18"/>
                <w:szCs w:val="18"/>
              </w:rPr>
            </w:pPr>
            <w:r>
              <w:rPr>
                <w:sz w:val="18"/>
                <w:szCs w:val="18"/>
              </w:rPr>
              <w:t>应计利息</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273,130.76</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35,899.35</w:t>
            </w:r>
          </w:p>
        </w:tc>
      </w:tr>
      <w:tr w:rsidR="00E20B54" w:rsidTr="000E78D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9D9D9" w:themeFill="background1" w:themeFillShade="D9"/>
            <w:vAlign w:val="center"/>
          </w:tcPr>
          <w:p w:rsidR="00E20B54" w:rsidRDefault="00733C9E">
            <w:pPr>
              <w:spacing w:line="240" w:lineRule="exact"/>
              <w:rPr>
                <w:sz w:val="18"/>
                <w:szCs w:val="18"/>
              </w:rPr>
            </w:pPr>
            <w:r>
              <w:rPr>
                <w:sz w:val="18"/>
                <w:szCs w:val="18"/>
              </w:rPr>
              <w:t>减：一年内到期的长期借款</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-60,916,123.52</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-2,755,899.35</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合计</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213,518,051.31</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31,937,786.17</w:t>
            </w:r>
          </w:p>
        </w:tc>
      </w:tr>
    </w:tbl>
    <w:p w:rsidR="00E20B54" w:rsidRDefault="00733C9E">
      <w:pPr>
        <w:spacing w:before="100" w:after="100" w:line="240" w:lineRule="exact"/>
        <w:rPr>
          <w:sz w:val="18"/>
          <w:szCs w:val="18"/>
        </w:rPr>
      </w:pPr>
      <w:r>
        <w:rPr>
          <w:sz w:val="18"/>
          <w:szCs w:val="18"/>
        </w:rPr>
        <w:t>长期借款分类的说明：</w:t>
      </w:r>
    </w:p>
    <w:p w:rsidR="00E20B54" w:rsidRDefault="00733C9E" w:rsidP="000E78D2">
      <w:pPr>
        <w:pStyle w:val="a3"/>
        <w:widowControl/>
        <w:spacing w:beforeAutospacing="0" w:afterAutospacing="0"/>
      </w:pPr>
      <w:r>
        <w:rPr>
          <w:sz w:val="18"/>
          <w:szCs w:val="18"/>
        </w:rPr>
        <w:t>①</w:t>
      </w:r>
      <w:r>
        <w:rPr>
          <w:sz w:val="18"/>
          <w:szCs w:val="18"/>
        </w:rPr>
        <w:t>质押及保证借款</w:t>
      </w:r>
      <w:r>
        <w:rPr>
          <w:sz w:val="18"/>
          <w:szCs w:val="18"/>
        </w:rPr>
        <w:t>:</w:t>
      </w:r>
      <w:r>
        <w:rPr>
          <w:sz w:val="18"/>
          <w:szCs w:val="18"/>
        </w:rPr>
        <w:t>该借款单位系子公司湖南天晨新能源有限公司。保证人</w:t>
      </w:r>
      <w:r>
        <w:rPr>
          <w:sz w:val="18"/>
          <w:szCs w:val="18"/>
        </w:rPr>
        <w:t>:</w:t>
      </w:r>
      <w:r>
        <w:rPr>
          <w:sz w:val="18"/>
          <w:szCs w:val="18"/>
        </w:rPr>
        <w:t>广东天亿马信息产业股份有限公司。质押物</w:t>
      </w:r>
      <w:r>
        <w:rPr>
          <w:sz w:val="18"/>
          <w:szCs w:val="18"/>
        </w:rPr>
        <w:t>:</w:t>
      </w:r>
      <w:r>
        <w:rPr>
          <w:sz w:val="18"/>
          <w:szCs w:val="18"/>
        </w:rPr>
        <w:t>湖南天晨新能源有限公司应收账款</w:t>
      </w:r>
      <w:r>
        <w:rPr>
          <w:sz w:val="18"/>
          <w:szCs w:val="18"/>
        </w:rPr>
        <w:t>-</w:t>
      </w:r>
      <w:r>
        <w:rPr>
          <w:sz w:val="18"/>
          <w:szCs w:val="18"/>
        </w:rPr>
        <w:t>售电收费权。</w:t>
      </w:r>
    </w:p>
    <w:p w:rsidR="00E20B54" w:rsidRDefault="00733C9E" w:rsidP="000E78D2">
      <w:pPr>
        <w:pStyle w:val="a3"/>
        <w:widowControl/>
        <w:spacing w:beforeAutospacing="0" w:afterAutospacing="0"/>
      </w:pPr>
      <w:r>
        <w:rPr>
          <w:sz w:val="18"/>
          <w:szCs w:val="18"/>
        </w:rPr>
        <w:lastRenderedPageBreak/>
        <w:t>②</w:t>
      </w:r>
      <w:r>
        <w:rPr>
          <w:sz w:val="18"/>
          <w:szCs w:val="18"/>
        </w:rPr>
        <w:t>质押及保证借款：借款单位系子公司天亿马信息技术有限公司：保证人广东天亿马信息产业股份有限公司。质押物：天亿马信息技术有限公司享有对上海数讯信息技术有限公司的应收账款收款权。</w:t>
      </w:r>
    </w:p>
    <w:p w:rsidR="00E20B54" w:rsidRDefault="00733C9E" w:rsidP="000E78D2">
      <w:pPr>
        <w:pStyle w:val="a3"/>
        <w:widowControl/>
        <w:spacing w:beforeAutospacing="0" w:afterAutospacing="0"/>
      </w:pPr>
      <w:r>
        <w:rPr>
          <w:sz w:val="18"/>
          <w:szCs w:val="18"/>
        </w:rPr>
        <w:t>③</w:t>
      </w:r>
      <w:r>
        <w:rPr>
          <w:sz w:val="18"/>
          <w:szCs w:val="18"/>
        </w:rPr>
        <w:t>质押及保证借款：借款单位系子公司天亿马信息技术有限公司：保证人广东天亿马信息产业股份有限公司。质押物：天亿马信息技术有限公司享有对中国移动通信集团广东有限公司汕头分公司的应收账款收款权。</w:t>
      </w:r>
    </w:p>
    <w:p w:rsidR="00E20B54" w:rsidRDefault="00733C9E" w:rsidP="000E78D2">
      <w:pPr>
        <w:pStyle w:val="a3"/>
        <w:widowControl/>
        <w:spacing w:beforeAutospacing="0" w:afterAutospacing="0"/>
      </w:pPr>
      <w:r>
        <w:rPr>
          <w:sz w:val="18"/>
          <w:szCs w:val="18"/>
        </w:rPr>
        <w:t>④</w:t>
      </w:r>
      <w:r>
        <w:rPr>
          <w:sz w:val="18"/>
          <w:szCs w:val="18"/>
        </w:rPr>
        <w:t>质押及抵押借款</w:t>
      </w:r>
      <w:r>
        <w:rPr>
          <w:sz w:val="18"/>
          <w:szCs w:val="18"/>
        </w:rPr>
        <w:t>:</w:t>
      </w:r>
      <w:r>
        <w:rPr>
          <w:sz w:val="18"/>
          <w:szCs w:val="18"/>
        </w:rPr>
        <w:t>该借款单位系广东天亿马信息产业股份有限公司。质押物</w:t>
      </w:r>
      <w:r w:rsidR="000E78D2">
        <w:rPr>
          <w:rFonts w:hint="eastAsia"/>
          <w:sz w:val="18"/>
          <w:szCs w:val="18"/>
        </w:rPr>
        <w:t>：</w:t>
      </w:r>
      <w:r>
        <w:rPr>
          <w:sz w:val="18"/>
          <w:szCs w:val="18"/>
        </w:rPr>
        <w:t>广东天亿马信息产业股份有限公司应收账款</w:t>
      </w:r>
      <w:r>
        <w:rPr>
          <w:sz w:val="18"/>
          <w:szCs w:val="18"/>
        </w:rPr>
        <w:t>-</w:t>
      </w:r>
      <w:r>
        <w:rPr>
          <w:sz w:val="18"/>
          <w:szCs w:val="18"/>
        </w:rPr>
        <w:t>算力服务</w:t>
      </w:r>
      <w:r w:rsidR="000E78D2">
        <w:rPr>
          <w:rFonts w:hint="eastAsia"/>
          <w:sz w:val="18"/>
          <w:szCs w:val="18"/>
        </w:rPr>
        <w:t>。</w:t>
      </w:r>
      <w:r>
        <w:rPr>
          <w:sz w:val="18"/>
          <w:szCs w:val="18"/>
        </w:rPr>
        <w:t>抵押物</w:t>
      </w:r>
      <w:r>
        <w:rPr>
          <w:sz w:val="18"/>
          <w:szCs w:val="18"/>
        </w:rPr>
        <w:t>:127</w:t>
      </w:r>
      <w:r>
        <w:rPr>
          <w:sz w:val="18"/>
          <w:szCs w:val="18"/>
        </w:rPr>
        <w:t>套</w:t>
      </w:r>
      <w:r>
        <w:rPr>
          <w:sz w:val="18"/>
          <w:szCs w:val="18"/>
        </w:rPr>
        <w:t>GPU</w:t>
      </w:r>
      <w:r>
        <w:rPr>
          <w:sz w:val="18"/>
          <w:szCs w:val="18"/>
        </w:rPr>
        <w:t>裸金属算力服务的高性能服务器机器对应配套零件。</w:t>
      </w:r>
    </w:p>
    <w:p w:rsidR="00E20B54" w:rsidRDefault="00733C9E" w:rsidP="000E78D2">
      <w:r>
        <w:rPr>
          <w:sz w:val="18"/>
          <w:szCs w:val="18"/>
        </w:rPr>
        <w:t>其他说明，包括利率区间：</w:t>
      </w:r>
      <w:r>
        <w:rPr>
          <w:sz w:val="18"/>
          <w:szCs w:val="18"/>
        </w:rPr>
        <w:t>2.5%-3.8%</w:t>
      </w:r>
    </w:p>
    <w:p w:rsidR="00E20B54" w:rsidRDefault="00733C9E">
      <w:pPr>
        <w:pStyle w:val="3"/>
        <w:spacing w:line="280" w:lineRule="exact"/>
        <w:jc w:val="left"/>
        <w:rPr>
          <w:b/>
          <w:bCs/>
        </w:rPr>
      </w:pPr>
      <w:bookmarkStart w:id="324" w:name="_Toc989212"/>
      <w:r>
        <w:rPr>
          <w:b/>
          <w:bCs/>
        </w:rPr>
        <w:t>31</w:t>
      </w:r>
      <w:r>
        <w:rPr>
          <w:b/>
          <w:bCs/>
        </w:rPr>
        <w:t>、租赁负债</w:t>
      </w:r>
      <w:bookmarkEnd w:id="324"/>
    </w:p>
    <w:p w:rsidR="00E20B54" w:rsidRDefault="00733C9E">
      <w:pPr>
        <w:spacing w:before="40" w:after="40" w:line="240" w:lineRule="exact"/>
        <w:jc w:val="right"/>
        <w:rPr>
          <w:sz w:val="18"/>
          <w:szCs w:val="18"/>
        </w:rPr>
      </w:pPr>
      <w:r>
        <w:rPr>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项目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期末余额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期初余额</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租赁付款额</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17,579,650.45</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9,151,608.34</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减：未确认的融资费用</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-3,169,631.73</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-633,863.97</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减：一年内到期的租赁负债</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-3,408,843.11</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-2,731,671.29</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合计</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11,001,175.61</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5,786,073.08</w:t>
            </w:r>
          </w:p>
        </w:tc>
      </w:tr>
    </w:tbl>
    <w:p w:rsidR="00E20B54" w:rsidRDefault="00733C9E" w:rsidP="000E78D2">
      <w:pPr>
        <w:spacing w:before="100" w:after="100" w:line="240" w:lineRule="exact"/>
        <w:rPr>
          <w:sz w:val="18"/>
          <w:szCs w:val="18"/>
        </w:rPr>
      </w:pPr>
      <w:r>
        <w:rPr>
          <w:sz w:val="18"/>
          <w:szCs w:val="18"/>
        </w:rPr>
        <w:t>其他说明：</w:t>
      </w:r>
      <w:r w:rsidRPr="000E78D2">
        <w:rPr>
          <w:sz w:val="18"/>
          <w:szCs w:val="18"/>
        </w:rPr>
        <w:t>本集团对租赁负债的流动性风险管理措施，以及年末租赁负债的到期期限分析参见本节第十二</w:t>
      </w:r>
      <w:r w:rsidRPr="000E78D2">
        <w:rPr>
          <w:sz w:val="18"/>
          <w:szCs w:val="18"/>
        </w:rPr>
        <w:t xml:space="preserve"> </w:t>
      </w:r>
      <w:r w:rsidRPr="000E78D2">
        <w:rPr>
          <w:sz w:val="18"/>
          <w:szCs w:val="18"/>
        </w:rPr>
        <w:t>、</w:t>
      </w:r>
      <w:r w:rsidRPr="000E78D2">
        <w:rPr>
          <w:sz w:val="18"/>
          <w:szCs w:val="18"/>
        </w:rPr>
        <w:t xml:space="preserve">1 </w:t>
      </w:r>
      <w:r w:rsidRPr="000E78D2">
        <w:rPr>
          <w:sz w:val="18"/>
          <w:szCs w:val="18"/>
        </w:rPr>
        <w:t>金融工具产生的各类风险。</w:t>
      </w:r>
    </w:p>
    <w:p w:rsidR="00E20B54" w:rsidRDefault="00733C9E">
      <w:pPr>
        <w:pStyle w:val="3"/>
        <w:spacing w:line="280" w:lineRule="exact"/>
        <w:jc w:val="left"/>
        <w:rPr>
          <w:b/>
          <w:bCs/>
        </w:rPr>
      </w:pPr>
      <w:bookmarkStart w:id="325" w:name="_Toc989213"/>
      <w:r>
        <w:rPr>
          <w:b/>
          <w:bCs/>
        </w:rPr>
        <w:t>32</w:t>
      </w:r>
      <w:r>
        <w:rPr>
          <w:b/>
          <w:bCs/>
        </w:rPr>
        <w:t>、长期应付款</w:t>
      </w:r>
      <w:bookmarkEnd w:id="325"/>
    </w:p>
    <w:p w:rsidR="00E20B54" w:rsidRDefault="00733C9E">
      <w:pPr>
        <w:spacing w:before="40" w:after="40" w:line="240" w:lineRule="exact"/>
        <w:jc w:val="right"/>
        <w:rPr>
          <w:sz w:val="18"/>
          <w:szCs w:val="18"/>
        </w:rPr>
      </w:pPr>
      <w:r>
        <w:rPr>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项目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期末余额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期初余额</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长期应付款</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39,040,839.35</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19,306,145.83</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合计</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39,040,839.35</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19,306,145.83</w:t>
            </w:r>
          </w:p>
        </w:tc>
      </w:tr>
    </w:tbl>
    <w:p w:rsidR="00E20B54" w:rsidRDefault="00733C9E">
      <w:pPr>
        <w:keepNext/>
        <w:keepLines/>
        <w:spacing w:before="300" w:after="300" w:line="280" w:lineRule="exact"/>
        <w:outlineLvl w:val="3"/>
        <w:rPr>
          <w:b/>
          <w:bCs/>
          <w:sz w:val="18"/>
          <w:szCs w:val="18"/>
        </w:rPr>
      </w:pPr>
      <w:bookmarkStart w:id="326" w:name="_Toc989214"/>
      <w:r>
        <w:rPr>
          <w:b/>
          <w:bCs/>
          <w:sz w:val="18"/>
          <w:szCs w:val="18"/>
        </w:rPr>
        <w:t>（</w:t>
      </w:r>
      <w:r>
        <w:rPr>
          <w:b/>
          <w:bCs/>
          <w:sz w:val="18"/>
          <w:szCs w:val="18"/>
        </w:rPr>
        <w:t>1</w:t>
      </w:r>
      <w:r>
        <w:rPr>
          <w:b/>
          <w:bCs/>
          <w:sz w:val="18"/>
          <w:szCs w:val="18"/>
        </w:rPr>
        <w:t>）</w:t>
      </w:r>
      <w:r>
        <w:rPr>
          <w:b/>
          <w:bCs/>
          <w:sz w:val="18"/>
          <w:szCs w:val="18"/>
        </w:rPr>
        <w:t xml:space="preserve"> </w:t>
      </w:r>
      <w:r>
        <w:rPr>
          <w:b/>
          <w:bCs/>
          <w:sz w:val="18"/>
          <w:szCs w:val="18"/>
        </w:rPr>
        <w:t>按款项性质列示长期应付款</w:t>
      </w:r>
      <w:bookmarkEnd w:id="326"/>
    </w:p>
    <w:p w:rsidR="00E20B54" w:rsidRDefault="00733C9E">
      <w:pPr>
        <w:spacing w:before="40" w:after="40" w:line="240" w:lineRule="exact"/>
        <w:jc w:val="right"/>
        <w:rPr>
          <w:sz w:val="18"/>
          <w:szCs w:val="18"/>
        </w:rPr>
      </w:pPr>
      <w:r>
        <w:rPr>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项目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期末余额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期初余额</w:t>
            </w:r>
          </w:p>
        </w:tc>
      </w:tr>
      <w:tr w:rsidR="00E20B54" w:rsidTr="000E78D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9D9D9" w:themeFill="background1" w:themeFillShade="D9"/>
            <w:vAlign w:val="center"/>
          </w:tcPr>
          <w:p w:rsidR="00E20B54" w:rsidRDefault="00733C9E">
            <w:pPr>
              <w:spacing w:line="240" w:lineRule="exact"/>
              <w:rPr>
                <w:sz w:val="18"/>
                <w:szCs w:val="18"/>
              </w:rPr>
            </w:pPr>
            <w:r>
              <w:rPr>
                <w:sz w:val="18"/>
                <w:szCs w:val="18"/>
              </w:rPr>
              <w:t>本金及利息</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55,452,926.78</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27,494,665.99</w:t>
            </w:r>
          </w:p>
        </w:tc>
      </w:tr>
      <w:tr w:rsidR="00E20B54" w:rsidTr="000E78D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9D9D9" w:themeFill="background1" w:themeFillShade="D9"/>
            <w:vAlign w:val="center"/>
          </w:tcPr>
          <w:p w:rsidR="00E20B54" w:rsidRDefault="00733C9E">
            <w:pPr>
              <w:spacing w:line="240" w:lineRule="exact"/>
              <w:rPr>
                <w:sz w:val="18"/>
                <w:szCs w:val="18"/>
              </w:rPr>
            </w:pPr>
            <w:r>
              <w:rPr>
                <w:sz w:val="18"/>
                <w:szCs w:val="18"/>
              </w:rPr>
              <w:t>未确认融资费用</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-12,758,431.59</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-6,462,582.66</w:t>
            </w:r>
          </w:p>
        </w:tc>
      </w:tr>
      <w:tr w:rsidR="00E20B54" w:rsidTr="000E78D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9D9D9" w:themeFill="background1" w:themeFillShade="D9"/>
            <w:vAlign w:val="center"/>
          </w:tcPr>
          <w:p w:rsidR="00E20B54" w:rsidRDefault="00733C9E">
            <w:pPr>
              <w:spacing w:line="240" w:lineRule="exact"/>
              <w:rPr>
                <w:sz w:val="18"/>
                <w:szCs w:val="18"/>
              </w:rPr>
            </w:pPr>
            <w:r>
              <w:rPr>
                <w:sz w:val="18"/>
                <w:szCs w:val="18"/>
              </w:rPr>
              <w:t>减：一年内到期的长期应付款</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-3,653,655.84</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-1,725,937.50</w:t>
            </w:r>
          </w:p>
        </w:tc>
      </w:tr>
      <w:tr w:rsidR="00E20B54" w:rsidTr="000E78D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9D9D9" w:themeFill="background1" w:themeFillShade="D9"/>
            <w:vAlign w:val="center"/>
          </w:tcPr>
          <w:p w:rsidR="00E20B54" w:rsidRDefault="00733C9E">
            <w:pPr>
              <w:spacing w:line="240" w:lineRule="exact"/>
              <w:rPr>
                <w:sz w:val="18"/>
                <w:szCs w:val="18"/>
              </w:rPr>
            </w:pPr>
            <w:r>
              <w:rPr>
                <w:sz w:val="18"/>
                <w:szCs w:val="18"/>
              </w:rPr>
              <w:t>合计</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39,040,839.35</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19,306,145.83</w:t>
            </w:r>
          </w:p>
        </w:tc>
      </w:tr>
    </w:tbl>
    <w:p w:rsidR="00E20B54" w:rsidRDefault="00733C9E">
      <w:pPr>
        <w:spacing w:before="100" w:after="100" w:line="240" w:lineRule="exact"/>
        <w:rPr>
          <w:sz w:val="18"/>
          <w:szCs w:val="18"/>
        </w:rPr>
      </w:pPr>
      <w:r>
        <w:rPr>
          <w:sz w:val="18"/>
          <w:szCs w:val="18"/>
        </w:rPr>
        <w:t>其他说明：</w:t>
      </w:r>
      <w:r w:rsidR="000E78D2">
        <w:rPr>
          <w:rFonts w:hint="eastAsia"/>
          <w:sz w:val="18"/>
          <w:szCs w:val="18"/>
        </w:rPr>
        <w:t>无</w:t>
      </w:r>
    </w:p>
    <w:p w:rsidR="00E20B54" w:rsidRDefault="00733C9E">
      <w:pPr>
        <w:keepNext/>
        <w:keepLines/>
        <w:spacing w:before="300" w:after="300" w:line="280" w:lineRule="exact"/>
        <w:outlineLvl w:val="3"/>
        <w:rPr>
          <w:b/>
          <w:bCs/>
          <w:sz w:val="18"/>
          <w:szCs w:val="18"/>
        </w:rPr>
      </w:pPr>
      <w:bookmarkStart w:id="327" w:name="_Toc989215"/>
      <w:r>
        <w:rPr>
          <w:b/>
          <w:bCs/>
          <w:sz w:val="18"/>
          <w:szCs w:val="18"/>
        </w:rPr>
        <w:t>（</w:t>
      </w:r>
      <w:r>
        <w:rPr>
          <w:b/>
          <w:bCs/>
          <w:sz w:val="18"/>
          <w:szCs w:val="18"/>
        </w:rPr>
        <w:t>2</w:t>
      </w:r>
      <w:r>
        <w:rPr>
          <w:b/>
          <w:bCs/>
          <w:sz w:val="18"/>
          <w:szCs w:val="18"/>
        </w:rPr>
        <w:t>）</w:t>
      </w:r>
      <w:r>
        <w:rPr>
          <w:b/>
          <w:bCs/>
          <w:sz w:val="18"/>
          <w:szCs w:val="18"/>
        </w:rPr>
        <w:t xml:space="preserve"> </w:t>
      </w:r>
      <w:r>
        <w:rPr>
          <w:b/>
          <w:bCs/>
          <w:sz w:val="18"/>
          <w:szCs w:val="18"/>
        </w:rPr>
        <w:t>专项应付款</w:t>
      </w:r>
      <w:bookmarkEnd w:id="327"/>
    </w:p>
    <w:p w:rsidR="00E20B54" w:rsidRDefault="00733C9E">
      <w:pPr>
        <w:spacing w:before="40" w:after="40" w:line="240" w:lineRule="exact"/>
        <w:jc w:val="right"/>
        <w:rPr>
          <w:sz w:val="18"/>
          <w:szCs w:val="18"/>
        </w:rPr>
      </w:pPr>
      <w:r>
        <w:rPr>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606"/>
        <w:gridCol w:w="1606"/>
        <w:gridCol w:w="1606"/>
        <w:gridCol w:w="1607"/>
        <w:gridCol w:w="1607"/>
        <w:gridCol w:w="1607"/>
      </w:tblGrid>
      <w:tr w:rsidR="00E20B54">
        <w:trPr>
          <w:trHeight w:val="240"/>
        </w:trPr>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项目</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期初余额</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本期增加</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本期减少</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期末余额</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形成原因</w:t>
            </w:r>
          </w:p>
        </w:tc>
      </w:tr>
    </w:tbl>
    <w:p w:rsidR="00E20B54" w:rsidRDefault="00733C9E">
      <w:pPr>
        <w:spacing w:before="100" w:after="100" w:line="240" w:lineRule="exact"/>
        <w:rPr>
          <w:sz w:val="18"/>
          <w:szCs w:val="18"/>
        </w:rPr>
      </w:pPr>
      <w:r>
        <w:rPr>
          <w:sz w:val="18"/>
          <w:szCs w:val="18"/>
        </w:rPr>
        <w:t>其他说明：</w:t>
      </w:r>
      <w:r w:rsidR="000E78D2">
        <w:rPr>
          <w:rFonts w:hint="eastAsia"/>
          <w:sz w:val="18"/>
          <w:szCs w:val="18"/>
        </w:rPr>
        <w:t>无</w:t>
      </w:r>
    </w:p>
    <w:p w:rsidR="00E20B54" w:rsidRDefault="00733C9E">
      <w:pPr>
        <w:pStyle w:val="3"/>
        <w:spacing w:line="280" w:lineRule="exact"/>
        <w:jc w:val="left"/>
        <w:rPr>
          <w:b/>
          <w:bCs/>
        </w:rPr>
      </w:pPr>
      <w:bookmarkStart w:id="328" w:name="_Toc989216"/>
      <w:r>
        <w:rPr>
          <w:b/>
          <w:bCs/>
        </w:rPr>
        <w:t>33</w:t>
      </w:r>
      <w:r>
        <w:rPr>
          <w:b/>
          <w:bCs/>
        </w:rPr>
        <w:t>、股本</w:t>
      </w:r>
      <w:bookmarkEnd w:id="328"/>
    </w:p>
    <w:p w:rsidR="00E20B54" w:rsidRDefault="00733C9E">
      <w:pPr>
        <w:spacing w:before="40" w:after="40" w:line="240" w:lineRule="exact"/>
        <w:jc w:val="right"/>
        <w:rPr>
          <w:sz w:val="18"/>
          <w:szCs w:val="18"/>
        </w:rPr>
      </w:pPr>
      <w:r>
        <w:rPr>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204"/>
        <w:gridCol w:w="1205"/>
        <w:gridCol w:w="1205"/>
        <w:gridCol w:w="1205"/>
        <w:gridCol w:w="1205"/>
        <w:gridCol w:w="1205"/>
        <w:gridCol w:w="1205"/>
        <w:gridCol w:w="1205"/>
      </w:tblGrid>
      <w:tr w:rsidR="00E20B54" w:rsidTr="000E78D2">
        <w:trPr>
          <w:trHeight w:val="240"/>
          <w:tblHeader/>
        </w:trPr>
        <w:tc>
          <w:tcPr>
            <w:tcW w:w="1205"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c>
          <w:tcPr>
            <w:tcW w:w="1205"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期初余额</w:t>
            </w:r>
          </w:p>
        </w:tc>
        <w:tc>
          <w:tcPr>
            <w:tcW w:w="6024" w:type="dxa"/>
            <w:gridSpan w:val="5"/>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本次变动增减（</w:t>
            </w:r>
            <w:r>
              <w:rPr>
                <w:sz w:val="18"/>
                <w:szCs w:val="18"/>
              </w:rPr>
              <w:t>+</w:t>
            </w:r>
            <w:r>
              <w:rPr>
                <w:sz w:val="18"/>
                <w:szCs w:val="18"/>
              </w:rPr>
              <w:t>、</w:t>
            </w:r>
            <w:r>
              <w:rPr>
                <w:sz w:val="18"/>
                <w:szCs w:val="18"/>
              </w:rPr>
              <w:t>-</w:t>
            </w:r>
            <w:r>
              <w:rPr>
                <w:sz w:val="18"/>
                <w:szCs w:val="18"/>
              </w:rPr>
              <w:t>）</w:t>
            </w:r>
          </w:p>
        </w:tc>
        <w:tc>
          <w:tcPr>
            <w:tcW w:w="1205"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期末余额</w:t>
            </w:r>
          </w:p>
        </w:tc>
      </w:tr>
      <w:tr w:rsidR="00E20B54" w:rsidTr="000E78D2">
        <w:trPr>
          <w:trHeight w:val="240"/>
          <w:tblHeader/>
        </w:trPr>
        <w:tc>
          <w:tcPr>
            <w:tcW w:w="1205"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c>
          <w:tcPr>
            <w:tcW w:w="1205"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c>
          <w:tcPr>
            <w:tcW w:w="1205"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发行新股</w:t>
            </w:r>
          </w:p>
        </w:tc>
        <w:tc>
          <w:tcPr>
            <w:tcW w:w="1205"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送股</w:t>
            </w:r>
          </w:p>
        </w:tc>
        <w:tc>
          <w:tcPr>
            <w:tcW w:w="1205"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公积金转股</w:t>
            </w:r>
          </w:p>
        </w:tc>
        <w:tc>
          <w:tcPr>
            <w:tcW w:w="1205"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其他</w:t>
            </w:r>
          </w:p>
        </w:tc>
        <w:tc>
          <w:tcPr>
            <w:tcW w:w="1205"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小计</w:t>
            </w:r>
          </w:p>
        </w:tc>
        <w:tc>
          <w:tcPr>
            <w:tcW w:w="1205"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r>
      <w:tr w:rsidR="00E20B54">
        <w:trPr>
          <w:trHeight w:val="240"/>
        </w:trPr>
        <w:tc>
          <w:tcPr>
            <w:tcW w:w="1205"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lastRenderedPageBreak/>
              <w:t>股份总数</w:t>
            </w:r>
          </w:p>
        </w:tc>
        <w:tc>
          <w:tcPr>
            <w:tcW w:w="1205"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67,108,800.00</w:t>
            </w:r>
          </w:p>
        </w:tc>
        <w:tc>
          <w:tcPr>
            <w:tcW w:w="1205"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205"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-256,000.00</w:t>
            </w:r>
          </w:p>
        </w:tc>
        <w:tc>
          <w:tcPr>
            <w:tcW w:w="1205"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-256,000.00</w:t>
            </w:r>
          </w:p>
        </w:tc>
        <w:tc>
          <w:tcPr>
            <w:tcW w:w="1205"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66,852,800.00</w:t>
            </w:r>
          </w:p>
        </w:tc>
      </w:tr>
    </w:tbl>
    <w:p w:rsidR="00E20B54" w:rsidRDefault="00733C9E">
      <w:pPr>
        <w:spacing w:before="100" w:after="100" w:line="240" w:lineRule="exact"/>
        <w:rPr>
          <w:sz w:val="18"/>
          <w:szCs w:val="18"/>
        </w:rPr>
      </w:pPr>
      <w:r>
        <w:rPr>
          <w:sz w:val="18"/>
          <w:szCs w:val="18"/>
        </w:rPr>
        <w:t>其他说明：</w:t>
      </w:r>
    </w:p>
    <w:p w:rsidR="00E20B54" w:rsidRDefault="00733C9E" w:rsidP="000E78D2">
      <w:pPr>
        <w:pStyle w:val="a3"/>
        <w:widowControl/>
        <w:spacing w:beforeAutospacing="0" w:afterAutospacing="0"/>
        <w:ind w:firstLine="420"/>
        <w:jc w:val="both"/>
        <w:rPr>
          <w:sz w:val="21"/>
          <w:szCs w:val="21"/>
        </w:rPr>
      </w:pPr>
      <w:r>
        <w:rPr>
          <w:sz w:val="21"/>
          <w:szCs w:val="21"/>
        </w:rPr>
        <w:t>2025</w:t>
      </w:r>
      <w:r>
        <w:rPr>
          <w:sz w:val="21"/>
          <w:szCs w:val="21"/>
        </w:rPr>
        <w:t>年</w:t>
      </w:r>
      <w:r>
        <w:rPr>
          <w:sz w:val="21"/>
          <w:szCs w:val="21"/>
        </w:rPr>
        <w:t>5</w:t>
      </w:r>
      <w:r>
        <w:rPr>
          <w:sz w:val="21"/>
          <w:szCs w:val="21"/>
        </w:rPr>
        <w:t>月，经公司</w:t>
      </w:r>
      <w:r>
        <w:rPr>
          <w:sz w:val="21"/>
          <w:szCs w:val="21"/>
        </w:rPr>
        <w:t>2024</w:t>
      </w:r>
      <w:r>
        <w:rPr>
          <w:sz w:val="21"/>
          <w:szCs w:val="21"/>
        </w:rPr>
        <w:t>年年度股东会审议通过了《关于回购注销部分已授予但尚未解除限售的限制性股票的议案》。本次回购注销完成后，公司股份总数将由</w:t>
      </w:r>
      <w:r>
        <w:rPr>
          <w:sz w:val="21"/>
          <w:szCs w:val="21"/>
        </w:rPr>
        <w:t xml:space="preserve">67,108,800 </w:t>
      </w:r>
      <w:r>
        <w:rPr>
          <w:sz w:val="21"/>
          <w:szCs w:val="21"/>
        </w:rPr>
        <w:t>股变更为</w:t>
      </w:r>
      <w:r>
        <w:rPr>
          <w:sz w:val="21"/>
          <w:szCs w:val="21"/>
        </w:rPr>
        <w:t xml:space="preserve"> 66,852,800 </w:t>
      </w:r>
      <w:r>
        <w:rPr>
          <w:sz w:val="21"/>
          <w:szCs w:val="21"/>
        </w:rPr>
        <w:t>股，注册资本将由</w:t>
      </w:r>
      <w:r>
        <w:rPr>
          <w:sz w:val="21"/>
          <w:szCs w:val="21"/>
        </w:rPr>
        <w:t>67,108,800</w:t>
      </w:r>
      <w:r>
        <w:rPr>
          <w:sz w:val="21"/>
          <w:szCs w:val="21"/>
        </w:rPr>
        <w:t>元减少至</w:t>
      </w:r>
      <w:r>
        <w:rPr>
          <w:sz w:val="21"/>
          <w:szCs w:val="21"/>
        </w:rPr>
        <w:t>66,852,800</w:t>
      </w:r>
      <w:r>
        <w:rPr>
          <w:sz w:val="21"/>
          <w:szCs w:val="21"/>
        </w:rPr>
        <w:t>元，减少资本公积（资本溢价）</w:t>
      </w:r>
      <w:r>
        <w:rPr>
          <w:color w:val="000000"/>
          <w:sz w:val="21"/>
          <w:szCs w:val="21"/>
        </w:rPr>
        <w:t>3,816,960.00</w:t>
      </w:r>
      <w:r>
        <w:rPr>
          <w:sz w:val="21"/>
          <w:szCs w:val="21"/>
        </w:rPr>
        <w:t>元。</w:t>
      </w:r>
    </w:p>
    <w:p w:rsidR="00E20B54" w:rsidRDefault="00733C9E">
      <w:pPr>
        <w:pStyle w:val="3"/>
        <w:spacing w:line="280" w:lineRule="exact"/>
        <w:jc w:val="left"/>
        <w:rPr>
          <w:b/>
          <w:bCs/>
        </w:rPr>
      </w:pPr>
      <w:bookmarkStart w:id="329" w:name="_Toc989217"/>
      <w:r>
        <w:rPr>
          <w:b/>
          <w:bCs/>
        </w:rPr>
        <w:t>34</w:t>
      </w:r>
      <w:r>
        <w:rPr>
          <w:b/>
          <w:bCs/>
        </w:rPr>
        <w:t>、资本公积</w:t>
      </w:r>
      <w:bookmarkEnd w:id="329"/>
    </w:p>
    <w:p w:rsidR="00E20B54" w:rsidRDefault="00733C9E">
      <w:pPr>
        <w:spacing w:before="40" w:after="40" w:line="240" w:lineRule="exact"/>
        <w:jc w:val="right"/>
        <w:rPr>
          <w:sz w:val="18"/>
          <w:szCs w:val="18"/>
        </w:rPr>
      </w:pPr>
      <w:r>
        <w:rPr>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927"/>
        <w:gridCol w:w="1928"/>
        <w:gridCol w:w="1928"/>
        <w:gridCol w:w="1928"/>
        <w:gridCol w:w="1928"/>
      </w:tblGrid>
      <w:tr w:rsidR="00E20B54">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项目</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期初余额</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本期增加</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本期减少</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期末余额</w:t>
            </w:r>
          </w:p>
        </w:tc>
      </w:tr>
      <w:tr w:rsidR="00E20B54">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资本溢价（股本溢价）</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583,619,975.81</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3,816,960.00</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579,803,015.81</w:t>
            </w:r>
          </w:p>
        </w:tc>
      </w:tr>
      <w:tr w:rsidR="00E20B54">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其他资本公积</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14,677,226.92</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11,367,836.90</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26,045,063.82</w:t>
            </w:r>
          </w:p>
        </w:tc>
      </w:tr>
      <w:tr w:rsidR="00E20B54" w:rsidTr="000E78D2">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9D9D9" w:themeFill="background1" w:themeFillShade="D9"/>
            <w:vAlign w:val="center"/>
          </w:tcPr>
          <w:p w:rsidR="00E20B54" w:rsidRDefault="00733C9E">
            <w:pPr>
              <w:spacing w:line="240" w:lineRule="exact"/>
              <w:rPr>
                <w:sz w:val="18"/>
                <w:szCs w:val="18"/>
              </w:rPr>
            </w:pPr>
            <w:r>
              <w:rPr>
                <w:sz w:val="18"/>
                <w:szCs w:val="18"/>
              </w:rPr>
              <w:t>其中：以权益结算的股份支付</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14,677,471.75</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11,367,836.90</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26,045,308.65</w:t>
            </w:r>
          </w:p>
        </w:tc>
      </w:tr>
      <w:tr w:rsidR="00E20B54" w:rsidTr="000E78D2">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9D9D9" w:themeFill="background1" w:themeFillShade="D9"/>
            <w:vAlign w:val="center"/>
          </w:tcPr>
          <w:p w:rsidR="00E20B54" w:rsidRDefault="00733C9E">
            <w:pPr>
              <w:spacing w:line="240" w:lineRule="exact"/>
              <w:rPr>
                <w:sz w:val="18"/>
                <w:szCs w:val="18"/>
              </w:rPr>
            </w:pPr>
            <w:r>
              <w:rPr>
                <w:sz w:val="18"/>
                <w:szCs w:val="18"/>
              </w:rPr>
              <w:t>其他</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-244.83</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-244.83</w:t>
            </w:r>
          </w:p>
        </w:tc>
      </w:tr>
      <w:tr w:rsidR="00E20B54">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合计</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598,297,202.73</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11,367,836.90</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3,816,960.00</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605,848,079.63</w:t>
            </w:r>
          </w:p>
        </w:tc>
      </w:tr>
    </w:tbl>
    <w:p w:rsidR="00E20B54" w:rsidRDefault="00733C9E">
      <w:pPr>
        <w:spacing w:before="100" w:after="100" w:line="240" w:lineRule="exact"/>
        <w:rPr>
          <w:sz w:val="18"/>
          <w:szCs w:val="18"/>
        </w:rPr>
      </w:pPr>
      <w:r>
        <w:rPr>
          <w:sz w:val="18"/>
          <w:szCs w:val="18"/>
        </w:rPr>
        <w:t>其他说明，包括本期增减变动情况、变动原因说明：</w:t>
      </w:r>
    </w:p>
    <w:p w:rsidR="00E20B54" w:rsidRDefault="00733C9E" w:rsidP="000E78D2">
      <w:pPr>
        <w:widowControl/>
        <w:tabs>
          <w:tab w:val="left" w:pos="720"/>
        </w:tabs>
        <w:spacing w:beforeLines="50" w:before="156" w:afterLines="50" w:after="156"/>
        <w:ind w:firstLineChars="200" w:firstLine="420"/>
        <w:jc w:val="both"/>
      </w:pPr>
      <w:r>
        <w:rPr>
          <w:szCs w:val="21"/>
        </w:rPr>
        <w:t>2025</w:t>
      </w:r>
      <w:r>
        <w:rPr>
          <w:szCs w:val="21"/>
        </w:rPr>
        <w:t>年</w:t>
      </w:r>
      <w:r>
        <w:rPr>
          <w:szCs w:val="21"/>
        </w:rPr>
        <w:t>5</w:t>
      </w:r>
      <w:r>
        <w:rPr>
          <w:szCs w:val="21"/>
        </w:rPr>
        <w:t>月，经公司</w:t>
      </w:r>
      <w:r>
        <w:rPr>
          <w:szCs w:val="21"/>
        </w:rPr>
        <w:t>2024</w:t>
      </w:r>
      <w:r>
        <w:rPr>
          <w:szCs w:val="21"/>
        </w:rPr>
        <w:t>年年度股东会审议通过了《关于回购注销部分已授予但尚未解除限售的限制性股票的议案》。本次回购注销完成后，公司股份总数将由</w:t>
      </w:r>
      <w:r>
        <w:rPr>
          <w:szCs w:val="21"/>
        </w:rPr>
        <w:t xml:space="preserve">67,108,800 </w:t>
      </w:r>
      <w:r>
        <w:rPr>
          <w:szCs w:val="21"/>
        </w:rPr>
        <w:t>股变更为</w:t>
      </w:r>
      <w:r>
        <w:rPr>
          <w:szCs w:val="21"/>
        </w:rPr>
        <w:t xml:space="preserve"> 66,852,800 </w:t>
      </w:r>
      <w:r>
        <w:rPr>
          <w:szCs w:val="21"/>
        </w:rPr>
        <w:t>股，注册资本将由</w:t>
      </w:r>
      <w:r>
        <w:rPr>
          <w:szCs w:val="21"/>
        </w:rPr>
        <w:t>67,108,800</w:t>
      </w:r>
      <w:r>
        <w:rPr>
          <w:szCs w:val="21"/>
        </w:rPr>
        <w:t>元减少至</w:t>
      </w:r>
      <w:r>
        <w:rPr>
          <w:szCs w:val="21"/>
        </w:rPr>
        <w:t>66,852,800</w:t>
      </w:r>
      <w:r>
        <w:rPr>
          <w:szCs w:val="21"/>
        </w:rPr>
        <w:t>元，减少资本公积（资本溢价）</w:t>
      </w:r>
      <w:r>
        <w:rPr>
          <w:color w:val="000000"/>
          <w:szCs w:val="21"/>
        </w:rPr>
        <w:t>3,816,960.00</w:t>
      </w:r>
      <w:r>
        <w:rPr>
          <w:szCs w:val="21"/>
        </w:rPr>
        <w:t>元。</w:t>
      </w:r>
    </w:p>
    <w:p w:rsidR="00E20B54" w:rsidRDefault="00733C9E" w:rsidP="000E78D2">
      <w:pPr>
        <w:widowControl/>
        <w:tabs>
          <w:tab w:val="left" w:pos="720"/>
        </w:tabs>
        <w:spacing w:beforeLines="50" w:before="156" w:afterLines="50" w:after="156"/>
        <w:ind w:firstLineChars="200" w:firstLine="420"/>
        <w:jc w:val="both"/>
      </w:pPr>
      <w:r>
        <w:rPr>
          <w:szCs w:val="21"/>
        </w:rPr>
        <w:t>根据本公司</w:t>
      </w:r>
      <w:r>
        <w:rPr>
          <w:szCs w:val="21"/>
        </w:rPr>
        <w:t>2023</w:t>
      </w:r>
      <w:r>
        <w:rPr>
          <w:szCs w:val="21"/>
        </w:rPr>
        <w:t>年第四次临时股东大会决议通过的《关于〈广东天亿马信息产业股份有限公司</w:t>
      </w:r>
      <w:r>
        <w:rPr>
          <w:szCs w:val="21"/>
        </w:rPr>
        <w:t>2023</w:t>
      </w:r>
      <w:r>
        <w:rPr>
          <w:szCs w:val="21"/>
        </w:rPr>
        <w:t>年限制性股票激励计划（草案修订稿）〉及其摘要的议案》以及本公司第三届董事会第十五次会议决议、第十七次会议决议，公司按照审议通过的限制性股票激励计划，本报告期内确认股份支付等待期费用</w:t>
      </w:r>
      <w:r>
        <w:rPr>
          <w:color w:val="000000"/>
          <w:szCs w:val="21"/>
        </w:rPr>
        <w:t>11,367,836.90</w:t>
      </w:r>
      <w:r>
        <w:rPr>
          <w:szCs w:val="21"/>
        </w:rPr>
        <w:t>元，计入资本公积（其他资本公积）</w:t>
      </w:r>
      <w:r>
        <w:rPr>
          <w:color w:val="000000"/>
          <w:szCs w:val="21"/>
        </w:rPr>
        <w:t>11,367,836.90</w:t>
      </w:r>
      <w:r>
        <w:rPr>
          <w:szCs w:val="21"/>
        </w:rPr>
        <w:t>元。</w:t>
      </w:r>
    </w:p>
    <w:p w:rsidR="00E20B54" w:rsidRDefault="00733C9E">
      <w:pPr>
        <w:pStyle w:val="3"/>
        <w:spacing w:line="280" w:lineRule="exact"/>
        <w:jc w:val="left"/>
        <w:rPr>
          <w:b/>
          <w:bCs/>
        </w:rPr>
      </w:pPr>
      <w:bookmarkStart w:id="330" w:name="_Toc989218"/>
      <w:r>
        <w:rPr>
          <w:b/>
          <w:bCs/>
        </w:rPr>
        <w:t>35</w:t>
      </w:r>
      <w:r>
        <w:rPr>
          <w:b/>
          <w:bCs/>
        </w:rPr>
        <w:t>、库存股</w:t>
      </w:r>
      <w:bookmarkEnd w:id="330"/>
    </w:p>
    <w:p w:rsidR="00E20B54" w:rsidRDefault="00733C9E">
      <w:pPr>
        <w:spacing w:before="40" w:after="40" w:line="240" w:lineRule="exact"/>
        <w:jc w:val="right"/>
        <w:rPr>
          <w:sz w:val="18"/>
          <w:szCs w:val="18"/>
        </w:rPr>
      </w:pPr>
      <w:r>
        <w:rPr>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927"/>
        <w:gridCol w:w="1928"/>
        <w:gridCol w:w="1928"/>
        <w:gridCol w:w="1928"/>
        <w:gridCol w:w="1928"/>
      </w:tblGrid>
      <w:tr w:rsidR="00E20B54">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项目</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期初余额</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本期增加</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本期减少</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期末余额</w:t>
            </w:r>
          </w:p>
        </w:tc>
      </w:tr>
      <w:tr w:rsidR="00E20B54" w:rsidTr="000E78D2">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9D9D9" w:themeFill="background1" w:themeFillShade="D9"/>
            <w:vAlign w:val="center"/>
          </w:tcPr>
          <w:p w:rsidR="00E20B54" w:rsidRDefault="00733C9E">
            <w:pPr>
              <w:spacing w:line="240" w:lineRule="exact"/>
              <w:rPr>
                <w:sz w:val="18"/>
                <w:szCs w:val="18"/>
              </w:rPr>
            </w:pPr>
            <w:r>
              <w:rPr>
                <w:sz w:val="18"/>
                <w:szCs w:val="18"/>
              </w:rPr>
              <w:t>股票回购义务</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52,740,572.07</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25,600.00</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4,072,960.00</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48,693,212.07</w:t>
            </w:r>
          </w:p>
        </w:tc>
      </w:tr>
      <w:tr w:rsidR="00E20B54">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合计</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52,740,572.07</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25,600.00</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4,072,960.00</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48,693,212.07</w:t>
            </w:r>
          </w:p>
        </w:tc>
      </w:tr>
    </w:tbl>
    <w:p w:rsidR="00E20B54" w:rsidRDefault="00733C9E">
      <w:pPr>
        <w:spacing w:before="100" w:after="100" w:line="240" w:lineRule="exact"/>
        <w:rPr>
          <w:sz w:val="18"/>
          <w:szCs w:val="18"/>
        </w:rPr>
      </w:pPr>
      <w:r>
        <w:rPr>
          <w:sz w:val="18"/>
          <w:szCs w:val="18"/>
        </w:rPr>
        <w:t>其他说明，包括本期增减变动情况、变动原因说明：</w:t>
      </w:r>
    </w:p>
    <w:p w:rsidR="00E20B54" w:rsidRPr="000E78D2" w:rsidRDefault="00733C9E" w:rsidP="000E78D2">
      <w:pPr>
        <w:widowControl/>
        <w:tabs>
          <w:tab w:val="left" w:pos="720"/>
        </w:tabs>
        <w:spacing w:beforeLines="50" w:before="156" w:afterLines="50" w:after="156"/>
        <w:ind w:firstLineChars="200" w:firstLine="420"/>
        <w:jc w:val="both"/>
        <w:rPr>
          <w:szCs w:val="21"/>
        </w:rPr>
      </w:pPr>
      <w:r>
        <w:rPr>
          <w:szCs w:val="21"/>
        </w:rPr>
        <w:t>本公司报告期内注销的股票数量为</w:t>
      </w:r>
      <w:r>
        <w:rPr>
          <w:szCs w:val="21"/>
        </w:rPr>
        <w:t>256,000.00</w:t>
      </w:r>
      <w:r>
        <w:rPr>
          <w:szCs w:val="21"/>
        </w:rPr>
        <w:t>股，库存股减少</w:t>
      </w:r>
      <w:r>
        <w:rPr>
          <w:szCs w:val="21"/>
        </w:rPr>
        <w:t>4,072,960.00</w:t>
      </w:r>
      <w:r>
        <w:rPr>
          <w:szCs w:val="21"/>
        </w:rPr>
        <w:t>元</w:t>
      </w:r>
      <w:r>
        <w:rPr>
          <w:szCs w:val="21"/>
        </w:rPr>
        <w:t>;</w:t>
      </w:r>
    </w:p>
    <w:p w:rsidR="00E20B54" w:rsidRPr="000E78D2" w:rsidRDefault="00733C9E" w:rsidP="000E78D2">
      <w:pPr>
        <w:widowControl/>
        <w:tabs>
          <w:tab w:val="left" w:pos="720"/>
        </w:tabs>
        <w:spacing w:beforeLines="50" w:before="156" w:afterLines="50" w:after="156"/>
        <w:ind w:firstLineChars="200" w:firstLine="420"/>
        <w:jc w:val="both"/>
        <w:rPr>
          <w:szCs w:val="21"/>
        </w:rPr>
      </w:pPr>
      <w:r>
        <w:rPr>
          <w:szCs w:val="21"/>
        </w:rPr>
        <w:t>根据公司《</w:t>
      </w:r>
      <w:r>
        <w:rPr>
          <w:szCs w:val="21"/>
        </w:rPr>
        <w:t>2023</w:t>
      </w:r>
      <w:r>
        <w:rPr>
          <w:szCs w:val="21"/>
        </w:rPr>
        <w:t>年限制性股票激励计划》相关规定，公司回购注销部分激励对象已获授但尚未解除限售的第一类限制性股票共计</w:t>
      </w:r>
      <w:r>
        <w:rPr>
          <w:szCs w:val="21"/>
        </w:rPr>
        <w:t>256,000</w:t>
      </w:r>
      <w:r>
        <w:rPr>
          <w:szCs w:val="21"/>
        </w:rPr>
        <w:t>股，调整限制性股票可撤销现金股利义务增加库存股</w:t>
      </w:r>
      <w:r>
        <w:rPr>
          <w:szCs w:val="21"/>
        </w:rPr>
        <w:t xml:space="preserve"> 25,600.00</w:t>
      </w:r>
      <w:r>
        <w:rPr>
          <w:szCs w:val="21"/>
        </w:rPr>
        <w:t>元。</w:t>
      </w:r>
    </w:p>
    <w:p w:rsidR="00E20B54" w:rsidRDefault="00733C9E">
      <w:pPr>
        <w:pStyle w:val="3"/>
        <w:spacing w:line="280" w:lineRule="exact"/>
        <w:jc w:val="left"/>
        <w:rPr>
          <w:b/>
          <w:bCs/>
        </w:rPr>
      </w:pPr>
      <w:bookmarkStart w:id="331" w:name="_Toc989219"/>
      <w:r>
        <w:rPr>
          <w:b/>
          <w:bCs/>
        </w:rPr>
        <w:t>36</w:t>
      </w:r>
      <w:r>
        <w:rPr>
          <w:b/>
          <w:bCs/>
        </w:rPr>
        <w:t>、其他综合收益</w:t>
      </w:r>
      <w:bookmarkEnd w:id="331"/>
    </w:p>
    <w:p w:rsidR="00E20B54" w:rsidRDefault="00733C9E">
      <w:pPr>
        <w:spacing w:before="40" w:after="40" w:line="240" w:lineRule="exact"/>
        <w:jc w:val="right"/>
        <w:rPr>
          <w:sz w:val="18"/>
          <w:szCs w:val="18"/>
        </w:rPr>
      </w:pPr>
      <w:r>
        <w:rPr>
          <w:sz w:val="18"/>
          <w:szCs w:val="18"/>
        </w:rPr>
        <w:t>单位：元</w:t>
      </w:r>
    </w:p>
    <w:tbl>
      <w:tblPr>
        <w:tblW w:w="5000" w:type="pct"/>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254"/>
        <w:gridCol w:w="1040"/>
        <w:gridCol w:w="1161"/>
        <w:gridCol w:w="1297"/>
        <w:gridCol w:w="1387"/>
        <w:gridCol w:w="800"/>
        <w:gridCol w:w="1115"/>
        <w:gridCol w:w="759"/>
        <w:gridCol w:w="1040"/>
      </w:tblGrid>
      <w:tr w:rsidR="00E20B54" w:rsidTr="000E78D2">
        <w:trPr>
          <w:trHeight w:val="240"/>
          <w:tblHeader/>
        </w:trPr>
        <w:tc>
          <w:tcPr>
            <w:tcW w:w="636" w:type="pct"/>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lastRenderedPageBreak/>
              <w:t>项目</w:t>
            </w:r>
          </w:p>
        </w:tc>
        <w:tc>
          <w:tcPr>
            <w:tcW w:w="528" w:type="pct"/>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期初余额</w:t>
            </w:r>
          </w:p>
        </w:tc>
        <w:tc>
          <w:tcPr>
            <w:tcW w:w="3308" w:type="pct"/>
            <w:gridSpan w:val="6"/>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本期发生额</w:t>
            </w:r>
          </w:p>
        </w:tc>
        <w:tc>
          <w:tcPr>
            <w:tcW w:w="528" w:type="pct"/>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期末余额</w:t>
            </w:r>
          </w:p>
        </w:tc>
      </w:tr>
      <w:tr w:rsidR="00E20B54" w:rsidTr="000E78D2">
        <w:trPr>
          <w:trHeight w:val="240"/>
          <w:tblHeader/>
        </w:trPr>
        <w:tc>
          <w:tcPr>
            <w:tcW w:w="636" w:type="pct"/>
            <w:vMerge/>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c>
          <w:tcPr>
            <w:tcW w:w="528" w:type="pct"/>
            <w:vMerge/>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c>
          <w:tcPr>
            <w:tcW w:w="589" w:type="pc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本期所得税前发生额</w:t>
            </w:r>
          </w:p>
        </w:tc>
        <w:tc>
          <w:tcPr>
            <w:tcW w:w="658" w:type="pc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减：前期计入其他综合收益当期转入损益</w:t>
            </w:r>
          </w:p>
        </w:tc>
        <w:tc>
          <w:tcPr>
            <w:tcW w:w="704" w:type="pc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减：前期计入其他综合收益当期转入留存收益</w:t>
            </w:r>
          </w:p>
        </w:tc>
        <w:tc>
          <w:tcPr>
            <w:tcW w:w="406" w:type="pc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减：所得税费用</w:t>
            </w:r>
          </w:p>
        </w:tc>
        <w:tc>
          <w:tcPr>
            <w:tcW w:w="566" w:type="pc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税后归属于母公司</w:t>
            </w:r>
          </w:p>
        </w:tc>
        <w:tc>
          <w:tcPr>
            <w:tcW w:w="384" w:type="pc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税后归属于少数股东</w:t>
            </w:r>
          </w:p>
        </w:tc>
        <w:tc>
          <w:tcPr>
            <w:tcW w:w="528" w:type="pct"/>
            <w:vMerge/>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r>
      <w:tr w:rsidR="00E20B54" w:rsidTr="000E78D2">
        <w:trPr>
          <w:trHeight w:val="240"/>
        </w:trPr>
        <w:tc>
          <w:tcPr>
            <w:tcW w:w="636" w:type="pc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一、不能重分类进损益的其他综合收益</w:t>
            </w:r>
          </w:p>
        </w:tc>
        <w:tc>
          <w:tcPr>
            <w:tcW w:w="528"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-269,110.00</w:t>
            </w:r>
          </w:p>
        </w:tc>
        <w:tc>
          <w:tcPr>
            <w:tcW w:w="589"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658"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704"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06"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566"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384"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528"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-269,110.00</w:t>
            </w:r>
          </w:p>
        </w:tc>
      </w:tr>
      <w:tr w:rsidR="00E20B54" w:rsidTr="000E78D2">
        <w:trPr>
          <w:trHeight w:val="240"/>
        </w:trPr>
        <w:tc>
          <w:tcPr>
            <w:tcW w:w="636" w:type="pc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200" w:firstLine="360"/>
              <w:rPr>
                <w:sz w:val="18"/>
                <w:szCs w:val="18"/>
              </w:rPr>
            </w:pPr>
            <w:r>
              <w:rPr>
                <w:sz w:val="18"/>
                <w:szCs w:val="18"/>
              </w:rPr>
              <w:t>其他权益工具投资公允价值变动</w:t>
            </w:r>
          </w:p>
        </w:tc>
        <w:tc>
          <w:tcPr>
            <w:tcW w:w="528"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-269,110.00</w:t>
            </w:r>
          </w:p>
        </w:tc>
        <w:tc>
          <w:tcPr>
            <w:tcW w:w="589"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658"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704"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06"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566"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384"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528"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-269,110.00</w:t>
            </w:r>
          </w:p>
        </w:tc>
      </w:tr>
      <w:tr w:rsidR="00E20B54" w:rsidTr="000E78D2">
        <w:trPr>
          <w:trHeight w:val="240"/>
        </w:trPr>
        <w:tc>
          <w:tcPr>
            <w:tcW w:w="636" w:type="pc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二、将重分类进损益的其他综合收益</w:t>
            </w:r>
          </w:p>
        </w:tc>
        <w:tc>
          <w:tcPr>
            <w:tcW w:w="528"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-333,931.44</w:t>
            </w:r>
          </w:p>
        </w:tc>
        <w:tc>
          <w:tcPr>
            <w:tcW w:w="589"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-95,026.02</w:t>
            </w:r>
          </w:p>
        </w:tc>
        <w:tc>
          <w:tcPr>
            <w:tcW w:w="658"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704"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06"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566"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-95,026.02</w:t>
            </w:r>
          </w:p>
        </w:tc>
        <w:tc>
          <w:tcPr>
            <w:tcW w:w="384"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528"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-428,957.46</w:t>
            </w:r>
          </w:p>
        </w:tc>
      </w:tr>
      <w:tr w:rsidR="00E20B54" w:rsidTr="000E78D2">
        <w:trPr>
          <w:trHeight w:val="240"/>
        </w:trPr>
        <w:tc>
          <w:tcPr>
            <w:tcW w:w="636" w:type="pc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200" w:firstLine="360"/>
              <w:rPr>
                <w:sz w:val="18"/>
                <w:szCs w:val="18"/>
              </w:rPr>
            </w:pPr>
            <w:r>
              <w:rPr>
                <w:sz w:val="18"/>
                <w:szCs w:val="18"/>
              </w:rPr>
              <w:t>外币财务报表折算差额</w:t>
            </w:r>
          </w:p>
        </w:tc>
        <w:tc>
          <w:tcPr>
            <w:tcW w:w="528"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-333,931.44</w:t>
            </w:r>
          </w:p>
        </w:tc>
        <w:tc>
          <w:tcPr>
            <w:tcW w:w="589"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-95,026.02</w:t>
            </w:r>
          </w:p>
        </w:tc>
        <w:tc>
          <w:tcPr>
            <w:tcW w:w="658"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704"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06"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566"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-95,026.02</w:t>
            </w:r>
          </w:p>
        </w:tc>
        <w:tc>
          <w:tcPr>
            <w:tcW w:w="384"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528"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-428,957.46</w:t>
            </w:r>
          </w:p>
        </w:tc>
      </w:tr>
      <w:tr w:rsidR="00E20B54" w:rsidTr="000E78D2">
        <w:trPr>
          <w:trHeight w:val="240"/>
        </w:trPr>
        <w:tc>
          <w:tcPr>
            <w:tcW w:w="636" w:type="pc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其他综合收益合计</w:t>
            </w:r>
          </w:p>
        </w:tc>
        <w:tc>
          <w:tcPr>
            <w:tcW w:w="528"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-603,041.44</w:t>
            </w:r>
          </w:p>
        </w:tc>
        <w:tc>
          <w:tcPr>
            <w:tcW w:w="589"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-95,026.02</w:t>
            </w:r>
          </w:p>
        </w:tc>
        <w:tc>
          <w:tcPr>
            <w:tcW w:w="658"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704"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406"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566"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-95,026.02</w:t>
            </w:r>
          </w:p>
        </w:tc>
        <w:tc>
          <w:tcPr>
            <w:tcW w:w="384"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528"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-698,067.46</w:t>
            </w:r>
          </w:p>
        </w:tc>
      </w:tr>
    </w:tbl>
    <w:p w:rsidR="00E20B54" w:rsidRDefault="00733C9E">
      <w:pPr>
        <w:spacing w:before="100" w:after="100" w:line="240" w:lineRule="exact"/>
        <w:rPr>
          <w:sz w:val="18"/>
          <w:szCs w:val="18"/>
        </w:rPr>
      </w:pPr>
      <w:r>
        <w:rPr>
          <w:sz w:val="18"/>
          <w:szCs w:val="18"/>
        </w:rPr>
        <w:t>其他说明，包括对现金流量套期损益的有效部分转为被套期项目初始确认金额调整：</w:t>
      </w:r>
      <w:r w:rsidR="000E78D2">
        <w:rPr>
          <w:rFonts w:hint="eastAsia"/>
          <w:sz w:val="18"/>
          <w:szCs w:val="18"/>
        </w:rPr>
        <w:t>无。</w:t>
      </w:r>
    </w:p>
    <w:p w:rsidR="00E20B54" w:rsidRDefault="00733C9E">
      <w:pPr>
        <w:pStyle w:val="3"/>
        <w:spacing w:line="280" w:lineRule="exact"/>
        <w:jc w:val="left"/>
        <w:rPr>
          <w:b/>
          <w:bCs/>
        </w:rPr>
      </w:pPr>
      <w:bookmarkStart w:id="332" w:name="_Toc989220"/>
      <w:r>
        <w:rPr>
          <w:b/>
          <w:bCs/>
        </w:rPr>
        <w:t>37</w:t>
      </w:r>
      <w:r>
        <w:rPr>
          <w:b/>
          <w:bCs/>
        </w:rPr>
        <w:t>、盈余公积</w:t>
      </w:r>
      <w:bookmarkEnd w:id="332"/>
    </w:p>
    <w:p w:rsidR="00E20B54" w:rsidRDefault="00733C9E">
      <w:pPr>
        <w:spacing w:before="40" w:after="40" w:line="240" w:lineRule="exact"/>
        <w:jc w:val="right"/>
        <w:rPr>
          <w:sz w:val="18"/>
          <w:szCs w:val="18"/>
        </w:rPr>
      </w:pPr>
      <w:r>
        <w:rPr>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927"/>
        <w:gridCol w:w="1928"/>
        <w:gridCol w:w="1928"/>
        <w:gridCol w:w="1928"/>
        <w:gridCol w:w="1928"/>
      </w:tblGrid>
      <w:tr w:rsidR="00E20B54">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项目</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期初余额</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本期增加</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本期减少</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期末余额</w:t>
            </w:r>
          </w:p>
        </w:tc>
      </w:tr>
      <w:tr w:rsidR="00E20B54">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法定盈余公积</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25,904,440.33</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25,904,440.33</w:t>
            </w:r>
          </w:p>
        </w:tc>
      </w:tr>
      <w:tr w:rsidR="00E20B54">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合计</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25,904,440.33</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25,904,440.33</w:t>
            </w:r>
          </w:p>
        </w:tc>
      </w:tr>
    </w:tbl>
    <w:p w:rsidR="00E20B54" w:rsidRDefault="00733C9E">
      <w:pPr>
        <w:spacing w:before="100" w:after="100" w:line="240" w:lineRule="exact"/>
        <w:rPr>
          <w:sz w:val="18"/>
          <w:szCs w:val="18"/>
        </w:rPr>
      </w:pPr>
      <w:r>
        <w:rPr>
          <w:sz w:val="18"/>
          <w:szCs w:val="18"/>
        </w:rPr>
        <w:t>盈余公积说明，包括本期增减变动情况、变动原因说明：</w:t>
      </w:r>
      <w:r w:rsidR="000E78D2">
        <w:rPr>
          <w:rFonts w:hint="eastAsia"/>
          <w:sz w:val="18"/>
          <w:szCs w:val="18"/>
        </w:rPr>
        <w:t>无</w:t>
      </w:r>
    </w:p>
    <w:p w:rsidR="00E20B54" w:rsidRDefault="00733C9E">
      <w:pPr>
        <w:pStyle w:val="3"/>
        <w:spacing w:line="280" w:lineRule="exact"/>
        <w:jc w:val="left"/>
        <w:rPr>
          <w:b/>
          <w:bCs/>
        </w:rPr>
      </w:pPr>
      <w:bookmarkStart w:id="333" w:name="_Toc989221"/>
      <w:r>
        <w:rPr>
          <w:b/>
          <w:bCs/>
        </w:rPr>
        <w:t>38</w:t>
      </w:r>
      <w:r>
        <w:rPr>
          <w:b/>
          <w:bCs/>
        </w:rPr>
        <w:t>、未分配利润</w:t>
      </w:r>
      <w:bookmarkEnd w:id="333"/>
    </w:p>
    <w:p w:rsidR="00E20B54" w:rsidRDefault="00733C9E">
      <w:pPr>
        <w:spacing w:before="40" w:after="40" w:line="240" w:lineRule="exact"/>
        <w:jc w:val="right"/>
        <w:rPr>
          <w:sz w:val="18"/>
          <w:szCs w:val="18"/>
        </w:rPr>
      </w:pPr>
      <w:r>
        <w:rPr>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132"/>
        <w:gridCol w:w="3294"/>
      </w:tblGrid>
      <w:tr w:rsidR="00E20B54" w:rsidTr="000E78D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项目</w:t>
            </w:r>
          </w:p>
        </w:tc>
        <w:tc>
          <w:tcPr>
            <w:tcW w:w="3132"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本期</w:t>
            </w:r>
          </w:p>
        </w:tc>
        <w:tc>
          <w:tcPr>
            <w:tcW w:w="3294"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上期</w:t>
            </w:r>
          </w:p>
        </w:tc>
      </w:tr>
      <w:tr w:rsidR="00E20B54" w:rsidTr="000E78D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调整前上期末未分配利润</w:t>
            </w:r>
          </w:p>
        </w:tc>
        <w:tc>
          <w:tcPr>
            <w:tcW w:w="3132"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120,283,337.88</w:t>
            </w:r>
          </w:p>
        </w:tc>
        <w:tc>
          <w:tcPr>
            <w:tcW w:w="3294"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176,446,442.34</w:t>
            </w:r>
          </w:p>
        </w:tc>
      </w:tr>
      <w:tr w:rsidR="00E20B54" w:rsidTr="000E78D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调整后期初未分配利润</w:t>
            </w:r>
          </w:p>
        </w:tc>
        <w:tc>
          <w:tcPr>
            <w:tcW w:w="3132"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120,283,337.88</w:t>
            </w:r>
          </w:p>
        </w:tc>
        <w:tc>
          <w:tcPr>
            <w:tcW w:w="3294"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176,446,442.34</w:t>
            </w:r>
          </w:p>
        </w:tc>
      </w:tr>
      <w:tr w:rsidR="00E20B54" w:rsidTr="000E78D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加：本期归属于母公司所有者的净利润</w:t>
            </w:r>
          </w:p>
        </w:tc>
        <w:tc>
          <w:tcPr>
            <w:tcW w:w="3132"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7,489,613.54</w:t>
            </w:r>
          </w:p>
        </w:tc>
        <w:tc>
          <w:tcPr>
            <w:tcW w:w="3294"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-49,552,838.46</w:t>
            </w:r>
          </w:p>
        </w:tc>
      </w:tr>
      <w:tr w:rsidR="00E20B54" w:rsidTr="000E78D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200" w:firstLine="360"/>
              <w:rPr>
                <w:sz w:val="18"/>
                <w:szCs w:val="18"/>
              </w:rPr>
            </w:pPr>
            <w:r>
              <w:rPr>
                <w:sz w:val="18"/>
                <w:szCs w:val="18"/>
              </w:rPr>
              <w:t>应付普通股股利</w:t>
            </w:r>
          </w:p>
        </w:tc>
        <w:tc>
          <w:tcPr>
            <w:tcW w:w="3132"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3294"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6,610,266.00</w:t>
            </w:r>
          </w:p>
        </w:tc>
      </w:tr>
      <w:tr w:rsidR="00E20B54" w:rsidTr="000E78D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9D9D9" w:themeFill="background1" w:themeFillShade="D9"/>
            <w:vAlign w:val="center"/>
          </w:tcPr>
          <w:p w:rsidR="00E20B54" w:rsidRDefault="00733C9E">
            <w:pPr>
              <w:spacing w:line="240" w:lineRule="exact"/>
              <w:rPr>
                <w:sz w:val="18"/>
                <w:szCs w:val="18"/>
              </w:rPr>
            </w:pPr>
            <w:r>
              <w:rPr>
                <w:sz w:val="18"/>
                <w:szCs w:val="18"/>
              </w:rPr>
              <w:t>调整限制性股票可撤销现金股利</w:t>
            </w:r>
          </w:p>
        </w:tc>
        <w:tc>
          <w:tcPr>
            <w:tcW w:w="3132"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-25,600.00</w:t>
            </w:r>
          </w:p>
        </w:tc>
        <w:tc>
          <w:tcPr>
            <w:tcW w:w="3294"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r w:rsidR="00E20B54" w:rsidTr="000E78D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期末未分配利润</w:t>
            </w:r>
          </w:p>
        </w:tc>
        <w:tc>
          <w:tcPr>
            <w:tcW w:w="3132"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127,798,551.42</w:t>
            </w:r>
          </w:p>
        </w:tc>
        <w:tc>
          <w:tcPr>
            <w:tcW w:w="3294"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120,283,337.88</w:t>
            </w:r>
          </w:p>
        </w:tc>
      </w:tr>
    </w:tbl>
    <w:p w:rsidR="00E20B54" w:rsidRDefault="00733C9E">
      <w:pPr>
        <w:spacing w:before="100" w:after="100" w:line="240" w:lineRule="exact"/>
        <w:rPr>
          <w:sz w:val="18"/>
          <w:szCs w:val="18"/>
        </w:rPr>
      </w:pPr>
      <w:r>
        <w:rPr>
          <w:sz w:val="18"/>
          <w:szCs w:val="18"/>
        </w:rPr>
        <w:t>调整期初未分配利润明细：</w:t>
      </w:r>
    </w:p>
    <w:p w:rsidR="00E20B54" w:rsidRDefault="00733C9E">
      <w:pPr>
        <w:spacing w:before="100" w:after="100" w:line="240" w:lineRule="exact"/>
        <w:rPr>
          <w:sz w:val="18"/>
          <w:szCs w:val="18"/>
        </w:rPr>
      </w:pPr>
      <w:r>
        <w:rPr>
          <w:sz w:val="18"/>
          <w:szCs w:val="18"/>
        </w:rPr>
        <w:t>1</w:t>
      </w:r>
      <w:r>
        <w:rPr>
          <w:sz w:val="18"/>
          <w:szCs w:val="18"/>
        </w:rPr>
        <w:t>）、由于《企业会计准则》及其相关新规定进行追溯调整，影响期初未分配利润</w:t>
      </w:r>
      <w:r>
        <w:rPr>
          <w:sz w:val="18"/>
          <w:szCs w:val="18"/>
        </w:rPr>
        <w:t>0.00</w:t>
      </w:r>
      <w:r>
        <w:rPr>
          <w:sz w:val="18"/>
          <w:szCs w:val="18"/>
        </w:rPr>
        <w:t>元。</w:t>
      </w:r>
    </w:p>
    <w:p w:rsidR="00E20B54" w:rsidRDefault="00733C9E">
      <w:pPr>
        <w:spacing w:before="100" w:after="100" w:line="240" w:lineRule="exact"/>
        <w:rPr>
          <w:sz w:val="18"/>
          <w:szCs w:val="18"/>
        </w:rPr>
      </w:pPr>
      <w:r>
        <w:rPr>
          <w:sz w:val="18"/>
          <w:szCs w:val="18"/>
        </w:rPr>
        <w:t>2</w:t>
      </w:r>
      <w:r>
        <w:rPr>
          <w:sz w:val="18"/>
          <w:szCs w:val="18"/>
        </w:rPr>
        <w:t>）、由于会计政策变更，影响期初未分配利润</w:t>
      </w:r>
      <w:r>
        <w:rPr>
          <w:sz w:val="18"/>
          <w:szCs w:val="18"/>
        </w:rPr>
        <w:t>0.00</w:t>
      </w:r>
      <w:r>
        <w:rPr>
          <w:sz w:val="18"/>
          <w:szCs w:val="18"/>
        </w:rPr>
        <w:t>元。</w:t>
      </w:r>
    </w:p>
    <w:p w:rsidR="00E20B54" w:rsidRDefault="00733C9E">
      <w:pPr>
        <w:spacing w:before="100" w:after="100" w:line="240" w:lineRule="exact"/>
        <w:rPr>
          <w:sz w:val="18"/>
          <w:szCs w:val="18"/>
        </w:rPr>
      </w:pPr>
      <w:r>
        <w:rPr>
          <w:sz w:val="18"/>
          <w:szCs w:val="18"/>
        </w:rPr>
        <w:t>3</w:t>
      </w:r>
      <w:r>
        <w:rPr>
          <w:sz w:val="18"/>
          <w:szCs w:val="18"/>
        </w:rPr>
        <w:t>）、由于重大会计差错更正，影响期初未分配利润</w:t>
      </w:r>
      <w:r>
        <w:rPr>
          <w:sz w:val="18"/>
          <w:szCs w:val="18"/>
        </w:rPr>
        <w:t>0.00</w:t>
      </w:r>
      <w:r>
        <w:rPr>
          <w:sz w:val="18"/>
          <w:szCs w:val="18"/>
        </w:rPr>
        <w:t>元。</w:t>
      </w:r>
    </w:p>
    <w:p w:rsidR="00E20B54" w:rsidRDefault="00733C9E">
      <w:pPr>
        <w:spacing w:before="100" w:after="100" w:line="240" w:lineRule="exact"/>
        <w:rPr>
          <w:sz w:val="18"/>
          <w:szCs w:val="18"/>
        </w:rPr>
      </w:pPr>
      <w:r>
        <w:rPr>
          <w:sz w:val="18"/>
          <w:szCs w:val="18"/>
        </w:rPr>
        <w:lastRenderedPageBreak/>
        <w:t>4</w:t>
      </w:r>
      <w:r>
        <w:rPr>
          <w:sz w:val="18"/>
          <w:szCs w:val="18"/>
        </w:rPr>
        <w:t>）、由于同一控制导致的合并范围变更，影响期初未分配利润</w:t>
      </w:r>
      <w:r>
        <w:rPr>
          <w:sz w:val="18"/>
          <w:szCs w:val="18"/>
        </w:rPr>
        <w:t>0.00</w:t>
      </w:r>
      <w:r>
        <w:rPr>
          <w:sz w:val="18"/>
          <w:szCs w:val="18"/>
        </w:rPr>
        <w:t>元。</w:t>
      </w:r>
    </w:p>
    <w:p w:rsidR="00E20B54" w:rsidRDefault="00733C9E">
      <w:pPr>
        <w:spacing w:before="100" w:after="100" w:line="240" w:lineRule="exact"/>
        <w:rPr>
          <w:sz w:val="18"/>
          <w:szCs w:val="18"/>
        </w:rPr>
      </w:pPr>
      <w:r>
        <w:rPr>
          <w:sz w:val="18"/>
          <w:szCs w:val="18"/>
        </w:rPr>
        <w:t>5</w:t>
      </w:r>
      <w:r>
        <w:rPr>
          <w:sz w:val="18"/>
          <w:szCs w:val="18"/>
        </w:rPr>
        <w:t>）、其他调整合计影响期初未分配利润</w:t>
      </w:r>
      <w:r>
        <w:rPr>
          <w:sz w:val="18"/>
          <w:szCs w:val="18"/>
        </w:rPr>
        <w:t>0.00</w:t>
      </w:r>
      <w:r>
        <w:rPr>
          <w:sz w:val="18"/>
          <w:szCs w:val="18"/>
        </w:rPr>
        <w:t>元。</w:t>
      </w:r>
    </w:p>
    <w:p w:rsidR="00E20B54" w:rsidRDefault="00733C9E">
      <w:pPr>
        <w:spacing w:before="100" w:after="100" w:line="240" w:lineRule="exact"/>
        <w:rPr>
          <w:sz w:val="18"/>
          <w:szCs w:val="18"/>
        </w:rPr>
      </w:pPr>
      <w:r>
        <w:rPr>
          <w:sz w:val="18"/>
          <w:szCs w:val="18"/>
        </w:rPr>
        <w:t>使用资本公积弥补亏损详细情况说明：</w:t>
      </w:r>
      <w:r w:rsidR="00E671DD">
        <w:rPr>
          <w:rFonts w:hint="eastAsia"/>
          <w:sz w:val="18"/>
          <w:szCs w:val="18"/>
        </w:rPr>
        <w:t>无。</w:t>
      </w:r>
    </w:p>
    <w:p w:rsidR="00E20B54" w:rsidRDefault="00733C9E">
      <w:pPr>
        <w:pStyle w:val="3"/>
        <w:spacing w:line="280" w:lineRule="exact"/>
        <w:jc w:val="left"/>
        <w:rPr>
          <w:b/>
          <w:bCs/>
        </w:rPr>
      </w:pPr>
      <w:bookmarkStart w:id="334" w:name="_Toc989222"/>
      <w:r>
        <w:rPr>
          <w:b/>
          <w:bCs/>
        </w:rPr>
        <w:t>39</w:t>
      </w:r>
      <w:r>
        <w:rPr>
          <w:b/>
          <w:bCs/>
        </w:rPr>
        <w:t>、营业收入和营业成本</w:t>
      </w:r>
      <w:bookmarkEnd w:id="334"/>
    </w:p>
    <w:p w:rsidR="00E20B54" w:rsidRDefault="00733C9E">
      <w:pPr>
        <w:spacing w:before="40" w:after="40" w:line="240" w:lineRule="exact"/>
        <w:jc w:val="right"/>
        <w:rPr>
          <w:sz w:val="18"/>
          <w:szCs w:val="18"/>
        </w:rPr>
      </w:pPr>
      <w:r>
        <w:rPr>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927"/>
        <w:gridCol w:w="1928"/>
        <w:gridCol w:w="1928"/>
        <w:gridCol w:w="1928"/>
        <w:gridCol w:w="1928"/>
      </w:tblGrid>
      <w:tr w:rsidR="00E20B54">
        <w:trPr>
          <w:trHeight w:val="240"/>
        </w:trPr>
        <w:tc>
          <w:tcPr>
            <w:tcW w:w="1928"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项目</w:t>
            </w:r>
          </w:p>
        </w:tc>
        <w:tc>
          <w:tcPr>
            <w:tcW w:w="3856"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本期发生额</w:t>
            </w:r>
          </w:p>
        </w:tc>
        <w:tc>
          <w:tcPr>
            <w:tcW w:w="3856"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上期发生额</w:t>
            </w:r>
          </w:p>
        </w:tc>
      </w:tr>
      <w:tr w:rsidR="00E20B54">
        <w:trPr>
          <w:trHeight w:val="240"/>
        </w:trPr>
        <w:tc>
          <w:tcPr>
            <w:tcW w:w="1928"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收入</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成本</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收入</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成本</w:t>
            </w:r>
          </w:p>
        </w:tc>
      </w:tr>
      <w:tr w:rsidR="00E20B54">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主营业务</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476,864,776.49</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351,915,132.21</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222,149,039.25</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194,156,829.92</w:t>
            </w:r>
          </w:p>
        </w:tc>
      </w:tr>
      <w:tr w:rsidR="00E20B54">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其他业务</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128,260.51</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1,483,969.86</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r w:rsidR="00E20B54">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合计</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476,993,037.00</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351,915,132.21</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223,633,009.11</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194,156,829.92</w:t>
            </w:r>
          </w:p>
        </w:tc>
      </w:tr>
    </w:tbl>
    <w:p w:rsidR="00E20B54" w:rsidRDefault="00733C9E">
      <w:pPr>
        <w:spacing w:before="100" w:after="100" w:line="240" w:lineRule="exact"/>
        <w:rPr>
          <w:sz w:val="18"/>
          <w:szCs w:val="18"/>
        </w:rPr>
      </w:pPr>
      <w:r>
        <w:rPr>
          <w:sz w:val="18"/>
          <w:szCs w:val="18"/>
        </w:rPr>
        <w:t>公司报告期内经审计利润总额、净利润、扣除非经常性损益后的净利润三者孰低为负值</w:t>
      </w:r>
    </w:p>
    <w:p w:rsidR="00E20B54" w:rsidRDefault="00733C9E">
      <w:pPr>
        <w:spacing w:before="40" w:after="40" w:line="240" w:lineRule="exact"/>
        <w:rPr>
          <w:sz w:val="18"/>
          <w:szCs w:val="18"/>
        </w:rPr>
      </w:pPr>
      <w:r>
        <w:rPr>
          <w:sz w:val="18"/>
          <w:szCs w:val="18"/>
        </w:rPr>
        <w:t>□</w:t>
      </w:r>
      <w:r>
        <w:rPr>
          <w:sz w:val="18"/>
          <w:szCs w:val="18"/>
        </w:rPr>
        <w:t>是</w:t>
      </w:r>
      <w:r>
        <w:rPr>
          <w:sz w:val="18"/>
          <w:szCs w:val="18"/>
        </w:rPr>
        <w:t xml:space="preserve"> </w:t>
      </w:r>
      <w:r>
        <w:rPr>
          <w:sz w:val="18"/>
          <w:szCs w:val="18"/>
        </w:rPr>
        <w:sym w:font="Wingdings 2" w:char="F052"/>
      </w:r>
      <w:r>
        <w:rPr>
          <w:sz w:val="18"/>
          <w:szCs w:val="18"/>
        </w:rPr>
        <w:t>否</w:t>
      </w:r>
    </w:p>
    <w:p w:rsidR="00E20B54" w:rsidRDefault="00733C9E">
      <w:pPr>
        <w:spacing w:line="240" w:lineRule="exact"/>
        <w:rPr>
          <w:sz w:val="18"/>
          <w:szCs w:val="18"/>
        </w:rPr>
      </w:pPr>
      <w:r>
        <w:rPr>
          <w:sz w:val="18"/>
          <w:szCs w:val="18"/>
        </w:rPr>
        <w:t>营业收入、营业成本的分解信息：</w:t>
      </w:r>
    </w:p>
    <w:p w:rsidR="00E20B54" w:rsidRDefault="00733C9E">
      <w:pPr>
        <w:spacing w:before="40" w:after="40" w:line="240" w:lineRule="exact"/>
        <w:jc w:val="right"/>
        <w:rPr>
          <w:sz w:val="18"/>
          <w:szCs w:val="18"/>
        </w:rPr>
      </w:pPr>
      <w:r>
        <w:rPr>
          <w:sz w:val="18"/>
          <w:szCs w:val="18"/>
        </w:rPr>
        <w:t>单位：元</w:t>
      </w:r>
    </w:p>
    <w:tbl>
      <w:tblPr>
        <w:tblW w:w="5000" w:type="pct"/>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970"/>
        <w:gridCol w:w="1970"/>
        <w:gridCol w:w="1971"/>
        <w:gridCol w:w="1971"/>
        <w:gridCol w:w="1971"/>
      </w:tblGrid>
      <w:tr w:rsidR="00561B6F" w:rsidTr="00561B6F">
        <w:trPr>
          <w:trHeight w:val="240"/>
          <w:tblHeader/>
        </w:trPr>
        <w:tc>
          <w:tcPr>
            <w:tcW w:w="1000" w:type="pct"/>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561B6F" w:rsidRDefault="00561B6F">
            <w:pPr>
              <w:spacing w:before="40" w:after="40" w:line="240" w:lineRule="exact"/>
              <w:jc w:val="center"/>
              <w:rPr>
                <w:sz w:val="18"/>
                <w:szCs w:val="18"/>
              </w:rPr>
            </w:pPr>
            <w:r>
              <w:rPr>
                <w:sz w:val="18"/>
                <w:szCs w:val="18"/>
              </w:rPr>
              <w:t>合同分类</w:t>
            </w:r>
          </w:p>
        </w:tc>
        <w:tc>
          <w:tcPr>
            <w:tcW w:w="2000" w:type="pct"/>
            <w:gridSpan w:val="2"/>
            <w:tcBorders>
              <w:top w:val="single" w:sz="2" w:space="0" w:color="auto"/>
              <w:left w:val="single" w:sz="2" w:space="0" w:color="auto"/>
              <w:bottom w:val="single" w:sz="2" w:space="0" w:color="auto"/>
              <w:right w:val="single" w:sz="2" w:space="0" w:color="auto"/>
            </w:tcBorders>
            <w:shd w:val="clear" w:color="auto" w:fill="D3D3D3"/>
            <w:vAlign w:val="center"/>
          </w:tcPr>
          <w:p w:rsidR="00561B6F" w:rsidRDefault="00561B6F">
            <w:pPr>
              <w:spacing w:before="40" w:after="40" w:line="240" w:lineRule="exact"/>
              <w:jc w:val="center"/>
              <w:rPr>
                <w:sz w:val="18"/>
                <w:szCs w:val="18"/>
              </w:rPr>
            </w:pPr>
            <w:r>
              <w:rPr>
                <w:sz w:val="18"/>
                <w:szCs w:val="18"/>
              </w:rPr>
              <w:t>分部</w:t>
            </w:r>
            <w:r>
              <w:rPr>
                <w:sz w:val="18"/>
                <w:szCs w:val="18"/>
              </w:rPr>
              <w:t>1</w:t>
            </w:r>
          </w:p>
        </w:tc>
        <w:tc>
          <w:tcPr>
            <w:tcW w:w="2000" w:type="pct"/>
            <w:gridSpan w:val="2"/>
            <w:tcBorders>
              <w:top w:val="single" w:sz="2" w:space="0" w:color="auto"/>
              <w:left w:val="single" w:sz="2" w:space="0" w:color="auto"/>
              <w:bottom w:val="single" w:sz="2" w:space="0" w:color="auto"/>
              <w:right w:val="single" w:sz="2" w:space="0" w:color="auto"/>
            </w:tcBorders>
            <w:shd w:val="clear" w:color="auto" w:fill="D3D3D3"/>
            <w:vAlign w:val="center"/>
          </w:tcPr>
          <w:p w:rsidR="00561B6F" w:rsidRDefault="00561B6F">
            <w:pPr>
              <w:spacing w:before="40" w:after="40" w:line="240" w:lineRule="exact"/>
              <w:jc w:val="center"/>
              <w:rPr>
                <w:sz w:val="18"/>
                <w:szCs w:val="18"/>
              </w:rPr>
            </w:pPr>
            <w:r>
              <w:rPr>
                <w:sz w:val="18"/>
                <w:szCs w:val="18"/>
              </w:rPr>
              <w:t>合计</w:t>
            </w:r>
          </w:p>
        </w:tc>
      </w:tr>
      <w:tr w:rsidR="00561B6F" w:rsidTr="00561B6F">
        <w:trPr>
          <w:trHeight w:val="240"/>
          <w:tblHeader/>
        </w:trPr>
        <w:tc>
          <w:tcPr>
            <w:tcW w:w="1000" w:type="pct"/>
            <w:vMerge/>
            <w:tcBorders>
              <w:top w:val="single" w:sz="2" w:space="0" w:color="auto"/>
              <w:left w:val="single" w:sz="2" w:space="0" w:color="auto"/>
              <w:bottom w:val="single" w:sz="2" w:space="0" w:color="auto"/>
              <w:right w:val="single" w:sz="2" w:space="0" w:color="auto"/>
            </w:tcBorders>
            <w:shd w:val="clear" w:color="auto" w:fill="D3D3D3"/>
            <w:vAlign w:val="center"/>
          </w:tcPr>
          <w:p w:rsidR="00561B6F" w:rsidRDefault="00561B6F"/>
        </w:tc>
        <w:tc>
          <w:tcPr>
            <w:tcW w:w="1000" w:type="pct"/>
            <w:tcBorders>
              <w:top w:val="single" w:sz="2" w:space="0" w:color="auto"/>
              <w:left w:val="single" w:sz="2" w:space="0" w:color="auto"/>
              <w:bottom w:val="single" w:sz="2" w:space="0" w:color="auto"/>
              <w:right w:val="single" w:sz="2" w:space="0" w:color="auto"/>
            </w:tcBorders>
            <w:shd w:val="clear" w:color="auto" w:fill="D3D3D3"/>
            <w:vAlign w:val="center"/>
          </w:tcPr>
          <w:p w:rsidR="00561B6F" w:rsidRDefault="00561B6F">
            <w:pPr>
              <w:spacing w:before="40" w:after="40" w:line="240" w:lineRule="exact"/>
              <w:jc w:val="center"/>
              <w:rPr>
                <w:sz w:val="18"/>
                <w:szCs w:val="18"/>
              </w:rPr>
            </w:pPr>
            <w:r>
              <w:rPr>
                <w:sz w:val="18"/>
                <w:szCs w:val="18"/>
              </w:rPr>
              <w:t>营业收入</w:t>
            </w:r>
          </w:p>
        </w:tc>
        <w:tc>
          <w:tcPr>
            <w:tcW w:w="1000" w:type="pct"/>
            <w:tcBorders>
              <w:top w:val="single" w:sz="2" w:space="0" w:color="auto"/>
              <w:left w:val="single" w:sz="2" w:space="0" w:color="auto"/>
              <w:bottom w:val="single" w:sz="2" w:space="0" w:color="auto"/>
              <w:right w:val="single" w:sz="2" w:space="0" w:color="auto"/>
            </w:tcBorders>
            <w:shd w:val="clear" w:color="auto" w:fill="D3D3D3"/>
            <w:vAlign w:val="center"/>
          </w:tcPr>
          <w:p w:rsidR="00561B6F" w:rsidRDefault="00561B6F">
            <w:pPr>
              <w:spacing w:before="40" w:after="40" w:line="240" w:lineRule="exact"/>
              <w:jc w:val="center"/>
              <w:rPr>
                <w:sz w:val="18"/>
                <w:szCs w:val="18"/>
              </w:rPr>
            </w:pPr>
            <w:r>
              <w:rPr>
                <w:sz w:val="18"/>
                <w:szCs w:val="18"/>
              </w:rPr>
              <w:t>营业成本</w:t>
            </w:r>
          </w:p>
        </w:tc>
        <w:tc>
          <w:tcPr>
            <w:tcW w:w="1000" w:type="pct"/>
            <w:tcBorders>
              <w:top w:val="single" w:sz="2" w:space="0" w:color="auto"/>
              <w:left w:val="single" w:sz="2" w:space="0" w:color="auto"/>
              <w:bottom w:val="single" w:sz="2" w:space="0" w:color="auto"/>
              <w:right w:val="single" w:sz="2" w:space="0" w:color="auto"/>
            </w:tcBorders>
            <w:shd w:val="clear" w:color="auto" w:fill="D3D3D3"/>
            <w:vAlign w:val="center"/>
          </w:tcPr>
          <w:p w:rsidR="00561B6F" w:rsidRDefault="00561B6F">
            <w:pPr>
              <w:spacing w:before="40" w:after="40" w:line="240" w:lineRule="exact"/>
              <w:jc w:val="center"/>
              <w:rPr>
                <w:sz w:val="18"/>
                <w:szCs w:val="18"/>
              </w:rPr>
            </w:pPr>
            <w:r>
              <w:rPr>
                <w:sz w:val="18"/>
                <w:szCs w:val="18"/>
              </w:rPr>
              <w:t>营业收入</w:t>
            </w:r>
          </w:p>
        </w:tc>
        <w:tc>
          <w:tcPr>
            <w:tcW w:w="1000" w:type="pct"/>
            <w:tcBorders>
              <w:top w:val="single" w:sz="2" w:space="0" w:color="auto"/>
              <w:left w:val="single" w:sz="2" w:space="0" w:color="auto"/>
              <w:bottom w:val="single" w:sz="2" w:space="0" w:color="auto"/>
              <w:right w:val="single" w:sz="2" w:space="0" w:color="auto"/>
            </w:tcBorders>
            <w:shd w:val="clear" w:color="auto" w:fill="D3D3D3"/>
            <w:vAlign w:val="center"/>
          </w:tcPr>
          <w:p w:rsidR="00561B6F" w:rsidRDefault="00561B6F">
            <w:pPr>
              <w:spacing w:before="40" w:after="40" w:line="240" w:lineRule="exact"/>
              <w:jc w:val="center"/>
              <w:rPr>
                <w:sz w:val="18"/>
                <w:szCs w:val="18"/>
              </w:rPr>
            </w:pPr>
            <w:r>
              <w:rPr>
                <w:sz w:val="18"/>
                <w:szCs w:val="18"/>
              </w:rPr>
              <w:t>营业成本</w:t>
            </w:r>
          </w:p>
        </w:tc>
      </w:tr>
      <w:tr w:rsidR="00561B6F" w:rsidTr="00561B6F">
        <w:trPr>
          <w:trHeight w:val="240"/>
        </w:trPr>
        <w:tc>
          <w:tcPr>
            <w:tcW w:w="1000" w:type="pct"/>
            <w:tcBorders>
              <w:top w:val="single" w:sz="2" w:space="0" w:color="auto"/>
              <w:left w:val="single" w:sz="2" w:space="0" w:color="auto"/>
              <w:bottom w:val="single" w:sz="2" w:space="0" w:color="auto"/>
              <w:right w:val="single" w:sz="2" w:space="0" w:color="auto"/>
            </w:tcBorders>
            <w:shd w:val="clear" w:color="auto" w:fill="D3D3D3"/>
            <w:vAlign w:val="center"/>
          </w:tcPr>
          <w:p w:rsidR="00561B6F" w:rsidRDefault="00561B6F">
            <w:pPr>
              <w:spacing w:before="40" w:after="40" w:line="240" w:lineRule="exact"/>
              <w:rPr>
                <w:sz w:val="18"/>
                <w:szCs w:val="18"/>
              </w:rPr>
            </w:pPr>
            <w:r>
              <w:rPr>
                <w:sz w:val="18"/>
                <w:szCs w:val="18"/>
              </w:rPr>
              <w:t>业务类型</w:t>
            </w:r>
          </w:p>
        </w:tc>
        <w:tc>
          <w:tcPr>
            <w:tcW w:w="1000" w:type="pct"/>
            <w:tcBorders>
              <w:top w:val="single" w:sz="2" w:space="0" w:color="auto"/>
              <w:left w:val="single" w:sz="2" w:space="0" w:color="auto"/>
              <w:bottom w:val="single" w:sz="2" w:space="0" w:color="auto"/>
              <w:right w:val="single" w:sz="2" w:space="0" w:color="auto"/>
            </w:tcBorders>
            <w:vAlign w:val="center"/>
          </w:tcPr>
          <w:p w:rsidR="00561B6F" w:rsidRDefault="00561B6F">
            <w:pPr>
              <w:spacing w:line="240" w:lineRule="exact"/>
              <w:jc w:val="right"/>
              <w:rPr>
                <w:sz w:val="18"/>
                <w:szCs w:val="18"/>
              </w:rPr>
            </w:pPr>
            <w:r>
              <w:rPr>
                <w:sz w:val="18"/>
                <w:szCs w:val="18"/>
              </w:rPr>
              <w:t>476,993,037.00</w:t>
            </w:r>
          </w:p>
        </w:tc>
        <w:tc>
          <w:tcPr>
            <w:tcW w:w="1000" w:type="pct"/>
            <w:tcBorders>
              <w:top w:val="single" w:sz="2" w:space="0" w:color="auto"/>
              <w:left w:val="single" w:sz="2" w:space="0" w:color="auto"/>
              <w:bottom w:val="single" w:sz="2" w:space="0" w:color="auto"/>
              <w:right w:val="single" w:sz="2" w:space="0" w:color="auto"/>
            </w:tcBorders>
            <w:vAlign w:val="center"/>
          </w:tcPr>
          <w:p w:rsidR="00561B6F" w:rsidRDefault="00561B6F">
            <w:pPr>
              <w:spacing w:line="240" w:lineRule="exact"/>
              <w:jc w:val="right"/>
              <w:rPr>
                <w:sz w:val="18"/>
                <w:szCs w:val="18"/>
              </w:rPr>
            </w:pPr>
            <w:r>
              <w:rPr>
                <w:sz w:val="18"/>
                <w:szCs w:val="18"/>
              </w:rPr>
              <w:t>351,915,132.21</w:t>
            </w:r>
          </w:p>
        </w:tc>
        <w:tc>
          <w:tcPr>
            <w:tcW w:w="1000" w:type="pct"/>
            <w:tcBorders>
              <w:top w:val="single" w:sz="2" w:space="0" w:color="auto"/>
              <w:left w:val="single" w:sz="2" w:space="0" w:color="auto"/>
              <w:bottom w:val="single" w:sz="2" w:space="0" w:color="auto"/>
              <w:right w:val="single" w:sz="2" w:space="0" w:color="auto"/>
            </w:tcBorders>
            <w:vAlign w:val="center"/>
          </w:tcPr>
          <w:p w:rsidR="00561B6F" w:rsidRDefault="00561B6F">
            <w:pPr>
              <w:spacing w:line="240" w:lineRule="exact"/>
              <w:jc w:val="right"/>
              <w:rPr>
                <w:sz w:val="18"/>
                <w:szCs w:val="18"/>
              </w:rPr>
            </w:pPr>
            <w:r>
              <w:rPr>
                <w:sz w:val="18"/>
                <w:szCs w:val="18"/>
              </w:rPr>
              <w:t>476,993,037.00</w:t>
            </w:r>
          </w:p>
        </w:tc>
        <w:tc>
          <w:tcPr>
            <w:tcW w:w="1000" w:type="pct"/>
            <w:tcBorders>
              <w:top w:val="single" w:sz="2" w:space="0" w:color="auto"/>
              <w:left w:val="single" w:sz="2" w:space="0" w:color="auto"/>
              <w:bottom w:val="single" w:sz="2" w:space="0" w:color="auto"/>
              <w:right w:val="single" w:sz="2" w:space="0" w:color="auto"/>
            </w:tcBorders>
            <w:vAlign w:val="center"/>
          </w:tcPr>
          <w:p w:rsidR="00561B6F" w:rsidRDefault="00561B6F">
            <w:pPr>
              <w:spacing w:line="240" w:lineRule="exact"/>
              <w:jc w:val="right"/>
              <w:rPr>
                <w:sz w:val="18"/>
                <w:szCs w:val="18"/>
              </w:rPr>
            </w:pPr>
            <w:r>
              <w:rPr>
                <w:sz w:val="18"/>
                <w:szCs w:val="18"/>
              </w:rPr>
              <w:t>351,915,132.21</w:t>
            </w:r>
          </w:p>
        </w:tc>
      </w:tr>
      <w:tr w:rsidR="00561B6F" w:rsidTr="00561B6F">
        <w:trPr>
          <w:trHeight w:val="240"/>
        </w:trPr>
        <w:tc>
          <w:tcPr>
            <w:tcW w:w="1000" w:type="pct"/>
            <w:tcBorders>
              <w:top w:val="single" w:sz="2" w:space="0" w:color="auto"/>
              <w:left w:val="single" w:sz="2" w:space="0" w:color="auto"/>
              <w:bottom w:val="single" w:sz="2" w:space="0" w:color="auto"/>
              <w:right w:val="single" w:sz="2" w:space="0" w:color="auto"/>
            </w:tcBorders>
            <w:shd w:val="clear" w:color="auto" w:fill="D3D3D3"/>
            <w:vAlign w:val="center"/>
          </w:tcPr>
          <w:p w:rsidR="00561B6F" w:rsidRDefault="00561B6F">
            <w:pPr>
              <w:spacing w:before="40" w:after="40" w:line="240" w:lineRule="exact"/>
              <w:rPr>
                <w:sz w:val="18"/>
                <w:szCs w:val="18"/>
              </w:rPr>
            </w:pPr>
            <w:r>
              <w:rPr>
                <w:sz w:val="18"/>
                <w:szCs w:val="18"/>
              </w:rPr>
              <w:t>其中：</w:t>
            </w:r>
          </w:p>
        </w:tc>
        <w:tc>
          <w:tcPr>
            <w:tcW w:w="1000" w:type="pct"/>
            <w:tcBorders>
              <w:top w:val="single" w:sz="2" w:space="0" w:color="auto"/>
              <w:left w:val="single" w:sz="2" w:space="0" w:color="auto"/>
              <w:bottom w:val="single" w:sz="2" w:space="0" w:color="auto"/>
              <w:right w:val="single" w:sz="2" w:space="0" w:color="auto"/>
            </w:tcBorders>
            <w:shd w:val="clear" w:color="auto" w:fill="D3D3D3"/>
            <w:vAlign w:val="center"/>
          </w:tcPr>
          <w:p w:rsidR="00561B6F" w:rsidRDefault="00561B6F"/>
        </w:tc>
        <w:tc>
          <w:tcPr>
            <w:tcW w:w="1000" w:type="pct"/>
            <w:tcBorders>
              <w:top w:val="single" w:sz="2" w:space="0" w:color="auto"/>
              <w:left w:val="single" w:sz="2" w:space="0" w:color="auto"/>
              <w:bottom w:val="single" w:sz="2" w:space="0" w:color="auto"/>
              <w:right w:val="single" w:sz="2" w:space="0" w:color="auto"/>
            </w:tcBorders>
            <w:shd w:val="clear" w:color="auto" w:fill="D3D3D3"/>
            <w:vAlign w:val="center"/>
          </w:tcPr>
          <w:p w:rsidR="00561B6F" w:rsidRDefault="00561B6F"/>
        </w:tc>
        <w:tc>
          <w:tcPr>
            <w:tcW w:w="1000" w:type="pct"/>
            <w:tcBorders>
              <w:top w:val="single" w:sz="2" w:space="0" w:color="auto"/>
              <w:left w:val="single" w:sz="2" w:space="0" w:color="auto"/>
              <w:bottom w:val="single" w:sz="2" w:space="0" w:color="auto"/>
              <w:right w:val="single" w:sz="2" w:space="0" w:color="auto"/>
            </w:tcBorders>
            <w:shd w:val="clear" w:color="auto" w:fill="D3D3D3"/>
            <w:vAlign w:val="center"/>
          </w:tcPr>
          <w:p w:rsidR="00561B6F" w:rsidRDefault="00561B6F"/>
        </w:tc>
        <w:tc>
          <w:tcPr>
            <w:tcW w:w="1000" w:type="pct"/>
            <w:tcBorders>
              <w:top w:val="single" w:sz="2" w:space="0" w:color="auto"/>
              <w:left w:val="single" w:sz="2" w:space="0" w:color="auto"/>
              <w:bottom w:val="single" w:sz="2" w:space="0" w:color="auto"/>
              <w:right w:val="single" w:sz="2" w:space="0" w:color="auto"/>
            </w:tcBorders>
            <w:shd w:val="clear" w:color="auto" w:fill="D3D3D3"/>
            <w:vAlign w:val="center"/>
          </w:tcPr>
          <w:p w:rsidR="00561B6F" w:rsidRDefault="00561B6F"/>
        </w:tc>
      </w:tr>
      <w:tr w:rsidR="00561B6F" w:rsidTr="00561B6F">
        <w:trPr>
          <w:trHeight w:val="240"/>
        </w:trPr>
        <w:tc>
          <w:tcPr>
            <w:tcW w:w="1000" w:type="pct"/>
            <w:tcBorders>
              <w:top w:val="single" w:sz="2" w:space="0" w:color="auto"/>
              <w:left w:val="single" w:sz="2" w:space="0" w:color="auto"/>
              <w:bottom w:val="single" w:sz="2" w:space="0" w:color="auto"/>
              <w:right w:val="single" w:sz="2" w:space="0" w:color="auto"/>
            </w:tcBorders>
            <w:vAlign w:val="center"/>
          </w:tcPr>
          <w:p w:rsidR="00561B6F" w:rsidRDefault="00561B6F">
            <w:pPr>
              <w:spacing w:line="240" w:lineRule="exact"/>
              <w:rPr>
                <w:sz w:val="18"/>
                <w:szCs w:val="18"/>
              </w:rPr>
            </w:pPr>
            <w:r>
              <w:rPr>
                <w:sz w:val="18"/>
                <w:szCs w:val="18"/>
              </w:rPr>
              <w:t>信息系统集成</w:t>
            </w:r>
          </w:p>
        </w:tc>
        <w:tc>
          <w:tcPr>
            <w:tcW w:w="1000" w:type="pct"/>
            <w:tcBorders>
              <w:top w:val="single" w:sz="2" w:space="0" w:color="auto"/>
              <w:left w:val="single" w:sz="2" w:space="0" w:color="auto"/>
              <w:bottom w:val="single" w:sz="2" w:space="0" w:color="auto"/>
              <w:right w:val="single" w:sz="2" w:space="0" w:color="auto"/>
            </w:tcBorders>
            <w:vAlign w:val="center"/>
          </w:tcPr>
          <w:p w:rsidR="00561B6F" w:rsidRDefault="00561B6F">
            <w:pPr>
              <w:spacing w:line="240" w:lineRule="exact"/>
              <w:jc w:val="right"/>
              <w:rPr>
                <w:sz w:val="18"/>
                <w:szCs w:val="18"/>
              </w:rPr>
            </w:pPr>
            <w:r>
              <w:rPr>
                <w:sz w:val="18"/>
                <w:szCs w:val="18"/>
              </w:rPr>
              <w:t>239,105,520.33</w:t>
            </w:r>
          </w:p>
        </w:tc>
        <w:tc>
          <w:tcPr>
            <w:tcW w:w="1000" w:type="pct"/>
            <w:tcBorders>
              <w:top w:val="single" w:sz="2" w:space="0" w:color="auto"/>
              <w:left w:val="single" w:sz="2" w:space="0" w:color="auto"/>
              <w:bottom w:val="single" w:sz="2" w:space="0" w:color="auto"/>
              <w:right w:val="single" w:sz="2" w:space="0" w:color="auto"/>
            </w:tcBorders>
            <w:vAlign w:val="center"/>
          </w:tcPr>
          <w:p w:rsidR="00561B6F" w:rsidRDefault="00561B6F">
            <w:pPr>
              <w:spacing w:line="240" w:lineRule="exact"/>
              <w:jc w:val="right"/>
              <w:rPr>
                <w:sz w:val="18"/>
                <w:szCs w:val="18"/>
              </w:rPr>
            </w:pPr>
            <w:r>
              <w:rPr>
                <w:sz w:val="18"/>
                <w:szCs w:val="18"/>
              </w:rPr>
              <w:t>191,584,103.48</w:t>
            </w:r>
          </w:p>
        </w:tc>
        <w:tc>
          <w:tcPr>
            <w:tcW w:w="1000" w:type="pct"/>
            <w:tcBorders>
              <w:top w:val="single" w:sz="2" w:space="0" w:color="auto"/>
              <w:left w:val="single" w:sz="2" w:space="0" w:color="auto"/>
              <w:bottom w:val="single" w:sz="2" w:space="0" w:color="auto"/>
              <w:right w:val="single" w:sz="2" w:space="0" w:color="auto"/>
            </w:tcBorders>
            <w:vAlign w:val="center"/>
          </w:tcPr>
          <w:p w:rsidR="00561B6F" w:rsidRDefault="00561B6F">
            <w:pPr>
              <w:spacing w:line="240" w:lineRule="exact"/>
              <w:jc w:val="right"/>
              <w:rPr>
                <w:sz w:val="18"/>
                <w:szCs w:val="18"/>
              </w:rPr>
            </w:pPr>
            <w:r>
              <w:rPr>
                <w:sz w:val="18"/>
                <w:szCs w:val="18"/>
              </w:rPr>
              <w:t>239,105,520.33</w:t>
            </w:r>
          </w:p>
        </w:tc>
        <w:tc>
          <w:tcPr>
            <w:tcW w:w="1000" w:type="pct"/>
            <w:tcBorders>
              <w:top w:val="single" w:sz="2" w:space="0" w:color="auto"/>
              <w:left w:val="single" w:sz="2" w:space="0" w:color="auto"/>
              <w:bottom w:val="single" w:sz="2" w:space="0" w:color="auto"/>
              <w:right w:val="single" w:sz="2" w:space="0" w:color="auto"/>
            </w:tcBorders>
            <w:vAlign w:val="center"/>
          </w:tcPr>
          <w:p w:rsidR="00561B6F" w:rsidRDefault="00561B6F">
            <w:pPr>
              <w:spacing w:line="240" w:lineRule="exact"/>
              <w:jc w:val="right"/>
              <w:rPr>
                <w:sz w:val="18"/>
                <w:szCs w:val="18"/>
              </w:rPr>
            </w:pPr>
            <w:r>
              <w:rPr>
                <w:sz w:val="18"/>
                <w:szCs w:val="18"/>
              </w:rPr>
              <w:t>191,584,103.48</w:t>
            </w:r>
          </w:p>
        </w:tc>
      </w:tr>
      <w:tr w:rsidR="00561B6F" w:rsidTr="00561B6F">
        <w:trPr>
          <w:trHeight w:val="240"/>
        </w:trPr>
        <w:tc>
          <w:tcPr>
            <w:tcW w:w="1000" w:type="pct"/>
            <w:tcBorders>
              <w:top w:val="single" w:sz="2" w:space="0" w:color="auto"/>
              <w:left w:val="single" w:sz="2" w:space="0" w:color="auto"/>
              <w:bottom w:val="single" w:sz="2" w:space="0" w:color="auto"/>
              <w:right w:val="single" w:sz="2" w:space="0" w:color="auto"/>
            </w:tcBorders>
            <w:vAlign w:val="center"/>
          </w:tcPr>
          <w:p w:rsidR="00561B6F" w:rsidRDefault="00561B6F">
            <w:pPr>
              <w:spacing w:line="240" w:lineRule="exact"/>
              <w:rPr>
                <w:sz w:val="18"/>
                <w:szCs w:val="18"/>
              </w:rPr>
            </w:pPr>
            <w:r>
              <w:rPr>
                <w:sz w:val="18"/>
                <w:szCs w:val="18"/>
              </w:rPr>
              <w:t>软件及技术服务</w:t>
            </w:r>
          </w:p>
        </w:tc>
        <w:tc>
          <w:tcPr>
            <w:tcW w:w="1000" w:type="pct"/>
            <w:tcBorders>
              <w:top w:val="single" w:sz="2" w:space="0" w:color="auto"/>
              <w:left w:val="single" w:sz="2" w:space="0" w:color="auto"/>
              <w:bottom w:val="single" w:sz="2" w:space="0" w:color="auto"/>
              <w:right w:val="single" w:sz="2" w:space="0" w:color="auto"/>
            </w:tcBorders>
            <w:vAlign w:val="center"/>
          </w:tcPr>
          <w:p w:rsidR="00561B6F" w:rsidRDefault="00561B6F">
            <w:pPr>
              <w:spacing w:line="240" w:lineRule="exact"/>
              <w:jc w:val="right"/>
              <w:rPr>
                <w:sz w:val="18"/>
                <w:szCs w:val="18"/>
              </w:rPr>
            </w:pPr>
            <w:r>
              <w:rPr>
                <w:sz w:val="18"/>
                <w:szCs w:val="18"/>
              </w:rPr>
              <w:t>53,365,885.90</w:t>
            </w:r>
          </w:p>
        </w:tc>
        <w:tc>
          <w:tcPr>
            <w:tcW w:w="1000" w:type="pct"/>
            <w:tcBorders>
              <w:top w:val="single" w:sz="2" w:space="0" w:color="auto"/>
              <w:left w:val="single" w:sz="2" w:space="0" w:color="auto"/>
              <w:bottom w:val="single" w:sz="2" w:space="0" w:color="auto"/>
              <w:right w:val="single" w:sz="2" w:space="0" w:color="auto"/>
            </w:tcBorders>
            <w:vAlign w:val="center"/>
          </w:tcPr>
          <w:p w:rsidR="00561B6F" w:rsidRDefault="00561B6F">
            <w:pPr>
              <w:spacing w:line="240" w:lineRule="exact"/>
              <w:jc w:val="right"/>
              <w:rPr>
                <w:sz w:val="18"/>
                <w:szCs w:val="18"/>
              </w:rPr>
            </w:pPr>
            <w:r>
              <w:rPr>
                <w:sz w:val="18"/>
                <w:szCs w:val="18"/>
              </w:rPr>
              <w:t>34,142,805.52</w:t>
            </w:r>
          </w:p>
        </w:tc>
        <w:tc>
          <w:tcPr>
            <w:tcW w:w="1000" w:type="pct"/>
            <w:tcBorders>
              <w:top w:val="single" w:sz="2" w:space="0" w:color="auto"/>
              <w:left w:val="single" w:sz="2" w:space="0" w:color="auto"/>
              <w:bottom w:val="single" w:sz="2" w:space="0" w:color="auto"/>
              <w:right w:val="single" w:sz="2" w:space="0" w:color="auto"/>
            </w:tcBorders>
            <w:vAlign w:val="center"/>
          </w:tcPr>
          <w:p w:rsidR="00561B6F" w:rsidRDefault="00561B6F">
            <w:pPr>
              <w:spacing w:line="240" w:lineRule="exact"/>
              <w:jc w:val="right"/>
              <w:rPr>
                <w:sz w:val="18"/>
                <w:szCs w:val="18"/>
              </w:rPr>
            </w:pPr>
            <w:r>
              <w:rPr>
                <w:sz w:val="18"/>
                <w:szCs w:val="18"/>
              </w:rPr>
              <w:t>53,365,885.90</w:t>
            </w:r>
          </w:p>
        </w:tc>
        <w:tc>
          <w:tcPr>
            <w:tcW w:w="1000" w:type="pct"/>
            <w:tcBorders>
              <w:top w:val="single" w:sz="2" w:space="0" w:color="auto"/>
              <w:left w:val="single" w:sz="2" w:space="0" w:color="auto"/>
              <w:bottom w:val="single" w:sz="2" w:space="0" w:color="auto"/>
              <w:right w:val="single" w:sz="2" w:space="0" w:color="auto"/>
            </w:tcBorders>
            <w:vAlign w:val="center"/>
          </w:tcPr>
          <w:p w:rsidR="00561B6F" w:rsidRDefault="00561B6F">
            <w:pPr>
              <w:spacing w:line="240" w:lineRule="exact"/>
              <w:jc w:val="right"/>
              <w:rPr>
                <w:sz w:val="18"/>
                <w:szCs w:val="18"/>
              </w:rPr>
            </w:pPr>
            <w:r>
              <w:rPr>
                <w:sz w:val="18"/>
                <w:szCs w:val="18"/>
              </w:rPr>
              <w:t>34,142,805.52</w:t>
            </w:r>
          </w:p>
        </w:tc>
      </w:tr>
      <w:tr w:rsidR="00561B6F" w:rsidTr="00561B6F">
        <w:trPr>
          <w:trHeight w:val="240"/>
        </w:trPr>
        <w:tc>
          <w:tcPr>
            <w:tcW w:w="1000" w:type="pct"/>
            <w:tcBorders>
              <w:top w:val="single" w:sz="2" w:space="0" w:color="auto"/>
              <w:left w:val="single" w:sz="2" w:space="0" w:color="auto"/>
              <w:bottom w:val="single" w:sz="2" w:space="0" w:color="auto"/>
              <w:right w:val="single" w:sz="2" w:space="0" w:color="auto"/>
            </w:tcBorders>
            <w:vAlign w:val="center"/>
          </w:tcPr>
          <w:p w:rsidR="00561B6F" w:rsidRDefault="00561B6F">
            <w:pPr>
              <w:spacing w:line="240" w:lineRule="exact"/>
              <w:rPr>
                <w:sz w:val="18"/>
                <w:szCs w:val="18"/>
              </w:rPr>
            </w:pPr>
            <w:r>
              <w:rPr>
                <w:sz w:val="18"/>
                <w:szCs w:val="18"/>
              </w:rPr>
              <w:t>信息系统运维服务</w:t>
            </w:r>
          </w:p>
        </w:tc>
        <w:tc>
          <w:tcPr>
            <w:tcW w:w="1000" w:type="pct"/>
            <w:tcBorders>
              <w:top w:val="single" w:sz="2" w:space="0" w:color="auto"/>
              <w:left w:val="single" w:sz="2" w:space="0" w:color="auto"/>
              <w:bottom w:val="single" w:sz="2" w:space="0" w:color="auto"/>
              <w:right w:val="single" w:sz="2" w:space="0" w:color="auto"/>
            </w:tcBorders>
            <w:vAlign w:val="center"/>
          </w:tcPr>
          <w:p w:rsidR="00561B6F" w:rsidRDefault="00561B6F">
            <w:pPr>
              <w:spacing w:line="240" w:lineRule="exact"/>
              <w:jc w:val="right"/>
              <w:rPr>
                <w:sz w:val="18"/>
                <w:szCs w:val="18"/>
              </w:rPr>
            </w:pPr>
            <w:r>
              <w:rPr>
                <w:sz w:val="18"/>
                <w:szCs w:val="18"/>
              </w:rPr>
              <w:t>12,375,250.02</w:t>
            </w:r>
          </w:p>
        </w:tc>
        <w:tc>
          <w:tcPr>
            <w:tcW w:w="1000" w:type="pct"/>
            <w:tcBorders>
              <w:top w:val="single" w:sz="2" w:space="0" w:color="auto"/>
              <w:left w:val="single" w:sz="2" w:space="0" w:color="auto"/>
              <w:bottom w:val="single" w:sz="2" w:space="0" w:color="auto"/>
              <w:right w:val="single" w:sz="2" w:space="0" w:color="auto"/>
            </w:tcBorders>
            <w:vAlign w:val="center"/>
          </w:tcPr>
          <w:p w:rsidR="00561B6F" w:rsidRDefault="00561B6F">
            <w:pPr>
              <w:spacing w:line="240" w:lineRule="exact"/>
              <w:jc w:val="right"/>
              <w:rPr>
                <w:sz w:val="18"/>
                <w:szCs w:val="18"/>
              </w:rPr>
            </w:pPr>
            <w:r>
              <w:rPr>
                <w:sz w:val="18"/>
                <w:szCs w:val="18"/>
              </w:rPr>
              <w:t>8,262,160.38</w:t>
            </w:r>
          </w:p>
        </w:tc>
        <w:tc>
          <w:tcPr>
            <w:tcW w:w="1000" w:type="pct"/>
            <w:tcBorders>
              <w:top w:val="single" w:sz="2" w:space="0" w:color="auto"/>
              <w:left w:val="single" w:sz="2" w:space="0" w:color="auto"/>
              <w:bottom w:val="single" w:sz="2" w:space="0" w:color="auto"/>
              <w:right w:val="single" w:sz="2" w:space="0" w:color="auto"/>
            </w:tcBorders>
            <w:vAlign w:val="center"/>
          </w:tcPr>
          <w:p w:rsidR="00561B6F" w:rsidRDefault="00561B6F">
            <w:pPr>
              <w:spacing w:line="240" w:lineRule="exact"/>
              <w:jc w:val="right"/>
              <w:rPr>
                <w:sz w:val="18"/>
                <w:szCs w:val="18"/>
              </w:rPr>
            </w:pPr>
            <w:r>
              <w:rPr>
                <w:sz w:val="18"/>
                <w:szCs w:val="18"/>
              </w:rPr>
              <w:t>12,375,250.02</w:t>
            </w:r>
          </w:p>
        </w:tc>
        <w:tc>
          <w:tcPr>
            <w:tcW w:w="1000" w:type="pct"/>
            <w:tcBorders>
              <w:top w:val="single" w:sz="2" w:space="0" w:color="auto"/>
              <w:left w:val="single" w:sz="2" w:space="0" w:color="auto"/>
              <w:bottom w:val="single" w:sz="2" w:space="0" w:color="auto"/>
              <w:right w:val="single" w:sz="2" w:space="0" w:color="auto"/>
            </w:tcBorders>
            <w:vAlign w:val="center"/>
          </w:tcPr>
          <w:p w:rsidR="00561B6F" w:rsidRDefault="00561B6F">
            <w:pPr>
              <w:spacing w:line="240" w:lineRule="exact"/>
              <w:jc w:val="right"/>
              <w:rPr>
                <w:sz w:val="18"/>
                <w:szCs w:val="18"/>
              </w:rPr>
            </w:pPr>
            <w:r>
              <w:rPr>
                <w:sz w:val="18"/>
                <w:szCs w:val="18"/>
              </w:rPr>
              <w:t>8,262,160.38</w:t>
            </w:r>
          </w:p>
        </w:tc>
      </w:tr>
      <w:tr w:rsidR="00561B6F" w:rsidTr="00561B6F">
        <w:trPr>
          <w:trHeight w:val="240"/>
        </w:trPr>
        <w:tc>
          <w:tcPr>
            <w:tcW w:w="1000" w:type="pct"/>
            <w:tcBorders>
              <w:top w:val="single" w:sz="2" w:space="0" w:color="auto"/>
              <w:left w:val="single" w:sz="2" w:space="0" w:color="auto"/>
              <w:bottom w:val="single" w:sz="2" w:space="0" w:color="auto"/>
              <w:right w:val="single" w:sz="2" w:space="0" w:color="auto"/>
            </w:tcBorders>
            <w:vAlign w:val="center"/>
          </w:tcPr>
          <w:p w:rsidR="00561B6F" w:rsidRDefault="00561B6F">
            <w:pPr>
              <w:spacing w:line="240" w:lineRule="exact"/>
              <w:rPr>
                <w:sz w:val="18"/>
                <w:szCs w:val="18"/>
              </w:rPr>
            </w:pPr>
            <w:r>
              <w:rPr>
                <w:sz w:val="18"/>
                <w:szCs w:val="18"/>
              </w:rPr>
              <w:t>信息设备销售</w:t>
            </w:r>
          </w:p>
        </w:tc>
        <w:tc>
          <w:tcPr>
            <w:tcW w:w="1000" w:type="pct"/>
            <w:tcBorders>
              <w:top w:val="single" w:sz="2" w:space="0" w:color="auto"/>
              <w:left w:val="single" w:sz="2" w:space="0" w:color="auto"/>
              <w:bottom w:val="single" w:sz="2" w:space="0" w:color="auto"/>
              <w:right w:val="single" w:sz="2" w:space="0" w:color="auto"/>
            </w:tcBorders>
            <w:vAlign w:val="center"/>
          </w:tcPr>
          <w:p w:rsidR="00561B6F" w:rsidRDefault="00561B6F">
            <w:pPr>
              <w:spacing w:line="240" w:lineRule="exact"/>
              <w:jc w:val="right"/>
              <w:rPr>
                <w:sz w:val="18"/>
                <w:szCs w:val="18"/>
              </w:rPr>
            </w:pPr>
            <w:r>
              <w:rPr>
                <w:sz w:val="18"/>
                <w:szCs w:val="18"/>
              </w:rPr>
              <w:t>84,553,442.65</w:t>
            </w:r>
          </w:p>
        </w:tc>
        <w:tc>
          <w:tcPr>
            <w:tcW w:w="1000" w:type="pct"/>
            <w:tcBorders>
              <w:top w:val="single" w:sz="2" w:space="0" w:color="auto"/>
              <w:left w:val="single" w:sz="2" w:space="0" w:color="auto"/>
              <w:bottom w:val="single" w:sz="2" w:space="0" w:color="auto"/>
              <w:right w:val="single" w:sz="2" w:space="0" w:color="auto"/>
            </w:tcBorders>
            <w:vAlign w:val="center"/>
          </w:tcPr>
          <w:p w:rsidR="00561B6F" w:rsidRDefault="00561B6F">
            <w:pPr>
              <w:spacing w:line="240" w:lineRule="exact"/>
              <w:jc w:val="right"/>
              <w:rPr>
                <w:sz w:val="18"/>
                <w:szCs w:val="18"/>
              </w:rPr>
            </w:pPr>
            <w:r>
              <w:rPr>
                <w:sz w:val="18"/>
                <w:szCs w:val="18"/>
              </w:rPr>
              <w:t>75,222,555.55</w:t>
            </w:r>
          </w:p>
        </w:tc>
        <w:tc>
          <w:tcPr>
            <w:tcW w:w="1000" w:type="pct"/>
            <w:tcBorders>
              <w:top w:val="single" w:sz="2" w:space="0" w:color="auto"/>
              <w:left w:val="single" w:sz="2" w:space="0" w:color="auto"/>
              <w:bottom w:val="single" w:sz="2" w:space="0" w:color="auto"/>
              <w:right w:val="single" w:sz="2" w:space="0" w:color="auto"/>
            </w:tcBorders>
            <w:vAlign w:val="center"/>
          </w:tcPr>
          <w:p w:rsidR="00561B6F" w:rsidRDefault="00561B6F">
            <w:pPr>
              <w:spacing w:line="240" w:lineRule="exact"/>
              <w:jc w:val="right"/>
              <w:rPr>
                <w:sz w:val="18"/>
                <w:szCs w:val="18"/>
              </w:rPr>
            </w:pPr>
            <w:r>
              <w:rPr>
                <w:sz w:val="18"/>
                <w:szCs w:val="18"/>
              </w:rPr>
              <w:t>84,553,442.65</w:t>
            </w:r>
          </w:p>
        </w:tc>
        <w:tc>
          <w:tcPr>
            <w:tcW w:w="1000" w:type="pct"/>
            <w:tcBorders>
              <w:top w:val="single" w:sz="2" w:space="0" w:color="auto"/>
              <w:left w:val="single" w:sz="2" w:space="0" w:color="auto"/>
              <w:bottom w:val="single" w:sz="2" w:space="0" w:color="auto"/>
              <w:right w:val="single" w:sz="2" w:space="0" w:color="auto"/>
            </w:tcBorders>
            <w:vAlign w:val="center"/>
          </w:tcPr>
          <w:p w:rsidR="00561B6F" w:rsidRDefault="00561B6F">
            <w:pPr>
              <w:spacing w:line="240" w:lineRule="exact"/>
              <w:jc w:val="right"/>
              <w:rPr>
                <w:sz w:val="18"/>
                <w:szCs w:val="18"/>
              </w:rPr>
            </w:pPr>
            <w:r>
              <w:rPr>
                <w:sz w:val="18"/>
                <w:szCs w:val="18"/>
              </w:rPr>
              <w:t>75,222,555.55</w:t>
            </w:r>
          </w:p>
        </w:tc>
      </w:tr>
      <w:tr w:rsidR="00561B6F" w:rsidTr="00561B6F">
        <w:trPr>
          <w:trHeight w:val="240"/>
        </w:trPr>
        <w:tc>
          <w:tcPr>
            <w:tcW w:w="1000" w:type="pct"/>
            <w:tcBorders>
              <w:top w:val="single" w:sz="2" w:space="0" w:color="auto"/>
              <w:left w:val="single" w:sz="2" w:space="0" w:color="auto"/>
              <w:bottom w:val="single" w:sz="2" w:space="0" w:color="auto"/>
              <w:right w:val="single" w:sz="2" w:space="0" w:color="auto"/>
            </w:tcBorders>
            <w:vAlign w:val="center"/>
          </w:tcPr>
          <w:p w:rsidR="00561B6F" w:rsidRDefault="00561B6F">
            <w:pPr>
              <w:spacing w:line="240" w:lineRule="exact"/>
              <w:rPr>
                <w:sz w:val="18"/>
                <w:szCs w:val="18"/>
              </w:rPr>
            </w:pPr>
            <w:r>
              <w:rPr>
                <w:sz w:val="18"/>
                <w:szCs w:val="18"/>
              </w:rPr>
              <w:t>算力服务</w:t>
            </w:r>
          </w:p>
        </w:tc>
        <w:tc>
          <w:tcPr>
            <w:tcW w:w="1000" w:type="pct"/>
            <w:tcBorders>
              <w:top w:val="single" w:sz="2" w:space="0" w:color="auto"/>
              <w:left w:val="single" w:sz="2" w:space="0" w:color="auto"/>
              <w:bottom w:val="single" w:sz="2" w:space="0" w:color="auto"/>
              <w:right w:val="single" w:sz="2" w:space="0" w:color="auto"/>
            </w:tcBorders>
            <w:vAlign w:val="center"/>
          </w:tcPr>
          <w:p w:rsidR="00561B6F" w:rsidRDefault="00561B6F">
            <w:pPr>
              <w:spacing w:line="240" w:lineRule="exact"/>
              <w:jc w:val="right"/>
              <w:rPr>
                <w:sz w:val="18"/>
                <w:szCs w:val="18"/>
              </w:rPr>
            </w:pPr>
            <w:r>
              <w:rPr>
                <w:sz w:val="18"/>
                <w:szCs w:val="18"/>
              </w:rPr>
              <w:t>66,165,689.04</w:t>
            </w:r>
          </w:p>
        </w:tc>
        <w:tc>
          <w:tcPr>
            <w:tcW w:w="1000" w:type="pct"/>
            <w:tcBorders>
              <w:top w:val="single" w:sz="2" w:space="0" w:color="auto"/>
              <w:left w:val="single" w:sz="2" w:space="0" w:color="auto"/>
              <w:bottom w:val="single" w:sz="2" w:space="0" w:color="auto"/>
              <w:right w:val="single" w:sz="2" w:space="0" w:color="auto"/>
            </w:tcBorders>
            <w:vAlign w:val="center"/>
          </w:tcPr>
          <w:p w:rsidR="00561B6F" w:rsidRDefault="00561B6F">
            <w:pPr>
              <w:spacing w:line="240" w:lineRule="exact"/>
              <w:jc w:val="right"/>
              <w:rPr>
                <w:sz w:val="18"/>
                <w:szCs w:val="18"/>
              </w:rPr>
            </w:pPr>
            <w:r>
              <w:rPr>
                <w:sz w:val="18"/>
                <w:szCs w:val="18"/>
              </w:rPr>
              <w:t>34,988,018.50</w:t>
            </w:r>
          </w:p>
        </w:tc>
        <w:tc>
          <w:tcPr>
            <w:tcW w:w="1000" w:type="pct"/>
            <w:tcBorders>
              <w:top w:val="single" w:sz="2" w:space="0" w:color="auto"/>
              <w:left w:val="single" w:sz="2" w:space="0" w:color="auto"/>
              <w:bottom w:val="single" w:sz="2" w:space="0" w:color="auto"/>
              <w:right w:val="single" w:sz="2" w:space="0" w:color="auto"/>
            </w:tcBorders>
            <w:vAlign w:val="center"/>
          </w:tcPr>
          <w:p w:rsidR="00561B6F" w:rsidRDefault="00561B6F">
            <w:pPr>
              <w:spacing w:line="240" w:lineRule="exact"/>
              <w:jc w:val="right"/>
              <w:rPr>
                <w:sz w:val="18"/>
                <w:szCs w:val="18"/>
              </w:rPr>
            </w:pPr>
            <w:r>
              <w:rPr>
                <w:sz w:val="18"/>
                <w:szCs w:val="18"/>
              </w:rPr>
              <w:t>66,165,689.04</w:t>
            </w:r>
          </w:p>
        </w:tc>
        <w:tc>
          <w:tcPr>
            <w:tcW w:w="1000" w:type="pct"/>
            <w:tcBorders>
              <w:top w:val="single" w:sz="2" w:space="0" w:color="auto"/>
              <w:left w:val="single" w:sz="2" w:space="0" w:color="auto"/>
              <w:bottom w:val="single" w:sz="2" w:space="0" w:color="auto"/>
              <w:right w:val="single" w:sz="2" w:space="0" w:color="auto"/>
            </w:tcBorders>
            <w:vAlign w:val="center"/>
          </w:tcPr>
          <w:p w:rsidR="00561B6F" w:rsidRDefault="00561B6F">
            <w:pPr>
              <w:spacing w:line="240" w:lineRule="exact"/>
              <w:jc w:val="right"/>
              <w:rPr>
                <w:sz w:val="18"/>
                <w:szCs w:val="18"/>
              </w:rPr>
            </w:pPr>
            <w:r>
              <w:rPr>
                <w:sz w:val="18"/>
                <w:szCs w:val="18"/>
              </w:rPr>
              <w:t>34,988,018.50</w:t>
            </w:r>
          </w:p>
        </w:tc>
      </w:tr>
      <w:tr w:rsidR="00561B6F" w:rsidTr="00561B6F">
        <w:trPr>
          <w:trHeight w:val="240"/>
        </w:trPr>
        <w:tc>
          <w:tcPr>
            <w:tcW w:w="1000" w:type="pct"/>
            <w:tcBorders>
              <w:top w:val="single" w:sz="2" w:space="0" w:color="auto"/>
              <w:left w:val="single" w:sz="2" w:space="0" w:color="auto"/>
              <w:bottom w:val="single" w:sz="2" w:space="0" w:color="auto"/>
              <w:right w:val="single" w:sz="2" w:space="0" w:color="auto"/>
            </w:tcBorders>
            <w:vAlign w:val="center"/>
          </w:tcPr>
          <w:p w:rsidR="00561B6F" w:rsidRDefault="00561B6F">
            <w:pPr>
              <w:spacing w:line="240" w:lineRule="exact"/>
              <w:rPr>
                <w:sz w:val="18"/>
                <w:szCs w:val="18"/>
              </w:rPr>
            </w:pPr>
            <w:r>
              <w:rPr>
                <w:sz w:val="18"/>
                <w:szCs w:val="18"/>
              </w:rPr>
              <w:t>光伏发电</w:t>
            </w:r>
          </w:p>
        </w:tc>
        <w:tc>
          <w:tcPr>
            <w:tcW w:w="1000" w:type="pct"/>
            <w:tcBorders>
              <w:top w:val="single" w:sz="2" w:space="0" w:color="auto"/>
              <w:left w:val="single" w:sz="2" w:space="0" w:color="auto"/>
              <w:bottom w:val="single" w:sz="2" w:space="0" w:color="auto"/>
              <w:right w:val="single" w:sz="2" w:space="0" w:color="auto"/>
            </w:tcBorders>
            <w:vAlign w:val="center"/>
          </w:tcPr>
          <w:p w:rsidR="00561B6F" w:rsidRDefault="00561B6F">
            <w:pPr>
              <w:spacing w:line="240" w:lineRule="exact"/>
              <w:jc w:val="right"/>
              <w:rPr>
                <w:sz w:val="18"/>
                <w:szCs w:val="18"/>
              </w:rPr>
            </w:pPr>
            <w:r>
              <w:rPr>
                <w:sz w:val="18"/>
                <w:szCs w:val="18"/>
              </w:rPr>
              <w:t>21,298,988.55</w:t>
            </w:r>
          </w:p>
        </w:tc>
        <w:tc>
          <w:tcPr>
            <w:tcW w:w="1000" w:type="pct"/>
            <w:tcBorders>
              <w:top w:val="single" w:sz="2" w:space="0" w:color="auto"/>
              <w:left w:val="single" w:sz="2" w:space="0" w:color="auto"/>
              <w:bottom w:val="single" w:sz="2" w:space="0" w:color="auto"/>
              <w:right w:val="single" w:sz="2" w:space="0" w:color="auto"/>
            </w:tcBorders>
            <w:vAlign w:val="center"/>
          </w:tcPr>
          <w:p w:rsidR="00561B6F" w:rsidRDefault="00561B6F">
            <w:pPr>
              <w:spacing w:line="240" w:lineRule="exact"/>
              <w:jc w:val="right"/>
              <w:rPr>
                <w:sz w:val="18"/>
                <w:szCs w:val="18"/>
              </w:rPr>
            </w:pPr>
            <w:r>
              <w:rPr>
                <w:sz w:val="18"/>
                <w:szCs w:val="18"/>
              </w:rPr>
              <w:t>7,715,488.78</w:t>
            </w:r>
          </w:p>
        </w:tc>
        <w:tc>
          <w:tcPr>
            <w:tcW w:w="1000" w:type="pct"/>
            <w:tcBorders>
              <w:top w:val="single" w:sz="2" w:space="0" w:color="auto"/>
              <w:left w:val="single" w:sz="2" w:space="0" w:color="auto"/>
              <w:bottom w:val="single" w:sz="2" w:space="0" w:color="auto"/>
              <w:right w:val="single" w:sz="2" w:space="0" w:color="auto"/>
            </w:tcBorders>
            <w:vAlign w:val="center"/>
          </w:tcPr>
          <w:p w:rsidR="00561B6F" w:rsidRDefault="00561B6F">
            <w:pPr>
              <w:spacing w:line="240" w:lineRule="exact"/>
              <w:jc w:val="right"/>
              <w:rPr>
                <w:sz w:val="18"/>
                <w:szCs w:val="18"/>
              </w:rPr>
            </w:pPr>
            <w:r>
              <w:rPr>
                <w:sz w:val="18"/>
                <w:szCs w:val="18"/>
              </w:rPr>
              <w:t>21,298,988.55</w:t>
            </w:r>
          </w:p>
        </w:tc>
        <w:tc>
          <w:tcPr>
            <w:tcW w:w="1000" w:type="pct"/>
            <w:tcBorders>
              <w:top w:val="single" w:sz="2" w:space="0" w:color="auto"/>
              <w:left w:val="single" w:sz="2" w:space="0" w:color="auto"/>
              <w:bottom w:val="single" w:sz="2" w:space="0" w:color="auto"/>
              <w:right w:val="single" w:sz="2" w:space="0" w:color="auto"/>
            </w:tcBorders>
            <w:vAlign w:val="center"/>
          </w:tcPr>
          <w:p w:rsidR="00561B6F" w:rsidRDefault="00561B6F">
            <w:pPr>
              <w:spacing w:line="240" w:lineRule="exact"/>
              <w:jc w:val="right"/>
              <w:rPr>
                <w:sz w:val="18"/>
                <w:szCs w:val="18"/>
              </w:rPr>
            </w:pPr>
            <w:r>
              <w:rPr>
                <w:sz w:val="18"/>
                <w:szCs w:val="18"/>
              </w:rPr>
              <w:t>7,715,488.78</w:t>
            </w:r>
          </w:p>
        </w:tc>
      </w:tr>
      <w:tr w:rsidR="00561B6F" w:rsidTr="00561B6F">
        <w:trPr>
          <w:trHeight w:val="240"/>
        </w:trPr>
        <w:tc>
          <w:tcPr>
            <w:tcW w:w="1000" w:type="pct"/>
            <w:tcBorders>
              <w:top w:val="single" w:sz="2" w:space="0" w:color="auto"/>
              <w:left w:val="single" w:sz="2" w:space="0" w:color="auto"/>
              <w:bottom w:val="single" w:sz="2" w:space="0" w:color="auto"/>
              <w:right w:val="single" w:sz="2" w:space="0" w:color="auto"/>
            </w:tcBorders>
            <w:vAlign w:val="center"/>
          </w:tcPr>
          <w:p w:rsidR="00561B6F" w:rsidRDefault="00561B6F">
            <w:pPr>
              <w:spacing w:line="240" w:lineRule="exact"/>
              <w:rPr>
                <w:sz w:val="18"/>
                <w:szCs w:val="18"/>
              </w:rPr>
            </w:pPr>
            <w:r>
              <w:rPr>
                <w:sz w:val="18"/>
                <w:szCs w:val="18"/>
              </w:rPr>
              <w:t>其他业务收入</w:t>
            </w:r>
          </w:p>
        </w:tc>
        <w:tc>
          <w:tcPr>
            <w:tcW w:w="1000" w:type="pct"/>
            <w:tcBorders>
              <w:top w:val="single" w:sz="2" w:space="0" w:color="auto"/>
              <w:left w:val="single" w:sz="2" w:space="0" w:color="auto"/>
              <w:bottom w:val="single" w:sz="2" w:space="0" w:color="auto"/>
              <w:right w:val="single" w:sz="2" w:space="0" w:color="auto"/>
            </w:tcBorders>
            <w:vAlign w:val="center"/>
          </w:tcPr>
          <w:p w:rsidR="00561B6F" w:rsidRDefault="00561B6F">
            <w:pPr>
              <w:spacing w:line="240" w:lineRule="exact"/>
              <w:jc w:val="right"/>
              <w:rPr>
                <w:sz w:val="18"/>
                <w:szCs w:val="18"/>
              </w:rPr>
            </w:pPr>
            <w:r>
              <w:rPr>
                <w:sz w:val="18"/>
                <w:szCs w:val="18"/>
              </w:rPr>
              <w:t>128,260.51</w:t>
            </w:r>
          </w:p>
        </w:tc>
        <w:tc>
          <w:tcPr>
            <w:tcW w:w="1000" w:type="pct"/>
            <w:tcBorders>
              <w:top w:val="single" w:sz="2" w:space="0" w:color="auto"/>
              <w:left w:val="single" w:sz="2" w:space="0" w:color="auto"/>
              <w:bottom w:val="single" w:sz="2" w:space="0" w:color="auto"/>
              <w:right w:val="single" w:sz="2" w:space="0" w:color="auto"/>
            </w:tcBorders>
            <w:vAlign w:val="center"/>
          </w:tcPr>
          <w:p w:rsidR="00561B6F" w:rsidRDefault="00561B6F">
            <w:pPr>
              <w:spacing w:line="240" w:lineRule="exact"/>
              <w:jc w:val="right"/>
              <w:rPr>
                <w:sz w:val="18"/>
                <w:szCs w:val="18"/>
              </w:rPr>
            </w:pPr>
          </w:p>
        </w:tc>
        <w:tc>
          <w:tcPr>
            <w:tcW w:w="1000" w:type="pct"/>
            <w:tcBorders>
              <w:top w:val="single" w:sz="2" w:space="0" w:color="auto"/>
              <w:left w:val="single" w:sz="2" w:space="0" w:color="auto"/>
              <w:bottom w:val="single" w:sz="2" w:space="0" w:color="auto"/>
              <w:right w:val="single" w:sz="2" w:space="0" w:color="auto"/>
            </w:tcBorders>
            <w:vAlign w:val="center"/>
          </w:tcPr>
          <w:p w:rsidR="00561B6F" w:rsidRDefault="00561B6F">
            <w:pPr>
              <w:spacing w:line="240" w:lineRule="exact"/>
              <w:jc w:val="right"/>
              <w:rPr>
                <w:sz w:val="18"/>
                <w:szCs w:val="18"/>
              </w:rPr>
            </w:pPr>
            <w:r>
              <w:rPr>
                <w:sz w:val="18"/>
                <w:szCs w:val="18"/>
              </w:rPr>
              <w:t>128,260.51</w:t>
            </w:r>
          </w:p>
        </w:tc>
        <w:tc>
          <w:tcPr>
            <w:tcW w:w="1000" w:type="pct"/>
            <w:tcBorders>
              <w:top w:val="single" w:sz="2" w:space="0" w:color="auto"/>
              <w:left w:val="single" w:sz="2" w:space="0" w:color="auto"/>
              <w:bottom w:val="single" w:sz="2" w:space="0" w:color="auto"/>
              <w:right w:val="single" w:sz="2" w:space="0" w:color="auto"/>
            </w:tcBorders>
            <w:vAlign w:val="center"/>
          </w:tcPr>
          <w:p w:rsidR="00561B6F" w:rsidRDefault="00561B6F">
            <w:pPr>
              <w:spacing w:line="240" w:lineRule="exact"/>
              <w:jc w:val="right"/>
              <w:rPr>
                <w:sz w:val="18"/>
                <w:szCs w:val="18"/>
              </w:rPr>
            </w:pPr>
          </w:p>
        </w:tc>
      </w:tr>
      <w:tr w:rsidR="00561B6F" w:rsidTr="00561B6F">
        <w:trPr>
          <w:trHeight w:val="240"/>
        </w:trPr>
        <w:tc>
          <w:tcPr>
            <w:tcW w:w="1000" w:type="pct"/>
            <w:tcBorders>
              <w:top w:val="single" w:sz="2" w:space="0" w:color="auto"/>
              <w:left w:val="single" w:sz="2" w:space="0" w:color="auto"/>
              <w:bottom w:val="single" w:sz="2" w:space="0" w:color="auto"/>
              <w:right w:val="single" w:sz="2" w:space="0" w:color="auto"/>
            </w:tcBorders>
            <w:shd w:val="clear" w:color="auto" w:fill="D3D3D3"/>
            <w:vAlign w:val="center"/>
          </w:tcPr>
          <w:p w:rsidR="00561B6F" w:rsidRDefault="00561B6F">
            <w:pPr>
              <w:spacing w:before="40" w:after="40" w:line="240" w:lineRule="exact"/>
              <w:rPr>
                <w:sz w:val="18"/>
                <w:szCs w:val="18"/>
              </w:rPr>
            </w:pPr>
            <w:r>
              <w:rPr>
                <w:sz w:val="18"/>
                <w:szCs w:val="18"/>
              </w:rPr>
              <w:t>按经营地区分类</w:t>
            </w:r>
          </w:p>
        </w:tc>
        <w:tc>
          <w:tcPr>
            <w:tcW w:w="1000" w:type="pct"/>
            <w:tcBorders>
              <w:top w:val="single" w:sz="2" w:space="0" w:color="auto"/>
              <w:left w:val="single" w:sz="2" w:space="0" w:color="auto"/>
              <w:bottom w:val="single" w:sz="2" w:space="0" w:color="auto"/>
              <w:right w:val="single" w:sz="2" w:space="0" w:color="auto"/>
            </w:tcBorders>
            <w:vAlign w:val="center"/>
          </w:tcPr>
          <w:p w:rsidR="00561B6F" w:rsidRDefault="00561B6F">
            <w:pPr>
              <w:spacing w:line="240" w:lineRule="exact"/>
              <w:jc w:val="right"/>
              <w:rPr>
                <w:sz w:val="18"/>
                <w:szCs w:val="18"/>
              </w:rPr>
            </w:pPr>
            <w:r>
              <w:rPr>
                <w:sz w:val="18"/>
                <w:szCs w:val="18"/>
              </w:rPr>
              <w:t>476,993,037.00</w:t>
            </w:r>
          </w:p>
        </w:tc>
        <w:tc>
          <w:tcPr>
            <w:tcW w:w="1000" w:type="pct"/>
            <w:tcBorders>
              <w:top w:val="single" w:sz="2" w:space="0" w:color="auto"/>
              <w:left w:val="single" w:sz="2" w:space="0" w:color="auto"/>
              <w:bottom w:val="single" w:sz="2" w:space="0" w:color="auto"/>
              <w:right w:val="single" w:sz="2" w:space="0" w:color="auto"/>
            </w:tcBorders>
            <w:vAlign w:val="center"/>
          </w:tcPr>
          <w:p w:rsidR="00561B6F" w:rsidRDefault="00561B6F">
            <w:pPr>
              <w:spacing w:line="240" w:lineRule="exact"/>
              <w:jc w:val="right"/>
              <w:rPr>
                <w:sz w:val="18"/>
                <w:szCs w:val="18"/>
              </w:rPr>
            </w:pPr>
            <w:r>
              <w:rPr>
                <w:sz w:val="18"/>
                <w:szCs w:val="18"/>
              </w:rPr>
              <w:t>351,915,132.21</w:t>
            </w:r>
          </w:p>
        </w:tc>
        <w:tc>
          <w:tcPr>
            <w:tcW w:w="1000" w:type="pct"/>
            <w:tcBorders>
              <w:top w:val="single" w:sz="2" w:space="0" w:color="auto"/>
              <w:left w:val="single" w:sz="2" w:space="0" w:color="auto"/>
              <w:bottom w:val="single" w:sz="2" w:space="0" w:color="auto"/>
              <w:right w:val="single" w:sz="2" w:space="0" w:color="auto"/>
            </w:tcBorders>
            <w:vAlign w:val="center"/>
          </w:tcPr>
          <w:p w:rsidR="00561B6F" w:rsidRDefault="00561B6F">
            <w:pPr>
              <w:spacing w:line="240" w:lineRule="exact"/>
              <w:jc w:val="right"/>
              <w:rPr>
                <w:sz w:val="18"/>
                <w:szCs w:val="18"/>
              </w:rPr>
            </w:pPr>
            <w:r>
              <w:rPr>
                <w:sz w:val="18"/>
                <w:szCs w:val="18"/>
              </w:rPr>
              <w:t>476,993,037.00</w:t>
            </w:r>
          </w:p>
        </w:tc>
        <w:tc>
          <w:tcPr>
            <w:tcW w:w="1000" w:type="pct"/>
            <w:tcBorders>
              <w:top w:val="single" w:sz="2" w:space="0" w:color="auto"/>
              <w:left w:val="single" w:sz="2" w:space="0" w:color="auto"/>
              <w:bottom w:val="single" w:sz="2" w:space="0" w:color="auto"/>
              <w:right w:val="single" w:sz="2" w:space="0" w:color="auto"/>
            </w:tcBorders>
            <w:vAlign w:val="center"/>
          </w:tcPr>
          <w:p w:rsidR="00561B6F" w:rsidRDefault="00561B6F">
            <w:pPr>
              <w:spacing w:line="240" w:lineRule="exact"/>
              <w:jc w:val="right"/>
              <w:rPr>
                <w:sz w:val="18"/>
                <w:szCs w:val="18"/>
              </w:rPr>
            </w:pPr>
            <w:r>
              <w:rPr>
                <w:sz w:val="18"/>
                <w:szCs w:val="18"/>
              </w:rPr>
              <w:t>351,915,132.21</w:t>
            </w:r>
          </w:p>
        </w:tc>
      </w:tr>
      <w:tr w:rsidR="00561B6F" w:rsidTr="00561B6F">
        <w:trPr>
          <w:trHeight w:val="240"/>
        </w:trPr>
        <w:tc>
          <w:tcPr>
            <w:tcW w:w="1000" w:type="pct"/>
            <w:tcBorders>
              <w:top w:val="single" w:sz="2" w:space="0" w:color="auto"/>
              <w:left w:val="single" w:sz="2" w:space="0" w:color="auto"/>
              <w:bottom w:val="single" w:sz="2" w:space="0" w:color="auto"/>
              <w:right w:val="single" w:sz="2" w:space="0" w:color="auto"/>
            </w:tcBorders>
            <w:shd w:val="clear" w:color="auto" w:fill="D3D3D3"/>
            <w:vAlign w:val="center"/>
          </w:tcPr>
          <w:p w:rsidR="00561B6F" w:rsidRDefault="00561B6F">
            <w:pPr>
              <w:spacing w:before="40" w:after="40" w:line="240" w:lineRule="exact"/>
              <w:rPr>
                <w:sz w:val="18"/>
                <w:szCs w:val="18"/>
              </w:rPr>
            </w:pPr>
            <w:r>
              <w:rPr>
                <w:sz w:val="18"/>
                <w:szCs w:val="18"/>
              </w:rPr>
              <w:t xml:space="preserve">　其中：</w:t>
            </w:r>
          </w:p>
        </w:tc>
        <w:tc>
          <w:tcPr>
            <w:tcW w:w="1000" w:type="pct"/>
            <w:tcBorders>
              <w:top w:val="single" w:sz="2" w:space="0" w:color="auto"/>
              <w:left w:val="single" w:sz="2" w:space="0" w:color="auto"/>
              <w:bottom w:val="single" w:sz="2" w:space="0" w:color="auto"/>
              <w:right w:val="single" w:sz="2" w:space="0" w:color="auto"/>
            </w:tcBorders>
            <w:shd w:val="clear" w:color="auto" w:fill="D3D3D3"/>
            <w:vAlign w:val="center"/>
          </w:tcPr>
          <w:p w:rsidR="00561B6F" w:rsidRDefault="00561B6F"/>
        </w:tc>
        <w:tc>
          <w:tcPr>
            <w:tcW w:w="1000" w:type="pct"/>
            <w:tcBorders>
              <w:top w:val="single" w:sz="2" w:space="0" w:color="auto"/>
              <w:left w:val="single" w:sz="2" w:space="0" w:color="auto"/>
              <w:bottom w:val="single" w:sz="2" w:space="0" w:color="auto"/>
              <w:right w:val="single" w:sz="2" w:space="0" w:color="auto"/>
            </w:tcBorders>
            <w:shd w:val="clear" w:color="auto" w:fill="D3D3D3"/>
            <w:vAlign w:val="center"/>
          </w:tcPr>
          <w:p w:rsidR="00561B6F" w:rsidRDefault="00561B6F"/>
        </w:tc>
        <w:tc>
          <w:tcPr>
            <w:tcW w:w="1000" w:type="pct"/>
            <w:tcBorders>
              <w:top w:val="single" w:sz="2" w:space="0" w:color="auto"/>
              <w:left w:val="single" w:sz="2" w:space="0" w:color="auto"/>
              <w:bottom w:val="single" w:sz="2" w:space="0" w:color="auto"/>
              <w:right w:val="single" w:sz="2" w:space="0" w:color="auto"/>
            </w:tcBorders>
            <w:shd w:val="clear" w:color="auto" w:fill="D3D3D3"/>
            <w:vAlign w:val="center"/>
          </w:tcPr>
          <w:p w:rsidR="00561B6F" w:rsidRDefault="00561B6F"/>
        </w:tc>
        <w:tc>
          <w:tcPr>
            <w:tcW w:w="1000" w:type="pct"/>
            <w:tcBorders>
              <w:top w:val="single" w:sz="2" w:space="0" w:color="auto"/>
              <w:left w:val="single" w:sz="2" w:space="0" w:color="auto"/>
              <w:bottom w:val="single" w:sz="2" w:space="0" w:color="auto"/>
              <w:right w:val="single" w:sz="2" w:space="0" w:color="auto"/>
            </w:tcBorders>
            <w:shd w:val="clear" w:color="auto" w:fill="D3D3D3"/>
            <w:vAlign w:val="center"/>
          </w:tcPr>
          <w:p w:rsidR="00561B6F" w:rsidRDefault="00561B6F"/>
        </w:tc>
      </w:tr>
      <w:tr w:rsidR="00561B6F" w:rsidTr="00561B6F">
        <w:trPr>
          <w:trHeight w:val="240"/>
        </w:trPr>
        <w:tc>
          <w:tcPr>
            <w:tcW w:w="1000" w:type="pct"/>
            <w:tcBorders>
              <w:top w:val="single" w:sz="2" w:space="0" w:color="auto"/>
              <w:left w:val="single" w:sz="2" w:space="0" w:color="auto"/>
              <w:bottom w:val="single" w:sz="2" w:space="0" w:color="auto"/>
              <w:right w:val="single" w:sz="2" w:space="0" w:color="auto"/>
            </w:tcBorders>
            <w:vAlign w:val="center"/>
          </w:tcPr>
          <w:p w:rsidR="00561B6F" w:rsidRDefault="00561B6F">
            <w:pPr>
              <w:spacing w:line="240" w:lineRule="exact"/>
              <w:rPr>
                <w:sz w:val="18"/>
                <w:szCs w:val="18"/>
              </w:rPr>
            </w:pPr>
            <w:r>
              <w:rPr>
                <w:sz w:val="18"/>
                <w:szCs w:val="18"/>
              </w:rPr>
              <w:t>华南</w:t>
            </w:r>
          </w:p>
        </w:tc>
        <w:tc>
          <w:tcPr>
            <w:tcW w:w="1000" w:type="pct"/>
            <w:tcBorders>
              <w:top w:val="single" w:sz="2" w:space="0" w:color="auto"/>
              <w:left w:val="single" w:sz="2" w:space="0" w:color="auto"/>
              <w:bottom w:val="single" w:sz="2" w:space="0" w:color="auto"/>
              <w:right w:val="single" w:sz="2" w:space="0" w:color="auto"/>
            </w:tcBorders>
            <w:vAlign w:val="center"/>
          </w:tcPr>
          <w:p w:rsidR="00561B6F" w:rsidRDefault="00561B6F">
            <w:pPr>
              <w:spacing w:line="240" w:lineRule="exact"/>
              <w:jc w:val="right"/>
              <w:rPr>
                <w:sz w:val="18"/>
                <w:szCs w:val="18"/>
              </w:rPr>
            </w:pPr>
            <w:r>
              <w:rPr>
                <w:sz w:val="18"/>
                <w:szCs w:val="18"/>
              </w:rPr>
              <w:t>367,995,632.67</w:t>
            </w:r>
          </w:p>
        </w:tc>
        <w:tc>
          <w:tcPr>
            <w:tcW w:w="1000" w:type="pct"/>
            <w:tcBorders>
              <w:top w:val="single" w:sz="2" w:space="0" w:color="auto"/>
              <w:left w:val="single" w:sz="2" w:space="0" w:color="auto"/>
              <w:bottom w:val="single" w:sz="2" w:space="0" w:color="auto"/>
              <w:right w:val="single" w:sz="2" w:space="0" w:color="auto"/>
            </w:tcBorders>
            <w:vAlign w:val="center"/>
          </w:tcPr>
          <w:p w:rsidR="00561B6F" w:rsidRDefault="00561B6F">
            <w:pPr>
              <w:spacing w:line="240" w:lineRule="exact"/>
              <w:jc w:val="right"/>
              <w:rPr>
                <w:sz w:val="18"/>
                <w:szCs w:val="18"/>
              </w:rPr>
            </w:pPr>
            <w:r>
              <w:rPr>
                <w:sz w:val="18"/>
                <w:szCs w:val="18"/>
              </w:rPr>
              <w:t>274,242,964.48</w:t>
            </w:r>
          </w:p>
        </w:tc>
        <w:tc>
          <w:tcPr>
            <w:tcW w:w="1000" w:type="pct"/>
            <w:tcBorders>
              <w:top w:val="single" w:sz="2" w:space="0" w:color="auto"/>
              <w:left w:val="single" w:sz="2" w:space="0" w:color="auto"/>
              <w:bottom w:val="single" w:sz="2" w:space="0" w:color="auto"/>
              <w:right w:val="single" w:sz="2" w:space="0" w:color="auto"/>
            </w:tcBorders>
            <w:vAlign w:val="center"/>
          </w:tcPr>
          <w:p w:rsidR="00561B6F" w:rsidRDefault="00561B6F">
            <w:pPr>
              <w:spacing w:line="240" w:lineRule="exact"/>
              <w:jc w:val="right"/>
              <w:rPr>
                <w:sz w:val="18"/>
                <w:szCs w:val="18"/>
              </w:rPr>
            </w:pPr>
            <w:r>
              <w:rPr>
                <w:sz w:val="18"/>
                <w:szCs w:val="18"/>
              </w:rPr>
              <w:t>367,995,632.67</w:t>
            </w:r>
          </w:p>
        </w:tc>
        <w:tc>
          <w:tcPr>
            <w:tcW w:w="1000" w:type="pct"/>
            <w:tcBorders>
              <w:top w:val="single" w:sz="2" w:space="0" w:color="auto"/>
              <w:left w:val="single" w:sz="2" w:space="0" w:color="auto"/>
              <w:bottom w:val="single" w:sz="2" w:space="0" w:color="auto"/>
              <w:right w:val="single" w:sz="2" w:space="0" w:color="auto"/>
            </w:tcBorders>
            <w:vAlign w:val="center"/>
          </w:tcPr>
          <w:p w:rsidR="00561B6F" w:rsidRDefault="00561B6F">
            <w:pPr>
              <w:spacing w:line="240" w:lineRule="exact"/>
              <w:jc w:val="right"/>
              <w:rPr>
                <w:sz w:val="18"/>
                <w:szCs w:val="18"/>
              </w:rPr>
            </w:pPr>
            <w:r>
              <w:rPr>
                <w:sz w:val="18"/>
                <w:szCs w:val="18"/>
              </w:rPr>
              <w:t>274,242,964.48</w:t>
            </w:r>
          </w:p>
        </w:tc>
      </w:tr>
      <w:tr w:rsidR="00561B6F" w:rsidTr="00561B6F">
        <w:trPr>
          <w:trHeight w:val="240"/>
        </w:trPr>
        <w:tc>
          <w:tcPr>
            <w:tcW w:w="1000" w:type="pct"/>
            <w:tcBorders>
              <w:top w:val="single" w:sz="2" w:space="0" w:color="auto"/>
              <w:left w:val="single" w:sz="2" w:space="0" w:color="auto"/>
              <w:bottom w:val="single" w:sz="2" w:space="0" w:color="auto"/>
              <w:right w:val="single" w:sz="2" w:space="0" w:color="auto"/>
            </w:tcBorders>
            <w:vAlign w:val="center"/>
          </w:tcPr>
          <w:p w:rsidR="00561B6F" w:rsidRDefault="00561B6F">
            <w:pPr>
              <w:spacing w:line="240" w:lineRule="exact"/>
              <w:rPr>
                <w:sz w:val="18"/>
                <w:szCs w:val="18"/>
              </w:rPr>
            </w:pPr>
            <w:r>
              <w:rPr>
                <w:sz w:val="18"/>
                <w:szCs w:val="18"/>
              </w:rPr>
              <w:t>华中</w:t>
            </w:r>
          </w:p>
        </w:tc>
        <w:tc>
          <w:tcPr>
            <w:tcW w:w="1000" w:type="pct"/>
            <w:tcBorders>
              <w:top w:val="single" w:sz="2" w:space="0" w:color="auto"/>
              <w:left w:val="single" w:sz="2" w:space="0" w:color="auto"/>
              <w:bottom w:val="single" w:sz="2" w:space="0" w:color="auto"/>
              <w:right w:val="single" w:sz="2" w:space="0" w:color="auto"/>
            </w:tcBorders>
            <w:vAlign w:val="center"/>
          </w:tcPr>
          <w:p w:rsidR="00561B6F" w:rsidRDefault="00561B6F">
            <w:pPr>
              <w:spacing w:line="240" w:lineRule="exact"/>
              <w:jc w:val="right"/>
              <w:rPr>
                <w:sz w:val="18"/>
                <w:szCs w:val="18"/>
              </w:rPr>
            </w:pPr>
            <w:r>
              <w:rPr>
                <w:sz w:val="18"/>
                <w:szCs w:val="18"/>
              </w:rPr>
              <w:t>10,585,956.02</w:t>
            </w:r>
          </w:p>
        </w:tc>
        <w:tc>
          <w:tcPr>
            <w:tcW w:w="1000" w:type="pct"/>
            <w:tcBorders>
              <w:top w:val="single" w:sz="2" w:space="0" w:color="auto"/>
              <w:left w:val="single" w:sz="2" w:space="0" w:color="auto"/>
              <w:bottom w:val="single" w:sz="2" w:space="0" w:color="auto"/>
              <w:right w:val="single" w:sz="2" w:space="0" w:color="auto"/>
            </w:tcBorders>
            <w:vAlign w:val="center"/>
          </w:tcPr>
          <w:p w:rsidR="00561B6F" w:rsidRDefault="00561B6F">
            <w:pPr>
              <w:spacing w:line="240" w:lineRule="exact"/>
              <w:jc w:val="right"/>
              <w:rPr>
                <w:sz w:val="18"/>
                <w:szCs w:val="18"/>
              </w:rPr>
            </w:pPr>
            <w:r>
              <w:rPr>
                <w:sz w:val="18"/>
                <w:szCs w:val="18"/>
              </w:rPr>
              <w:t>3,125,559.00</w:t>
            </w:r>
          </w:p>
        </w:tc>
        <w:tc>
          <w:tcPr>
            <w:tcW w:w="1000" w:type="pct"/>
            <w:tcBorders>
              <w:top w:val="single" w:sz="2" w:space="0" w:color="auto"/>
              <w:left w:val="single" w:sz="2" w:space="0" w:color="auto"/>
              <w:bottom w:val="single" w:sz="2" w:space="0" w:color="auto"/>
              <w:right w:val="single" w:sz="2" w:space="0" w:color="auto"/>
            </w:tcBorders>
            <w:vAlign w:val="center"/>
          </w:tcPr>
          <w:p w:rsidR="00561B6F" w:rsidRDefault="00561B6F">
            <w:pPr>
              <w:spacing w:line="240" w:lineRule="exact"/>
              <w:jc w:val="right"/>
              <w:rPr>
                <w:sz w:val="18"/>
                <w:szCs w:val="18"/>
              </w:rPr>
            </w:pPr>
            <w:r>
              <w:rPr>
                <w:sz w:val="18"/>
                <w:szCs w:val="18"/>
              </w:rPr>
              <w:t>10,585,956.02</w:t>
            </w:r>
          </w:p>
        </w:tc>
        <w:tc>
          <w:tcPr>
            <w:tcW w:w="1000" w:type="pct"/>
            <w:tcBorders>
              <w:top w:val="single" w:sz="2" w:space="0" w:color="auto"/>
              <w:left w:val="single" w:sz="2" w:space="0" w:color="auto"/>
              <w:bottom w:val="single" w:sz="2" w:space="0" w:color="auto"/>
              <w:right w:val="single" w:sz="2" w:space="0" w:color="auto"/>
            </w:tcBorders>
            <w:vAlign w:val="center"/>
          </w:tcPr>
          <w:p w:rsidR="00561B6F" w:rsidRDefault="00561B6F">
            <w:pPr>
              <w:spacing w:line="240" w:lineRule="exact"/>
              <w:jc w:val="right"/>
              <w:rPr>
                <w:sz w:val="18"/>
                <w:szCs w:val="18"/>
              </w:rPr>
            </w:pPr>
            <w:r>
              <w:rPr>
                <w:sz w:val="18"/>
                <w:szCs w:val="18"/>
              </w:rPr>
              <w:t>3,125,559.00</w:t>
            </w:r>
          </w:p>
        </w:tc>
      </w:tr>
      <w:tr w:rsidR="00561B6F" w:rsidTr="00561B6F">
        <w:trPr>
          <w:trHeight w:val="240"/>
        </w:trPr>
        <w:tc>
          <w:tcPr>
            <w:tcW w:w="1000" w:type="pct"/>
            <w:tcBorders>
              <w:top w:val="single" w:sz="2" w:space="0" w:color="auto"/>
              <w:left w:val="single" w:sz="2" w:space="0" w:color="auto"/>
              <w:bottom w:val="single" w:sz="2" w:space="0" w:color="auto"/>
              <w:right w:val="single" w:sz="2" w:space="0" w:color="auto"/>
            </w:tcBorders>
            <w:vAlign w:val="center"/>
          </w:tcPr>
          <w:p w:rsidR="00561B6F" w:rsidRDefault="00561B6F">
            <w:pPr>
              <w:spacing w:line="240" w:lineRule="exact"/>
              <w:rPr>
                <w:sz w:val="18"/>
                <w:szCs w:val="18"/>
              </w:rPr>
            </w:pPr>
            <w:r>
              <w:rPr>
                <w:sz w:val="18"/>
                <w:szCs w:val="18"/>
              </w:rPr>
              <w:t>华东</w:t>
            </w:r>
          </w:p>
        </w:tc>
        <w:tc>
          <w:tcPr>
            <w:tcW w:w="1000" w:type="pct"/>
            <w:tcBorders>
              <w:top w:val="single" w:sz="2" w:space="0" w:color="auto"/>
              <w:left w:val="single" w:sz="2" w:space="0" w:color="auto"/>
              <w:bottom w:val="single" w:sz="2" w:space="0" w:color="auto"/>
              <w:right w:val="single" w:sz="2" w:space="0" w:color="auto"/>
            </w:tcBorders>
            <w:vAlign w:val="center"/>
          </w:tcPr>
          <w:p w:rsidR="00561B6F" w:rsidRDefault="00561B6F">
            <w:pPr>
              <w:spacing w:line="240" w:lineRule="exact"/>
              <w:jc w:val="right"/>
              <w:rPr>
                <w:sz w:val="18"/>
                <w:szCs w:val="18"/>
              </w:rPr>
            </w:pPr>
            <w:r>
              <w:rPr>
                <w:sz w:val="18"/>
                <w:szCs w:val="18"/>
              </w:rPr>
              <w:t>77,020,932.88</w:t>
            </w:r>
          </w:p>
        </w:tc>
        <w:tc>
          <w:tcPr>
            <w:tcW w:w="1000" w:type="pct"/>
            <w:tcBorders>
              <w:top w:val="single" w:sz="2" w:space="0" w:color="auto"/>
              <w:left w:val="single" w:sz="2" w:space="0" w:color="auto"/>
              <w:bottom w:val="single" w:sz="2" w:space="0" w:color="auto"/>
              <w:right w:val="single" w:sz="2" w:space="0" w:color="auto"/>
            </w:tcBorders>
            <w:vAlign w:val="center"/>
          </w:tcPr>
          <w:p w:rsidR="00561B6F" w:rsidRDefault="00561B6F">
            <w:pPr>
              <w:spacing w:line="240" w:lineRule="exact"/>
              <w:jc w:val="right"/>
              <w:rPr>
                <w:sz w:val="18"/>
                <w:szCs w:val="18"/>
              </w:rPr>
            </w:pPr>
            <w:r>
              <w:rPr>
                <w:sz w:val="18"/>
                <w:szCs w:val="18"/>
              </w:rPr>
              <w:t>61,270,366.70</w:t>
            </w:r>
          </w:p>
        </w:tc>
        <w:tc>
          <w:tcPr>
            <w:tcW w:w="1000" w:type="pct"/>
            <w:tcBorders>
              <w:top w:val="single" w:sz="2" w:space="0" w:color="auto"/>
              <w:left w:val="single" w:sz="2" w:space="0" w:color="auto"/>
              <w:bottom w:val="single" w:sz="2" w:space="0" w:color="auto"/>
              <w:right w:val="single" w:sz="2" w:space="0" w:color="auto"/>
            </w:tcBorders>
            <w:vAlign w:val="center"/>
          </w:tcPr>
          <w:p w:rsidR="00561B6F" w:rsidRDefault="00561B6F">
            <w:pPr>
              <w:spacing w:line="240" w:lineRule="exact"/>
              <w:jc w:val="right"/>
              <w:rPr>
                <w:sz w:val="18"/>
                <w:szCs w:val="18"/>
              </w:rPr>
            </w:pPr>
            <w:r>
              <w:rPr>
                <w:sz w:val="18"/>
                <w:szCs w:val="18"/>
              </w:rPr>
              <w:t>77,020,932.88</w:t>
            </w:r>
          </w:p>
        </w:tc>
        <w:tc>
          <w:tcPr>
            <w:tcW w:w="1000" w:type="pct"/>
            <w:tcBorders>
              <w:top w:val="single" w:sz="2" w:space="0" w:color="auto"/>
              <w:left w:val="single" w:sz="2" w:space="0" w:color="auto"/>
              <w:bottom w:val="single" w:sz="2" w:space="0" w:color="auto"/>
              <w:right w:val="single" w:sz="2" w:space="0" w:color="auto"/>
            </w:tcBorders>
            <w:vAlign w:val="center"/>
          </w:tcPr>
          <w:p w:rsidR="00561B6F" w:rsidRDefault="00561B6F">
            <w:pPr>
              <w:spacing w:line="240" w:lineRule="exact"/>
              <w:jc w:val="right"/>
              <w:rPr>
                <w:sz w:val="18"/>
                <w:szCs w:val="18"/>
              </w:rPr>
            </w:pPr>
            <w:r>
              <w:rPr>
                <w:sz w:val="18"/>
                <w:szCs w:val="18"/>
              </w:rPr>
              <w:t>61,270,366.70</w:t>
            </w:r>
          </w:p>
        </w:tc>
      </w:tr>
      <w:tr w:rsidR="00561B6F" w:rsidTr="00561B6F">
        <w:trPr>
          <w:trHeight w:val="240"/>
        </w:trPr>
        <w:tc>
          <w:tcPr>
            <w:tcW w:w="1000" w:type="pct"/>
            <w:tcBorders>
              <w:top w:val="single" w:sz="2" w:space="0" w:color="auto"/>
              <w:left w:val="single" w:sz="2" w:space="0" w:color="auto"/>
              <w:bottom w:val="single" w:sz="2" w:space="0" w:color="auto"/>
              <w:right w:val="single" w:sz="2" w:space="0" w:color="auto"/>
            </w:tcBorders>
            <w:vAlign w:val="center"/>
          </w:tcPr>
          <w:p w:rsidR="00561B6F" w:rsidRDefault="00561B6F">
            <w:pPr>
              <w:spacing w:line="240" w:lineRule="exact"/>
              <w:rPr>
                <w:sz w:val="18"/>
                <w:szCs w:val="18"/>
              </w:rPr>
            </w:pPr>
            <w:r>
              <w:rPr>
                <w:sz w:val="18"/>
                <w:szCs w:val="18"/>
              </w:rPr>
              <w:t>华北</w:t>
            </w:r>
          </w:p>
        </w:tc>
        <w:tc>
          <w:tcPr>
            <w:tcW w:w="1000" w:type="pct"/>
            <w:tcBorders>
              <w:top w:val="single" w:sz="2" w:space="0" w:color="auto"/>
              <w:left w:val="single" w:sz="2" w:space="0" w:color="auto"/>
              <w:bottom w:val="single" w:sz="2" w:space="0" w:color="auto"/>
              <w:right w:val="single" w:sz="2" w:space="0" w:color="auto"/>
            </w:tcBorders>
            <w:vAlign w:val="center"/>
          </w:tcPr>
          <w:p w:rsidR="00561B6F" w:rsidRDefault="00561B6F">
            <w:pPr>
              <w:spacing w:line="240" w:lineRule="exact"/>
              <w:jc w:val="right"/>
              <w:rPr>
                <w:sz w:val="18"/>
                <w:szCs w:val="18"/>
              </w:rPr>
            </w:pPr>
            <w:r>
              <w:rPr>
                <w:sz w:val="18"/>
                <w:szCs w:val="18"/>
              </w:rPr>
              <w:t>14,908,089.05</w:t>
            </w:r>
          </w:p>
        </w:tc>
        <w:tc>
          <w:tcPr>
            <w:tcW w:w="1000" w:type="pct"/>
            <w:tcBorders>
              <w:top w:val="single" w:sz="2" w:space="0" w:color="auto"/>
              <w:left w:val="single" w:sz="2" w:space="0" w:color="auto"/>
              <w:bottom w:val="single" w:sz="2" w:space="0" w:color="auto"/>
              <w:right w:val="single" w:sz="2" w:space="0" w:color="auto"/>
            </w:tcBorders>
            <w:vAlign w:val="center"/>
          </w:tcPr>
          <w:p w:rsidR="00561B6F" w:rsidRDefault="00561B6F">
            <w:pPr>
              <w:spacing w:line="240" w:lineRule="exact"/>
              <w:jc w:val="right"/>
              <w:rPr>
                <w:sz w:val="18"/>
                <w:szCs w:val="18"/>
              </w:rPr>
            </w:pPr>
            <w:r>
              <w:rPr>
                <w:sz w:val="18"/>
                <w:szCs w:val="18"/>
              </w:rPr>
              <w:t>7,951,613.52</w:t>
            </w:r>
          </w:p>
        </w:tc>
        <w:tc>
          <w:tcPr>
            <w:tcW w:w="1000" w:type="pct"/>
            <w:tcBorders>
              <w:top w:val="single" w:sz="2" w:space="0" w:color="auto"/>
              <w:left w:val="single" w:sz="2" w:space="0" w:color="auto"/>
              <w:bottom w:val="single" w:sz="2" w:space="0" w:color="auto"/>
              <w:right w:val="single" w:sz="2" w:space="0" w:color="auto"/>
            </w:tcBorders>
            <w:vAlign w:val="center"/>
          </w:tcPr>
          <w:p w:rsidR="00561B6F" w:rsidRDefault="00561B6F">
            <w:pPr>
              <w:spacing w:line="240" w:lineRule="exact"/>
              <w:jc w:val="right"/>
              <w:rPr>
                <w:sz w:val="18"/>
                <w:szCs w:val="18"/>
              </w:rPr>
            </w:pPr>
            <w:r>
              <w:rPr>
                <w:sz w:val="18"/>
                <w:szCs w:val="18"/>
              </w:rPr>
              <w:t>14,908,089.05</w:t>
            </w:r>
          </w:p>
        </w:tc>
        <w:tc>
          <w:tcPr>
            <w:tcW w:w="1000" w:type="pct"/>
            <w:tcBorders>
              <w:top w:val="single" w:sz="2" w:space="0" w:color="auto"/>
              <w:left w:val="single" w:sz="2" w:space="0" w:color="auto"/>
              <w:bottom w:val="single" w:sz="2" w:space="0" w:color="auto"/>
              <w:right w:val="single" w:sz="2" w:space="0" w:color="auto"/>
            </w:tcBorders>
            <w:vAlign w:val="center"/>
          </w:tcPr>
          <w:p w:rsidR="00561B6F" w:rsidRDefault="00561B6F">
            <w:pPr>
              <w:spacing w:line="240" w:lineRule="exact"/>
              <w:jc w:val="right"/>
              <w:rPr>
                <w:sz w:val="18"/>
                <w:szCs w:val="18"/>
              </w:rPr>
            </w:pPr>
            <w:r>
              <w:rPr>
                <w:sz w:val="18"/>
                <w:szCs w:val="18"/>
              </w:rPr>
              <w:t>7,951,613.52</w:t>
            </w:r>
          </w:p>
        </w:tc>
      </w:tr>
      <w:tr w:rsidR="00561B6F" w:rsidTr="00561B6F">
        <w:trPr>
          <w:trHeight w:val="240"/>
        </w:trPr>
        <w:tc>
          <w:tcPr>
            <w:tcW w:w="1000" w:type="pct"/>
            <w:tcBorders>
              <w:top w:val="single" w:sz="2" w:space="0" w:color="auto"/>
              <w:left w:val="single" w:sz="2" w:space="0" w:color="auto"/>
              <w:bottom w:val="single" w:sz="2" w:space="0" w:color="auto"/>
              <w:right w:val="single" w:sz="2" w:space="0" w:color="auto"/>
            </w:tcBorders>
            <w:vAlign w:val="center"/>
          </w:tcPr>
          <w:p w:rsidR="00561B6F" w:rsidRDefault="00561B6F">
            <w:pPr>
              <w:spacing w:line="240" w:lineRule="exact"/>
              <w:rPr>
                <w:sz w:val="18"/>
                <w:szCs w:val="18"/>
              </w:rPr>
            </w:pPr>
            <w:r>
              <w:rPr>
                <w:sz w:val="18"/>
                <w:szCs w:val="18"/>
              </w:rPr>
              <w:t>西南</w:t>
            </w:r>
          </w:p>
        </w:tc>
        <w:tc>
          <w:tcPr>
            <w:tcW w:w="1000" w:type="pct"/>
            <w:tcBorders>
              <w:top w:val="single" w:sz="2" w:space="0" w:color="auto"/>
              <w:left w:val="single" w:sz="2" w:space="0" w:color="auto"/>
              <w:bottom w:val="single" w:sz="2" w:space="0" w:color="auto"/>
              <w:right w:val="single" w:sz="2" w:space="0" w:color="auto"/>
            </w:tcBorders>
            <w:vAlign w:val="center"/>
          </w:tcPr>
          <w:p w:rsidR="00561B6F" w:rsidRDefault="00561B6F">
            <w:pPr>
              <w:spacing w:line="240" w:lineRule="exact"/>
              <w:jc w:val="right"/>
              <w:rPr>
                <w:sz w:val="18"/>
                <w:szCs w:val="18"/>
              </w:rPr>
            </w:pPr>
            <w:r>
              <w:rPr>
                <w:sz w:val="18"/>
                <w:szCs w:val="18"/>
              </w:rPr>
              <w:t>6,482,426.38</w:t>
            </w:r>
          </w:p>
        </w:tc>
        <w:tc>
          <w:tcPr>
            <w:tcW w:w="1000" w:type="pct"/>
            <w:tcBorders>
              <w:top w:val="single" w:sz="2" w:space="0" w:color="auto"/>
              <w:left w:val="single" w:sz="2" w:space="0" w:color="auto"/>
              <w:bottom w:val="single" w:sz="2" w:space="0" w:color="auto"/>
              <w:right w:val="single" w:sz="2" w:space="0" w:color="auto"/>
            </w:tcBorders>
            <w:vAlign w:val="center"/>
          </w:tcPr>
          <w:p w:rsidR="00561B6F" w:rsidRDefault="00561B6F">
            <w:pPr>
              <w:spacing w:line="240" w:lineRule="exact"/>
              <w:jc w:val="right"/>
              <w:rPr>
                <w:sz w:val="18"/>
                <w:szCs w:val="18"/>
              </w:rPr>
            </w:pPr>
            <w:r>
              <w:rPr>
                <w:sz w:val="18"/>
                <w:szCs w:val="18"/>
              </w:rPr>
              <w:t>5,324,628.51</w:t>
            </w:r>
          </w:p>
        </w:tc>
        <w:tc>
          <w:tcPr>
            <w:tcW w:w="1000" w:type="pct"/>
            <w:tcBorders>
              <w:top w:val="single" w:sz="2" w:space="0" w:color="auto"/>
              <w:left w:val="single" w:sz="2" w:space="0" w:color="auto"/>
              <w:bottom w:val="single" w:sz="2" w:space="0" w:color="auto"/>
              <w:right w:val="single" w:sz="2" w:space="0" w:color="auto"/>
            </w:tcBorders>
            <w:vAlign w:val="center"/>
          </w:tcPr>
          <w:p w:rsidR="00561B6F" w:rsidRDefault="00561B6F">
            <w:pPr>
              <w:spacing w:line="240" w:lineRule="exact"/>
              <w:jc w:val="right"/>
              <w:rPr>
                <w:sz w:val="18"/>
                <w:szCs w:val="18"/>
              </w:rPr>
            </w:pPr>
            <w:r>
              <w:rPr>
                <w:sz w:val="18"/>
                <w:szCs w:val="18"/>
              </w:rPr>
              <w:t>6,482,426.38</w:t>
            </w:r>
          </w:p>
        </w:tc>
        <w:tc>
          <w:tcPr>
            <w:tcW w:w="1000" w:type="pct"/>
            <w:tcBorders>
              <w:top w:val="single" w:sz="2" w:space="0" w:color="auto"/>
              <w:left w:val="single" w:sz="2" w:space="0" w:color="auto"/>
              <w:bottom w:val="single" w:sz="2" w:space="0" w:color="auto"/>
              <w:right w:val="single" w:sz="2" w:space="0" w:color="auto"/>
            </w:tcBorders>
            <w:vAlign w:val="center"/>
          </w:tcPr>
          <w:p w:rsidR="00561B6F" w:rsidRDefault="00561B6F">
            <w:pPr>
              <w:spacing w:line="240" w:lineRule="exact"/>
              <w:jc w:val="right"/>
              <w:rPr>
                <w:sz w:val="18"/>
                <w:szCs w:val="18"/>
              </w:rPr>
            </w:pPr>
            <w:r>
              <w:rPr>
                <w:sz w:val="18"/>
                <w:szCs w:val="18"/>
              </w:rPr>
              <w:t>5,324,628.51</w:t>
            </w:r>
          </w:p>
        </w:tc>
      </w:tr>
      <w:tr w:rsidR="00561B6F" w:rsidTr="00561B6F">
        <w:trPr>
          <w:trHeight w:val="240"/>
        </w:trPr>
        <w:tc>
          <w:tcPr>
            <w:tcW w:w="1000" w:type="pct"/>
            <w:tcBorders>
              <w:top w:val="single" w:sz="2" w:space="0" w:color="auto"/>
              <w:left w:val="single" w:sz="2" w:space="0" w:color="auto"/>
              <w:bottom w:val="single" w:sz="2" w:space="0" w:color="auto"/>
              <w:right w:val="single" w:sz="2" w:space="0" w:color="auto"/>
            </w:tcBorders>
            <w:shd w:val="clear" w:color="auto" w:fill="D3D3D3"/>
            <w:vAlign w:val="center"/>
          </w:tcPr>
          <w:p w:rsidR="00561B6F" w:rsidRDefault="00561B6F">
            <w:pPr>
              <w:spacing w:before="40" w:after="40" w:line="240" w:lineRule="exact"/>
              <w:rPr>
                <w:sz w:val="18"/>
                <w:szCs w:val="18"/>
              </w:rPr>
            </w:pPr>
            <w:r>
              <w:rPr>
                <w:sz w:val="18"/>
                <w:szCs w:val="18"/>
              </w:rPr>
              <w:t>市场或客户类型</w:t>
            </w:r>
          </w:p>
        </w:tc>
        <w:tc>
          <w:tcPr>
            <w:tcW w:w="1000" w:type="pct"/>
            <w:tcBorders>
              <w:top w:val="single" w:sz="2" w:space="0" w:color="auto"/>
              <w:left w:val="single" w:sz="2" w:space="0" w:color="auto"/>
              <w:bottom w:val="single" w:sz="2" w:space="0" w:color="auto"/>
              <w:right w:val="single" w:sz="2" w:space="0" w:color="auto"/>
            </w:tcBorders>
            <w:vAlign w:val="center"/>
          </w:tcPr>
          <w:p w:rsidR="00561B6F" w:rsidRDefault="00561B6F">
            <w:pPr>
              <w:spacing w:line="240" w:lineRule="exact"/>
              <w:jc w:val="right"/>
              <w:rPr>
                <w:sz w:val="18"/>
                <w:szCs w:val="18"/>
              </w:rPr>
            </w:pPr>
            <w:r>
              <w:rPr>
                <w:sz w:val="18"/>
                <w:szCs w:val="18"/>
              </w:rPr>
              <w:t>476,993,037.00</w:t>
            </w:r>
          </w:p>
        </w:tc>
        <w:tc>
          <w:tcPr>
            <w:tcW w:w="1000" w:type="pct"/>
            <w:tcBorders>
              <w:top w:val="single" w:sz="2" w:space="0" w:color="auto"/>
              <w:left w:val="single" w:sz="2" w:space="0" w:color="auto"/>
              <w:bottom w:val="single" w:sz="2" w:space="0" w:color="auto"/>
              <w:right w:val="single" w:sz="2" w:space="0" w:color="auto"/>
            </w:tcBorders>
            <w:vAlign w:val="center"/>
          </w:tcPr>
          <w:p w:rsidR="00561B6F" w:rsidRDefault="00561B6F">
            <w:pPr>
              <w:spacing w:line="240" w:lineRule="exact"/>
              <w:jc w:val="right"/>
              <w:rPr>
                <w:sz w:val="18"/>
                <w:szCs w:val="18"/>
              </w:rPr>
            </w:pPr>
            <w:r>
              <w:rPr>
                <w:sz w:val="18"/>
                <w:szCs w:val="18"/>
              </w:rPr>
              <w:t>351,915,132.21</w:t>
            </w:r>
          </w:p>
        </w:tc>
        <w:tc>
          <w:tcPr>
            <w:tcW w:w="1000" w:type="pct"/>
            <w:tcBorders>
              <w:top w:val="single" w:sz="2" w:space="0" w:color="auto"/>
              <w:left w:val="single" w:sz="2" w:space="0" w:color="auto"/>
              <w:bottom w:val="single" w:sz="2" w:space="0" w:color="auto"/>
              <w:right w:val="single" w:sz="2" w:space="0" w:color="auto"/>
            </w:tcBorders>
            <w:vAlign w:val="center"/>
          </w:tcPr>
          <w:p w:rsidR="00561B6F" w:rsidRDefault="00561B6F">
            <w:pPr>
              <w:spacing w:line="240" w:lineRule="exact"/>
              <w:jc w:val="right"/>
              <w:rPr>
                <w:sz w:val="18"/>
                <w:szCs w:val="18"/>
              </w:rPr>
            </w:pPr>
            <w:r>
              <w:rPr>
                <w:sz w:val="18"/>
                <w:szCs w:val="18"/>
              </w:rPr>
              <w:t>476,993,037.00</w:t>
            </w:r>
          </w:p>
        </w:tc>
        <w:tc>
          <w:tcPr>
            <w:tcW w:w="1000" w:type="pct"/>
            <w:tcBorders>
              <w:top w:val="single" w:sz="2" w:space="0" w:color="auto"/>
              <w:left w:val="single" w:sz="2" w:space="0" w:color="auto"/>
              <w:bottom w:val="single" w:sz="2" w:space="0" w:color="auto"/>
              <w:right w:val="single" w:sz="2" w:space="0" w:color="auto"/>
            </w:tcBorders>
            <w:vAlign w:val="center"/>
          </w:tcPr>
          <w:p w:rsidR="00561B6F" w:rsidRDefault="00561B6F">
            <w:pPr>
              <w:spacing w:line="240" w:lineRule="exact"/>
              <w:jc w:val="right"/>
              <w:rPr>
                <w:sz w:val="18"/>
                <w:szCs w:val="18"/>
              </w:rPr>
            </w:pPr>
            <w:r>
              <w:rPr>
                <w:sz w:val="18"/>
                <w:szCs w:val="18"/>
              </w:rPr>
              <w:t>351,915,132.21</w:t>
            </w:r>
          </w:p>
        </w:tc>
      </w:tr>
      <w:tr w:rsidR="00561B6F" w:rsidTr="00561B6F">
        <w:trPr>
          <w:trHeight w:val="240"/>
        </w:trPr>
        <w:tc>
          <w:tcPr>
            <w:tcW w:w="1000" w:type="pct"/>
            <w:tcBorders>
              <w:top w:val="single" w:sz="2" w:space="0" w:color="auto"/>
              <w:left w:val="single" w:sz="2" w:space="0" w:color="auto"/>
              <w:bottom w:val="single" w:sz="2" w:space="0" w:color="auto"/>
              <w:right w:val="single" w:sz="2" w:space="0" w:color="auto"/>
            </w:tcBorders>
            <w:shd w:val="clear" w:color="auto" w:fill="D3D3D3"/>
            <w:vAlign w:val="center"/>
          </w:tcPr>
          <w:p w:rsidR="00561B6F" w:rsidRDefault="00561B6F">
            <w:pPr>
              <w:spacing w:before="40" w:after="40" w:line="240" w:lineRule="exact"/>
              <w:rPr>
                <w:sz w:val="18"/>
                <w:szCs w:val="18"/>
              </w:rPr>
            </w:pPr>
            <w:r>
              <w:rPr>
                <w:sz w:val="18"/>
                <w:szCs w:val="18"/>
              </w:rPr>
              <w:t xml:space="preserve">　其中：</w:t>
            </w:r>
          </w:p>
        </w:tc>
        <w:tc>
          <w:tcPr>
            <w:tcW w:w="1000" w:type="pct"/>
            <w:tcBorders>
              <w:top w:val="single" w:sz="2" w:space="0" w:color="auto"/>
              <w:left w:val="single" w:sz="2" w:space="0" w:color="auto"/>
              <w:bottom w:val="single" w:sz="2" w:space="0" w:color="auto"/>
              <w:right w:val="single" w:sz="2" w:space="0" w:color="auto"/>
            </w:tcBorders>
            <w:shd w:val="clear" w:color="auto" w:fill="D3D3D3"/>
            <w:vAlign w:val="center"/>
          </w:tcPr>
          <w:p w:rsidR="00561B6F" w:rsidRDefault="00561B6F"/>
        </w:tc>
        <w:tc>
          <w:tcPr>
            <w:tcW w:w="1000" w:type="pct"/>
            <w:tcBorders>
              <w:top w:val="single" w:sz="2" w:space="0" w:color="auto"/>
              <w:left w:val="single" w:sz="2" w:space="0" w:color="auto"/>
              <w:bottom w:val="single" w:sz="2" w:space="0" w:color="auto"/>
              <w:right w:val="single" w:sz="2" w:space="0" w:color="auto"/>
            </w:tcBorders>
            <w:shd w:val="clear" w:color="auto" w:fill="D3D3D3"/>
            <w:vAlign w:val="center"/>
          </w:tcPr>
          <w:p w:rsidR="00561B6F" w:rsidRDefault="00561B6F"/>
        </w:tc>
        <w:tc>
          <w:tcPr>
            <w:tcW w:w="1000" w:type="pct"/>
            <w:tcBorders>
              <w:top w:val="single" w:sz="2" w:space="0" w:color="auto"/>
              <w:left w:val="single" w:sz="2" w:space="0" w:color="auto"/>
              <w:bottom w:val="single" w:sz="2" w:space="0" w:color="auto"/>
              <w:right w:val="single" w:sz="2" w:space="0" w:color="auto"/>
            </w:tcBorders>
            <w:shd w:val="clear" w:color="auto" w:fill="D3D3D3"/>
            <w:vAlign w:val="center"/>
          </w:tcPr>
          <w:p w:rsidR="00561B6F" w:rsidRDefault="00561B6F"/>
        </w:tc>
        <w:tc>
          <w:tcPr>
            <w:tcW w:w="1000" w:type="pct"/>
            <w:tcBorders>
              <w:top w:val="single" w:sz="2" w:space="0" w:color="auto"/>
              <w:left w:val="single" w:sz="2" w:space="0" w:color="auto"/>
              <w:bottom w:val="single" w:sz="2" w:space="0" w:color="auto"/>
              <w:right w:val="single" w:sz="2" w:space="0" w:color="auto"/>
            </w:tcBorders>
            <w:shd w:val="clear" w:color="auto" w:fill="D3D3D3"/>
            <w:vAlign w:val="center"/>
          </w:tcPr>
          <w:p w:rsidR="00561B6F" w:rsidRDefault="00561B6F"/>
        </w:tc>
      </w:tr>
      <w:tr w:rsidR="00561B6F" w:rsidTr="00561B6F">
        <w:trPr>
          <w:trHeight w:val="240"/>
        </w:trPr>
        <w:tc>
          <w:tcPr>
            <w:tcW w:w="1000" w:type="pct"/>
            <w:tcBorders>
              <w:top w:val="single" w:sz="2" w:space="0" w:color="auto"/>
              <w:left w:val="single" w:sz="2" w:space="0" w:color="auto"/>
              <w:bottom w:val="single" w:sz="2" w:space="0" w:color="auto"/>
              <w:right w:val="single" w:sz="2" w:space="0" w:color="auto"/>
            </w:tcBorders>
            <w:vAlign w:val="center"/>
          </w:tcPr>
          <w:p w:rsidR="00561B6F" w:rsidRDefault="00561B6F">
            <w:pPr>
              <w:spacing w:line="240" w:lineRule="exact"/>
              <w:rPr>
                <w:sz w:val="18"/>
                <w:szCs w:val="18"/>
              </w:rPr>
            </w:pPr>
            <w:r>
              <w:rPr>
                <w:sz w:val="18"/>
                <w:szCs w:val="18"/>
              </w:rPr>
              <w:t>智慧政务</w:t>
            </w:r>
          </w:p>
        </w:tc>
        <w:tc>
          <w:tcPr>
            <w:tcW w:w="1000" w:type="pct"/>
            <w:tcBorders>
              <w:top w:val="single" w:sz="2" w:space="0" w:color="auto"/>
              <w:left w:val="single" w:sz="2" w:space="0" w:color="auto"/>
              <w:bottom w:val="single" w:sz="2" w:space="0" w:color="auto"/>
              <w:right w:val="single" w:sz="2" w:space="0" w:color="auto"/>
            </w:tcBorders>
            <w:vAlign w:val="center"/>
          </w:tcPr>
          <w:p w:rsidR="00561B6F" w:rsidRDefault="00561B6F">
            <w:pPr>
              <w:spacing w:line="240" w:lineRule="exact"/>
              <w:jc w:val="right"/>
              <w:rPr>
                <w:sz w:val="18"/>
                <w:szCs w:val="18"/>
              </w:rPr>
            </w:pPr>
            <w:r>
              <w:rPr>
                <w:sz w:val="18"/>
                <w:szCs w:val="18"/>
              </w:rPr>
              <w:t>112,803,439.02</w:t>
            </w:r>
          </w:p>
        </w:tc>
        <w:tc>
          <w:tcPr>
            <w:tcW w:w="1000" w:type="pct"/>
            <w:tcBorders>
              <w:top w:val="single" w:sz="2" w:space="0" w:color="auto"/>
              <w:left w:val="single" w:sz="2" w:space="0" w:color="auto"/>
              <w:bottom w:val="single" w:sz="2" w:space="0" w:color="auto"/>
              <w:right w:val="single" w:sz="2" w:space="0" w:color="auto"/>
            </w:tcBorders>
            <w:vAlign w:val="center"/>
          </w:tcPr>
          <w:p w:rsidR="00561B6F" w:rsidRDefault="00561B6F">
            <w:pPr>
              <w:spacing w:line="240" w:lineRule="exact"/>
              <w:jc w:val="right"/>
              <w:rPr>
                <w:sz w:val="18"/>
                <w:szCs w:val="18"/>
              </w:rPr>
            </w:pPr>
            <w:r>
              <w:rPr>
                <w:sz w:val="18"/>
                <w:szCs w:val="18"/>
              </w:rPr>
              <w:t>82,233,648.09</w:t>
            </w:r>
          </w:p>
        </w:tc>
        <w:tc>
          <w:tcPr>
            <w:tcW w:w="1000" w:type="pct"/>
            <w:tcBorders>
              <w:top w:val="single" w:sz="2" w:space="0" w:color="auto"/>
              <w:left w:val="single" w:sz="2" w:space="0" w:color="auto"/>
              <w:bottom w:val="single" w:sz="2" w:space="0" w:color="auto"/>
              <w:right w:val="single" w:sz="2" w:space="0" w:color="auto"/>
            </w:tcBorders>
            <w:vAlign w:val="center"/>
          </w:tcPr>
          <w:p w:rsidR="00561B6F" w:rsidRDefault="00561B6F">
            <w:pPr>
              <w:spacing w:line="240" w:lineRule="exact"/>
              <w:jc w:val="right"/>
              <w:rPr>
                <w:sz w:val="18"/>
                <w:szCs w:val="18"/>
              </w:rPr>
            </w:pPr>
            <w:r>
              <w:rPr>
                <w:sz w:val="18"/>
                <w:szCs w:val="18"/>
              </w:rPr>
              <w:t>112,803,439.02</w:t>
            </w:r>
          </w:p>
        </w:tc>
        <w:tc>
          <w:tcPr>
            <w:tcW w:w="1000" w:type="pct"/>
            <w:tcBorders>
              <w:top w:val="single" w:sz="2" w:space="0" w:color="auto"/>
              <w:left w:val="single" w:sz="2" w:space="0" w:color="auto"/>
              <w:bottom w:val="single" w:sz="2" w:space="0" w:color="auto"/>
              <w:right w:val="single" w:sz="2" w:space="0" w:color="auto"/>
            </w:tcBorders>
            <w:vAlign w:val="center"/>
          </w:tcPr>
          <w:p w:rsidR="00561B6F" w:rsidRDefault="00561B6F">
            <w:pPr>
              <w:spacing w:line="240" w:lineRule="exact"/>
              <w:jc w:val="right"/>
              <w:rPr>
                <w:sz w:val="18"/>
                <w:szCs w:val="18"/>
              </w:rPr>
            </w:pPr>
            <w:r>
              <w:rPr>
                <w:sz w:val="18"/>
                <w:szCs w:val="18"/>
              </w:rPr>
              <w:t>82,233,648.09</w:t>
            </w:r>
          </w:p>
        </w:tc>
      </w:tr>
      <w:tr w:rsidR="00561B6F" w:rsidTr="00561B6F">
        <w:trPr>
          <w:trHeight w:val="240"/>
        </w:trPr>
        <w:tc>
          <w:tcPr>
            <w:tcW w:w="1000" w:type="pct"/>
            <w:tcBorders>
              <w:top w:val="single" w:sz="2" w:space="0" w:color="auto"/>
              <w:left w:val="single" w:sz="2" w:space="0" w:color="auto"/>
              <w:bottom w:val="single" w:sz="2" w:space="0" w:color="auto"/>
              <w:right w:val="single" w:sz="2" w:space="0" w:color="auto"/>
            </w:tcBorders>
            <w:vAlign w:val="center"/>
          </w:tcPr>
          <w:p w:rsidR="00561B6F" w:rsidRDefault="00561B6F">
            <w:pPr>
              <w:spacing w:line="240" w:lineRule="exact"/>
              <w:rPr>
                <w:sz w:val="18"/>
                <w:szCs w:val="18"/>
              </w:rPr>
            </w:pPr>
            <w:r>
              <w:rPr>
                <w:sz w:val="18"/>
                <w:szCs w:val="18"/>
              </w:rPr>
              <w:t>智慧教育</w:t>
            </w:r>
          </w:p>
        </w:tc>
        <w:tc>
          <w:tcPr>
            <w:tcW w:w="1000" w:type="pct"/>
            <w:tcBorders>
              <w:top w:val="single" w:sz="2" w:space="0" w:color="auto"/>
              <w:left w:val="single" w:sz="2" w:space="0" w:color="auto"/>
              <w:bottom w:val="single" w:sz="2" w:space="0" w:color="auto"/>
              <w:right w:val="single" w:sz="2" w:space="0" w:color="auto"/>
            </w:tcBorders>
            <w:vAlign w:val="center"/>
          </w:tcPr>
          <w:p w:rsidR="00561B6F" w:rsidRDefault="00561B6F">
            <w:pPr>
              <w:spacing w:line="240" w:lineRule="exact"/>
              <w:jc w:val="right"/>
              <w:rPr>
                <w:sz w:val="18"/>
                <w:szCs w:val="18"/>
              </w:rPr>
            </w:pPr>
            <w:r>
              <w:rPr>
                <w:sz w:val="18"/>
                <w:szCs w:val="18"/>
              </w:rPr>
              <w:t>45,653,067.00</w:t>
            </w:r>
          </w:p>
        </w:tc>
        <w:tc>
          <w:tcPr>
            <w:tcW w:w="1000" w:type="pct"/>
            <w:tcBorders>
              <w:top w:val="single" w:sz="2" w:space="0" w:color="auto"/>
              <w:left w:val="single" w:sz="2" w:space="0" w:color="auto"/>
              <w:bottom w:val="single" w:sz="2" w:space="0" w:color="auto"/>
              <w:right w:val="single" w:sz="2" w:space="0" w:color="auto"/>
            </w:tcBorders>
            <w:vAlign w:val="center"/>
          </w:tcPr>
          <w:p w:rsidR="00561B6F" w:rsidRDefault="00561B6F">
            <w:pPr>
              <w:spacing w:line="240" w:lineRule="exact"/>
              <w:jc w:val="right"/>
              <w:rPr>
                <w:sz w:val="18"/>
                <w:szCs w:val="18"/>
              </w:rPr>
            </w:pPr>
            <w:r>
              <w:rPr>
                <w:sz w:val="18"/>
                <w:szCs w:val="18"/>
              </w:rPr>
              <w:t>41,433,446.19</w:t>
            </w:r>
          </w:p>
        </w:tc>
        <w:tc>
          <w:tcPr>
            <w:tcW w:w="1000" w:type="pct"/>
            <w:tcBorders>
              <w:top w:val="single" w:sz="2" w:space="0" w:color="auto"/>
              <w:left w:val="single" w:sz="2" w:space="0" w:color="auto"/>
              <w:bottom w:val="single" w:sz="2" w:space="0" w:color="auto"/>
              <w:right w:val="single" w:sz="2" w:space="0" w:color="auto"/>
            </w:tcBorders>
            <w:vAlign w:val="center"/>
          </w:tcPr>
          <w:p w:rsidR="00561B6F" w:rsidRDefault="00561B6F">
            <w:pPr>
              <w:spacing w:line="240" w:lineRule="exact"/>
              <w:jc w:val="right"/>
              <w:rPr>
                <w:sz w:val="18"/>
                <w:szCs w:val="18"/>
              </w:rPr>
            </w:pPr>
            <w:r>
              <w:rPr>
                <w:sz w:val="18"/>
                <w:szCs w:val="18"/>
              </w:rPr>
              <w:t>45,653,067.00</w:t>
            </w:r>
          </w:p>
        </w:tc>
        <w:tc>
          <w:tcPr>
            <w:tcW w:w="1000" w:type="pct"/>
            <w:tcBorders>
              <w:top w:val="single" w:sz="2" w:space="0" w:color="auto"/>
              <w:left w:val="single" w:sz="2" w:space="0" w:color="auto"/>
              <w:bottom w:val="single" w:sz="2" w:space="0" w:color="auto"/>
              <w:right w:val="single" w:sz="2" w:space="0" w:color="auto"/>
            </w:tcBorders>
            <w:vAlign w:val="center"/>
          </w:tcPr>
          <w:p w:rsidR="00561B6F" w:rsidRDefault="00561B6F">
            <w:pPr>
              <w:spacing w:line="240" w:lineRule="exact"/>
              <w:jc w:val="right"/>
              <w:rPr>
                <w:sz w:val="18"/>
                <w:szCs w:val="18"/>
              </w:rPr>
            </w:pPr>
            <w:r>
              <w:rPr>
                <w:sz w:val="18"/>
                <w:szCs w:val="18"/>
              </w:rPr>
              <w:t>41,433,446.19</w:t>
            </w:r>
          </w:p>
        </w:tc>
      </w:tr>
      <w:tr w:rsidR="00561B6F" w:rsidTr="00561B6F">
        <w:trPr>
          <w:trHeight w:val="240"/>
        </w:trPr>
        <w:tc>
          <w:tcPr>
            <w:tcW w:w="1000" w:type="pct"/>
            <w:tcBorders>
              <w:top w:val="single" w:sz="2" w:space="0" w:color="auto"/>
              <w:left w:val="single" w:sz="2" w:space="0" w:color="auto"/>
              <w:bottom w:val="single" w:sz="2" w:space="0" w:color="auto"/>
              <w:right w:val="single" w:sz="2" w:space="0" w:color="auto"/>
            </w:tcBorders>
            <w:vAlign w:val="center"/>
          </w:tcPr>
          <w:p w:rsidR="00561B6F" w:rsidRDefault="00561B6F">
            <w:pPr>
              <w:spacing w:line="240" w:lineRule="exact"/>
              <w:rPr>
                <w:sz w:val="18"/>
                <w:szCs w:val="18"/>
              </w:rPr>
            </w:pPr>
            <w:r>
              <w:rPr>
                <w:sz w:val="18"/>
                <w:szCs w:val="18"/>
              </w:rPr>
              <w:t>智慧医疗</w:t>
            </w:r>
          </w:p>
        </w:tc>
        <w:tc>
          <w:tcPr>
            <w:tcW w:w="1000" w:type="pct"/>
            <w:tcBorders>
              <w:top w:val="single" w:sz="2" w:space="0" w:color="auto"/>
              <w:left w:val="single" w:sz="2" w:space="0" w:color="auto"/>
              <w:bottom w:val="single" w:sz="2" w:space="0" w:color="auto"/>
              <w:right w:val="single" w:sz="2" w:space="0" w:color="auto"/>
            </w:tcBorders>
            <w:vAlign w:val="center"/>
          </w:tcPr>
          <w:p w:rsidR="00561B6F" w:rsidRDefault="00561B6F">
            <w:pPr>
              <w:spacing w:line="240" w:lineRule="exact"/>
              <w:jc w:val="right"/>
              <w:rPr>
                <w:sz w:val="18"/>
                <w:szCs w:val="18"/>
              </w:rPr>
            </w:pPr>
            <w:r>
              <w:rPr>
                <w:sz w:val="18"/>
                <w:szCs w:val="18"/>
              </w:rPr>
              <w:t>55,809,719.38</w:t>
            </w:r>
          </w:p>
        </w:tc>
        <w:tc>
          <w:tcPr>
            <w:tcW w:w="1000" w:type="pct"/>
            <w:tcBorders>
              <w:top w:val="single" w:sz="2" w:space="0" w:color="auto"/>
              <w:left w:val="single" w:sz="2" w:space="0" w:color="auto"/>
              <w:bottom w:val="single" w:sz="2" w:space="0" w:color="auto"/>
              <w:right w:val="single" w:sz="2" w:space="0" w:color="auto"/>
            </w:tcBorders>
            <w:vAlign w:val="center"/>
          </w:tcPr>
          <w:p w:rsidR="00561B6F" w:rsidRDefault="00561B6F">
            <w:pPr>
              <w:spacing w:line="240" w:lineRule="exact"/>
              <w:jc w:val="right"/>
              <w:rPr>
                <w:sz w:val="18"/>
                <w:szCs w:val="18"/>
              </w:rPr>
            </w:pPr>
            <w:r>
              <w:rPr>
                <w:sz w:val="18"/>
                <w:szCs w:val="18"/>
              </w:rPr>
              <w:t>49,941,774.34</w:t>
            </w:r>
          </w:p>
        </w:tc>
        <w:tc>
          <w:tcPr>
            <w:tcW w:w="1000" w:type="pct"/>
            <w:tcBorders>
              <w:top w:val="single" w:sz="2" w:space="0" w:color="auto"/>
              <w:left w:val="single" w:sz="2" w:space="0" w:color="auto"/>
              <w:bottom w:val="single" w:sz="2" w:space="0" w:color="auto"/>
              <w:right w:val="single" w:sz="2" w:space="0" w:color="auto"/>
            </w:tcBorders>
            <w:vAlign w:val="center"/>
          </w:tcPr>
          <w:p w:rsidR="00561B6F" w:rsidRDefault="00561B6F">
            <w:pPr>
              <w:spacing w:line="240" w:lineRule="exact"/>
              <w:jc w:val="right"/>
              <w:rPr>
                <w:sz w:val="18"/>
                <w:szCs w:val="18"/>
              </w:rPr>
            </w:pPr>
            <w:r>
              <w:rPr>
                <w:sz w:val="18"/>
                <w:szCs w:val="18"/>
              </w:rPr>
              <w:t>55,809,719.38</w:t>
            </w:r>
          </w:p>
        </w:tc>
        <w:tc>
          <w:tcPr>
            <w:tcW w:w="1000" w:type="pct"/>
            <w:tcBorders>
              <w:top w:val="single" w:sz="2" w:space="0" w:color="auto"/>
              <w:left w:val="single" w:sz="2" w:space="0" w:color="auto"/>
              <w:bottom w:val="single" w:sz="2" w:space="0" w:color="auto"/>
              <w:right w:val="single" w:sz="2" w:space="0" w:color="auto"/>
            </w:tcBorders>
            <w:vAlign w:val="center"/>
          </w:tcPr>
          <w:p w:rsidR="00561B6F" w:rsidRDefault="00561B6F">
            <w:pPr>
              <w:spacing w:line="240" w:lineRule="exact"/>
              <w:jc w:val="right"/>
              <w:rPr>
                <w:sz w:val="18"/>
                <w:szCs w:val="18"/>
              </w:rPr>
            </w:pPr>
            <w:r>
              <w:rPr>
                <w:sz w:val="18"/>
                <w:szCs w:val="18"/>
              </w:rPr>
              <w:t>49,941,774.34</w:t>
            </w:r>
          </w:p>
        </w:tc>
      </w:tr>
      <w:tr w:rsidR="00561B6F" w:rsidTr="00561B6F">
        <w:trPr>
          <w:trHeight w:val="240"/>
        </w:trPr>
        <w:tc>
          <w:tcPr>
            <w:tcW w:w="1000" w:type="pct"/>
            <w:tcBorders>
              <w:top w:val="single" w:sz="2" w:space="0" w:color="auto"/>
              <w:left w:val="single" w:sz="2" w:space="0" w:color="auto"/>
              <w:bottom w:val="single" w:sz="2" w:space="0" w:color="auto"/>
              <w:right w:val="single" w:sz="2" w:space="0" w:color="auto"/>
            </w:tcBorders>
            <w:vAlign w:val="center"/>
          </w:tcPr>
          <w:p w:rsidR="00561B6F" w:rsidRDefault="00561B6F">
            <w:pPr>
              <w:spacing w:line="240" w:lineRule="exact"/>
              <w:rPr>
                <w:sz w:val="18"/>
                <w:szCs w:val="18"/>
              </w:rPr>
            </w:pPr>
            <w:r>
              <w:rPr>
                <w:sz w:val="18"/>
                <w:szCs w:val="18"/>
              </w:rPr>
              <w:t>智慧企业</w:t>
            </w:r>
          </w:p>
        </w:tc>
        <w:tc>
          <w:tcPr>
            <w:tcW w:w="1000" w:type="pct"/>
            <w:tcBorders>
              <w:top w:val="single" w:sz="2" w:space="0" w:color="auto"/>
              <w:left w:val="single" w:sz="2" w:space="0" w:color="auto"/>
              <w:bottom w:val="single" w:sz="2" w:space="0" w:color="auto"/>
              <w:right w:val="single" w:sz="2" w:space="0" w:color="auto"/>
            </w:tcBorders>
            <w:vAlign w:val="center"/>
          </w:tcPr>
          <w:p w:rsidR="00561B6F" w:rsidRDefault="00561B6F">
            <w:pPr>
              <w:spacing w:line="240" w:lineRule="exact"/>
              <w:jc w:val="right"/>
              <w:rPr>
                <w:sz w:val="18"/>
                <w:szCs w:val="18"/>
              </w:rPr>
            </w:pPr>
            <w:r>
              <w:rPr>
                <w:sz w:val="18"/>
                <w:szCs w:val="18"/>
              </w:rPr>
              <w:t>152,992,319.49</w:t>
            </w:r>
          </w:p>
        </w:tc>
        <w:tc>
          <w:tcPr>
            <w:tcW w:w="1000" w:type="pct"/>
            <w:tcBorders>
              <w:top w:val="single" w:sz="2" w:space="0" w:color="auto"/>
              <w:left w:val="single" w:sz="2" w:space="0" w:color="auto"/>
              <w:bottom w:val="single" w:sz="2" w:space="0" w:color="auto"/>
              <w:right w:val="single" w:sz="2" w:space="0" w:color="auto"/>
            </w:tcBorders>
            <w:vAlign w:val="center"/>
          </w:tcPr>
          <w:p w:rsidR="00561B6F" w:rsidRDefault="00561B6F">
            <w:pPr>
              <w:spacing w:line="240" w:lineRule="exact"/>
              <w:jc w:val="right"/>
              <w:rPr>
                <w:sz w:val="18"/>
                <w:szCs w:val="18"/>
              </w:rPr>
            </w:pPr>
            <w:r>
              <w:rPr>
                <w:sz w:val="18"/>
                <w:szCs w:val="18"/>
              </w:rPr>
              <w:t>123,825,812.06</w:t>
            </w:r>
          </w:p>
        </w:tc>
        <w:tc>
          <w:tcPr>
            <w:tcW w:w="1000" w:type="pct"/>
            <w:tcBorders>
              <w:top w:val="single" w:sz="2" w:space="0" w:color="auto"/>
              <w:left w:val="single" w:sz="2" w:space="0" w:color="auto"/>
              <w:bottom w:val="single" w:sz="2" w:space="0" w:color="auto"/>
              <w:right w:val="single" w:sz="2" w:space="0" w:color="auto"/>
            </w:tcBorders>
            <w:vAlign w:val="center"/>
          </w:tcPr>
          <w:p w:rsidR="00561B6F" w:rsidRDefault="00561B6F">
            <w:pPr>
              <w:spacing w:line="240" w:lineRule="exact"/>
              <w:jc w:val="right"/>
              <w:rPr>
                <w:sz w:val="18"/>
                <w:szCs w:val="18"/>
              </w:rPr>
            </w:pPr>
            <w:r>
              <w:rPr>
                <w:sz w:val="18"/>
                <w:szCs w:val="18"/>
              </w:rPr>
              <w:t>152,992,319.49</w:t>
            </w:r>
          </w:p>
        </w:tc>
        <w:tc>
          <w:tcPr>
            <w:tcW w:w="1000" w:type="pct"/>
            <w:tcBorders>
              <w:top w:val="single" w:sz="2" w:space="0" w:color="auto"/>
              <w:left w:val="single" w:sz="2" w:space="0" w:color="auto"/>
              <w:bottom w:val="single" w:sz="2" w:space="0" w:color="auto"/>
              <w:right w:val="single" w:sz="2" w:space="0" w:color="auto"/>
            </w:tcBorders>
            <w:vAlign w:val="center"/>
          </w:tcPr>
          <w:p w:rsidR="00561B6F" w:rsidRDefault="00561B6F">
            <w:pPr>
              <w:spacing w:line="240" w:lineRule="exact"/>
              <w:jc w:val="right"/>
              <w:rPr>
                <w:sz w:val="18"/>
                <w:szCs w:val="18"/>
              </w:rPr>
            </w:pPr>
            <w:r>
              <w:rPr>
                <w:sz w:val="18"/>
                <w:szCs w:val="18"/>
              </w:rPr>
              <w:t>123,825,812.06</w:t>
            </w:r>
          </w:p>
        </w:tc>
      </w:tr>
      <w:tr w:rsidR="00561B6F" w:rsidTr="00561B6F">
        <w:trPr>
          <w:trHeight w:val="240"/>
        </w:trPr>
        <w:tc>
          <w:tcPr>
            <w:tcW w:w="1000" w:type="pct"/>
            <w:tcBorders>
              <w:top w:val="single" w:sz="2" w:space="0" w:color="auto"/>
              <w:left w:val="single" w:sz="2" w:space="0" w:color="auto"/>
              <w:bottom w:val="single" w:sz="2" w:space="0" w:color="auto"/>
              <w:right w:val="single" w:sz="2" w:space="0" w:color="auto"/>
            </w:tcBorders>
            <w:vAlign w:val="center"/>
          </w:tcPr>
          <w:p w:rsidR="00561B6F" w:rsidRDefault="00561B6F">
            <w:pPr>
              <w:spacing w:line="240" w:lineRule="exact"/>
              <w:rPr>
                <w:sz w:val="18"/>
                <w:szCs w:val="18"/>
              </w:rPr>
            </w:pPr>
            <w:r>
              <w:rPr>
                <w:sz w:val="18"/>
                <w:szCs w:val="18"/>
              </w:rPr>
              <w:t>算力服务</w:t>
            </w:r>
          </w:p>
        </w:tc>
        <w:tc>
          <w:tcPr>
            <w:tcW w:w="1000" w:type="pct"/>
            <w:tcBorders>
              <w:top w:val="single" w:sz="2" w:space="0" w:color="auto"/>
              <w:left w:val="single" w:sz="2" w:space="0" w:color="auto"/>
              <w:bottom w:val="single" w:sz="2" w:space="0" w:color="auto"/>
              <w:right w:val="single" w:sz="2" w:space="0" w:color="auto"/>
            </w:tcBorders>
            <w:vAlign w:val="center"/>
          </w:tcPr>
          <w:p w:rsidR="00561B6F" w:rsidRDefault="00561B6F">
            <w:pPr>
              <w:spacing w:line="240" w:lineRule="exact"/>
              <w:jc w:val="right"/>
              <w:rPr>
                <w:sz w:val="18"/>
                <w:szCs w:val="18"/>
              </w:rPr>
            </w:pPr>
            <w:r>
              <w:rPr>
                <w:sz w:val="18"/>
                <w:szCs w:val="18"/>
              </w:rPr>
              <w:t>66,165,689.04</w:t>
            </w:r>
          </w:p>
        </w:tc>
        <w:tc>
          <w:tcPr>
            <w:tcW w:w="1000" w:type="pct"/>
            <w:tcBorders>
              <w:top w:val="single" w:sz="2" w:space="0" w:color="auto"/>
              <w:left w:val="single" w:sz="2" w:space="0" w:color="auto"/>
              <w:bottom w:val="single" w:sz="2" w:space="0" w:color="auto"/>
              <w:right w:val="single" w:sz="2" w:space="0" w:color="auto"/>
            </w:tcBorders>
            <w:vAlign w:val="center"/>
          </w:tcPr>
          <w:p w:rsidR="00561B6F" w:rsidRDefault="00561B6F">
            <w:pPr>
              <w:spacing w:line="240" w:lineRule="exact"/>
              <w:jc w:val="right"/>
              <w:rPr>
                <w:sz w:val="18"/>
                <w:szCs w:val="18"/>
              </w:rPr>
            </w:pPr>
            <w:r>
              <w:rPr>
                <w:sz w:val="18"/>
                <w:szCs w:val="18"/>
              </w:rPr>
              <w:t>34,988,018.50</w:t>
            </w:r>
          </w:p>
        </w:tc>
        <w:tc>
          <w:tcPr>
            <w:tcW w:w="1000" w:type="pct"/>
            <w:tcBorders>
              <w:top w:val="single" w:sz="2" w:space="0" w:color="auto"/>
              <w:left w:val="single" w:sz="2" w:space="0" w:color="auto"/>
              <w:bottom w:val="single" w:sz="2" w:space="0" w:color="auto"/>
              <w:right w:val="single" w:sz="2" w:space="0" w:color="auto"/>
            </w:tcBorders>
            <w:vAlign w:val="center"/>
          </w:tcPr>
          <w:p w:rsidR="00561B6F" w:rsidRDefault="00561B6F">
            <w:pPr>
              <w:spacing w:line="240" w:lineRule="exact"/>
              <w:jc w:val="right"/>
              <w:rPr>
                <w:sz w:val="18"/>
                <w:szCs w:val="18"/>
              </w:rPr>
            </w:pPr>
            <w:r>
              <w:rPr>
                <w:sz w:val="18"/>
                <w:szCs w:val="18"/>
              </w:rPr>
              <w:t>66,165,689.04</w:t>
            </w:r>
          </w:p>
        </w:tc>
        <w:tc>
          <w:tcPr>
            <w:tcW w:w="1000" w:type="pct"/>
            <w:tcBorders>
              <w:top w:val="single" w:sz="2" w:space="0" w:color="auto"/>
              <w:left w:val="single" w:sz="2" w:space="0" w:color="auto"/>
              <w:bottom w:val="single" w:sz="2" w:space="0" w:color="auto"/>
              <w:right w:val="single" w:sz="2" w:space="0" w:color="auto"/>
            </w:tcBorders>
            <w:vAlign w:val="center"/>
          </w:tcPr>
          <w:p w:rsidR="00561B6F" w:rsidRDefault="00561B6F">
            <w:pPr>
              <w:spacing w:line="240" w:lineRule="exact"/>
              <w:jc w:val="right"/>
              <w:rPr>
                <w:sz w:val="18"/>
                <w:szCs w:val="18"/>
              </w:rPr>
            </w:pPr>
            <w:r>
              <w:rPr>
                <w:sz w:val="18"/>
                <w:szCs w:val="18"/>
              </w:rPr>
              <w:t>34,988,018.50</w:t>
            </w:r>
          </w:p>
        </w:tc>
      </w:tr>
      <w:tr w:rsidR="00561B6F" w:rsidTr="00561B6F">
        <w:trPr>
          <w:trHeight w:val="240"/>
        </w:trPr>
        <w:tc>
          <w:tcPr>
            <w:tcW w:w="1000" w:type="pct"/>
            <w:tcBorders>
              <w:top w:val="single" w:sz="2" w:space="0" w:color="auto"/>
              <w:left w:val="single" w:sz="2" w:space="0" w:color="auto"/>
              <w:bottom w:val="single" w:sz="2" w:space="0" w:color="auto"/>
              <w:right w:val="single" w:sz="2" w:space="0" w:color="auto"/>
            </w:tcBorders>
            <w:vAlign w:val="center"/>
          </w:tcPr>
          <w:p w:rsidR="00561B6F" w:rsidRDefault="00561B6F">
            <w:pPr>
              <w:spacing w:line="240" w:lineRule="exact"/>
              <w:rPr>
                <w:sz w:val="18"/>
                <w:szCs w:val="18"/>
              </w:rPr>
            </w:pPr>
            <w:r>
              <w:rPr>
                <w:sz w:val="18"/>
                <w:szCs w:val="18"/>
              </w:rPr>
              <w:t>新能源电力</w:t>
            </w:r>
          </w:p>
        </w:tc>
        <w:tc>
          <w:tcPr>
            <w:tcW w:w="1000" w:type="pct"/>
            <w:tcBorders>
              <w:top w:val="single" w:sz="2" w:space="0" w:color="auto"/>
              <w:left w:val="single" w:sz="2" w:space="0" w:color="auto"/>
              <w:bottom w:val="single" w:sz="2" w:space="0" w:color="auto"/>
              <w:right w:val="single" w:sz="2" w:space="0" w:color="auto"/>
            </w:tcBorders>
            <w:vAlign w:val="center"/>
          </w:tcPr>
          <w:p w:rsidR="00561B6F" w:rsidRDefault="00561B6F">
            <w:pPr>
              <w:spacing w:line="240" w:lineRule="exact"/>
              <w:jc w:val="right"/>
              <w:rPr>
                <w:sz w:val="18"/>
                <w:szCs w:val="18"/>
              </w:rPr>
            </w:pPr>
            <w:r>
              <w:rPr>
                <w:sz w:val="18"/>
                <w:szCs w:val="18"/>
              </w:rPr>
              <w:t>21,298,988.55</w:t>
            </w:r>
          </w:p>
        </w:tc>
        <w:tc>
          <w:tcPr>
            <w:tcW w:w="1000" w:type="pct"/>
            <w:tcBorders>
              <w:top w:val="single" w:sz="2" w:space="0" w:color="auto"/>
              <w:left w:val="single" w:sz="2" w:space="0" w:color="auto"/>
              <w:bottom w:val="single" w:sz="2" w:space="0" w:color="auto"/>
              <w:right w:val="single" w:sz="2" w:space="0" w:color="auto"/>
            </w:tcBorders>
            <w:vAlign w:val="center"/>
          </w:tcPr>
          <w:p w:rsidR="00561B6F" w:rsidRDefault="00561B6F">
            <w:pPr>
              <w:spacing w:line="240" w:lineRule="exact"/>
              <w:jc w:val="right"/>
              <w:rPr>
                <w:sz w:val="18"/>
                <w:szCs w:val="18"/>
              </w:rPr>
            </w:pPr>
            <w:r>
              <w:rPr>
                <w:sz w:val="18"/>
                <w:szCs w:val="18"/>
              </w:rPr>
              <w:t>7,715,488.78</w:t>
            </w:r>
          </w:p>
        </w:tc>
        <w:tc>
          <w:tcPr>
            <w:tcW w:w="1000" w:type="pct"/>
            <w:tcBorders>
              <w:top w:val="single" w:sz="2" w:space="0" w:color="auto"/>
              <w:left w:val="single" w:sz="2" w:space="0" w:color="auto"/>
              <w:bottom w:val="single" w:sz="2" w:space="0" w:color="auto"/>
              <w:right w:val="single" w:sz="2" w:space="0" w:color="auto"/>
            </w:tcBorders>
            <w:vAlign w:val="center"/>
          </w:tcPr>
          <w:p w:rsidR="00561B6F" w:rsidRDefault="00561B6F">
            <w:pPr>
              <w:spacing w:line="240" w:lineRule="exact"/>
              <w:jc w:val="right"/>
              <w:rPr>
                <w:sz w:val="18"/>
                <w:szCs w:val="18"/>
              </w:rPr>
            </w:pPr>
            <w:r>
              <w:rPr>
                <w:sz w:val="18"/>
                <w:szCs w:val="18"/>
              </w:rPr>
              <w:t>21,298,988.55</w:t>
            </w:r>
          </w:p>
        </w:tc>
        <w:tc>
          <w:tcPr>
            <w:tcW w:w="1000" w:type="pct"/>
            <w:tcBorders>
              <w:top w:val="single" w:sz="2" w:space="0" w:color="auto"/>
              <w:left w:val="single" w:sz="2" w:space="0" w:color="auto"/>
              <w:bottom w:val="single" w:sz="2" w:space="0" w:color="auto"/>
              <w:right w:val="single" w:sz="2" w:space="0" w:color="auto"/>
            </w:tcBorders>
            <w:vAlign w:val="center"/>
          </w:tcPr>
          <w:p w:rsidR="00561B6F" w:rsidRDefault="00561B6F">
            <w:pPr>
              <w:spacing w:line="240" w:lineRule="exact"/>
              <w:jc w:val="right"/>
              <w:rPr>
                <w:sz w:val="18"/>
                <w:szCs w:val="18"/>
              </w:rPr>
            </w:pPr>
            <w:r>
              <w:rPr>
                <w:sz w:val="18"/>
                <w:szCs w:val="18"/>
              </w:rPr>
              <w:t>7,715,488.78</w:t>
            </w:r>
          </w:p>
        </w:tc>
      </w:tr>
      <w:tr w:rsidR="00561B6F" w:rsidTr="00561B6F">
        <w:trPr>
          <w:trHeight w:val="240"/>
        </w:trPr>
        <w:tc>
          <w:tcPr>
            <w:tcW w:w="1000" w:type="pct"/>
            <w:tcBorders>
              <w:top w:val="single" w:sz="2" w:space="0" w:color="auto"/>
              <w:left w:val="single" w:sz="2" w:space="0" w:color="auto"/>
              <w:bottom w:val="single" w:sz="2" w:space="0" w:color="auto"/>
              <w:right w:val="single" w:sz="2" w:space="0" w:color="auto"/>
            </w:tcBorders>
            <w:vAlign w:val="center"/>
          </w:tcPr>
          <w:p w:rsidR="00561B6F" w:rsidRDefault="00561B6F">
            <w:pPr>
              <w:spacing w:line="240" w:lineRule="exact"/>
              <w:rPr>
                <w:sz w:val="18"/>
                <w:szCs w:val="18"/>
              </w:rPr>
            </w:pPr>
            <w:r>
              <w:rPr>
                <w:sz w:val="18"/>
                <w:szCs w:val="18"/>
              </w:rPr>
              <w:t>轨道交通</w:t>
            </w:r>
          </w:p>
        </w:tc>
        <w:tc>
          <w:tcPr>
            <w:tcW w:w="1000" w:type="pct"/>
            <w:tcBorders>
              <w:top w:val="single" w:sz="2" w:space="0" w:color="auto"/>
              <w:left w:val="single" w:sz="2" w:space="0" w:color="auto"/>
              <w:bottom w:val="single" w:sz="2" w:space="0" w:color="auto"/>
              <w:right w:val="single" w:sz="2" w:space="0" w:color="auto"/>
            </w:tcBorders>
            <w:vAlign w:val="center"/>
          </w:tcPr>
          <w:p w:rsidR="00561B6F" w:rsidRDefault="00561B6F">
            <w:pPr>
              <w:spacing w:line="240" w:lineRule="exact"/>
              <w:jc w:val="right"/>
              <w:rPr>
                <w:sz w:val="18"/>
                <w:szCs w:val="18"/>
              </w:rPr>
            </w:pPr>
            <w:r>
              <w:rPr>
                <w:sz w:val="18"/>
                <w:szCs w:val="18"/>
              </w:rPr>
              <w:t>22,141,554.01</w:t>
            </w:r>
          </w:p>
        </w:tc>
        <w:tc>
          <w:tcPr>
            <w:tcW w:w="1000" w:type="pct"/>
            <w:tcBorders>
              <w:top w:val="single" w:sz="2" w:space="0" w:color="auto"/>
              <w:left w:val="single" w:sz="2" w:space="0" w:color="auto"/>
              <w:bottom w:val="single" w:sz="2" w:space="0" w:color="auto"/>
              <w:right w:val="single" w:sz="2" w:space="0" w:color="auto"/>
            </w:tcBorders>
            <w:vAlign w:val="center"/>
          </w:tcPr>
          <w:p w:rsidR="00561B6F" w:rsidRDefault="00561B6F">
            <w:pPr>
              <w:spacing w:line="240" w:lineRule="exact"/>
              <w:jc w:val="right"/>
              <w:rPr>
                <w:sz w:val="18"/>
                <w:szCs w:val="18"/>
              </w:rPr>
            </w:pPr>
            <w:r>
              <w:rPr>
                <w:sz w:val="18"/>
                <w:szCs w:val="18"/>
              </w:rPr>
              <w:t>11,776,944.25</w:t>
            </w:r>
          </w:p>
        </w:tc>
        <w:tc>
          <w:tcPr>
            <w:tcW w:w="1000" w:type="pct"/>
            <w:tcBorders>
              <w:top w:val="single" w:sz="2" w:space="0" w:color="auto"/>
              <w:left w:val="single" w:sz="2" w:space="0" w:color="auto"/>
              <w:bottom w:val="single" w:sz="2" w:space="0" w:color="auto"/>
              <w:right w:val="single" w:sz="2" w:space="0" w:color="auto"/>
            </w:tcBorders>
            <w:vAlign w:val="center"/>
          </w:tcPr>
          <w:p w:rsidR="00561B6F" w:rsidRDefault="00561B6F">
            <w:pPr>
              <w:spacing w:line="240" w:lineRule="exact"/>
              <w:jc w:val="right"/>
              <w:rPr>
                <w:sz w:val="18"/>
                <w:szCs w:val="18"/>
              </w:rPr>
            </w:pPr>
            <w:r>
              <w:rPr>
                <w:sz w:val="18"/>
                <w:szCs w:val="18"/>
              </w:rPr>
              <w:t>22,141,554.01</w:t>
            </w:r>
          </w:p>
        </w:tc>
        <w:tc>
          <w:tcPr>
            <w:tcW w:w="1000" w:type="pct"/>
            <w:tcBorders>
              <w:top w:val="single" w:sz="2" w:space="0" w:color="auto"/>
              <w:left w:val="single" w:sz="2" w:space="0" w:color="auto"/>
              <w:bottom w:val="single" w:sz="2" w:space="0" w:color="auto"/>
              <w:right w:val="single" w:sz="2" w:space="0" w:color="auto"/>
            </w:tcBorders>
            <w:vAlign w:val="center"/>
          </w:tcPr>
          <w:p w:rsidR="00561B6F" w:rsidRDefault="00561B6F">
            <w:pPr>
              <w:spacing w:line="240" w:lineRule="exact"/>
              <w:jc w:val="right"/>
              <w:rPr>
                <w:sz w:val="18"/>
                <w:szCs w:val="18"/>
              </w:rPr>
            </w:pPr>
            <w:r>
              <w:rPr>
                <w:sz w:val="18"/>
                <w:szCs w:val="18"/>
              </w:rPr>
              <w:t>11,776,944.25</w:t>
            </w:r>
          </w:p>
        </w:tc>
      </w:tr>
      <w:tr w:rsidR="00561B6F" w:rsidTr="00561B6F">
        <w:trPr>
          <w:trHeight w:val="240"/>
        </w:trPr>
        <w:tc>
          <w:tcPr>
            <w:tcW w:w="1000" w:type="pct"/>
            <w:tcBorders>
              <w:top w:val="single" w:sz="2" w:space="0" w:color="auto"/>
              <w:left w:val="single" w:sz="2" w:space="0" w:color="auto"/>
              <w:bottom w:val="single" w:sz="2" w:space="0" w:color="auto"/>
              <w:right w:val="single" w:sz="2" w:space="0" w:color="auto"/>
            </w:tcBorders>
            <w:vAlign w:val="center"/>
          </w:tcPr>
          <w:p w:rsidR="00561B6F" w:rsidRDefault="00561B6F">
            <w:pPr>
              <w:spacing w:line="240" w:lineRule="exact"/>
              <w:rPr>
                <w:sz w:val="18"/>
                <w:szCs w:val="18"/>
              </w:rPr>
            </w:pPr>
            <w:r>
              <w:rPr>
                <w:sz w:val="18"/>
                <w:szCs w:val="18"/>
              </w:rPr>
              <w:t>其他业务收入</w:t>
            </w:r>
          </w:p>
        </w:tc>
        <w:tc>
          <w:tcPr>
            <w:tcW w:w="1000" w:type="pct"/>
            <w:tcBorders>
              <w:top w:val="single" w:sz="2" w:space="0" w:color="auto"/>
              <w:left w:val="single" w:sz="2" w:space="0" w:color="auto"/>
              <w:bottom w:val="single" w:sz="2" w:space="0" w:color="auto"/>
              <w:right w:val="single" w:sz="2" w:space="0" w:color="auto"/>
            </w:tcBorders>
            <w:vAlign w:val="center"/>
          </w:tcPr>
          <w:p w:rsidR="00561B6F" w:rsidRDefault="00561B6F">
            <w:pPr>
              <w:spacing w:line="240" w:lineRule="exact"/>
              <w:jc w:val="right"/>
              <w:rPr>
                <w:sz w:val="18"/>
                <w:szCs w:val="18"/>
              </w:rPr>
            </w:pPr>
            <w:r>
              <w:rPr>
                <w:sz w:val="18"/>
                <w:szCs w:val="18"/>
              </w:rPr>
              <w:t>128,260.51</w:t>
            </w:r>
          </w:p>
        </w:tc>
        <w:tc>
          <w:tcPr>
            <w:tcW w:w="1000" w:type="pct"/>
            <w:tcBorders>
              <w:top w:val="single" w:sz="2" w:space="0" w:color="auto"/>
              <w:left w:val="single" w:sz="2" w:space="0" w:color="auto"/>
              <w:bottom w:val="single" w:sz="2" w:space="0" w:color="auto"/>
              <w:right w:val="single" w:sz="2" w:space="0" w:color="auto"/>
            </w:tcBorders>
            <w:vAlign w:val="center"/>
          </w:tcPr>
          <w:p w:rsidR="00561B6F" w:rsidRDefault="00561B6F">
            <w:pPr>
              <w:spacing w:line="240" w:lineRule="exact"/>
              <w:jc w:val="right"/>
              <w:rPr>
                <w:sz w:val="18"/>
                <w:szCs w:val="18"/>
              </w:rPr>
            </w:pPr>
          </w:p>
        </w:tc>
        <w:tc>
          <w:tcPr>
            <w:tcW w:w="1000" w:type="pct"/>
            <w:tcBorders>
              <w:top w:val="single" w:sz="2" w:space="0" w:color="auto"/>
              <w:left w:val="single" w:sz="2" w:space="0" w:color="auto"/>
              <w:bottom w:val="single" w:sz="2" w:space="0" w:color="auto"/>
              <w:right w:val="single" w:sz="2" w:space="0" w:color="auto"/>
            </w:tcBorders>
            <w:vAlign w:val="center"/>
          </w:tcPr>
          <w:p w:rsidR="00561B6F" w:rsidRDefault="00561B6F">
            <w:pPr>
              <w:spacing w:line="240" w:lineRule="exact"/>
              <w:jc w:val="right"/>
              <w:rPr>
                <w:sz w:val="18"/>
                <w:szCs w:val="18"/>
              </w:rPr>
            </w:pPr>
            <w:r>
              <w:rPr>
                <w:sz w:val="18"/>
                <w:szCs w:val="18"/>
              </w:rPr>
              <w:t>128,260.51</w:t>
            </w:r>
          </w:p>
        </w:tc>
        <w:tc>
          <w:tcPr>
            <w:tcW w:w="1000" w:type="pct"/>
            <w:tcBorders>
              <w:top w:val="single" w:sz="2" w:space="0" w:color="auto"/>
              <w:left w:val="single" w:sz="2" w:space="0" w:color="auto"/>
              <w:bottom w:val="single" w:sz="2" w:space="0" w:color="auto"/>
              <w:right w:val="single" w:sz="2" w:space="0" w:color="auto"/>
            </w:tcBorders>
            <w:vAlign w:val="center"/>
          </w:tcPr>
          <w:p w:rsidR="00561B6F" w:rsidRDefault="00561B6F">
            <w:pPr>
              <w:spacing w:line="240" w:lineRule="exact"/>
              <w:jc w:val="right"/>
              <w:rPr>
                <w:sz w:val="18"/>
                <w:szCs w:val="18"/>
              </w:rPr>
            </w:pPr>
          </w:p>
        </w:tc>
      </w:tr>
      <w:tr w:rsidR="00561B6F" w:rsidTr="00561B6F">
        <w:trPr>
          <w:trHeight w:val="240"/>
        </w:trPr>
        <w:tc>
          <w:tcPr>
            <w:tcW w:w="1000" w:type="pct"/>
            <w:tcBorders>
              <w:top w:val="single" w:sz="2" w:space="0" w:color="auto"/>
              <w:left w:val="single" w:sz="2" w:space="0" w:color="auto"/>
              <w:bottom w:val="single" w:sz="2" w:space="0" w:color="auto"/>
              <w:right w:val="single" w:sz="2" w:space="0" w:color="auto"/>
            </w:tcBorders>
            <w:shd w:val="clear" w:color="auto" w:fill="D3D3D3"/>
            <w:vAlign w:val="center"/>
          </w:tcPr>
          <w:p w:rsidR="00561B6F" w:rsidRDefault="00561B6F">
            <w:pPr>
              <w:spacing w:before="40" w:after="40" w:line="240" w:lineRule="exact"/>
              <w:rPr>
                <w:sz w:val="18"/>
                <w:szCs w:val="18"/>
              </w:rPr>
            </w:pPr>
            <w:r>
              <w:rPr>
                <w:sz w:val="18"/>
                <w:szCs w:val="18"/>
              </w:rPr>
              <w:t>合同类型</w:t>
            </w:r>
          </w:p>
        </w:tc>
        <w:tc>
          <w:tcPr>
            <w:tcW w:w="1000" w:type="pct"/>
            <w:tcBorders>
              <w:top w:val="single" w:sz="2" w:space="0" w:color="auto"/>
              <w:left w:val="single" w:sz="2" w:space="0" w:color="auto"/>
              <w:bottom w:val="single" w:sz="2" w:space="0" w:color="auto"/>
              <w:right w:val="single" w:sz="2" w:space="0" w:color="auto"/>
            </w:tcBorders>
            <w:vAlign w:val="center"/>
          </w:tcPr>
          <w:p w:rsidR="00561B6F" w:rsidRDefault="00561B6F">
            <w:pPr>
              <w:spacing w:line="240" w:lineRule="exact"/>
              <w:jc w:val="right"/>
              <w:rPr>
                <w:sz w:val="18"/>
                <w:szCs w:val="18"/>
              </w:rPr>
            </w:pPr>
          </w:p>
        </w:tc>
        <w:tc>
          <w:tcPr>
            <w:tcW w:w="1000" w:type="pct"/>
            <w:tcBorders>
              <w:top w:val="single" w:sz="2" w:space="0" w:color="auto"/>
              <w:left w:val="single" w:sz="2" w:space="0" w:color="auto"/>
              <w:bottom w:val="single" w:sz="2" w:space="0" w:color="auto"/>
              <w:right w:val="single" w:sz="2" w:space="0" w:color="auto"/>
            </w:tcBorders>
            <w:vAlign w:val="center"/>
          </w:tcPr>
          <w:p w:rsidR="00561B6F" w:rsidRDefault="00561B6F">
            <w:pPr>
              <w:spacing w:line="240" w:lineRule="exact"/>
              <w:jc w:val="right"/>
              <w:rPr>
                <w:sz w:val="18"/>
                <w:szCs w:val="18"/>
              </w:rPr>
            </w:pPr>
          </w:p>
        </w:tc>
        <w:tc>
          <w:tcPr>
            <w:tcW w:w="1000" w:type="pct"/>
            <w:tcBorders>
              <w:top w:val="single" w:sz="2" w:space="0" w:color="auto"/>
              <w:left w:val="single" w:sz="2" w:space="0" w:color="auto"/>
              <w:bottom w:val="single" w:sz="2" w:space="0" w:color="auto"/>
              <w:right w:val="single" w:sz="2" w:space="0" w:color="auto"/>
            </w:tcBorders>
            <w:vAlign w:val="center"/>
          </w:tcPr>
          <w:p w:rsidR="00561B6F" w:rsidRDefault="00561B6F">
            <w:pPr>
              <w:spacing w:line="240" w:lineRule="exact"/>
              <w:jc w:val="right"/>
              <w:rPr>
                <w:sz w:val="18"/>
                <w:szCs w:val="18"/>
              </w:rPr>
            </w:pPr>
          </w:p>
        </w:tc>
        <w:tc>
          <w:tcPr>
            <w:tcW w:w="1000" w:type="pct"/>
            <w:tcBorders>
              <w:top w:val="single" w:sz="2" w:space="0" w:color="auto"/>
              <w:left w:val="single" w:sz="2" w:space="0" w:color="auto"/>
              <w:bottom w:val="single" w:sz="2" w:space="0" w:color="auto"/>
              <w:right w:val="single" w:sz="2" w:space="0" w:color="auto"/>
            </w:tcBorders>
            <w:vAlign w:val="center"/>
          </w:tcPr>
          <w:p w:rsidR="00561B6F" w:rsidRDefault="00561B6F">
            <w:pPr>
              <w:spacing w:line="240" w:lineRule="exact"/>
              <w:jc w:val="right"/>
              <w:rPr>
                <w:sz w:val="18"/>
                <w:szCs w:val="18"/>
              </w:rPr>
            </w:pPr>
          </w:p>
        </w:tc>
      </w:tr>
      <w:tr w:rsidR="00561B6F" w:rsidTr="00561B6F">
        <w:trPr>
          <w:trHeight w:val="240"/>
        </w:trPr>
        <w:tc>
          <w:tcPr>
            <w:tcW w:w="1000" w:type="pct"/>
            <w:tcBorders>
              <w:top w:val="single" w:sz="2" w:space="0" w:color="auto"/>
              <w:left w:val="single" w:sz="2" w:space="0" w:color="auto"/>
              <w:bottom w:val="single" w:sz="2" w:space="0" w:color="auto"/>
              <w:right w:val="single" w:sz="2" w:space="0" w:color="auto"/>
            </w:tcBorders>
            <w:shd w:val="clear" w:color="auto" w:fill="D3D3D3"/>
            <w:vAlign w:val="center"/>
          </w:tcPr>
          <w:p w:rsidR="00561B6F" w:rsidRDefault="00561B6F">
            <w:pPr>
              <w:spacing w:before="40" w:after="40" w:line="240" w:lineRule="exact"/>
              <w:rPr>
                <w:sz w:val="18"/>
                <w:szCs w:val="18"/>
              </w:rPr>
            </w:pPr>
            <w:r>
              <w:rPr>
                <w:sz w:val="18"/>
                <w:szCs w:val="18"/>
              </w:rPr>
              <w:t xml:space="preserve">　其中：</w:t>
            </w:r>
          </w:p>
        </w:tc>
        <w:tc>
          <w:tcPr>
            <w:tcW w:w="1000" w:type="pct"/>
            <w:tcBorders>
              <w:top w:val="single" w:sz="2" w:space="0" w:color="auto"/>
              <w:left w:val="single" w:sz="2" w:space="0" w:color="auto"/>
              <w:bottom w:val="single" w:sz="2" w:space="0" w:color="auto"/>
              <w:right w:val="single" w:sz="2" w:space="0" w:color="auto"/>
            </w:tcBorders>
            <w:shd w:val="clear" w:color="auto" w:fill="D3D3D3"/>
            <w:vAlign w:val="center"/>
          </w:tcPr>
          <w:p w:rsidR="00561B6F" w:rsidRDefault="00561B6F"/>
        </w:tc>
        <w:tc>
          <w:tcPr>
            <w:tcW w:w="1000" w:type="pct"/>
            <w:tcBorders>
              <w:top w:val="single" w:sz="2" w:space="0" w:color="auto"/>
              <w:left w:val="single" w:sz="2" w:space="0" w:color="auto"/>
              <w:bottom w:val="single" w:sz="2" w:space="0" w:color="auto"/>
              <w:right w:val="single" w:sz="2" w:space="0" w:color="auto"/>
            </w:tcBorders>
            <w:shd w:val="clear" w:color="auto" w:fill="D3D3D3"/>
            <w:vAlign w:val="center"/>
          </w:tcPr>
          <w:p w:rsidR="00561B6F" w:rsidRDefault="00561B6F"/>
        </w:tc>
        <w:tc>
          <w:tcPr>
            <w:tcW w:w="1000" w:type="pct"/>
            <w:tcBorders>
              <w:top w:val="single" w:sz="2" w:space="0" w:color="auto"/>
              <w:left w:val="single" w:sz="2" w:space="0" w:color="auto"/>
              <w:bottom w:val="single" w:sz="2" w:space="0" w:color="auto"/>
              <w:right w:val="single" w:sz="2" w:space="0" w:color="auto"/>
            </w:tcBorders>
            <w:shd w:val="clear" w:color="auto" w:fill="D3D3D3"/>
            <w:vAlign w:val="center"/>
          </w:tcPr>
          <w:p w:rsidR="00561B6F" w:rsidRDefault="00561B6F"/>
        </w:tc>
        <w:tc>
          <w:tcPr>
            <w:tcW w:w="1000" w:type="pct"/>
            <w:tcBorders>
              <w:top w:val="single" w:sz="2" w:space="0" w:color="auto"/>
              <w:left w:val="single" w:sz="2" w:space="0" w:color="auto"/>
              <w:bottom w:val="single" w:sz="2" w:space="0" w:color="auto"/>
              <w:right w:val="single" w:sz="2" w:space="0" w:color="auto"/>
            </w:tcBorders>
            <w:shd w:val="clear" w:color="auto" w:fill="D3D3D3"/>
            <w:vAlign w:val="center"/>
          </w:tcPr>
          <w:p w:rsidR="00561B6F" w:rsidRDefault="00561B6F"/>
        </w:tc>
      </w:tr>
      <w:tr w:rsidR="00561B6F" w:rsidTr="00561B6F">
        <w:trPr>
          <w:trHeight w:val="240"/>
        </w:trPr>
        <w:tc>
          <w:tcPr>
            <w:tcW w:w="1000" w:type="pct"/>
            <w:tcBorders>
              <w:top w:val="single" w:sz="2" w:space="0" w:color="auto"/>
              <w:left w:val="single" w:sz="2" w:space="0" w:color="auto"/>
              <w:bottom w:val="single" w:sz="2" w:space="0" w:color="auto"/>
              <w:right w:val="single" w:sz="2" w:space="0" w:color="auto"/>
            </w:tcBorders>
            <w:shd w:val="clear" w:color="auto" w:fill="D3D3D3"/>
            <w:vAlign w:val="center"/>
          </w:tcPr>
          <w:p w:rsidR="00561B6F" w:rsidRDefault="00561B6F">
            <w:pPr>
              <w:spacing w:before="40" w:after="40" w:line="240" w:lineRule="exact"/>
              <w:rPr>
                <w:sz w:val="18"/>
                <w:szCs w:val="18"/>
              </w:rPr>
            </w:pPr>
            <w:r>
              <w:rPr>
                <w:sz w:val="18"/>
                <w:szCs w:val="18"/>
              </w:rPr>
              <w:t>按商品转让的时间分类</w:t>
            </w:r>
          </w:p>
        </w:tc>
        <w:tc>
          <w:tcPr>
            <w:tcW w:w="1000" w:type="pct"/>
            <w:tcBorders>
              <w:top w:val="single" w:sz="2" w:space="0" w:color="auto"/>
              <w:left w:val="single" w:sz="2" w:space="0" w:color="auto"/>
              <w:bottom w:val="single" w:sz="2" w:space="0" w:color="auto"/>
              <w:right w:val="single" w:sz="2" w:space="0" w:color="auto"/>
            </w:tcBorders>
            <w:vAlign w:val="center"/>
          </w:tcPr>
          <w:p w:rsidR="00561B6F" w:rsidRDefault="00561B6F">
            <w:pPr>
              <w:spacing w:line="240" w:lineRule="exact"/>
              <w:jc w:val="right"/>
              <w:rPr>
                <w:sz w:val="18"/>
                <w:szCs w:val="18"/>
              </w:rPr>
            </w:pPr>
            <w:r>
              <w:rPr>
                <w:sz w:val="18"/>
                <w:szCs w:val="18"/>
              </w:rPr>
              <w:t>476,993,037.00</w:t>
            </w:r>
          </w:p>
        </w:tc>
        <w:tc>
          <w:tcPr>
            <w:tcW w:w="1000" w:type="pct"/>
            <w:tcBorders>
              <w:top w:val="single" w:sz="2" w:space="0" w:color="auto"/>
              <w:left w:val="single" w:sz="2" w:space="0" w:color="auto"/>
              <w:bottom w:val="single" w:sz="2" w:space="0" w:color="auto"/>
              <w:right w:val="single" w:sz="2" w:space="0" w:color="auto"/>
            </w:tcBorders>
            <w:vAlign w:val="center"/>
          </w:tcPr>
          <w:p w:rsidR="00561B6F" w:rsidRDefault="00561B6F">
            <w:pPr>
              <w:spacing w:line="240" w:lineRule="exact"/>
              <w:jc w:val="right"/>
              <w:rPr>
                <w:sz w:val="18"/>
                <w:szCs w:val="18"/>
              </w:rPr>
            </w:pPr>
            <w:r>
              <w:rPr>
                <w:sz w:val="18"/>
                <w:szCs w:val="18"/>
              </w:rPr>
              <w:t>351,915,132.21</w:t>
            </w:r>
          </w:p>
        </w:tc>
        <w:tc>
          <w:tcPr>
            <w:tcW w:w="1000" w:type="pct"/>
            <w:tcBorders>
              <w:top w:val="single" w:sz="2" w:space="0" w:color="auto"/>
              <w:left w:val="single" w:sz="2" w:space="0" w:color="auto"/>
              <w:bottom w:val="single" w:sz="2" w:space="0" w:color="auto"/>
              <w:right w:val="single" w:sz="2" w:space="0" w:color="auto"/>
            </w:tcBorders>
            <w:vAlign w:val="center"/>
          </w:tcPr>
          <w:p w:rsidR="00561B6F" w:rsidRDefault="00561B6F">
            <w:pPr>
              <w:spacing w:line="240" w:lineRule="exact"/>
              <w:jc w:val="right"/>
              <w:rPr>
                <w:sz w:val="18"/>
                <w:szCs w:val="18"/>
              </w:rPr>
            </w:pPr>
            <w:r>
              <w:rPr>
                <w:sz w:val="18"/>
                <w:szCs w:val="18"/>
              </w:rPr>
              <w:t>476,993,037.00</w:t>
            </w:r>
          </w:p>
        </w:tc>
        <w:tc>
          <w:tcPr>
            <w:tcW w:w="1000" w:type="pct"/>
            <w:tcBorders>
              <w:top w:val="single" w:sz="2" w:space="0" w:color="auto"/>
              <w:left w:val="single" w:sz="2" w:space="0" w:color="auto"/>
              <w:bottom w:val="single" w:sz="2" w:space="0" w:color="auto"/>
              <w:right w:val="single" w:sz="2" w:space="0" w:color="auto"/>
            </w:tcBorders>
            <w:vAlign w:val="center"/>
          </w:tcPr>
          <w:p w:rsidR="00561B6F" w:rsidRDefault="00561B6F">
            <w:pPr>
              <w:spacing w:line="240" w:lineRule="exact"/>
              <w:jc w:val="right"/>
              <w:rPr>
                <w:sz w:val="18"/>
                <w:szCs w:val="18"/>
              </w:rPr>
            </w:pPr>
            <w:r>
              <w:rPr>
                <w:sz w:val="18"/>
                <w:szCs w:val="18"/>
              </w:rPr>
              <w:t>351,915,132.21</w:t>
            </w:r>
          </w:p>
        </w:tc>
      </w:tr>
      <w:tr w:rsidR="00561B6F" w:rsidTr="00561B6F">
        <w:trPr>
          <w:trHeight w:val="240"/>
        </w:trPr>
        <w:tc>
          <w:tcPr>
            <w:tcW w:w="1000" w:type="pct"/>
            <w:tcBorders>
              <w:top w:val="single" w:sz="2" w:space="0" w:color="auto"/>
              <w:left w:val="single" w:sz="2" w:space="0" w:color="auto"/>
              <w:bottom w:val="single" w:sz="2" w:space="0" w:color="auto"/>
              <w:right w:val="single" w:sz="2" w:space="0" w:color="auto"/>
            </w:tcBorders>
            <w:shd w:val="clear" w:color="auto" w:fill="D3D3D3"/>
            <w:vAlign w:val="center"/>
          </w:tcPr>
          <w:p w:rsidR="00561B6F" w:rsidRDefault="00561B6F">
            <w:pPr>
              <w:spacing w:before="40" w:after="40" w:line="240" w:lineRule="exact"/>
              <w:rPr>
                <w:sz w:val="18"/>
                <w:szCs w:val="18"/>
              </w:rPr>
            </w:pPr>
            <w:r>
              <w:rPr>
                <w:sz w:val="18"/>
                <w:szCs w:val="18"/>
              </w:rPr>
              <w:lastRenderedPageBreak/>
              <w:t xml:space="preserve">　其中：</w:t>
            </w:r>
          </w:p>
        </w:tc>
        <w:tc>
          <w:tcPr>
            <w:tcW w:w="1000" w:type="pct"/>
            <w:tcBorders>
              <w:top w:val="single" w:sz="2" w:space="0" w:color="auto"/>
              <w:left w:val="single" w:sz="2" w:space="0" w:color="auto"/>
              <w:bottom w:val="single" w:sz="2" w:space="0" w:color="auto"/>
              <w:right w:val="single" w:sz="2" w:space="0" w:color="auto"/>
            </w:tcBorders>
            <w:shd w:val="clear" w:color="auto" w:fill="D3D3D3"/>
            <w:vAlign w:val="center"/>
          </w:tcPr>
          <w:p w:rsidR="00561B6F" w:rsidRDefault="00561B6F"/>
        </w:tc>
        <w:tc>
          <w:tcPr>
            <w:tcW w:w="1000" w:type="pct"/>
            <w:tcBorders>
              <w:top w:val="single" w:sz="2" w:space="0" w:color="auto"/>
              <w:left w:val="single" w:sz="2" w:space="0" w:color="auto"/>
              <w:bottom w:val="single" w:sz="2" w:space="0" w:color="auto"/>
              <w:right w:val="single" w:sz="2" w:space="0" w:color="auto"/>
            </w:tcBorders>
            <w:shd w:val="clear" w:color="auto" w:fill="D3D3D3"/>
            <w:vAlign w:val="center"/>
          </w:tcPr>
          <w:p w:rsidR="00561B6F" w:rsidRDefault="00561B6F"/>
        </w:tc>
        <w:tc>
          <w:tcPr>
            <w:tcW w:w="1000" w:type="pct"/>
            <w:tcBorders>
              <w:top w:val="single" w:sz="2" w:space="0" w:color="auto"/>
              <w:left w:val="single" w:sz="2" w:space="0" w:color="auto"/>
              <w:bottom w:val="single" w:sz="2" w:space="0" w:color="auto"/>
              <w:right w:val="single" w:sz="2" w:space="0" w:color="auto"/>
            </w:tcBorders>
            <w:shd w:val="clear" w:color="auto" w:fill="D3D3D3"/>
            <w:vAlign w:val="center"/>
          </w:tcPr>
          <w:p w:rsidR="00561B6F" w:rsidRDefault="00561B6F"/>
        </w:tc>
        <w:tc>
          <w:tcPr>
            <w:tcW w:w="1000" w:type="pct"/>
            <w:tcBorders>
              <w:top w:val="single" w:sz="2" w:space="0" w:color="auto"/>
              <w:left w:val="single" w:sz="2" w:space="0" w:color="auto"/>
              <w:bottom w:val="single" w:sz="2" w:space="0" w:color="auto"/>
              <w:right w:val="single" w:sz="2" w:space="0" w:color="auto"/>
            </w:tcBorders>
            <w:shd w:val="clear" w:color="auto" w:fill="D3D3D3"/>
            <w:vAlign w:val="center"/>
          </w:tcPr>
          <w:p w:rsidR="00561B6F" w:rsidRDefault="00561B6F"/>
        </w:tc>
      </w:tr>
      <w:tr w:rsidR="00561B6F" w:rsidTr="00561B6F">
        <w:trPr>
          <w:trHeight w:val="240"/>
        </w:trPr>
        <w:tc>
          <w:tcPr>
            <w:tcW w:w="1000" w:type="pct"/>
            <w:tcBorders>
              <w:top w:val="single" w:sz="2" w:space="0" w:color="auto"/>
              <w:left w:val="single" w:sz="2" w:space="0" w:color="auto"/>
              <w:bottom w:val="single" w:sz="2" w:space="0" w:color="auto"/>
              <w:right w:val="single" w:sz="2" w:space="0" w:color="auto"/>
            </w:tcBorders>
            <w:vAlign w:val="center"/>
          </w:tcPr>
          <w:p w:rsidR="00561B6F" w:rsidRDefault="00561B6F">
            <w:pPr>
              <w:spacing w:line="240" w:lineRule="exact"/>
              <w:rPr>
                <w:sz w:val="18"/>
                <w:szCs w:val="18"/>
              </w:rPr>
            </w:pPr>
            <w:r>
              <w:rPr>
                <w:sz w:val="18"/>
                <w:szCs w:val="18"/>
              </w:rPr>
              <w:t>在某一时点</w:t>
            </w:r>
          </w:p>
        </w:tc>
        <w:tc>
          <w:tcPr>
            <w:tcW w:w="1000" w:type="pct"/>
            <w:tcBorders>
              <w:top w:val="single" w:sz="2" w:space="0" w:color="auto"/>
              <w:left w:val="single" w:sz="2" w:space="0" w:color="auto"/>
              <w:bottom w:val="single" w:sz="2" w:space="0" w:color="auto"/>
              <w:right w:val="single" w:sz="2" w:space="0" w:color="auto"/>
            </w:tcBorders>
            <w:vAlign w:val="center"/>
          </w:tcPr>
          <w:p w:rsidR="00561B6F" w:rsidRDefault="00561B6F">
            <w:pPr>
              <w:spacing w:line="240" w:lineRule="exact"/>
              <w:jc w:val="right"/>
              <w:rPr>
                <w:sz w:val="18"/>
                <w:szCs w:val="18"/>
              </w:rPr>
            </w:pPr>
            <w:r>
              <w:rPr>
                <w:sz w:val="18"/>
                <w:szCs w:val="18"/>
              </w:rPr>
              <w:t>400,844,077.32</w:t>
            </w:r>
          </w:p>
        </w:tc>
        <w:tc>
          <w:tcPr>
            <w:tcW w:w="1000" w:type="pct"/>
            <w:tcBorders>
              <w:top w:val="single" w:sz="2" w:space="0" w:color="auto"/>
              <w:left w:val="single" w:sz="2" w:space="0" w:color="auto"/>
              <w:bottom w:val="single" w:sz="2" w:space="0" w:color="auto"/>
              <w:right w:val="single" w:sz="2" w:space="0" w:color="auto"/>
            </w:tcBorders>
            <w:vAlign w:val="center"/>
          </w:tcPr>
          <w:p w:rsidR="00561B6F" w:rsidRDefault="00561B6F">
            <w:pPr>
              <w:spacing w:line="240" w:lineRule="exact"/>
              <w:jc w:val="right"/>
              <w:rPr>
                <w:sz w:val="18"/>
                <w:szCs w:val="18"/>
              </w:rPr>
            </w:pPr>
            <w:r>
              <w:rPr>
                <w:sz w:val="18"/>
                <w:szCs w:val="18"/>
              </w:rPr>
              <w:t>310,467,571.06</w:t>
            </w:r>
          </w:p>
        </w:tc>
        <w:tc>
          <w:tcPr>
            <w:tcW w:w="1000" w:type="pct"/>
            <w:tcBorders>
              <w:top w:val="single" w:sz="2" w:space="0" w:color="auto"/>
              <w:left w:val="single" w:sz="2" w:space="0" w:color="auto"/>
              <w:bottom w:val="single" w:sz="2" w:space="0" w:color="auto"/>
              <w:right w:val="single" w:sz="2" w:space="0" w:color="auto"/>
            </w:tcBorders>
            <w:vAlign w:val="center"/>
          </w:tcPr>
          <w:p w:rsidR="00561B6F" w:rsidRDefault="00561B6F">
            <w:pPr>
              <w:spacing w:line="240" w:lineRule="exact"/>
              <w:jc w:val="right"/>
              <w:rPr>
                <w:sz w:val="18"/>
                <w:szCs w:val="18"/>
              </w:rPr>
            </w:pPr>
            <w:r>
              <w:rPr>
                <w:sz w:val="18"/>
                <w:szCs w:val="18"/>
              </w:rPr>
              <w:t>400,844,077.32</w:t>
            </w:r>
          </w:p>
        </w:tc>
        <w:tc>
          <w:tcPr>
            <w:tcW w:w="1000" w:type="pct"/>
            <w:tcBorders>
              <w:top w:val="single" w:sz="2" w:space="0" w:color="auto"/>
              <w:left w:val="single" w:sz="2" w:space="0" w:color="auto"/>
              <w:bottom w:val="single" w:sz="2" w:space="0" w:color="auto"/>
              <w:right w:val="single" w:sz="2" w:space="0" w:color="auto"/>
            </w:tcBorders>
            <w:vAlign w:val="center"/>
          </w:tcPr>
          <w:p w:rsidR="00561B6F" w:rsidRDefault="00561B6F">
            <w:pPr>
              <w:spacing w:line="240" w:lineRule="exact"/>
              <w:jc w:val="right"/>
              <w:rPr>
                <w:sz w:val="18"/>
                <w:szCs w:val="18"/>
              </w:rPr>
            </w:pPr>
            <w:r>
              <w:rPr>
                <w:sz w:val="18"/>
                <w:szCs w:val="18"/>
              </w:rPr>
              <w:t>310,467,571.06</w:t>
            </w:r>
          </w:p>
        </w:tc>
      </w:tr>
      <w:tr w:rsidR="00561B6F" w:rsidTr="00561B6F">
        <w:trPr>
          <w:trHeight w:val="240"/>
        </w:trPr>
        <w:tc>
          <w:tcPr>
            <w:tcW w:w="1000" w:type="pct"/>
            <w:tcBorders>
              <w:top w:val="single" w:sz="2" w:space="0" w:color="auto"/>
              <w:left w:val="single" w:sz="2" w:space="0" w:color="auto"/>
              <w:bottom w:val="single" w:sz="2" w:space="0" w:color="auto"/>
              <w:right w:val="single" w:sz="2" w:space="0" w:color="auto"/>
            </w:tcBorders>
            <w:vAlign w:val="center"/>
          </w:tcPr>
          <w:p w:rsidR="00561B6F" w:rsidRDefault="00561B6F">
            <w:pPr>
              <w:spacing w:line="240" w:lineRule="exact"/>
              <w:rPr>
                <w:sz w:val="18"/>
                <w:szCs w:val="18"/>
              </w:rPr>
            </w:pPr>
            <w:r>
              <w:rPr>
                <w:sz w:val="18"/>
                <w:szCs w:val="18"/>
              </w:rPr>
              <w:t>在某一时间段</w:t>
            </w:r>
          </w:p>
        </w:tc>
        <w:tc>
          <w:tcPr>
            <w:tcW w:w="1000" w:type="pct"/>
            <w:tcBorders>
              <w:top w:val="single" w:sz="2" w:space="0" w:color="auto"/>
              <w:left w:val="single" w:sz="2" w:space="0" w:color="auto"/>
              <w:bottom w:val="single" w:sz="2" w:space="0" w:color="auto"/>
              <w:right w:val="single" w:sz="2" w:space="0" w:color="auto"/>
            </w:tcBorders>
            <w:vAlign w:val="center"/>
          </w:tcPr>
          <w:p w:rsidR="00561B6F" w:rsidRDefault="00561B6F">
            <w:pPr>
              <w:spacing w:line="240" w:lineRule="exact"/>
              <w:jc w:val="right"/>
              <w:rPr>
                <w:sz w:val="18"/>
                <w:szCs w:val="18"/>
              </w:rPr>
            </w:pPr>
            <w:r>
              <w:rPr>
                <w:sz w:val="18"/>
                <w:szCs w:val="18"/>
              </w:rPr>
              <w:t>76,148,959.68</w:t>
            </w:r>
          </w:p>
        </w:tc>
        <w:tc>
          <w:tcPr>
            <w:tcW w:w="1000" w:type="pct"/>
            <w:tcBorders>
              <w:top w:val="single" w:sz="2" w:space="0" w:color="auto"/>
              <w:left w:val="single" w:sz="2" w:space="0" w:color="auto"/>
              <w:bottom w:val="single" w:sz="2" w:space="0" w:color="auto"/>
              <w:right w:val="single" w:sz="2" w:space="0" w:color="auto"/>
            </w:tcBorders>
            <w:vAlign w:val="center"/>
          </w:tcPr>
          <w:p w:rsidR="00561B6F" w:rsidRDefault="00561B6F">
            <w:pPr>
              <w:spacing w:line="240" w:lineRule="exact"/>
              <w:jc w:val="right"/>
              <w:rPr>
                <w:sz w:val="18"/>
                <w:szCs w:val="18"/>
              </w:rPr>
            </w:pPr>
            <w:r>
              <w:rPr>
                <w:sz w:val="18"/>
                <w:szCs w:val="18"/>
              </w:rPr>
              <w:t>41,447,561.15</w:t>
            </w:r>
          </w:p>
        </w:tc>
        <w:tc>
          <w:tcPr>
            <w:tcW w:w="1000" w:type="pct"/>
            <w:tcBorders>
              <w:top w:val="single" w:sz="2" w:space="0" w:color="auto"/>
              <w:left w:val="single" w:sz="2" w:space="0" w:color="auto"/>
              <w:bottom w:val="single" w:sz="2" w:space="0" w:color="auto"/>
              <w:right w:val="single" w:sz="2" w:space="0" w:color="auto"/>
            </w:tcBorders>
            <w:vAlign w:val="center"/>
          </w:tcPr>
          <w:p w:rsidR="00561B6F" w:rsidRDefault="00561B6F">
            <w:pPr>
              <w:spacing w:line="240" w:lineRule="exact"/>
              <w:jc w:val="right"/>
              <w:rPr>
                <w:sz w:val="18"/>
                <w:szCs w:val="18"/>
              </w:rPr>
            </w:pPr>
            <w:r>
              <w:rPr>
                <w:sz w:val="18"/>
                <w:szCs w:val="18"/>
              </w:rPr>
              <w:t>76,148,959.68</w:t>
            </w:r>
          </w:p>
        </w:tc>
        <w:tc>
          <w:tcPr>
            <w:tcW w:w="1000" w:type="pct"/>
            <w:tcBorders>
              <w:top w:val="single" w:sz="2" w:space="0" w:color="auto"/>
              <w:left w:val="single" w:sz="2" w:space="0" w:color="auto"/>
              <w:bottom w:val="single" w:sz="2" w:space="0" w:color="auto"/>
              <w:right w:val="single" w:sz="2" w:space="0" w:color="auto"/>
            </w:tcBorders>
            <w:vAlign w:val="center"/>
          </w:tcPr>
          <w:p w:rsidR="00561B6F" w:rsidRDefault="00561B6F">
            <w:pPr>
              <w:spacing w:line="240" w:lineRule="exact"/>
              <w:jc w:val="right"/>
              <w:rPr>
                <w:sz w:val="18"/>
                <w:szCs w:val="18"/>
              </w:rPr>
            </w:pPr>
            <w:r>
              <w:rPr>
                <w:sz w:val="18"/>
                <w:szCs w:val="18"/>
              </w:rPr>
              <w:t>41,447,561.15</w:t>
            </w:r>
          </w:p>
        </w:tc>
      </w:tr>
      <w:tr w:rsidR="00561B6F" w:rsidTr="00561B6F">
        <w:trPr>
          <w:trHeight w:val="240"/>
        </w:trPr>
        <w:tc>
          <w:tcPr>
            <w:tcW w:w="1000" w:type="pct"/>
            <w:tcBorders>
              <w:top w:val="single" w:sz="2" w:space="0" w:color="auto"/>
              <w:left w:val="single" w:sz="2" w:space="0" w:color="auto"/>
              <w:bottom w:val="single" w:sz="2" w:space="0" w:color="auto"/>
              <w:right w:val="single" w:sz="2" w:space="0" w:color="auto"/>
            </w:tcBorders>
            <w:shd w:val="clear" w:color="auto" w:fill="D3D3D3"/>
            <w:vAlign w:val="center"/>
          </w:tcPr>
          <w:p w:rsidR="00561B6F" w:rsidRDefault="00561B6F">
            <w:pPr>
              <w:spacing w:before="40" w:after="40" w:line="240" w:lineRule="exact"/>
              <w:rPr>
                <w:sz w:val="18"/>
                <w:szCs w:val="18"/>
              </w:rPr>
            </w:pPr>
            <w:r>
              <w:rPr>
                <w:sz w:val="18"/>
                <w:szCs w:val="18"/>
              </w:rPr>
              <w:t>按合同期限分类</w:t>
            </w:r>
          </w:p>
        </w:tc>
        <w:tc>
          <w:tcPr>
            <w:tcW w:w="1000" w:type="pct"/>
            <w:tcBorders>
              <w:top w:val="single" w:sz="2" w:space="0" w:color="auto"/>
              <w:left w:val="single" w:sz="2" w:space="0" w:color="auto"/>
              <w:bottom w:val="single" w:sz="2" w:space="0" w:color="auto"/>
              <w:right w:val="single" w:sz="2" w:space="0" w:color="auto"/>
            </w:tcBorders>
            <w:vAlign w:val="center"/>
          </w:tcPr>
          <w:p w:rsidR="00561B6F" w:rsidRDefault="00561B6F">
            <w:pPr>
              <w:spacing w:line="240" w:lineRule="exact"/>
              <w:jc w:val="right"/>
              <w:rPr>
                <w:sz w:val="18"/>
                <w:szCs w:val="18"/>
              </w:rPr>
            </w:pPr>
          </w:p>
        </w:tc>
        <w:tc>
          <w:tcPr>
            <w:tcW w:w="1000" w:type="pct"/>
            <w:tcBorders>
              <w:top w:val="single" w:sz="2" w:space="0" w:color="auto"/>
              <w:left w:val="single" w:sz="2" w:space="0" w:color="auto"/>
              <w:bottom w:val="single" w:sz="2" w:space="0" w:color="auto"/>
              <w:right w:val="single" w:sz="2" w:space="0" w:color="auto"/>
            </w:tcBorders>
            <w:vAlign w:val="center"/>
          </w:tcPr>
          <w:p w:rsidR="00561B6F" w:rsidRDefault="00561B6F">
            <w:pPr>
              <w:spacing w:line="240" w:lineRule="exact"/>
              <w:jc w:val="right"/>
              <w:rPr>
                <w:sz w:val="18"/>
                <w:szCs w:val="18"/>
              </w:rPr>
            </w:pPr>
          </w:p>
        </w:tc>
        <w:tc>
          <w:tcPr>
            <w:tcW w:w="1000" w:type="pct"/>
            <w:tcBorders>
              <w:top w:val="single" w:sz="2" w:space="0" w:color="auto"/>
              <w:left w:val="single" w:sz="2" w:space="0" w:color="auto"/>
              <w:bottom w:val="single" w:sz="2" w:space="0" w:color="auto"/>
              <w:right w:val="single" w:sz="2" w:space="0" w:color="auto"/>
            </w:tcBorders>
            <w:vAlign w:val="center"/>
          </w:tcPr>
          <w:p w:rsidR="00561B6F" w:rsidRDefault="00561B6F">
            <w:pPr>
              <w:spacing w:line="240" w:lineRule="exact"/>
              <w:jc w:val="right"/>
              <w:rPr>
                <w:sz w:val="18"/>
                <w:szCs w:val="18"/>
              </w:rPr>
            </w:pPr>
          </w:p>
        </w:tc>
        <w:tc>
          <w:tcPr>
            <w:tcW w:w="1000" w:type="pct"/>
            <w:tcBorders>
              <w:top w:val="single" w:sz="2" w:space="0" w:color="auto"/>
              <w:left w:val="single" w:sz="2" w:space="0" w:color="auto"/>
              <w:bottom w:val="single" w:sz="2" w:space="0" w:color="auto"/>
              <w:right w:val="single" w:sz="2" w:space="0" w:color="auto"/>
            </w:tcBorders>
            <w:vAlign w:val="center"/>
          </w:tcPr>
          <w:p w:rsidR="00561B6F" w:rsidRDefault="00561B6F">
            <w:pPr>
              <w:spacing w:line="240" w:lineRule="exact"/>
              <w:jc w:val="right"/>
              <w:rPr>
                <w:sz w:val="18"/>
                <w:szCs w:val="18"/>
              </w:rPr>
            </w:pPr>
          </w:p>
        </w:tc>
      </w:tr>
      <w:tr w:rsidR="00561B6F" w:rsidTr="00561B6F">
        <w:trPr>
          <w:trHeight w:val="240"/>
        </w:trPr>
        <w:tc>
          <w:tcPr>
            <w:tcW w:w="1000" w:type="pct"/>
            <w:tcBorders>
              <w:top w:val="single" w:sz="2" w:space="0" w:color="auto"/>
              <w:left w:val="single" w:sz="2" w:space="0" w:color="auto"/>
              <w:bottom w:val="single" w:sz="2" w:space="0" w:color="auto"/>
              <w:right w:val="single" w:sz="2" w:space="0" w:color="auto"/>
            </w:tcBorders>
            <w:shd w:val="clear" w:color="auto" w:fill="D3D3D3"/>
            <w:vAlign w:val="center"/>
          </w:tcPr>
          <w:p w:rsidR="00561B6F" w:rsidRDefault="00561B6F">
            <w:pPr>
              <w:spacing w:before="40" w:after="40" w:line="240" w:lineRule="exact"/>
              <w:rPr>
                <w:sz w:val="18"/>
                <w:szCs w:val="18"/>
              </w:rPr>
            </w:pPr>
            <w:r>
              <w:rPr>
                <w:sz w:val="18"/>
                <w:szCs w:val="18"/>
              </w:rPr>
              <w:t xml:space="preserve">　其中：</w:t>
            </w:r>
          </w:p>
        </w:tc>
        <w:tc>
          <w:tcPr>
            <w:tcW w:w="1000" w:type="pct"/>
            <w:tcBorders>
              <w:top w:val="single" w:sz="2" w:space="0" w:color="auto"/>
              <w:left w:val="single" w:sz="2" w:space="0" w:color="auto"/>
              <w:bottom w:val="single" w:sz="2" w:space="0" w:color="auto"/>
              <w:right w:val="single" w:sz="2" w:space="0" w:color="auto"/>
            </w:tcBorders>
            <w:shd w:val="clear" w:color="auto" w:fill="D3D3D3"/>
            <w:vAlign w:val="center"/>
          </w:tcPr>
          <w:p w:rsidR="00561B6F" w:rsidRDefault="00561B6F"/>
        </w:tc>
        <w:tc>
          <w:tcPr>
            <w:tcW w:w="1000" w:type="pct"/>
            <w:tcBorders>
              <w:top w:val="single" w:sz="2" w:space="0" w:color="auto"/>
              <w:left w:val="single" w:sz="2" w:space="0" w:color="auto"/>
              <w:bottom w:val="single" w:sz="2" w:space="0" w:color="auto"/>
              <w:right w:val="single" w:sz="2" w:space="0" w:color="auto"/>
            </w:tcBorders>
            <w:shd w:val="clear" w:color="auto" w:fill="D3D3D3"/>
            <w:vAlign w:val="center"/>
          </w:tcPr>
          <w:p w:rsidR="00561B6F" w:rsidRDefault="00561B6F"/>
        </w:tc>
        <w:tc>
          <w:tcPr>
            <w:tcW w:w="1000" w:type="pct"/>
            <w:tcBorders>
              <w:top w:val="single" w:sz="2" w:space="0" w:color="auto"/>
              <w:left w:val="single" w:sz="2" w:space="0" w:color="auto"/>
              <w:bottom w:val="single" w:sz="2" w:space="0" w:color="auto"/>
              <w:right w:val="single" w:sz="2" w:space="0" w:color="auto"/>
            </w:tcBorders>
            <w:shd w:val="clear" w:color="auto" w:fill="D3D3D3"/>
            <w:vAlign w:val="center"/>
          </w:tcPr>
          <w:p w:rsidR="00561B6F" w:rsidRDefault="00561B6F"/>
        </w:tc>
        <w:tc>
          <w:tcPr>
            <w:tcW w:w="1000" w:type="pct"/>
            <w:tcBorders>
              <w:top w:val="single" w:sz="2" w:space="0" w:color="auto"/>
              <w:left w:val="single" w:sz="2" w:space="0" w:color="auto"/>
              <w:bottom w:val="single" w:sz="2" w:space="0" w:color="auto"/>
              <w:right w:val="single" w:sz="2" w:space="0" w:color="auto"/>
            </w:tcBorders>
            <w:shd w:val="clear" w:color="auto" w:fill="D3D3D3"/>
            <w:vAlign w:val="center"/>
          </w:tcPr>
          <w:p w:rsidR="00561B6F" w:rsidRDefault="00561B6F"/>
        </w:tc>
      </w:tr>
      <w:tr w:rsidR="00561B6F" w:rsidTr="00561B6F">
        <w:trPr>
          <w:trHeight w:val="240"/>
        </w:trPr>
        <w:tc>
          <w:tcPr>
            <w:tcW w:w="1000" w:type="pct"/>
            <w:tcBorders>
              <w:top w:val="single" w:sz="2" w:space="0" w:color="auto"/>
              <w:left w:val="single" w:sz="2" w:space="0" w:color="auto"/>
              <w:bottom w:val="single" w:sz="2" w:space="0" w:color="auto"/>
              <w:right w:val="single" w:sz="2" w:space="0" w:color="auto"/>
            </w:tcBorders>
            <w:shd w:val="clear" w:color="auto" w:fill="D3D3D3"/>
            <w:vAlign w:val="center"/>
          </w:tcPr>
          <w:p w:rsidR="00561B6F" w:rsidRDefault="00561B6F">
            <w:pPr>
              <w:spacing w:before="40" w:after="40" w:line="240" w:lineRule="exact"/>
              <w:rPr>
                <w:sz w:val="18"/>
                <w:szCs w:val="18"/>
              </w:rPr>
            </w:pPr>
            <w:r>
              <w:rPr>
                <w:sz w:val="18"/>
                <w:szCs w:val="18"/>
              </w:rPr>
              <w:t>按销售渠道分类</w:t>
            </w:r>
          </w:p>
        </w:tc>
        <w:tc>
          <w:tcPr>
            <w:tcW w:w="1000" w:type="pct"/>
            <w:tcBorders>
              <w:top w:val="single" w:sz="2" w:space="0" w:color="auto"/>
              <w:left w:val="single" w:sz="2" w:space="0" w:color="auto"/>
              <w:bottom w:val="single" w:sz="2" w:space="0" w:color="auto"/>
              <w:right w:val="single" w:sz="2" w:space="0" w:color="auto"/>
            </w:tcBorders>
            <w:vAlign w:val="center"/>
          </w:tcPr>
          <w:p w:rsidR="00561B6F" w:rsidRDefault="00561B6F">
            <w:pPr>
              <w:spacing w:line="240" w:lineRule="exact"/>
              <w:jc w:val="right"/>
              <w:rPr>
                <w:sz w:val="18"/>
                <w:szCs w:val="18"/>
              </w:rPr>
            </w:pPr>
          </w:p>
        </w:tc>
        <w:tc>
          <w:tcPr>
            <w:tcW w:w="1000" w:type="pct"/>
            <w:tcBorders>
              <w:top w:val="single" w:sz="2" w:space="0" w:color="auto"/>
              <w:left w:val="single" w:sz="2" w:space="0" w:color="auto"/>
              <w:bottom w:val="single" w:sz="2" w:space="0" w:color="auto"/>
              <w:right w:val="single" w:sz="2" w:space="0" w:color="auto"/>
            </w:tcBorders>
            <w:vAlign w:val="center"/>
          </w:tcPr>
          <w:p w:rsidR="00561B6F" w:rsidRDefault="00561B6F">
            <w:pPr>
              <w:spacing w:line="240" w:lineRule="exact"/>
              <w:jc w:val="right"/>
              <w:rPr>
                <w:sz w:val="18"/>
                <w:szCs w:val="18"/>
              </w:rPr>
            </w:pPr>
          </w:p>
        </w:tc>
        <w:tc>
          <w:tcPr>
            <w:tcW w:w="1000" w:type="pct"/>
            <w:tcBorders>
              <w:top w:val="single" w:sz="2" w:space="0" w:color="auto"/>
              <w:left w:val="single" w:sz="2" w:space="0" w:color="auto"/>
              <w:bottom w:val="single" w:sz="2" w:space="0" w:color="auto"/>
              <w:right w:val="single" w:sz="2" w:space="0" w:color="auto"/>
            </w:tcBorders>
            <w:vAlign w:val="center"/>
          </w:tcPr>
          <w:p w:rsidR="00561B6F" w:rsidRDefault="00561B6F">
            <w:pPr>
              <w:spacing w:line="240" w:lineRule="exact"/>
              <w:jc w:val="right"/>
              <w:rPr>
                <w:sz w:val="18"/>
                <w:szCs w:val="18"/>
              </w:rPr>
            </w:pPr>
          </w:p>
        </w:tc>
        <w:tc>
          <w:tcPr>
            <w:tcW w:w="1000" w:type="pct"/>
            <w:tcBorders>
              <w:top w:val="single" w:sz="2" w:space="0" w:color="auto"/>
              <w:left w:val="single" w:sz="2" w:space="0" w:color="auto"/>
              <w:bottom w:val="single" w:sz="2" w:space="0" w:color="auto"/>
              <w:right w:val="single" w:sz="2" w:space="0" w:color="auto"/>
            </w:tcBorders>
            <w:vAlign w:val="center"/>
          </w:tcPr>
          <w:p w:rsidR="00561B6F" w:rsidRDefault="00561B6F">
            <w:pPr>
              <w:spacing w:line="240" w:lineRule="exact"/>
              <w:jc w:val="right"/>
              <w:rPr>
                <w:sz w:val="18"/>
                <w:szCs w:val="18"/>
              </w:rPr>
            </w:pPr>
          </w:p>
        </w:tc>
      </w:tr>
      <w:tr w:rsidR="00561B6F" w:rsidTr="00561B6F">
        <w:trPr>
          <w:trHeight w:val="240"/>
        </w:trPr>
        <w:tc>
          <w:tcPr>
            <w:tcW w:w="1000" w:type="pct"/>
            <w:tcBorders>
              <w:top w:val="single" w:sz="2" w:space="0" w:color="auto"/>
              <w:left w:val="single" w:sz="2" w:space="0" w:color="auto"/>
              <w:bottom w:val="single" w:sz="2" w:space="0" w:color="auto"/>
              <w:right w:val="single" w:sz="2" w:space="0" w:color="auto"/>
            </w:tcBorders>
            <w:shd w:val="clear" w:color="auto" w:fill="D3D3D3"/>
            <w:vAlign w:val="center"/>
          </w:tcPr>
          <w:p w:rsidR="00561B6F" w:rsidRDefault="00561B6F">
            <w:pPr>
              <w:spacing w:before="40" w:after="40" w:line="240" w:lineRule="exact"/>
              <w:rPr>
                <w:sz w:val="18"/>
                <w:szCs w:val="18"/>
              </w:rPr>
            </w:pPr>
            <w:r>
              <w:rPr>
                <w:sz w:val="18"/>
                <w:szCs w:val="18"/>
              </w:rPr>
              <w:t xml:space="preserve">　其中：</w:t>
            </w:r>
          </w:p>
        </w:tc>
        <w:tc>
          <w:tcPr>
            <w:tcW w:w="1000" w:type="pct"/>
            <w:tcBorders>
              <w:top w:val="single" w:sz="2" w:space="0" w:color="auto"/>
              <w:left w:val="single" w:sz="2" w:space="0" w:color="auto"/>
              <w:bottom w:val="single" w:sz="2" w:space="0" w:color="auto"/>
              <w:right w:val="single" w:sz="2" w:space="0" w:color="auto"/>
            </w:tcBorders>
            <w:shd w:val="clear" w:color="auto" w:fill="D3D3D3"/>
            <w:vAlign w:val="center"/>
          </w:tcPr>
          <w:p w:rsidR="00561B6F" w:rsidRDefault="00561B6F"/>
        </w:tc>
        <w:tc>
          <w:tcPr>
            <w:tcW w:w="1000" w:type="pct"/>
            <w:tcBorders>
              <w:top w:val="single" w:sz="2" w:space="0" w:color="auto"/>
              <w:left w:val="single" w:sz="2" w:space="0" w:color="auto"/>
              <w:bottom w:val="single" w:sz="2" w:space="0" w:color="auto"/>
              <w:right w:val="single" w:sz="2" w:space="0" w:color="auto"/>
            </w:tcBorders>
            <w:shd w:val="clear" w:color="auto" w:fill="D3D3D3"/>
            <w:vAlign w:val="center"/>
          </w:tcPr>
          <w:p w:rsidR="00561B6F" w:rsidRDefault="00561B6F"/>
        </w:tc>
        <w:tc>
          <w:tcPr>
            <w:tcW w:w="1000" w:type="pct"/>
            <w:tcBorders>
              <w:top w:val="single" w:sz="2" w:space="0" w:color="auto"/>
              <w:left w:val="single" w:sz="2" w:space="0" w:color="auto"/>
              <w:bottom w:val="single" w:sz="2" w:space="0" w:color="auto"/>
              <w:right w:val="single" w:sz="2" w:space="0" w:color="auto"/>
            </w:tcBorders>
            <w:shd w:val="clear" w:color="auto" w:fill="D3D3D3"/>
            <w:vAlign w:val="center"/>
          </w:tcPr>
          <w:p w:rsidR="00561B6F" w:rsidRDefault="00561B6F"/>
        </w:tc>
        <w:tc>
          <w:tcPr>
            <w:tcW w:w="1000" w:type="pct"/>
            <w:tcBorders>
              <w:top w:val="single" w:sz="2" w:space="0" w:color="auto"/>
              <w:left w:val="single" w:sz="2" w:space="0" w:color="auto"/>
              <w:bottom w:val="single" w:sz="2" w:space="0" w:color="auto"/>
              <w:right w:val="single" w:sz="2" w:space="0" w:color="auto"/>
            </w:tcBorders>
            <w:shd w:val="clear" w:color="auto" w:fill="D3D3D3"/>
            <w:vAlign w:val="center"/>
          </w:tcPr>
          <w:p w:rsidR="00561B6F" w:rsidRDefault="00561B6F"/>
        </w:tc>
      </w:tr>
      <w:tr w:rsidR="00561B6F" w:rsidTr="00561B6F">
        <w:trPr>
          <w:trHeight w:val="240"/>
        </w:trPr>
        <w:tc>
          <w:tcPr>
            <w:tcW w:w="1000" w:type="pct"/>
            <w:tcBorders>
              <w:top w:val="single" w:sz="2" w:space="0" w:color="auto"/>
              <w:left w:val="single" w:sz="2" w:space="0" w:color="auto"/>
              <w:bottom w:val="single" w:sz="2" w:space="0" w:color="auto"/>
              <w:right w:val="single" w:sz="2" w:space="0" w:color="auto"/>
            </w:tcBorders>
            <w:shd w:val="clear" w:color="auto" w:fill="D3D3D3"/>
            <w:vAlign w:val="center"/>
          </w:tcPr>
          <w:p w:rsidR="00561B6F" w:rsidRDefault="00561B6F">
            <w:pPr>
              <w:spacing w:before="40" w:after="40" w:line="240" w:lineRule="exact"/>
              <w:rPr>
                <w:sz w:val="18"/>
                <w:szCs w:val="18"/>
              </w:rPr>
            </w:pPr>
            <w:r>
              <w:rPr>
                <w:sz w:val="18"/>
                <w:szCs w:val="18"/>
              </w:rPr>
              <w:t>合计</w:t>
            </w:r>
          </w:p>
        </w:tc>
        <w:tc>
          <w:tcPr>
            <w:tcW w:w="1000" w:type="pct"/>
            <w:tcBorders>
              <w:top w:val="single" w:sz="2" w:space="0" w:color="auto"/>
              <w:left w:val="single" w:sz="2" w:space="0" w:color="auto"/>
              <w:bottom w:val="single" w:sz="2" w:space="0" w:color="auto"/>
              <w:right w:val="single" w:sz="2" w:space="0" w:color="auto"/>
            </w:tcBorders>
            <w:vAlign w:val="center"/>
          </w:tcPr>
          <w:p w:rsidR="00561B6F" w:rsidRDefault="00561B6F">
            <w:pPr>
              <w:spacing w:line="240" w:lineRule="exact"/>
              <w:jc w:val="right"/>
              <w:rPr>
                <w:sz w:val="18"/>
                <w:szCs w:val="18"/>
              </w:rPr>
            </w:pPr>
            <w:r>
              <w:rPr>
                <w:sz w:val="18"/>
                <w:szCs w:val="18"/>
              </w:rPr>
              <w:t>476,993,037.00</w:t>
            </w:r>
          </w:p>
        </w:tc>
        <w:tc>
          <w:tcPr>
            <w:tcW w:w="1000" w:type="pct"/>
            <w:tcBorders>
              <w:top w:val="single" w:sz="2" w:space="0" w:color="auto"/>
              <w:left w:val="single" w:sz="2" w:space="0" w:color="auto"/>
              <w:bottom w:val="single" w:sz="2" w:space="0" w:color="auto"/>
              <w:right w:val="single" w:sz="2" w:space="0" w:color="auto"/>
            </w:tcBorders>
            <w:vAlign w:val="center"/>
          </w:tcPr>
          <w:p w:rsidR="00561B6F" w:rsidRDefault="00561B6F">
            <w:pPr>
              <w:spacing w:line="240" w:lineRule="exact"/>
              <w:jc w:val="right"/>
              <w:rPr>
                <w:sz w:val="18"/>
                <w:szCs w:val="18"/>
              </w:rPr>
            </w:pPr>
            <w:r>
              <w:rPr>
                <w:sz w:val="18"/>
                <w:szCs w:val="18"/>
              </w:rPr>
              <w:t>351,915,132.21</w:t>
            </w:r>
          </w:p>
        </w:tc>
        <w:tc>
          <w:tcPr>
            <w:tcW w:w="1000" w:type="pct"/>
            <w:tcBorders>
              <w:top w:val="single" w:sz="2" w:space="0" w:color="auto"/>
              <w:left w:val="single" w:sz="2" w:space="0" w:color="auto"/>
              <w:bottom w:val="single" w:sz="2" w:space="0" w:color="auto"/>
              <w:right w:val="single" w:sz="2" w:space="0" w:color="auto"/>
            </w:tcBorders>
            <w:vAlign w:val="center"/>
          </w:tcPr>
          <w:p w:rsidR="00561B6F" w:rsidRDefault="00561B6F">
            <w:pPr>
              <w:spacing w:line="240" w:lineRule="exact"/>
              <w:jc w:val="right"/>
              <w:rPr>
                <w:sz w:val="18"/>
                <w:szCs w:val="18"/>
              </w:rPr>
            </w:pPr>
            <w:r>
              <w:rPr>
                <w:sz w:val="18"/>
                <w:szCs w:val="18"/>
              </w:rPr>
              <w:t>476,993,037.00</w:t>
            </w:r>
          </w:p>
        </w:tc>
        <w:tc>
          <w:tcPr>
            <w:tcW w:w="1000" w:type="pct"/>
            <w:tcBorders>
              <w:top w:val="single" w:sz="2" w:space="0" w:color="auto"/>
              <w:left w:val="single" w:sz="2" w:space="0" w:color="auto"/>
              <w:bottom w:val="single" w:sz="2" w:space="0" w:color="auto"/>
              <w:right w:val="single" w:sz="2" w:space="0" w:color="auto"/>
            </w:tcBorders>
            <w:vAlign w:val="center"/>
          </w:tcPr>
          <w:p w:rsidR="00561B6F" w:rsidRDefault="00561B6F">
            <w:pPr>
              <w:spacing w:line="240" w:lineRule="exact"/>
              <w:jc w:val="right"/>
              <w:rPr>
                <w:sz w:val="18"/>
                <w:szCs w:val="18"/>
              </w:rPr>
            </w:pPr>
            <w:r>
              <w:rPr>
                <w:sz w:val="18"/>
                <w:szCs w:val="18"/>
              </w:rPr>
              <w:t>351,915,132.21</w:t>
            </w:r>
          </w:p>
        </w:tc>
      </w:tr>
    </w:tbl>
    <w:p w:rsidR="00E20B54" w:rsidRDefault="00733C9E">
      <w:pPr>
        <w:spacing w:before="100" w:after="100" w:line="240" w:lineRule="exact"/>
        <w:rPr>
          <w:sz w:val="18"/>
          <w:szCs w:val="18"/>
        </w:rPr>
      </w:pPr>
      <w:r>
        <w:rPr>
          <w:sz w:val="18"/>
          <w:szCs w:val="18"/>
        </w:rPr>
        <w:t>与履约义务相关的信息：</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377"/>
        <w:gridCol w:w="1377"/>
        <w:gridCol w:w="1377"/>
        <w:gridCol w:w="1377"/>
        <w:gridCol w:w="1377"/>
        <w:gridCol w:w="1377"/>
        <w:gridCol w:w="1377"/>
      </w:tblGrid>
      <w:tr w:rsidR="00E20B54">
        <w:trPr>
          <w:trHeight w:val="240"/>
        </w:trPr>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项目</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履行履约义务的时间</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重要的支付条款</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公司承诺转让商品的性质</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是否为主要责任人</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公司承担的预期将退还给客户的款项</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公司提供的质量保证类型及相关义务</w:t>
            </w:r>
          </w:p>
        </w:tc>
      </w:tr>
    </w:tbl>
    <w:p w:rsidR="00E20B54" w:rsidRDefault="00733C9E">
      <w:pPr>
        <w:spacing w:before="100" w:after="100" w:line="240" w:lineRule="exact"/>
        <w:rPr>
          <w:sz w:val="18"/>
          <w:szCs w:val="18"/>
        </w:rPr>
      </w:pPr>
      <w:r>
        <w:rPr>
          <w:sz w:val="18"/>
          <w:szCs w:val="18"/>
        </w:rPr>
        <w:t>其他说明</w:t>
      </w:r>
    </w:p>
    <w:p w:rsidR="00561B6F" w:rsidRDefault="00733C9E" w:rsidP="00561B6F">
      <w:pPr>
        <w:spacing w:before="100" w:after="100" w:line="240" w:lineRule="exact"/>
        <w:rPr>
          <w:sz w:val="18"/>
          <w:szCs w:val="18"/>
        </w:rPr>
      </w:pPr>
      <w:r>
        <w:rPr>
          <w:sz w:val="18"/>
          <w:szCs w:val="18"/>
        </w:rPr>
        <w:t>与分摊至剩余履约义务的交易价格相关的信息：</w:t>
      </w:r>
    </w:p>
    <w:p w:rsidR="00E20B54" w:rsidRDefault="00733C9E" w:rsidP="00561B6F">
      <w:pPr>
        <w:spacing w:before="100" w:after="100" w:line="240" w:lineRule="exact"/>
        <w:ind w:firstLineChars="200" w:firstLine="360"/>
      </w:pPr>
      <w:r>
        <w:rPr>
          <w:sz w:val="18"/>
          <w:szCs w:val="18"/>
        </w:rPr>
        <w:t>本报告期末已签订合同、但尚未履行或尚未履行完毕的履约义务所对应的收入金额为</w:t>
      </w:r>
      <w:r>
        <w:rPr>
          <w:sz w:val="18"/>
          <w:szCs w:val="18"/>
        </w:rPr>
        <w:t>612,189,766.75</w:t>
      </w:r>
      <w:r>
        <w:rPr>
          <w:sz w:val="18"/>
          <w:szCs w:val="18"/>
        </w:rPr>
        <w:t>元。</w:t>
      </w:r>
    </w:p>
    <w:p w:rsidR="00E20B54" w:rsidRDefault="00733C9E">
      <w:pPr>
        <w:spacing w:before="100" w:after="100" w:line="240" w:lineRule="exact"/>
        <w:rPr>
          <w:sz w:val="18"/>
          <w:szCs w:val="18"/>
        </w:rPr>
      </w:pPr>
      <w:r>
        <w:rPr>
          <w:sz w:val="18"/>
          <w:szCs w:val="18"/>
        </w:rPr>
        <w:t>重大合同变更或重大交易价格调整</w:t>
      </w:r>
    </w:p>
    <w:p w:rsidR="00E20B54" w:rsidRDefault="00733C9E">
      <w:pPr>
        <w:spacing w:before="120" w:after="120" w:line="240" w:lineRule="exact"/>
        <w:jc w:val="right"/>
        <w:rPr>
          <w:sz w:val="18"/>
          <w:szCs w:val="18"/>
        </w:rPr>
      </w:pPr>
      <w:r>
        <w:rPr>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项目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会计处理方法</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对收入的影响金额</w:t>
            </w:r>
          </w:p>
        </w:tc>
      </w:tr>
    </w:tbl>
    <w:p w:rsidR="00E20B54" w:rsidRDefault="00733C9E">
      <w:pPr>
        <w:spacing w:before="100" w:after="100" w:line="240" w:lineRule="exact"/>
        <w:rPr>
          <w:sz w:val="18"/>
          <w:szCs w:val="18"/>
        </w:rPr>
      </w:pPr>
      <w:r>
        <w:rPr>
          <w:sz w:val="18"/>
          <w:szCs w:val="18"/>
        </w:rPr>
        <w:t>其他说明：</w:t>
      </w:r>
      <w:r w:rsidR="00561B6F">
        <w:rPr>
          <w:rFonts w:hint="eastAsia"/>
          <w:sz w:val="18"/>
          <w:szCs w:val="18"/>
        </w:rPr>
        <w:t>无。</w:t>
      </w:r>
    </w:p>
    <w:p w:rsidR="00E20B54" w:rsidRDefault="00733C9E">
      <w:pPr>
        <w:pStyle w:val="3"/>
        <w:spacing w:line="280" w:lineRule="exact"/>
        <w:jc w:val="left"/>
        <w:rPr>
          <w:b/>
          <w:bCs/>
        </w:rPr>
      </w:pPr>
      <w:bookmarkStart w:id="335" w:name="_Toc989223"/>
      <w:r>
        <w:rPr>
          <w:b/>
          <w:bCs/>
        </w:rPr>
        <w:t>40</w:t>
      </w:r>
      <w:r>
        <w:rPr>
          <w:b/>
          <w:bCs/>
        </w:rPr>
        <w:t>、税金及附加</w:t>
      </w:r>
      <w:bookmarkEnd w:id="335"/>
    </w:p>
    <w:p w:rsidR="00E20B54" w:rsidRDefault="00733C9E">
      <w:pPr>
        <w:spacing w:before="40" w:after="40" w:line="240" w:lineRule="exact"/>
        <w:jc w:val="right"/>
        <w:rPr>
          <w:sz w:val="18"/>
          <w:szCs w:val="18"/>
        </w:rPr>
      </w:pPr>
      <w:r>
        <w:rPr>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项目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本期发生额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上期发生额</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城市维护建设税</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127,638.48</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152,013.55</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教育费附加</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90,662.85</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99,843.05</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房产税</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558,200.59</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558,200.59</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土地使用税</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80,418.63</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1,077.71</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车船使用税</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3,896.42</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7,496.42</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印花税</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326,777.30</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374,345.74</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合计</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1,187,594.27</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1,192,977.06</w:t>
            </w:r>
          </w:p>
        </w:tc>
      </w:tr>
    </w:tbl>
    <w:p w:rsidR="00E20B54" w:rsidRDefault="00733C9E" w:rsidP="00561B6F">
      <w:pPr>
        <w:spacing w:before="100" w:after="100" w:line="240" w:lineRule="exact"/>
      </w:pPr>
      <w:r>
        <w:rPr>
          <w:sz w:val="18"/>
          <w:szCs w:val="18"/>
        </w:rPr>
        <w:t>其他说明：无。</w:t>
      </w:r>
    </w:p>
    <w:p w:rsidR="00E20B54" w:rsidRDefault="00733C9E">
      <w:pPr>
        <w:pStyle w:val="3"/>
        <w:spacing w:line="280" w:lineRule="exact"/>
        <w:jc w:val="left"/>
        <w:rPr>
          <w:b/>
          <w:bCs/>
        </w:rPr>
      </w:pPr>
      <w:bookmarkStart w:id="336" w:name="_Toc989224"/>
      <w:r>
        <w:rPr>
          <w:b/>
          <w:bCs/>
        </w:rPr>
        <w:t>41</w:t>
      </w:r>
      <w:r>
        <w:rPr>
          <w:b/>
          <w:bCs/>
        </w:rPr>
        <w:t>、管理费用</w:t>
      </w:r>
      <w:bookmarkEnd w:id="336"/>
    </w:p>
    <w:p w:rsidR="00E20B54" w:rsidRDefault="00733C9E">
      <w:pPr>
        <w:spacing w:before="40" w:after="40" w:line="240" w:lineRule="exact"/>
        <w:jc w:val="right"/>
        <w:rPr>
          <w:sz w:val="18"/>
          <w:szCs w:val="18"/>
        </w:rPr>
      </w:pPr>
      <w:r>
        <w:rPr>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E20B54" w:rsidTr="00561B6F">
        <w:trPr>
          <w:trHeight w:val="240"/>
          <w:tblHeader/>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项目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本期发生额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上期发生额</w:t>
            </w:r>
          </w:p>
        </w:tc>
      </w:tr>
      <w:tr w:rsidR="00E20B54" w:rsidTr="00561B6F">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9D9D9" w:themeFill="background1" w:themeFillShade="D9"/>
            <w:vAlign w:val="center"/>
          </w:tcPr>
          <w:p w:rsidR="00E20B54" w:rsidRDefault="00733C9E">
            <w:pPr>
              <w:spacing w:line="240" w:lineRule="exact"/>
              <w:rPr>
                <w:sz w:val="18"/>
                <w:szCs w:val="18"/>
              </w:rPr>
            </w:pPr>
            <w:r>
              <w:rPr>
                <w:sz w:val="18"/>
                <w:szCs w:val="18"/>
              </w:rPr>
              <w:t>职工薪酬</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17,187,394.68</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15,539,804.09</w:t>
            </w:r>
          </w:p>
        </w:tc>
      </w:tr>
      <w:tr w:rsidR="00E20B54" w:rsidTr="00561B6F">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9D9D9" w:themeFill="background1" w:themeFillShade="D9"/>
            <w:vAlign w:val="center"/>
          </w:tcPr>
          <w:p w:rsidR="00E20B54" w:rsidRDefault="00733C9E">
            <w:pPr>
              <w:spacing w:line="240" w:lineRule="exact"/>
              <w:rPr>
                <w:sz w:val="18"/>
                <w:szCs w:val="18"/>
              </w:rPr>
            </w:pPr>
            <w:r>
              <w:rPr>
                <w:sz w:val="18"/>
                <w:szCs w:val="18"/>
              </w:rPr>
              <w:t>折旧摊销</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2,340,889.58</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1,099,297.83</w:t>
            </w:r>
          </w:p>
        </w:tc>
      </w:tr>
      <w:tr w:rsidR="00E20B54" w:rsidTr="00561B6F">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9D9D9" w:themeFill="background1" w:themeFillShade="D9"/>
            <w:vAlign w:val="center"/>
          </w:tcPr>
          <w:p w:rsidR="00E20B54" w:rsidRDefault="00733C9E">
            <w:pPr>
              <w:spacing w:line="240" w:lineRule="exact"/>
              <w:rPr>
                <w:sz w:val="18"/>
                <w:szCs w:val="18"/>
              </w:rPr>
            </w:pPr>
            <w:r>
              <w:rPr>
                <w:sz w:val="18"/>
                <w:szCs w:val="18"/>
              </w:rPr>
              <w:t>规范运营费</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4,154,448.05</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1,080,304.18</w:t>
            </w:r>
          </w:p>
        </w:tc>
      </w:tr>
      <w:tr w:rsidR="00E20B54" w:rsidTr="00561B6F">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9D9D9" w:themeFill="background1" w:themeFillShade="D9"/>
            <w:vAlign w:val="center"/>
          </w:tcPr>
          <w:p w:rsidR="00E20B54" w:rsidRDefault="00733C9E">
            <w:pPr>
              <w:spacing w:line="240" w:lineRule="exact"/>
              <w:rPr>
                <w:sz w:val="18"/>
                <w:szCs w:val="18"/>
              </w:rPr>
            </w:pPr>
            <w:r>
              <w:rPr>
                <w:sz w:val="18"/>
                <w:szCs w:val="18"/>
              </w:rPr>
              <w:t>房租水电</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348,019.89</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1,013,289.15</w:t>
            </w:r>
          </w:p>
        </w:tc>
      </w:tr>
      <w:tr w:rsidR="00E20B54" w:rsidTr="00561B6F">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9D9D9" w:themeFill="background1" w:themeFillShade="D9"/>
            <w:vAlign w:val="center"/>
          </w:tcPr>
          <w:p w:rsidR="00E20B54" w:rsidRDefault="00733C9E">
            <w:pPr>
              <w:spacing w:line="240" w:lineRule="exact"/>
              <w:rPr>
                <w:sz w:val="18"/>
                <w:szCs w:val="18"/>
              </w:rPr>
            </w:pPr>
            <w:r>
              <w:rPr>
                <w:sz w:val="18"/>
                <w:szCs w:val="18"/>
              </w:rPr>
              <w:t>办公费</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2,102,404.12</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2,038,376.19</w:t>
            </w:r>
          </w:p>
        </w:tc>
      </w:tr>
      <w:tr w:rsidR="00E20B54" w:rsidTr="00561B6F">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9D9D9" w:themeFill="background1" w:themeFillShade="D9"/>
            <w:vAlign w:val="center"/>
          </w:tcPr>
          <w:p w:rsidR="00E20B54" w:rsidRDefault="00733C9E">
            <w:pPr>
              <w:spacing w:line="240" w:lineRule="exact"/>
              <w:rPr>
                <w:sz w:val="18"/>
                <w:szCs w:val="18"/>
              </w:rPr>
            </w:pPr>
            <w:r>
              <w:rPr>
                <w:sz w:val="18"/>
                <w:szCs w:val="18"/>
              </w:rPr>
              <w:t>差旅费</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1,165,452.98</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1,094,435.80</w:t>
            </w:r>
          </w:p>
        </w:tc>
      </w:tr>
      <w:tr w:rsidR="00E20B54" w:rsidTr="00561B6F">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9D9D9" w:themeFill="background1" w:themeFillShade="D9"/>
            <w:vAlign w:val="center"/>
          </w:tcPr>
          <w:p w:rsidR="00E20B54" w:rsidRDefault="00733C9E">
            <w:pPr>
              <w:spacing w:line="240" w:lineRule="exact"/>
              <w:rPr>
                <w:sz w:val="18"/>
                <w:szCs w:val="18"/>
              </w:rPr>
            </w:pPr>
            <w:r>
              <w:rPr>
                <w:sz w:val="18"/>
                <w:szCs w:val="18"/>
              </w:rPr>
              <w:lastRenderedPageBreak/>
              <w:t>业务招待费</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4,034,449.37</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3,084,941.09</w:t>
            </w:r>
          </w:p>
        </w:tc>
      </w:tr>
      <w:tr w:rsidR="00E20B54" w:rsidTr="00561B6F">
        <w:trPr>
          <w:trHeight w:val="383"/>
        </w:trPr>
        <w:tc>
          <w:tcPr>
            <w:tcW w:w="3213" w:type="dxa"/>
            <w:tcBorders>
              <w:top w:val="single" w:sz="2" w:space="0" w:color="auto"/>
              <w:left w:val="single" w:sz="2" w:space="0" w:color="auto"/>
              <w:bottom w:val="single" w:sz="2" w:space="0" w:color="auto"/>
              <w:right w:val="single" w:sz="2" w:space="0" w:color="auto"/>
            </w:tcBorders>
            <w:shd w:val="clear" w:color="auto" w:fill="D9D9D9" w:themeFill="background1" w:themeFillShade="D9"/>
            <w:vAlign w:val="center"/>
          </w:tcPr>
          <w:p w:rsidR="00E20B54" w:rsidRDefault="00733C9E">
            <w:pPr>
              <w:spacing w:line="240" w:lineRule="exact"/>
              <w:rPr>
                <w:sz w:val="18"/>
                <w:szCs w:val="18"/>
              </w:rPr>
            </w:pPr>
            <w:r>
              <w:rPr>
                <w:sz w:val="18"/>
                <w:szCs w:val="18"/>
              </w:rPr>
              <w:t>股权激励</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7,731,895.10</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6,286,591.30</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合计</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39,064,953.77</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31,237,039.63</w:t>
            </w:r>
          </w:p>
        </w:tc>
      </w:tr>
    </w:tbl>
    <w:p w:rsidR="00E20B54" w:rsidRDefault="00733C9E" w:rsidP="00561B6F">
      <w:pPr>
        <w:spacing w:before="100" w:after="100" w:line="240" w:lineRule="exact"/>
      </w:pPr>
      <w:r>
        <w:rPr>
          <w:sz w:val="18"/>
          <w:szCs w:val="18"/>
        </w:rPr>
        <w:t>其他说明：无。</w:t>
      </w:r>
    </w:p>
    <w:p w:rsidR="00E20B54" w:rsidRDefault="00733C9E">
      <w:pPr>
        <w:pStyle w:val="3"/>
        <w:spacing w:line="280" w:lineRule="exact"/>
        <w:jc w:val="left"/>
        <w:rPr>
          <w:b/>
          <w:bCs/>
        </w:rPr>
      </w:pPr>
      <w:bookmarkStart w:id="337" w:name="_Toc989225"/>
      <w:r>
        <w:rPr>
          <w:b/>
          <w:bCs/>
        </w:rPr>
        <w:t>42</w:t>
      </w:r>
      <w:r>
        <w:rPr>
          <w:b/>
          <w:bCs/>
        </w:rPr>
        <w:t>、销售费用</w:t>
      </w:r>
      <w:bookmarkEnd w:id="337"/>
    </w:p>
    <w:p w:rsidR="00E20B54" w:rsidRDefault="00733C9E">
      <w:pPr>
        <w:spacing w:before="40" w:after="40" w:line="240" w:lineRule="exact"/>
        <w:jc w:val="right"/>
        <w:rPr>
          <w:sz w:val="18"/>
          <w:szCs w:val="18"/>
        </w:rPr>
      </w:pPr>
      <w:r>
        <w:rPr>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项目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本期发生额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上期发生额</w:t>
            </w:r>
          </w:p>
        </w:tc>
      </w:tr>
      <w:tr w:rsidR="00E20B54" w:rsidTr="00561B6F">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9D9D9" w:themeFill="background1" w:themeFillShade="D9"/>
            <w:vAlign w:val="center"/>
          </w:tcPr>
          <w:p w:rsidR="00E20B54" w:rsidRDefault="00733C9E">
            <w:pPr>
              <w:spacing w:line="240" w:lineRule="exact"/>
              <w:rPr>
                <w:sz w:val="18"/>
                <w:szCs w:val="18"/>
              </w:rPr>
            </w:pPr>
            <w:r>
              <w:rPr>
                <w:sz w:val="18"/>
                <w:szCs w:val="18"/>
              </w:rPr>
              <w:t>职工薪酬</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10,537,705.94</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10,718,265.59</w:t>
            </w:r>
          </w:p>
        </w:tc>
      </w:tr>
      <w:tr w:rsidR="00E20B54" w:rsidTr="00561B6F">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9D9D9" w:themeFill="background1" w:themeFillShade="D9"/>
            <w:vAlign w:val="center"/>
          </w:tcPr>
          <w:p w:rsidR="00E20B54" w:rsidRDefault="00733C9E">
            <w:pPr>
              <w:spacing w:line="240" w:lineRule="exact"/>
              <w:rPr>
                <w:sz w:val="18"/>
                <w:szCs w:val="18"/>
              </w:rPr>
            </w:pPr>
            <w:r>
              <w:rPr>
                <w:sz w:val="18"/>
                <w:szCs w:val="18"/>
              </w:rPr>
              <w:t>广告宣传费</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787,565.51</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641,644.68</w:t>
            </w:r>
          </w:p>
        </w:tc>
      </w:tr>
      <w:tr w:rsidR="00E20B54" w:rsidTr="00561B6F">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9D9D9" w:themeFill="background1" w:themeFillShade="D9"/>
            <w:vAlign w:val="center"/>
          </w:tcPr>
          <w:p w:rsidR="00E20B54" w:rsidRDefault="00733C9E">
            <w:pPr>
              <w:spacing w:line="240" w:lineRule="exact"/>
              <w:rPr>
                <w:sz w:val="18"/>
                <w:szCs w:val="18"/>
              </w:rPr>
            </w:pPr>
            <w:r>
              <w:rPr>
                <w:sz w:val="18"/>
                <w:szCs w:val="18"/>
              </w:rPr>
              <w:t>业务招待费</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2,573,146.79</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2,631,952.93</w:t>
            </w:r>
          </w:p>
        </w:tc>
      </w:tr>
      <w:tr w:rsidR="00E20B54" w:rsidTr="00561B6F">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9D9D9" w:themeFill="background1" w:themeFillShade="D9"/>
            <w:vAlign w:val="center"/>
          </w:tcPr>
          <w:p w:rsidR="00E20B54" w:rsidRDefault="00733C9E">
            <w:pPr>
              <w:spacing w:line="240" w:lineRule="exact"/>
              <w:rPr>
                <w:sz w:val="18"/>
                <w:szCs w:val="18"/>
              </w:rPr>
            </w:pPr>
            <w:r>
              <w:rPr>
                <w:sz w:val="18"/>
                <w:szCs w:val="18"/>
              </w:rPr>
              <w:t>办公费</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315,921.20</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691,516.24</w:t>
            </w:r>
          </w:p>
        </w:tc>
      </w:tr>
      <w:tr w:rsidR="00E20B54" w:rsidTr="00561B6F">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9D9D9" w:themeFill="background1" w:themeFillShade="D9"/>
            <w:vAlign w:val="center"/>
          </w:tcPr>
          <w:p w:rsidR="00E20B54" w:rsidRDefault="00733C9E">
            <w:pPr>
              <w:spacing w:line="240" w:lineRule="exact"/>
              <w:rPr>
                <w:sz w:val="18"/>
                <w:szCs w:val="18"/>
              </w:rPr>
            </w:pPr>
            <w:r>
              <w:rPr>
                <w:sz w:val="18"/>
                <w:szCs w:val="18"/>
              </w:rPr>
              <w:t>差旅费</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457,687.62</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811,251.00</w:t>
            </w:r>
          </w:p>
        </w:tc>
      </w:tr>
      <w:tr w:rsidR="00E20B54" w:rsidTr="00561B6F">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9D9D9" w:themeFill="background1" w:themeFillShade="D9"/>
            <w:vAlign w:val="center"/>
          </w:tcPr>
          <w:p w:rsidR="00E20B54" w:rsidRDefault="00733C9E">
            <w:pPr>
              <w:spacing w:line="240" w:lineRule="exact"/>
              <w:rPr>
                <w:sz w:val="18"/>
                <w:szCs w:val="18"/>
              </w:rPr>
            </w:pPr>
            <w:r>
              <w:rPr>
                <w:sz w:val="18"/>
                <w:szCs w:val="18"/>
              </w:rPr>
              <w:t>投标服务费</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324,683.13</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585,151.30</w:t>
            </w:r>
          </w:p>
        </w:tc>
      </w:tr>
      <w:tr w:rsidR="00E20B54" w:rsidTr="00561B6F">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9D9D9" w:themeFill="background1" w:themeFillShade="D9"/>
            <w:vAlign w:val="center"/>
          </w:tcPr>
          <w:p w:rsidR="00E20B54" w:rsidRDefault="00733C9E">
            <w:pPr>
              <w:spacing w:line="240" w:lineRule="exact"/>
              <w:rPr>
                <w:sz w:val="18"/>
                <w:szCs w:val="18"/>
              </w:rPr>
            </w:pPr>
            <w:r>
              <w:rPr>
                <w:sz w:val="18"/>
                <w:szCs w:val="18"/>
              </w:rPr>
              <w:t>售后服务费</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1,618,732.87</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2,428,661.50</w:t>
            </w:r>
          </w:p>
        </w:tc>
      </w:tr>
      <w:tr w:rsidR="00E20B54" w:rsidTr="00561B6F">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9D9D9" w:themeFill="background1" w:themeFillShade="D9"/>
            <w:vAlign w:val="center"/>
          </w:tcPr>
          <w:p w:rsidR="00E20B54" w:rsidRDefault="00733C9E">
            <w:pPr>
              <w:spacing w:line="240" w:lineRule="exact"/>
              <w:rPr>
                <w:sz w:val="18"/>
                <w:szCs w:val="18"/>
              </w:rPr>
            </w:pPr>
            <w:r>
              <w:rPr>
                <w:sz w:val="18"/>
                <w:szCs w:val="18"/>
              </w:rPr>
              <w:t>折旧摊销</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2,288,623.65</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2,197,700.85</w:t>
            </w:r>
          </w:p>
        </w:tc>
      </w:tr>
      <w:tr w:rsidR="00E20B54" w:rsidTr="00561B6F">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9D9D9" w:themeFill="background1" w:themeFillShade="D9"/>
            <w:vAlign w:val="center"/>
          </w:tcPr>
          <w:p w:rsidR="00E20B54" w:rsidRDefault="00733C9E">
            <w:pPr>
              <w:spacing w:line="240" w:lineRule="exact"/>
              <w:rPr>
                <w:sz w:val="18"/>
                <w:szCs w:val="18"/>
              </w:rPr>
            </w:pPr>
            <w:r>
              <w:rPr>
                <w:sz w:val="18"/>
                <w:szCs w:val="18"/>
              </w:rPr>
              <w:t>房租水电</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363,419.74</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445,311.74</w:t>
            </w:r>
          </w:p>
        </w:tc>
      </w:tr>
      <w:tr w:rsidR="00E20B54" w:rsidTr="00561B6F">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9D9D9" w:themeFill="background1" w:themeFillShade="D9"/>
            <w:vAlign w:val="center"/>
          </w:tcPr>
          <w:p w:rsidR="00E20B54" w:rsidRDefault="00733C9E">
            <w:pPr>
              <w:spacing w:line="240" w:lineRule="exact"/>
              <w:rPr>
                <w:sz w:val="18"/>
                <w:szCs w:val="18"/>
              </w:rPr>
            </w:pPr>
            <w:r>
              <w:rPr>
                <w:sz w:val="18"/>
                <w:szCs w:val="18"/>
              </w:rPr>
              <w:t>股权激励</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3,049,115.45</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2,112,192.87</w:t>
            </w:r>
          </w:p>
        </w:tc>
      </w:tr>
      <w:tr w:rsidR="00E20B54" w:rsidTr="00561B6F">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9D9D9" w:themeFill="background1" w:themeFillShade="D9"/>
            <w:vAlign w:val="center"/>
          </w:tcPr>
          <w:p w:rsidR="00E20B54" w:rsidRDefault="00733C9E">
            <w:pPr>
              <w:spacing w:line="240" w:lineRule="exact"/>
              <w:rPr>
                <w:sz w:val="18"/>
                <w:szCs w:val="18"/>
              </w:rPr>
            </w:pPr>
            <w:r>
              <w:rPr>
                <w:sz w:val="18"/>
                <w:szCs w:val="18"/>
              </w:rPr>
              <w:t>其他</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63,051.05</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343,037.77</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合计</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22,379,652.95</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23,606,686.47</w:t>
            </w:r>
          </w:p>
        </w:tc>
      </w:tr>
    </w:tbl>
    <w:p w:rsidR="00E20B54" w:rsidRDefault="00733C9E" w:rsidP="00561B6F">
      <w:pPr>
        <w:spacing w:before="100" w:after="100" w:line="240" w:lineRule="exact"/>
      </w:pPr>
      <w:r>
        <w:rPr>
          <w:sz w:val="18"/>
          <w:szCs w:val="18"/>
        </w:rPr>
        <w:t>其他说明：无。</w:t>
      </w:r>
    </w:p>
    <w:p w:rsidR="00E20B54" w:rsidRDefault="00733C9E">
      <w:pPr>
        <w:pStyle w:val="3"/>
        <w:spacing w:line="280" w:lineRule="exact"/>
        <w:jc w:val="left"/>
        <w:rPr>
          <w:b/>
          <w:bCs/>
        </w:rPr>
      </w:pPr>
      <w:bookmarkStart w:id="338" w:name="_Toc989226"/>
      <w:r>
        <w:rPr>
          <w:b/>
          <w:bCs/>
        </w:rPr>
        <w:t>43</w:t>
      </w:r>
      <w:r>
        <w:rPr>
          <w:b/>
          <w:bCs/>
        </w:rPr>
        <w:t>、研发费用</w:t>
      </w:r>
      <w:bookmarkEnd w:id="338"/>
    </w:p>
    <w:p w:rsidR="00E20B54" w:rsidRDefault="00733C9E">
      <w:pPr>
        <w:spacing w:before="40" w:after="40" w:line="240" w:lineRule="exact"/>
        <w:jc w:val="right"/>
        <w:rPr>
          <w:sz w:val="18"/>
          <w:szCs w:val="18"/>
        </w:rPr>
      </w:pPr>
      <w:r>
        <w:rPr>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项目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本期发生额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上期发生额</w:t>
            </w:r>
          </w:p>
        </w:tc>
      </w:tr>
      <w:tr w:rsidR="00E20B54" w:rsidTr="00561B6F">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9D9D9" w:themeFill="background1" w:themeFillShade="D9"/>
            <w:vAlign w:val="center"/>
          </w:tcPr>
          <w:p w:rsidR="00E20B54" w:rsidRDefault="00733C9E">
            <w:pPr>
              <w:spacing w:line="240" w:lineRule="exact"/>
              <w:rPr>
                <w:sz w:val="18"/>
                <w:szCs w:val="18"/>
              </w:rPr>
            </w:pPr>
            <w:r>
              <w:rPr>
                <w:sz w:val="18"/>
                <w:szCs w:val="18"/>
              </w:rPr>
              <w:t>直接人工费用</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10,570,082.34</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11,403,418.76</w:t>
            </w:r>
          </w:p>
        </w:tc>
      </w:tr>
      <w:tr w:rsidR="00E20B54" w:rsidTr="00561B6F">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9D9D9" w:themeFill="background1" w:themeFillShade="D9"/>
            <w:vAlign w:val="center"/>
          </w:tcPr>
          <w:p w:rsidR="00E20B54" w:rsidRDefault="00733C9E">
            <w:pPr>
              <w:spacing w:line="240" w:lineRule="exact"/>
              <w:rPr>
                <w:sz w:val="18"/>
                <w:szCs w:val="18"/>
              </w:rPr>
            </w:pPr>
            <w:r>
              <w:rPr>
                <w:sz w:val="18"/>
                <w:szCs w:val="18"/>
              </w:rPr>
              <w:t>直接投入费用</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232,125.49</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665,768.94</w:t>
            </w:r>
          </w:p>
        </w:tc>
      </w:tr>
      <w:tr w:rsidR="00E20B54" w:rsidTr="00561B6F">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9D9D9" w:themeFill="background1" w:themeFillShade="D9"/>
            <w:vAlign w:val="center"/>
          </w:tcPr>
          <w:p w:rsidR="00E20B54" w:rsidRDefault="00733C9E">
            <w:pPr>
              <w:spacing w:line="240" w:lineRule="exact"/>
              <w:rPr>
                <w:sz w:val="18"/>
                <w:szCs w:val="18"/>
              </w:rPr>
            </w:pPr>
            <w:r>
              <w:rPr>
                <w:sz w:val="18"/>
                <w:szCs w:val="18"/>
              </w:rPr>
              <w:t>折旧摊销费用</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2,152,617.00</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2,379,224.60</w:t>
            </w:r>
          </w:p>
        </w:tc>
      </w:tr>
      <w:tr w:rsidR="00E20B54" w:rsidTr="00561B6F">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9D9D9" w:themeFill="background1" w:themeFillShade="D9"/>
            <w:vAlign w:val="center"/>
          </w:tcPr>
          <w:p w:rsidR="00E20B54" w:rsidRDefault="00733C9E">
            <w:pPr>
              <w:spacing w:line="240" w:lineRule="exact"/>
              <w:rPr>
                <w:sz w:val="18"/>
                <w:szCs w:val="18"/>
              </w:rPr>
            </w:pPr>
            <w:r>
              <w:rPr>
                <w:sz w:val="18"/>
                <w:szCs w:val="18"/>
              </w:rPr>
              <w:t>其他相关费用</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1,017,631.72</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998,827.43</w:t>
            </w:r>
          </w:p>
        </w:tc>
      </w:tr>
      <w:tr w:rsidR="00E20B54" w:rsidTr="00561B6F">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9D9D9" w:themeFill="background1" w:themeFillShade="D9"/>
            <w:vAlign w:val="center"/>
          </w:tcPr>
          <w:p w:rsidR="00E20B54" w:rsidRDefault="00733C9E">
            <w:pPr>
              <w:spacing w:line="240" w:lineRule="exact"/>
              <w:rPr>
                <w:sz w:val="18"/>
                <w:szCs w:val="18"/>
              </w:rPr>
            </w:pPr>
            <w:r>
              <w:rPr>
                <w:sz w:val="18"/>
                <w:szCs w:val="18"/>
              </w:rPr>
              <w:t>委托研发费用</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2,773,584.91</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610,377.36</w:t>
            </w:r>
          </w:p>
        </w:tc>
      </w:tr>
      <w:tr w:rsidR="00E20B54" w:rsidTr="00561B6F">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9D9D9" w:themeFill="background1" w:themeFillShade="D9"/>
            <w:vAlign w:val="center"/>
          </w:tcPr>
          <w:p w:rsidR="00E20B54" w:rsidRDefault="00733C9E">
            <w:pPr>
              <w:spacing w:line="240" w:lineRule="exact"/>
              <w:rPr>
                <w:sz w:val="18"/>
                <w:szCs w:val="18"/>
              </w:rPr>
            </w:pPr>
            <w:r>
              <w:rPr>
                <w:sz w:val="18"/>
                <w:szCs w:val="18"/>
              </w:rPr>
              <w:t>股权激励</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463,431.60</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408,337.40</w:t>
            </w:r>
          </w:p>
        </w:tc>
      </w:tr>
      <w:tr w:rsidR="00E20B54" w:rsidTr="00561B6F">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9D9D9" w:themeFill="background1" w:themeFillShade="D9"/>
            <w:vAlign w:val="center"/>
          </w:tcPr>
          <w:p w:rsidR="00E20B54" w:rsidRDefault="00733C9E">
            <w:pPr>
              <w:spacing w:line="240" w:lineRule="exact"/>
              <w:rPr>
                <w:sz w:val="18"/>
                <w:szCs w:val="18"/>
              </w:rPr>
            </w:pPr>
            <w:r>
              <w:rPr>
                <w:sz w:val="18"/>
                <w:szCs w:val="18"/>
              </w:rPr>
              <w:t>新产品设计费用</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68,870.27</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845,308.04</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合计</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17,278,343.33</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17,311,262.53</w:t>
            </w:r>
          </w:p>
        </w:tc>
      </w:tr>
    </w:tbl>
    <w:p w:rsidR="00E20B54" w:rsidRDefault="00733C9E" w:rsidP="00561B6F">
      <w:pPr>
        <w:spacing w:before="100" w:after="100" w:line="240" w:lineRule="exact"/>
      </w:pPr>
      <w:r>
        <w:rPr>
          <w:sz w:val="18"/>
          <w:szCs w:val="18"/>
        </w:rPr>
        <w:t>其他说明：无。</w:t>
      </w:r>
    </w:p>
    <w:p w:rsidR="00E20B54" w:rsidRDefault="00733C9E">
      <w:pPr>
        <w:pStyle w:val="3"/>
        <w:spacing w:line="280" w:lineRule="exact"/>
        <w:jc w:val="left"/>
        <w:rPr>
          <w:b/>
          <w:bCs/>
        </w:rPr>
      </w:pPr>
      <w:bookmarkStart w:id="339" w:name="_Toc989227"/>
      <w:r>
        <w:rPr>
          <w:b/>
          <w:bCs/>
        </w:rPr>
        <w:t>44</w:t>
      </w:r>
      <w:r>
        <w:rPr>
          <w:b/>
          <w:bCs/>
        </w:rPr>
        <w:t>、财务费用</w:t>
      </w:r>
      <w:bookmarkEnd w:id="339"/>
    </w:p>
    <w:p w:rsidR="00E20B54" w:rsidRDefault="00733C9E">
      <w:pPr>
        <w:spacing w:before="40" w:after="40" w:line="240" w:lineRule="exact"/>
        <w:jc w:val="right"/>
        <w:rPr>
          <w:sz w:val="18"/>
          <w:szCs w:val="18"/>
        </w:rPr>
      </w:pPr>
      <w:r>
        <w:rPr>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项目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本期发生额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上期发生额</w:t>
            </w:r>
          </w:p>
        </w:tc>
      </w:tr>
      <w:tr w:rsidR="00E20B54" w:rsidTr="00561B6F">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9D9D9" w:themeFill="background1" w:themeFillShade="D9"/>
            <w:vAlign w:val="center"/>
          </w:tcPr>
          <w:p w:rsidR="00E20B54" w:rsidRDefault="00733C9E">
            <w:pPr>
              <w:spacing w:line="240" w:lineRule="exact"/>
              <w:rPr>
                <w:sz w:val="18"/>
                <w:szCs w:val="18"/>
              </w:rPr>
            </w:pPr>
            <w:r>
              <w:rPr>
                <w:sz w:val="18"/>
                <w:szCs w:val="18"/>
              </w:rPr>
              <w:t>利息费用</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12,934,063.77</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1,321,921.56</w:t>
            </w:r>
          </w:p>
        </w:tc>
      </w:tr>
      <w:tr w:rsidR="00E20B54" w:rsidTr="00561B6F">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9D9D9" w:themeFill="background1" w:themeFillShade="D9"/>
            <w:vAlign w:val="center"/>
          </w:tcPr>
          <w:p w:rsidR="00E20B54" w:rsidRDefault="00733C9E">
            <w:pPr>
              <w:spacing w:line="240" w:lineRule="exact"/>
              <w:rPr>
                <w:sz w:val="18"/>
                <w:szCs w:val="18"/>
              </w:rPr>
            </w:pPr>
            <w:r>
              <w:rPr>
                <w:sz w:val="18"/>
                <w:szCs w:val="18"/>
              </w:rPr>
              <w:t>减：利息收入</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2,124,591.95</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6,661,211.63</w:t>
            </w:r>
          </w:p>
        </w:tc>
      </w:tr>
      <w:tr w:rsidR="00E20B54" w:rsidTr="00561B6F">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9D9D9" w:themeFill="background1" w:themeFillShade="D9"/>
            <w:vAlign w:val="center"/>
          </w:tcPr>
          <w:p w:rsidR="00E20B54" w:rsidRDefault="00733C9E">
            <w:pPr>
              <w:spacing w:line="240" w:lineRule="exact"/>
              <w:rPr>
                <w:sz w:val="18"/>
                <w:szCs w:val="18"/>
              </w:rPr>
            </w:pPr>
            <w:r>
              <w:rPr>
                <w:sz w:val="18"/>
                <w:szCs w:val="18"/>
              </w:rPr>
              <w:t>汇兑净损失</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-7,130.07</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15,950.62</w:t>
            </w:r>
          </w:p>
        </w:tc>
      </w:tr>
      <w:tr w:rsidR="00E20B54" w:rsidTr="00561B6F">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9D9D9" w:themeFill="background1" w:themeFillShade="D9"/>
            <w:vAlign w:val="center"/>
          </w:tcPr>
          <w:p w:rsidR="00E20B54" w:rsidRDefault="00733C9E">
            <w:pPr>
              <w:spacing w:line="240" w:lineRule="exact"/>
              <w:rPr>
                <w:sz w:val="18"/>
                <w:szCs w:val="18"/>
              </w:rPr>
            </w:pPr>
            <w:r>
              <w:rPr>
                <w:sz w:val="18"/>
                <w:szCs w:val="18"/>
              </w:rPr>
              <w:t>手续费及其他</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157,109.67</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76,247.49</w:t>
            </w:r>
          </w:p>
        </w:tc>
      </w:tr>
      <w:tr w:rsidR="00E20B54" w:rsidTr="00561B6F">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9D9D9" w:themeFill="background1" w:themeFillShade="D9"/>
            <w:vAlign w:val="center"/>
          </w:tcPr>
          <w:p w:rsidR="00E20B54" w:rsidRDefault="00733C9E">
            <w:pPr>
              <w:spacing w:line="240" w:lineRule="exact"/>
              <w:rPr>
                <w:sz w:val="18"/>
                <w:szCs w:val="18"/>
              </w:rPr>
            </w:pPr>
            <w:r>
              <w:rPr>
                <w:sz w:val="18"/>
                <w:szCs w:val="18"/>
              </w:rPr>
              <w:t>未确认融资费用和未实现融资收益的摊销</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349,570.96</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103,134.78</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合计</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11,309,022.38</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-5,143,957.18</w:t>
            </w:r>
          </w:p>
        </w:tc>
      </w:tr>
    </w:tbl>
    <w:p w:rsidR="00E20B54" w:rsidRDefault="00733C9E">
      <w:pPr>
        <w:spacing w:before="100" w:after="100" w:line="240" w:lineRule="exact"/>
        <w:rPr>
          <w:sz w:val="18"/>
          <w:szCs w:val="18"/>
        </w:rPr>
      </w:pPr>
      <w:r>
        <w:rPr>
          <w:sz w:val="18"/>
          <w:szCs w:val="18"/>
        </w:rPr>
        <w:lastRenderedPageBreak/>
        <w:t>其他说明：</w:t>
      </w:r>
      <w:r w:rsidR="00561B6F">
        <w:rPr>
          <w:sz w:val="18"/>
          <w:szCs w:val="18"/>
        </w:rPr>
        <w:t>无。</w:t>
      </w:r>
    </w:p>
    <w:p w:rsidR="00E20B54" w:rsidRDefault="00733C9E">
      <w:pPr>
        <w:pStyle w:val="a3"/>
        <w:widowControl/>
      </w:pPr>
      <w:r>
        <w:rPr>
          <w:sz w:val="18"/>
          <w:szCs w:val="18"/>
        </w:rPr>
        <w:t>无。</w:t>
      </w:r>
    </w:p>
    <w:p w:rsidR="00E20B54" w:rsidRDefault="00733C9E">
      <w:pPr>
        <w:pStyle w:val="3"/>
        <w:spacing w:line="280" w:lineRule="exact"/>
        <w:jc w:val="left"/>
        <w:rPr>
          <w:b/>
          <w:bCs/>
        </w:rPr>
      </w:pPr>
      <w:bookmarkStart w:id="340" w:name="_Toc989228"/>
      <w:r>
        <w:rPr>
          <w:b/>
          <w:bCs/>
        </w:rPr>
        <w:t>45</w:t>
      </w:r>
      <w:r>
        <w:rPr>
          <w:b/>
          <w:bCs/>
        </w:rPr>
        <w:t>、其他收益</w:t>
      </w:r>
      <w:bookmarkEnd w:id="340"/>
    </w:p>
    <w:p w:rsidR="00E20B54" w:rsidRDefault="00733C9E">
      <w:pPr>
        <w:spacing w:before="40" w:after="40" w:line="240" w:lineRule="exact"/>
        <w:jc w:val="right"/>
        <w:rPr>
          <w:sz w:val="18"/>
          <w:szCs w:val="18"/>
        </w:rPr>
      </w:pPr>
      <w:r>
        <w:rPr>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产生其他收益的来源</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本期发生额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上期发生额</w:t>
            </w:r>
          </w:p>
        </w:tc>
      </w:tr>
      <w:tr w:rsidR="00E20B54" w:rsidTr="00561B6F">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9D9D9" w:themeFill="background1" w:themeFillShade="D9"/>
            <w:vAlign w:val="center"/>
          </w:tcPr>
          <w:p w:rsidR="00E20B54" w:rsidRDefault="00733C9E">
            <w:pPr>
              <w:spacing w:line="240" w:lineRule="exact"/>
              <w:rPr>
                <w:sz w:val="18"/>
                <w:szCs w:val="18"/>
              </w:rPr>
            </w:pPr>
            <w:r>
              <w:rPr>
                <w:sz w:val="18"/>
                <w:szCs w:val="18"/>
              </w:rPr>
              <w:t>与日常活动相关的政府补助</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17,959.86</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65,182.83</w:t>
            </w:r>
          </w:p>
        </w:tc>
      </w:tr>
      <w:tr w:rsidR="00E20B54" w:rsidTr="00561B6F">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9D9D9" w:themeFill="background1" w:themeFillShade="D9"/>
            <w:vAlign w:val="center"/>
          </w:tcPr>
          <w:p w:rsidR="00E20B54" w:rsidRDefault="00733C9E">
            <w:pPr>
              <w:spacing w:line="240" w:lineRule="exact"/>
              <w:rPr>
                <w:sz w:val="18"/>
                <w:szCs w:val="18"/>
              </w:rPr>
            </w:pPr>
            <w:r>
              <w:rPr>
                <w:sz w:val="18"/>
                <w:szCs w:val="18"/>
              </w:rPr>
              <w:t>代扣个人所得税手续费返回</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38,823.70</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27,444.49</w:t>
            </w:r>
          </w:p>
        </w:tc>
      </w:tr>
      <w:tr w:rsidR="00E20B54" w:rsidTr="00561B6F">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9D9D9" w:themeFill="background1" w:themeFillShade="D9"/>
            <w:vAlign w:val="center"/>
          </w:tcPr>
          <w:p w:rsidR="00E20B54" w:rsidRDefault="00733C9E">
            <w:pPr>
              <w:spacing w:line="240" w:lineRule="exact"/>
              <w:rPr>
                <w:sz w:val="18"/>
                <w:szCs w:val="18"/>
              </w:rPr>
            </w:pPr>
            <w:r>
              <w:rPr>
                <w:sz w:val="18"/>
                <w:szCs w:val="18"/>
              </w:rPr>
              <w:t>合计</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56,783.56</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92,627.32</w:t>
            </w:r>
          </w:p>
        </w:tc>
      </w:tr>
    </w:tbl>
    <w:p w:rsidR="00E20B54" w:rsidRDefault="00733C9E">
      <w:pPr>
        <w:pStyle w:val="3"/>
        <w:spacing w:line="280" w:lineRule="exact"/>
        <w:jc w:val="left"/>
        <w:rPr>
          <w:b/>
          <w:bCs/>
        </w:rPr>
      </w:pPr>
      <w:bookmarkStart w:id="341" w:name="_Toc989229"/>
      <w:r>
        <w:rPr>
          <w:b/>
          <w:bCs/>
        </w:rPr>
        <w:t>46</w:t>
      </w:r>
      <w:r>
        <w:rPr>
          <w:b/>
          <w:bCs/>
        </w:rPr>
        <w:t>、公允价值变动收益</w:t>
      </w:r>
      <w:bookmarkEnd w:id="341"/>
    </w:p>
    <w:p w:rsidR="00E20B54" w:rsidRDefault="00733C9E">
      <w:pPr>
        <w:spacing w:before="40" w:after="40" w:line="240" w:lineRule="exact"/>
        <w:jc w:val="right"/>
        <w:rPr>
          <w:sz w:val="18"/>
          <w:szCs w:val="18"/>
        </w:rPr>
      </w:pPr>
      <w:r>
        <w:rPr>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产生公允价值变动收益的来源</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本期发生额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上期发生额</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交易性金融资产</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-17,095.89</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合计</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-17,095.89</w:t>
            </w:r>
          </w:p>
        </w:tc>
      </w:tr>
    </w:tbl>
    <w:p w:rsidR="00E20B54" w:rsidRDefault="00733C9E">
      <w:pPr>
        <w:spacing w:before="100" w:after="100" w:line="240" w:lineRule="exact"/>
        <w:rPr>
          <w:sz w:val="18"/>
          <w:szCs w:val="18"/>
        </w:rPr>
      </w:pPr>
      <w:r>
        <w:rPr>
          <w:sz w:val="18"/>
          <w:szCs w:val="18"/>
        </w:rPr>
        <w:t>其他说明：</w:t>
      </w:r>
      <w:r w:rsidR="00561B6F">
        <w:rPr>
          <w:sz w:val="18"/>
          <w:szCs w:val="18"/>
        </w:rPr>
        <w:t>无。</w:t>
      </w:r>
    </w:p>
    <w:p w:rsidR="00E20B54" w:rsidRDefault="00733C9E">
      <w:pPr>
        <w:pStyle w:val="3"/>
        <w:spacing w:line="280" w:lineRule="exact"/>
        <w:jc w:val="left"/>
        <w:rPr>
          <w:b/>
          <w:bCs/>
        </w:rPr>
      </w:pPr>
      <w:bookmarkStart w:id="342" w:name="_Toc989230"/>
      <w:r>
        <w:rPr>
          <w:b/>
          <w:bCs/>
        </w:rPr>
        <w:t>47</w:t>
      </w:r>
      <w:r>
        <w:rPr>
          <w:b/>
          <w:bCs/>
        </w:rPr>
        <w:t>、投资收益</w:t>
      </w:r>
      <w:bookmarkEnd w:id="342"/>
    </w:p>
    <w:p w:rsidR="00E20B54" w:rsidRDefault="00733C9E">
      <w:pPr>
        <w:spacing w:before="40" w:after="40" w:line="240" w:lineRule="exact"/>
        <w:jc w:val="right"/>
        <w:rPr>
          <w:sz w:val="18"/>
          <w:szCs w:val="18"/>
        </w:rPr>
      </w:pPr>
      <w:r>
        <w:rPr>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项目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本期发生额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上期发生额</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交易性金融资产在持有期间的投资收益</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646,465.76</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债务重组收益</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5,794,301.93</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r w:rsidR="00E20B54" w:rsidTr="00561B6F">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9D9D9" w:themeFill="background1" w:themeFillShade="D9"/>
            <w:vAlign w:val="center"/>
          </w:tcPr>
          <w:p w:rsidR="00E20B54" w:rsidRDefault="00733C9E">
            <w:pPr>
              <w:spacing w:line="240" w:lineRule="exact"/>
              <w:rPr>
                <w:sz w:val="18"/>
                <w:szCs w:val="18"/>
              </w:rPr>
            </w:pPr>
            <w:r>
              <w:rPr>
                <w:sz w:val="18"/>
                <w:szCs w:val="18"/>
              </w:rPr>
              <w:t>其他</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-326,532.14</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合计</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5,467,769.79</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646,465.76</w:t>
            </w:r>
          </w:p>
        </w:tc>
      </w:tr>
    </w:tbl>
    <w:p w:rsidR="00E20B54" w:rsidRDefault="00733C9E">
      <w:pPr>
        <w:spacing w:before="100" w:after="100" w:line="240" w:lineRule="exact"/>
        <w:rPr>
          <w:sz w:val="18"/>
          <w:szCs w:val="18"/>
        </w:rPr>
      </w:pPr>
      <w:r>
        <w:rPr>
          <w:sz w:val="18"/>
          <w:szCs w:val="18"/>
        </w:rPr>
        <w:t>其他说明：</w:t>
      </w:r>
      <w:r w:rsidR="00561B6F">
        <w:rPr>
          <w:sz w:val="18"/>
          <w:szCs w:val="18"/>
        </w:rPr>
        <w:t>无。</w:t>
      </w:r>
    </w:p>
    <w:p w:rsidR="00E20B54" w:rsidRDefault="00733C9E">
      <w:pPr>
        <w:pStyle w:val="3"/>
        <w:spacing w:line="280" w:lineRule="exact"/>
        <w:jc w:val="left"/>
        <w:rPr>
          <w:b/>
          <w:bCs/>
        </w:rPr>
      </w:pPr>
      <w:bookmarkStart w:id="343" w:name="_Toc989231"/>
      <w:r>
        <w:rPr>
          <w:b/>
          <w:bCs/>
        </w:rPr>
        <w:t>48</w:t>
      </w:r>
      <w:r>
        <w:rPr>
          <w:b/>
          <w:bCs/>
        </w:rPr>
        <w:t>、信用减值损失</w:t>
      </w:r>
      <w:bookmarkEnd w:id="343"/>
    </w:p>
    <w:p w:rsidR="00E20B54" w:rsidRDefault="00733C9E">
      <w:pPr>
        <w:spacing w:before="40" w:after="40" w:line="240" w:lineRule="exact"/>
        <w:jc w:val="right"/>
        <w:rPr>
          <w:sz w:val="18"/>
          <w:szCs w:val="18"/>
        </w:rPr>
      </w:pPr>
      <w:r>
        <w:rPr>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项目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本期发生额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上期发生额</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应收票据坏账损失</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-36,000.00</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应收账款坏账损失</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-31,911,857.20</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-17,378,236.83</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其他应收款坏账损失</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-707,944.48</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-96,673.85</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长期应收款坏账损失</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-731,558.31</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-3,986,783.07</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合计</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-33,387,359.99</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-21,461,693.75</w:t>
            </w:r>
          </w:p>
        </w:tc>
      </w:tr>
    </w:tbl>
    <w:p w:rsidR="00E20B54" w:rsidRDefault="00733C9E" w:rsidP="00561B6F">
      <w:pPr>
        <w:spacing w:before="100" w:after="100" w:line="240" w:lineRule="exact"/>
      </w:pPr>
      <w:r>
        <w:rPr>
          <w:sz w:val="18"/>
          <w:szCs w:val="18"/>
        </w:rPr>
        <w:t>其他说明：</w:t>
      </w:r>
      <w:r>
        <w:rPr>
          <w:rFonts w:ascii="宋体" w:hAnsi="宋体" w:cs="宋体" w:hint="eastAsia"/>
          <w:color w:val="000000"/>
          <w:sz w:val="18"/>
          <w:szCs w:val="18"/>
        </w:rPr>
        <w:t>上表中，损失以</w:t>
      </w:r>
      <w:r>
        <w:rPr>
          <w:color w:val="000000"/>
          <w:sz w:val="18"/>
          <w:szCs w:val="18"/>
        </w:rPr>
        <w:t>“</w:t>
      </w:r>
      <w:r>
        <w:rPr>
          <w:rFonts w:ascii="宋体" w:hAnsi="宋体" w:cs="宋体" w:hint="eastAsia"/>
          <w:color w:val="000000"/>
          <w:sz w:val="18"/>
          <w:szCs w:val="18"/>
        </w:rPr>
        <w:t>－</w:t>
      </w:r>
      <w:r>
        <w:rPr>
          <w:color w:val="000000"/>
          <w:sz w:val="18"/>
          <w:szCs w:val="18"/>
        </w:rPr>
        <w:t>”</w:t>
      </w:r>
      <w:r>
        <w:rPr>
          <w:rFonts w:ascii="宋体" w:hAnsi="宋体" w:cs="宋体" w:hint="eastAsia"/>
          <w:color w:val="000000"/>
          <w:sz w:val="18"/>
          <w:szCs w:val="18"/>
        </w:rPr>
        <w:t>号填列，收益以</w:t>
      </w:r>
      <w:r>
        <w:rPr>
          <w:color w:val="000000"/>
          <w:sz w:val="18"/>
          <w:szCs w:val="18"/>
        </w:rPr>
        <w:t>“+”</w:t>
      </w:r>
      <w:r>
        <w:rPr>
          <w:rFonts w:ascii="宋体" w:hAnsi="宋体" w:cs="宋体" w:hint="eastAsia"/>
          <w:color w:val="000000"/>
          <w:sz w:val="18"/>
          <w:szCs w:val="18"/>
        </w:rPr>
        <w:t>号填列</w:t>
      </w:r>
    </w:p>
    <w:p w:rsidR="00E20B54" w:rsidRDefault="00733C9E">
      <w:pPr>
        <w:pStyle w:val="3"/>
        <w:spacing w:line="280" w:lineRule="exact"/>
        <w:jc w:val="left"/>
        <w:rPr>
          <w:b/>
          <w:bCs/>
        </w:rPr>
      </w:pPr>
      <w:bookmarkStart w:id="344" w:name="_Toc989232"/>
      <w:r>
        <w:rPr>
          <w:b/>
          <w:bCs/>
        </w:rPr>
        <w:t>49</w:t>
      </w:r>
      <w:r>
        <w:rPr>
          <w:b/>
          <w:bCs/>
        </w:rPr>
        <w:t>、资产减值损失</w:t>
      </w:r>
      <w:bookmarkEnd w:id="344"/>
    </w:p>
    <w:p w:rsidR="00E20B54" w:rsidRDefault="00733C9E">
      <w:pPr>
        <w:spacing w:before="40" w:after="40" w:line="240" w:lineRule="exact"/>
        <w:jc w:val="right"/>
        <w:rPr>
          <w:sz w:val="18"/>
          <w:szCs w:val="18"/>
        </w:rPr>
      </w:pPr>
      <w:r>
        <w:rPr>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E20B54" w:rsidTr="00561B6F">
        <w:trPr>
          <w:trHeight w:val="240"/>
          <w:tblHeader/>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项目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本期发生额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上期发生额</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lastRenderedPageBreak/>
              <w:t>一、存货跌价损失及合同履约成本减值损失</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-193,496.26</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-316,971.40</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十、商誉减值损失</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-2,921,491.86</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shd w:val="clear" w:color="auto" w:fill="D3D3D3"/>
              </w:rPr>
            </w:pPr>
            <w:r>
              <w:rPr>
                <w:sz w:val="18"/>
                <w:szCs w:val="18"/>
                <w:shd w:val="clear" w:color="auto" w:fill="D3D3D3"/>
              </w:rPr>
              <w:t>十一、合同资产减值损失</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1,035,794.98</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-409,797.77</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合计</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842,298.72</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-3,648,261.03</w:t>
            </w:r>
          </w:p>
        </w:tc>
      </w:tr>
    </w:tbl>
    <w:p w:rsidR="00E20B54" w:rsidRDefault="00733C9E" w:rsidP="00561B6F">
      <w:pPr>
        <w:spacing w:before="100" w:after="100" w:line="240" w:lineRule="exact"/>
        <w:rPr>
          <w:sz w:val="18"/>
          <w:szCs w:val="18"/>
        </w:rPr>
      </w:pPr>
      <w:r>
        <w:rPr>
          <w:sz w:val="18"/>
          <w:szCs w:val="18"/>
        </w:rPr>
        <w:t>其他说明：</w:t>
      </w:r>
      <w:r>
        <w:rPr>
          <w:rFonts w:eastAsia="瀹嬩綋"/>
          <w:color w:val="000000"/>
          <w:sz w:val="18"/>
          <w:szCs w:val="18"/>
          <w:lang w:bidi="ar"/>
        </w:rPr>
        <w:t>上表中，损失以</w:t>
      </w:r>
      <w:r>
        <w:rPr>
          <w:color w:val="000000"/>
          <w:sz w:val="18"/>
          <w:szCs w:val="18"/>
          <w:lang w:bidi="ar"/>
        </w:rPr>
        <w:t>“</w:t>
      </w:r>
      <w:r>
        <w:rPr>
          <w:rFonts w:eastAsia="瀹嬩綋"/>
          <w:color w:val="000000"/>
          <w:sz w:val="18"/>
          <w:szCs w:val="18"/>
          <w:lang w:bidi="ar"/>
        </w:rPr>
        <w:t>－</w:t>
      </w:r>
      <w:r>
        <w:rPr>
          <w:color w:val="000000"/>
          <w:sz w:val="18"/>
          <w:szCs w:val="18"/>
          <w:lang w:bidi="ar"/>
        </w:rPr>
        <w:t>”</w:t>
      </w:r>
      <w:r>
        <w:rPr>
          <w:rFonts w:eastAsia="瀹嬩綋"/>
          <w:color w:val="000000"/>
          <w:sz w:val="18"/>
          <w:szCs w:val="18"/>
          <w:lang w:bidi="ar"/>
        </w:rPr>
        <w:t>号填列，收益以</w:t>
      </w:r>
      <w:r>
        <w:rPr>
          <w:color w:val="000000"/>
          <w:sz w:val="18"/>
          <w:szCs w:val="18"/>
          <w:lang w:bidi="ar"/>
        </w:rPr>
        <w:t>“+”</w:t>
      </w:r>
      <w:r>
        <w:rPr>
          <w:rFonts w:eastAsia="瀹嬩綋"/>
          <w:color w:val="000000"/>
          <w:sz w:val="18"/>
          <w:szCs w:val="18"/>
          <w:lang w:bidi="ar"/>
        </w:rPr>
        <w:t>号填列</w:t>
      </w:r>
    </w:p>
    <w:p w:rsidR="00E20B54" w:rsidRDefault="00733C9E">
      <w:pPr>
        <w:pStyle w:val="3"/>
        <w:spacing w:line="280" w:lineRule="exact"/>
        <w:jc w:val="left"/>
        <w:rPr>
          <w:b/>
          <w:bCs/>
        </w:rPr>
      </w:pPr>
      <w:bookmarkStart w:id="345" w:name="_Toc989233"/>
      <w:r>
        <w:rPr>
          <w:b/>
          <w:bCs/>
        </w:rPr>
        <w:t>50</w:t>
      </w:r>
      <w:r>
        <w:rPr>
          <w:b/>
          <w:bCs/>
        </w:rPr>
        <w:t>、资产处置收益</w:t>
      </w:r>
      <w:bookmarkEnd w:id="345"/>
    </w:p>
    <w:p w:rsidR="00E20B54" w:rsidRDefault="00733C9E">
      <w:pPr>
        <w:spacing w:before="40" w:after="40" w:line="240" w:lineRule="exact"/>
        <w:jc w:val="right"/>
        <w:rPr>
          <w:sz w:val="18"/>
          <w:szCs w:val="18"/>
        </w:rPr>
      </w:pPr>
      <w:r>
        <w:rPr>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资产处置收益的来源</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本期发生额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上期发生额</w:t>
            </w:r>
          </w:p>
        </w:tc>
      </w:tr>
      <w:tr w:rsidR="00E20B54" w:rsidTr="00561B6F">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9D9D9" w:themeFill="background1" w:themeFillShade="D9"/>
            <w:vAlign w:val="center"/>
          </w:tcPr>
          <w:p w:rsidR="00E20B54" w:rsidRDefault="00733C9E">
            <w:pPr>
              <w:spacing w:line="240" w:lineRule="exact"/>
              <w:rPr>
                <w:sz w:val="18"/>
                <w:szCs w:val="18"/>
              </w:rPr>
            </w:pPr>
            <w:r>
              <w:rPr>
                <w:sz w:val="18"/>
                <w:szCs w:val="18"/>
              </w:rPr>
              <w:t>处置非流动资产的利得</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-19,628.02</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423,066.06</w:t>
            </w:r>
          </w:p>
        </w:tc>
      </w:tr>
    </w:tbl>
    <w:p w:rsidR="00E20B54" w:rsidRDefault="00733C9E">
      <w:pPr>
        <w:pStyle w:val="3"/>
        <w:spacing w:line="280" w:lineRule="exact"/>
        <w:jc w:val="left"/>
        <w:rPr>
          <w:b/>
          <w:bCs/>
        </w:rPr>
      </w:pPr>
      <w:bookmarkStart w:id="346" w:name="_Toc989234"/>
      <w:r>
        <w:rPr>
          <w:b/>
          <w:bCs/>
        </w:rPr>
        <w:t>51</w:t>
      </w:r>
      <w:r>
        <w:rPr>
          <w:b/>
          <w:bCs/>
        </w:rPr>
        <w:t>、营业外收入</w:t>
      </w:r>
      <w:bookmarkEnd w:id="346"/>
    </w:p>
    <w:p w:rsidR="00E20B54" w:rsidRDefault="00733C9E">
      <w:pPr>
        <w:spacing w:before="40" w:after="40" w:line="240" w:lineRule="exact"/>
        <w:jc w:val="right"/>
        <w:rPr>
          <w:sz w:val="18"/>
          <w:szCs w:val="18"/>
        </w:rPr>
      </w:pPr>
      <w:r>
        <w:rPr>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2409"/>
        <w:gridCol w:w="2410"/>
        <w:gridCol w:w="2410"/>
        <w:gridCol w:w="2410"/>
      </w:tblGrid>
      <w:tr w:rsidR="00E20B54">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项目</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本期发生额</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上期发生额</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计入当期非经常性损益的金额</w:t>
            </w:r>
          </w:p>
        </w:tc>
      </w:tr>
      <w:tr w:rsidR="00E20B54">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政府补助</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106,313.70</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297,318.39</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106,313.70</w:t>
            </w:r>
          </w:p>
        </w:tc>
      </w:tr>
      <w:tr w:rsidR="00E20B54" w:rsidTr="00561B6F">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9D9D9" w:themeFill="background1" w:themeFillShade="D9"/>
            <w:vAlign w:val="center"/>
          </w:tcPr>
          <w:p w:rsidR="00E20B54" w:rsidRDefault="00733C9E">
            <w:pPr>
              <w:spacing w:line="240" w:lineRule="exact"/>
              <w:rPr>
                <w:sz w:val="18"/>
                <w:szCs w:val="18"/>
              </w:rPr>
            </w:pPr>
            <w:r>
              <w:rPr>
                <w:sz w:val="18"/>
                <w:szCs w:val="18"/>
              </w:rPr>
              <w:t>赔款收入</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1,300.00</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r w:rsidR="00E20B54" w:rsidTr="00561B6F">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9D9D9" w:themeFill="background1" w:themeFillShade="D9"/>
            <w:vAlign w:val="center"/>
          </w:tcPr>
          <w:p w:rsidR="00E20B54" w:rsidRDefault="00733C9E">
            <w:pPr>
              <w:spacing w:line="240" w:lineRule="exact"/>
              <w:rPr>
                <w:sz w:val="18"/>
                <w:szCs w:val="18"/>
              </w:rPr>
            </w:pPr>
            <w:r>
              <w:rPr>
                <w:sz w:val="18"/>
                <w:szCs w:val="18"/>
              </w:rPr>
              <w:t>其他</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3,957.74</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15,667.88</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3,957.74</w:t>
            </w:r>
          </w:p>
        </w:tc>
      </w:tr>
      <w:tr w:rsidR="00E20B54">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合计</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110,271.44</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314,286.27</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110,271.44</w:t>
            </w:r>
          </w:p>
        </w:tc>
      </w:tr>
    </w:tbl>
    <w:p w:rsidR="00E20B54" w:rsidRDefault="00733C9E" w:rsidP="00561B6F">
      <w:pPr>
        <w:spacing w:before="100" w:after="100" w:line="240" w:lineRule="exact"/>
      </w:pPr>
      <w:r>
        <w:rPr>
          <w:sz w:val="18"/>
          <w:szCs w:val="18"/>
        </w:rPr>
        <w:t>其他说明：无。</w:t>
      </w:r>
    </w:p>
    <w:p w:rsidR="00E20B54" w:rsidRDefault="00733C9E">
      <w:pPr>
        <w:pStyle w:val="3"/>
        <w:spacing w:line="280" w:lineRule="exact"/>
        <w:jc w:val="left"/>
        <w:rPr>
          <w:b/>
          <w:bCs/>
        </w:rPr>
      </w:pPr>
      <w:bookmarkStart w:id="347" w:name="_Toc989235"/>
      <w:r>
        <w:rPr>
          <w:b/>
          <w:bCs/>
        </w:rPr>
        <w:t>52</w:t>
      </w:r>
      <w:r>
        <w:rPr>
          <w:b/>
          <w:bCs/>
        </w:rPr>
        <w:t>、营业外支出</w:t>
      </w:r>
      <w:bookmarkEnd w:id="347"/>
    </w:p>
    <w:p w:rsidR="00E20B54" w:rsidRDefault="00733C9E">
      <w:pPr>
        <w:spacing w:before="40" w:after="40" w:line="240" w:lineRule="exact"/>
        <w:jc w:val="right"/>
        <w:rPr>
          <w:sz w:val="18"/>
          <w:szCs w:val="18"/>
        </w:rPr>
      </w:pPr>
      <w:r>
        <w:rPr>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2409"/>
        <w:gridCol w:w="2410"/>
        <w:gridCol w:w="2410"/>
        <w:gridCol w:w="2410"/>
      </w:tblGrid>
      <w:tr w:rsidR="00E20B54">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项目</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本期发生额</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上期发生额</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计入当期非经常性损益的金额</w:t>
            </w:r>
          </w:p>
        </w:tc>
      </w:tr>
      <w:tr w:rsidR="00E20B54">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对外捐赠</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929,000.00</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2,125,000.00</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929,000.00</w:t>
            </w:r>
          </w:p>
        </w:tc>
      </w:tr>
      <w:tr w:rsidR="00E20B54" w:rsidTr="00561B6F">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9D9D9" w:themeFill="background1" w:themeFillShade="D9"/>
            <w:vAlign w:val="center"/>
          </w:tcPr>
          <w:p w:rsidR="00E20B54" w:rsidRDefault="00733C9E">
            <w:pPr>
              <w:spacing w:line="240" w:lineRule="exact"/>
              <w:rPr>
                <w:sz w:val="18"/>
                <w:szCs w:val="18"/>
              </w:rPr>
            </w:pPr>
            <w:r>
              <w:rPr>
                <w:sz w:val="18"/>
                <w:szCs w:val="18"/>
              </w:rPr>
              <w:t>非流动资产毁损报废损失</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7,273.84</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7,050.12</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7,273.84</w:t>
            </w:r>
          </w:p>
        </w:tc>
      </w:tr>
      <w:tr w:rsidR="00E20B54" w:rsidTr="00561B6F">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9D9D9" w:themeFill="background1" w:themeFillShade="D9"/>
            <w:vAlign w:val="center"/>
          </w:tcPr>
          <w:p w:rsidR="00E20B54" w:rsidRDefault="00733C9E">
            <w:pPr>
              <w:spacing w:line="240" w:lineRule="exact"/>
              <w:rPr>
                <w:sz w:val="18"/>
                <w:szCs w:val="18"/>
              </w:rPr>
            </w:pPr>
            <w:r>
              <w:rPr>
                <w:sz w:val="18"/>
                <w:szCs w:val="18"/>
              </w:rPr>
              <w:t>滞纳金、罚款</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38,192.66</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89,766.77</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38,192.66</w:t>
            </w:r>
          </w:p>
        </w:tc>
      </w:tr>
      <w:tr w:rsidR="00E20B54" w:rsidTr="00561B6F">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9D9D9" w:themeFill="background1" w:themeFillShade="D9"/>
            <w:vAlign w:val="center"/>
          </w:tcPr>
          <w:p w:rsidR="00E20B54" w:rsidRDefault="00733C9E">
            <w:pPr>
              <w:spacing w:line="240" w:lineRule="exact"/>
              <w:rPr>
                <w:sz w:val="18"/>
                <w:szCs w:val="18"/>
              </w:rPr>
            </w:pPr>
            <w:r>
              <w:rPr>
                <w:sz w:val="18"/>
                <w:szCs w:val="18"/>
              </w:rPr>
              <w:t>其他</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113,113.67</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234.03</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113,113.67</w:t>
            </w:r>
          </w:p>
        </w:tc>
      </w:tr>
      <w:tr w:rsidR="00E20B54">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合计</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1,087,580.17</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2,222,050.92</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1,087,580.17</w:t>
            </w:r>
          </w:p>
        </w:tc>
      </w:tr>
    </w:tbl>
    <w:p w:rsidR="00E20B54" w:rsidRDefault="00733C9E" w:rsidP="00561B6F">
      <w:pPr>
        <w:spacing w:before="100" w:after="100" w:line="240" w:lineRule="exact"/>
      </w:pPr>
      <w:r>
        <w:rPr>
          <w:sz w:val="18"/>
          <w:szCs w:val="18"/>
        </w:rPr>
        <w:t>其他说明：无。</w:t>
      </w:r>
    </w:p>
    <w:p w:rsidR="00E20B54" w:rsidRDefault="00733C9E">
      <w:pPr>
        <w:pStyle w:val="3"/>
        <w:spacing w:line="280" w:lineRule="exact"/>
        <w:jc w:val="left"/>
        <w:rPr>
          <w:b/>
          <w:bCs/>
        </w:rPr>
      </w:pPr>
      <w:bookmarkStart w:id="348" w:name="_Toc989236"/>
      <w:r>
        <w:rPr>
          <w:b/>
          <w:bCs/>
        </w:rPr>
        <w:t>53</w:t>
      </w:r>
      <w:r>
        <w:rPr>
          <w:b/>
          <w:bCs/>
        </w:rPr>
        <w:t>、所得税费用</w:t>
      </w:r>
      <w:bookmarkEnd w:id="348"/>
    </w:p>
    <w:p w:rsidR="00E20B54" w:rsidRDefault="00733C9E">
      <w:pPr>
        <w:keepNext/>
        <w:keepLines/>
        <w:spacing w:before="300" w:after="300" w:line="280" w:lineRule="exact"/>
        <w:outlineLvl w:val="3"/>
        <w:rPr>
          <w:b/>
          <w:bCs/>
          <w:szCs w:val="21"/>
        </w:rPr>
      </w:pPr>
      <w:bookmarkStart w:id="349" w:name="_Toc989237"/>
      <w:r>
        <w:rPr>
          <w:b/>
          <w:bCs/>
          <w:szCs w:val="21"/>
        </w:rPr>
        <w:t>（</w:t>
      </w:r>
      <w:r>
        <w:rPr>
          <w:b/>
          <w:bCs/>
          <w:szCs w:val="21"/>
        </w:rPr>
        <w:t>1</w:t>
      </w:r>
      <w:r>
        <w:rPr>
          <w:b/>
          <w:bCs/>
          <w:szCs w:val="21"/>
        </w:rPr>
        <w:t>）</w:t>
      </w:r>
      <w:r>
        <w:rPr>
          <w:b/>
          <w:bCs/>
          <w:szCs w:val="21"/>
        </w:rPr>
        <w:t xml:space="preserve"> </w:t>
      </w:r>
      <w:r>
        <w:rPr>
          <w:b/>
          <w:bCs/>
          <w:szCs w:val="21"/>
        </w:rPr>
        <w:t>所得税费用表</w:t>
      </w:r>
      <w:bookmarkEnd w:id="349"/>
    </w:p>
    <w:p w:rsidR="00E20B54" w:rsidRDefault="00733C9E">
      <w:pPr>
        <w:spacing w:before="40" w:after="40" w:line="240" w:lineRule="exact"/>
        <w:jc w:val="right"/>
        <w:rPr>
          <w:sz w:val="18"/>
          <w:szCs w:val="18"/>
        </w:rPr>
      </w:pPr>
      <w:r>
        <w:rPr>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项目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本期发生额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上期发生额</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当期所得税费用</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410,628.89</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213,651.05</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递延所得税费用</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-3,949,639.36</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-11,322,342.87</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合计</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-3,539,010.47</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-11,108,691.82</w:t>
            </w:r>
          </w:p>
        </w:tc>
      </w:tr>
    </w:tbl>
    <w:p w:rsidR="00E20B54" w:rsidRDefault="00733C9E">
      <w:pPr>
        <w:keepNext/>
        <w:keepLines/>
        <w:spacing w:before="300" w:after="300" w:line="280" w:lineRule="exact"/>
        <w:outlineLvl w:val="3"/>
        <w:rPr>
          <w:b/>
          <w:bCs/>
          <w:szCs w:val="21"/>
        </w:rPr>
      </w:pPr>
      <w:bookmarkStart w:id="350" w:name="_Toc989238"/>
      <w:r>
        <w:rPr>
          <w:b/>
          <w:bCs/>
          <w:szCs w:val="21"/>
        </w:rPr>
        <w:lastRenderedPageBreak/>
        <w:t>（</w:t>
      </w:r>
      <w:r>
        <w:rPr>
          <w:b/>
          <w:bCs/>
          <w:szCs w:val="21"/>
        </w:rPr>
        <w:t>2</w:t>
      </w:r>
      <w:r>
        <w:rPr>
          <w:b/>
          <w:bCs/>
          <w:szCs w:val="21"/>
        </w:rPr>
        <w:t>）</w:t>
      </w:r>
      <w:r>
        <w:rPr>
          <w:b/>
          <w:bCs/>
          <w:szCs w:val="21"/>
        </w:rPr>
        <w:t xml:space="preserve"> </w:t>
      </w:r>
      <w:r>
        <w:rPr>
          <w:b/>
          <w:bCs/>
          <w:szCs w:val="21"/>
        </w:rPr>
        <w:t>会计利润与所得税费用调整过程</w:t>
      </w:r>
      <w:bookmarkEnd w:id="350"/>
    </w:p>
    <w:p w:rsidR="00E20B54" w:rsidRDefault="00733C9E">
      <w:pPr>
        <w:spacing w:before="40" w:after="40" w:line="240" w:lineRule="exact"/>
        <w:jc w:val="right"/>
        <w:rPr>
          <w:sz w:val="18"/>
          <w:szCs w:val="18"/>
        </w:rPr>
      </w:pPr>
      <w:r>
        <w:rPr>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4820"/>
        <w:gridCol w:w="4819"/>
      </w:tblGrid>
      <w:tr w:rsidR="00E20B54" w:rsidTr="00561B6F">
        <w:trPr>
          <w:trHeight w:val="240"/>
          <w:tblHeader/>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项目</w:t>
            </w:r>
          </w:p>
        </w:tc>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本期发生额</w:t>
            </w:r>
          </w:p>
        </w:tc>
      </w:tr>
      <w:tr w:rsidR="00E20B54">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利润总额</w:t>
            </w:r>
          </w:p>
        </w:tc>
        <w:tc>
          <w:tcPr>
            <w:tcW w:w="482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5,840,893.42</w:t>
            </w:r>
          </w:p>
        </w:tc>
      </w:tr>
      <w:tr w:rsidR="00E20B54">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按法定</w:t>
            </w:r>
            <w:r>
              <w:rPr>
                <w:sz w:val="18"/>
                <w:szCs w:val="18"/>
              </w:rPr>
              <w:t>/</w:t>
            </w:r>
            <w:r>
              <w:rPr>
                <w:sz w:val="18"/>
                <w:szCs w:val="18"/>
              </w:rPr>
              <w:t>适用税率计算的所得税费用</w:t>
            </w:r>
          </w:p>
        </w:tc>
        <w:tc>
          <w:tcPr>
            <w:tcW w:w="482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876,134.02</w:t>
            </w:r>
          </w:p>
        </w:tc>
      </w:tr>
      <w:tr w:rsidR="00E20B54">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子公司适用不同税率的影响</w:t>
            </w:r>
          </w:p>
        </w:tc>
        <w:tc>
          <w:tcPr>
            <w:tcW w:w="482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-2,189,814.14</w:t>
            </w:r>
          </w:p>
        </w:tc>
      </w:tr>
      <w:tr w:rsidR="00E20B54">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调整以前期间所得税的影响</w:t>
            </w:r>
          </w:p>
        </w:tc>
        <w:tc>
          <w:tcPr>
            <w:tcW w:w="482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95,342.16</w:t>
            </w:r>
          </w:p>
        </w:tc>
      </w:tr>
      <w:tr w:rsidR="00E20B54">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非应税收入的影响</w:t>
            </w:r>
          </w:p>
        </w:tc>
        <w:tc>
          <w:tcPr>
            <w:tcW w:w="482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-651,871.39</w:t>
            </w:r>
          </w:p>
        </w:tc>
      </w:tr>
      <w:tr w:rsidR="00E20B54">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不可抵扣的成本、费用和损失的影响</w:t>
            </w:r>
          </w:p>
        </w:tc>
        <w:tc>
          <w:tcPr>
            <w:tcW w:w="482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1,586,764.73</w:t>
            </w:r>
          </w:p>
        </w:tc>
      </w:tr>
      <w:tr w:rsidR="00E20B54">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使用前期未确认递延所得税资产的可抵扣亏损的影响</w:t>
            </w:r>
          </w:p>
        </w:tc>
        <w:tc>
          <w:tcPr>
            <w:tcW w:w="482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-1,304.83</w:t>
            </w:r>
          </w:p>
        </w:tc>
      </w:tr>
      <w:tr w:rsidR="00E20B54">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本期未确认递延所得税资产的可抵扣暂时性差异或可抵扣亏损的影响</w:t>
            </w:r>
          </w:p>
        </w:tc>
        <w:tc>
          <w:tcPr>
            <w:tcW w:w="482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27,067.49</w:t>
            </w:r>
          </w:p>
        </w:tc>
      </w:tr>
      <w:tr w:rsidR="00E20B54" w:rsidTr="00561B6F">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9D9D9" w:themeFill="background1" w:themeFillShade="D9"/>
            <w:vAlign w:val="center"/>
          </w:tcPr>
          <w:p w:rsidR="00E20B54" w:rsidRDefault="00733C9E">
            <w:pPr>
              <w:spacing w:line="240" w:lineRule="exact"/>
              <w:rPr>
                <w:sz w:val="18"/>
                <w:szCs w:val="18"/>
              </w:rPr>
            </w:pPr>
            <w:r>
              <w:rPr>
                <w:sz w:val="18"/>
                <w:szCs w:val="18"/>
              </w:rPr>
              <w:t>税法规定的额外可扣除费用</w:t>
            </w:r>
          </w:p>
        </w:tc>
        <w:tc>
          <w:tcPr>
            <w:tcW w:w="482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-3,281,328.51</w:t>
            </w:r>
          </w:p>
        </w:tc>
      </w:tr>
      <w:tr w:rsidR="00E20B54">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所得税费用</w:t>
            </w:r>
          </w:p>
        </w:tc>
        <w:tc>
          <w:tcPr>
            <w:tcW w:w="482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-3,539,010.47</w:t>
            </w:r>
          </w:p>
        </w:tc>
      </w:tr>
    </w:tbl>
    <w:p w:rsidR="00E20B54" w:rsidRDefault="00733C9E">
      <w:pPr>
        <w:spacing w:before="100" w:after="100" w:line="240" w:lineRule="exact"/>
        <w:rPr>
          <w:sz w:val="18"/>
          <w:szCs w:val="18"/>
        </w:rPr>
      </w:pPr>
      <w:r>
        <w:rPr>
          <w:sz w:val="18"/>
          <w:szCs w:val="18"/>
        </w:rPr>
        <w:t>其他说明：</w:t>
      </w:r>
      <w:r w:rsidR="00561B6F">
        <w:rPr>
          <w:sz w:val="18"/>
          <w:szCs w:val="18"/>
        </w:rPr>
        <w:t>无。</w:t>
      </w:r>
    </w:p>
    <w:p w:rsidR="00E20B54" w:rsidRDefault="00733C9E">
      <w:pPr>
        <w:pStyle w:val="3"/>
        <w:spacing w:line="280" w:lineRule="exact"/>
        <w:jc w:val="left"/>
        <w:rPr>
          <w:b/>
          <w:bCs/>
        </w:rPr>
      </w:pPr>
      <w:bookmarkStart w:id="351" w:name="_Toc989239"/>
      <w:r>
        <w:rPr>
          <w:b/>
          <w:bCs/>
        </w:rPr>
        <w:t>54</w:t>
      </w:r>
      <w:r>
        <w:rPr>
          <w:b/>
          <w:bCs/>
        </w:rPr>
        <w:t>、其他综合收益</w:t>
      </w:r>
      <w:bookmarkEnd w:id="351"/>
    </w:p>
    <w:p w:rsidR="00E20B54" w:rsidRDefault="00733C9E">
      <w:pPr>
        <w:spacing w:before="40" w:after="40" w:line="240" w:lineRule="exact"/>
        <w:rPr>
          <w:sz w:val="18"/>
          <w:szCs w:val="18"/>
        </w:rPr>
      </w:pPr>
      <w:r>
        <w:rPr>
          <w:sz w:val="18"/>
          <w:szCs w:val="18"/>
        </w:rPr>
        <w:t>详见附注</w:t>
      </w:r>
      <w:r>
        <w:rPr>
          <w:sz w:val="18"/>
          <w:szCs w:val="18"/>
        </w:rPr>
        <w:t>42</w:t>
      </w:r>
      <w:r>
        <w:rPr>
          <w:sz w:val="18"/>
          <w:szCs w:val="18"/>
        </w:rPr>
        <w:t>。</w:t>
      </w:r>
    </w:p>
    <w:p w:rsidR="00E20B54" w:rsidRDefault="00733C9E">
      <w:pPr>
        <w:pStyle w:val="3"/>
        <w:spacing w:line="280" w:lineRule="exact"/>
        <w:jc w:val="left"/>
        <w:rPr>
          <w:b/>
          <w:bCs/>
        </w:rPr>
      </w:pPr>
      <w:bookmarkStart w:id="352" w:name="_Toc989240"/>
      <w:r>
        <w:rPr>
          <w:b/>
          <w:bCs/>
        </w:rPr>
        <w:t>55</w:t>
      </w:r>
      <w:r>
        <w:rPr>
          <w:b/>
          <w:bCs/>
        </w:rPr>
        <w:t>、现金流量表项目</w:t>
      </w:r>
      <w:bookmarkEnd w:id="352"/>
    </w:p>
    <w:p w:rsidR="00E20B54" w:rsidRDefault="00733C9E">
      <w:pPr>
        <w:keepNext/>
        <w:keepLines/>
        <w:spacing w:before="300" w:after="300" w:line="280" w:lineRule="exact"/>
        <w:outlineLvl w:val="3"/>
        <w:rPr>
          <w:b/>
          <w:bCs/>
          <w:szCs w:val="21"/>
        </w:rPr>
      </w:pPr>
      <w:bookmarkStart w:id="353" w:name="_Toc989241"/>
      <w:r>
        <w:rPr>
          <w:b/>
          <w:bCs/>
          <w:szCs w:val="21"/>
        </w:rPr>
        <w:t>（</w:t>
      </w:r>
      <w:r>
        <w:rPr>
          <w:b/>
          <w:bCs/>
          <w:szCs w:val="21"/>
        </w:rPr>
        <w:t>1</w:t>
      </w:r>
      <w:r>
        <w:rPr>
          <w:b/>
          <w:bCs/>
          <w:szCs w:val="21"/>
        </w:rPr>
        <w:t>）</w:t>
      </w:r>
      <w:r>
        <w:rPr>
          <w:b/>
          <w:bCs/>
          <w:szCs w:val="21"/>
        </w:rPr>
        <w:t xml:space="preserve"> </w:t>
      </w:r>
      <w:r>
        <w:rPr>
          <w:b/>
          <w:bCs/>
          <w:szCs w:val="21"/>
        </w:rPr>
        <w:t>与经营活动有关的现金</w:t>
      </w:r>
      <w:bookmarkEnd w:id="353"/>
    </w:p>
    <w:p w:rsidR="00E20B54" w:rsidRDefault="00733C9E">
      <w:pPr>
        <w:spacing w:before="100" w:after="100" w:line="240" w:lineRule="exact"/>
        <w:rPr>
          <w:sz w:val="18"/>
          <w:szCs w:val="18"/>
        </w:rPr>
      </w:pPr>
      <w:r>
        <w:rPr>
          <w:sz w:val="18"/>
          <w:szCs w:val="18"/>
        </w:rPr>
        <w:t>收到的其他与经营活动有关的现金</w:t>
      </w:r>
    </w:p>
    <w:p w:rsidR="00E20B54" w:rsidRDefault="00733C9E">
      <w:pPr>
        <w:spacing w:before="40" w:after="40" w:line="240" w:lineRule="exact"/>
        <w:jc w:val="right"/>
        <w:rPr>
          <w:sz w:val="18"/>
          <w:szCs w:val="18"/>
        </w:rPr>
      </w:pPr>
      <w:r>
        <w:rPr>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项目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本期发生额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上期发生额</w:t>
            </w:r>
          </w:p>
        </w:tc>
      </w:tr>
      <w:tr w:rsidR="00E20B54" w:rsidTr="00561B6F">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9D9D9" w:themeFill="background1" w:themeFillShade="D9"/>
            <w:vAlign w:val="center"/>
          </w:tcPr>
          <w:p w:rsidR="00E20B54" w:rsidRDefault="00733C9E">
            <w:pPr>
              <w:spacing w:line="240" w:lineRule="exact"/>
              <w:rPr>
                <w:sz w:val="18"/>
                <w:szCs w:val="18"/>
              </w:rPr>
            </w:pPr>
            <w:r>
              <w:rPr>
                <w:sz w:val="18"/>
                <w:szCs w:val="18"/>
              </w:rPr>
              <w:t>利息收入</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742,580.44</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1,211,797.12</w:t>
            </w:r>
          </w:p>
        </w:tc>
      </w:tr>
      <w:tr w:rsidR="00E20B54" w:rsidTr="00561B6F">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9D9D9" w:themeFill="background1" w:themeFillShade="D9"/>
            <w:vAlign w:val="center"/>
          </w:tcPr>
          <w:p w:rsidR="00E20B54" w:rsidRDefault="00733C9E">
            <w:pPr>
              <w:spacing w:line="240" w:lineRule="exact"/>
              <w:rPr>
                <w:sz w:val="18"/>
                <w:szCs w:val="18"/>
              </w:rPr>
            </w:pPr>
            <w:r>
              <w:rPr>
                <w:sz w:val="18"/>
                <w:szCs w:val="18"/>
              </w:rPr>
              <w:t>政府补助（含财政贴息）</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1,165,249.26</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390,496.26</w:t>
            </w:r>
          </w:p>
        </w:tc>
      </w:tr>
      <w:tr w:rsidR="00E20B54" w:rsidTr="00561B6F">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9D9D9" w:themeFill="background1" w:themeFillShade="D9"/>
            <w:vAlign w:val="center"/>
          </w:tcPr>
          <w:p w:rsidR="00E20B54" w:rsidRDefault="00733C9E">
            <w:pPr>
              <w:spacing w:line="240" w:lineRule="exact"/>
              <w:rPr>
                <w:sz w:val="18"/>
                <w:szCs w:val="18"/>
              </w:rPr>
            </w:pPr>
            <w:r>
              <w:rPr>
                <w:sz w:val="18"/>
                <w:szCs w:val="18"/>
              </w:rPr>
              <w:t>押金保证金</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12,378,857.70</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2,167,346.13</w:t>
            </w:r>
          </w:p>
        </w:tc>
      </w:tr>
      <w:tr w:rsidR="00E20B54" w:rsidTr="00561B6F">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9D9D9" w:themeFill="background1" w:themeFillShade="D9"/>
            <w:vAlign w:val="center"/>
          </w:tcPr>
          <w:p w:rsidR="00E20B54" w:rsidRDefault="00733C9E">
            <w:pPr>
              <w:spacing w:line="240" w:lineRule="exact"/>
              <w:rPr>
                <w:sz w:val="18"/>
                <w:szCs w:val="18"/>
              </w:rPr>
            </w:pPr>
            <w:r>
              <w:rPr>
                <w:sz w:val="18"/>
                <w:szCs w:val="18"/>
              </w:rPr>
              <w:t>日常往来及其他</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1,157,850.22</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5,421,565.83</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合计</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15,444,537.62</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9,191,205.34</w:t>
            </w:r>
          </w:p>
        </w:tc>
      </w:tr>
    </w:tbl>
    <w:p w:rsidR="00E20B54" w:rsidRDefault="00733C9E" w:rsidP="00561B6F">
      <w:pPr>
        <w:spacing w:before="100" w:after="100" w:line="240" w:lineRule="exact"/>
      </w:pPr>
      <w:r>
        <w:rPr>
          <w:sz w:val="18"/>
          <w:szCs w:val="18"/>
        </w:rPr>
        <w:t>收到的其他与经营活动有关的现金说明：无。</w:t>
      </w:r>
    </w:p>
    <w:p w:rsidR="00E20B54" w:rsidRDefault="00733C9E">
      <w:pPr>
        <w:spacing w:before="100" w:after="100" w:line="240" w:lineRule="exact"/>
        <w:rPr>
          <w:sz w:val="18"/>
          <w:szCs w:val="18"/>
        </w:rPr>
      </w:pPr>
      <w:r>
        <w:rPr>
          <w:sz w:val="18"/>
          <w:szCs w:val="18"/>
        </w:rPr>
        <w:t>支付的其他与经营活动有关的现金</w:t>
      </w:r>
    </w:p>
    <w:p w:rsidR="00E20B54" w:rsidRDefault="00733C9E">
      <w:pPr>
        <w:spacing w:before="40" w:after="40" w:line="240" w:lineRule="exact"/>
        <w:jc w:val="right"/>
        <w:rPr>
          <w:sz w:val="18"/>
          <w:szCs w:val="18"/>
        </w:rPr>
      </w:pPr>
      <w:r>
        <w:rPr>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项目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本期发生额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上期发生额</w:t>
            </w:r>
          </w:p>
        </w:tc>
      </w:tr>
      <w:tr w:rsidR="00E20B54" w:rsidTr="00561B6F">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9D9D9" w:themeFill="background1" w:themeFillShade="D9"/>
            <w:vAlign w:val="center"/>
          </w:tcPr>
          <w:p w:rsidR="00E20B54" w:rsidRDefault="00733C9E">
            <w:pPr>
              <w:spacing w:line="240" w:lineRule="exact"/>
              <w:rPr>
                <w:sz w:val="18"/>
                <w:szCs w:val="18"/>
              </w:rPr>
            </w:pPr>
            <w:r>
              <w:rPr>
                <w:sz w:val="18"/>
                <w:szCs w:val="18"/>
              </w:rPr>
              <w:t>付现费用</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29,345,518.51</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20,588,676.37</w:t>
            </w:r>
          </w:p>
        </w:tc>
      </w:tr>
      <w:tr w:rsidR="00E20B54" w:rsidTr="00561B6F">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9D9D9" w:themeFill="background1" w:themeFillShade="D9"/>
            <w:vAlign w:val="center"/>
          </w:tcPr>
          <w:p w:rsidR="00E20B54" w:rsidRDefault="00733C9E">
            <w:pPr>
              <w:spacing w:line="240" w:lineRule="exact"/>
              <w:rPr>
                <w:sz w:val="18"/>
                <w:szCs w:val="18"/>
              </w:rPr>
            </w:pPr>
            <w:r>
              <w:rPr>
                <w:sz w:val="18"/>
                <w:szCs w:val="18"/>
              </w:rPr>
              <w:t>银行手续费</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116,916.44</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70,736.02</w:t>
            </w:r>
          </w:p>
        </w:tc>
      </w:tr>
      <w:tr w:rsidR="00E20B54" w:rsidTr="00561B6F">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9D9D9" w:themeFill="background1" w:themeFillShade="D9"/>
            <w:vAlign w:val="center"/>
          </w:tcPr>
          <w:p w:rsidR="00E20B54" w:rsidRDefault="00733C9E">
            <w:pPr>
              <w:spacing w:line="240" w:lineRule="exact"/>
              <w:rPr>
                <w:sz w:val="18"/>
                <w:szCs w:val="18"/>
              </w:rPr>
            </w:pPr>
            <w:r>
              <w:rPr>
                <w:sz w:val="18"/>
                <w:szCs w:val="18"/>
              </w:rPr>
              <w:t>押金保证金</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5,461,145.19</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652,854.72</w:t>
            </w:r>
          </w:p>
        </w:tc>
      </w:tr>
      <w:tr w:rsidR="00E20B54" w:rsidTr="00561B6F">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9D9D9" w:themeFill="background1" w:themeFillShade="D9"/>
            <w:vAlign w:val="center"/>
          </w:tcPr>
          <w:p w:rsidR="00E20B54" w:rsidRDefault="00733C9E">
            <w:pPr>
              <w:spacing w:line="240" w:lineRule="exact"/>
              <w:rPr>
                <w:sz w:val="18"/>
                <w:szCs w:val="18"/>
              </w:rPr>
            </w:pPr>
            <w:r>
              <w:rPr>
                <w:sz w:val="18"/>
                <w:szCs w:val="18"/>
              </w:rPr>
              <w:t>日常往来及其他</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2,709,535.73</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929,892.05</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合计</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37,633,115.87</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22,242,159.16</w:t>
            </w:r>
          </w:p>
        </w:tc>
      </w:tr>
    </w:tbl>
    <w:p w:rsidR="00E20B54" w:rsidRDefault="00733C9E" w:rsidP="00561B6F">
      <w:pPr>
        <w:spacing w:before="100" w:after="100" w:line="240" w:lineRule="exact"/>
      </w:pPr>
      <w:r>
        <w:rPr>
          <w:sz w:val="18"/>
          <w:szCs w:val="18"/>
        </w:rPr>
        <w:t>支付的其他与经营活动有关的现金说明：无。</w:t>
      </w:r>
    </w:p>
    <w:p w:rsidR="00E20B54" w:rsidRDefault="00733C9E">
      <w:pPr>
        <w:keepNext/>
        <w:keepLines/>
        <w:spacing w:before="300" w:after="300" w:line="280" w:lineRule="exact"/>
        <w:outlineLvl w:val="3"/>
        <w:rPr>
          <w:b/>
          <w:bCs/>
          <w:szCs w:val="21"/>
        </w:rPr>
      </w:pPr>
      <w:bookmarkStart w:id="354" w:name="_Toc989242"/>
      <w:r>
        <w:rPr>
          <w:b/>
          <w:bCs/>
          <w:szCs w:val="21"/>
        </w:rPr>
        <w:t>（</w:t>
      </w:r>
      <w:r>
        <w:rPr>
          <w:b/>
          <w:bCs/>
          <w:szCs w:val="21"/>
        </w:rPr>
        <w:t>2</w:t>
      </w:r>
      <w:r>
        <w:rPr>
          <w:b/>
          <w:bCs/>
          <w:szCs w:val="21"/>
        </w:rPr>
        <w:t>）</w:t>
      </w:r>
      <w:r>
        <w:rPr>
          <w:b/>
          <w:bCs/>
          <w:szCs w:val="21"/>
        </w:rPr>
        <w:t xml:space="preserve"> </w:t>
      </w:r>
      <w:r>
        <w:rPr>
          <w:b/>
          <w:bCs/>
          <w:szCs w:val="21"/>
        </w:rPr>
        <w:t>与投资活动有关的现金</w:t>
      </w:r>
      <w:bookmarkEnd w:id="354"/>
    </w:p>
    <w:p w:rsidR="00E20B54" w:rsidRDefault="00733C9E">
      <w:pPr>
        <w:spacing w:before="100" w:after="100" w:line="240" w:lineRule="exact"/>
        <w:rPr>
          <w:sz w:val="18"/>
          <w:szCs w:val="18"/>
        </w:rPr>
      </w:pPr>
      <w:r>
        <w:rPr>
          <w:sz w:val="18"/>
          <w:szCs w:val="18"/>
        </w:rPr>
        <w:t>收到的其他与投资活动有关的现金</w:t>
      </w:r>
    </w:p>
    <w:p w:rsidR="00E20B54" w:rsidRDefault="00733C9E">
      <w:pPr>
        <w:spacing w:before="40" w:after="40" w:line="240" w:lineRule="exact"/>
        <w:jc w:val="right"/>
        <w:rPr>
          <w:sz w:val="18"/>
          <w:szCs w:val="18"/>
        </w:rPr>
      </w:pPr>
      <w:r>
        <w:rPr>
          <w:sz w:val="18"/>
          <w:szCs w:val="18"/>
        </w:rPr>
        <w:lastRenderedPageBreak/>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E20B54" w:rsidTr="00561B6F">
        <w:trPr>
          <w:trHeight w:val="240"/>
          <w:tblHeader/>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项目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本期发生额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上期发生额</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定期存款</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162,000,000.00</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335,000,000.00</w:t>
            </w:r>
          </w:p>
        </w:tc>
      </w:tr>
      <w:tr w:rsidR="00E20B54" w:rsidTr="00561B6F">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9D9D9" w:themeFill="background1" w:themeFillShade="D9"/>
            <w:vAlign w:val="center"/>
          </w:tcPr>
          <w:p w:rsidR="00E20B54" w:rsidRDefault="00733C9E">
            <w:pPr>
              <w:spacing w:line="240" w:lineRule="exact"/>
              <w:rPr>
                <w:sz w:val="18"/>
                <w:szCs w:val="18"/>
              </w:rPr>
            </w:pPr>
            <w:r>
              <w:rPr>
                <w:sz w:val="18"/>
                <w:szCs w:val="18"/>
              </w:rPr>
              <w:t>取得子公司收到的现金</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202,863.90</w:t>
            </w:r>
          </w:p>
        </w:tc>
      </w:tr>
      <w:tr w:rsidR="00E20B54" w:rsidTr="00561B6F">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9D9D9" w:themeFill="background1" w:themeFillShade="D9"/>
            <w:vAlign w:val="center"/>
          </w:tcPr>
          <w:p w:rsidR="00E20B54" w:rsidRDefault="00733C9E">
            <w:pPr>
              <w:spacing w:line="240" w:lineRule="exact"/>
              <w:rPr>
                <w:sz w:val="18"/>
                <w:szCs w:val="18"/>
              </w:rPr>
            </w:pPr>
            <w:r>
              <w:rPr>
                <w:sz w:val="18"/>
                <w:szCs w:val="18"/>
              </w:rPr>
              <w:t>利息收入</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1,211,752.44</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5,013,624.81</w:t>
            </w:r>
          </w:p>
        </w:tc>
      </w:tr>
      <w:tr w:rsidR="00E20B54" w:rsidTr="00561B6F">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9D9D9" w:themeFill="background1" w:themeFillShade="D9"/>
            <w:vAlign w:val="center"/>
          </w:tcPr>
          <w:p w:rsidR="00E20B54" w:rsidRDefault="00733C9E">
            <w:pPr>
              <w:spacing w:before="40" w:after="40" w:line="240" w:lineRule="exact"/>
              <w:rPr>
                <w:sz w:val="18"/>
                <w:szCs w:val="18"/>
              </w:rPr>
            </w:pPr>
            <w:r>
              <w:rPr>
                <w:sz w:val="18"/>
                <w:szCs w:val="18"/>
              </w:rPr>
              <w:t>合计</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163,211,752.44</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340,216,488.71</w:t>
            </w:r>
          </w:p>
        </w:tc>
      </w:tr>
    </w:tbl>
    <w:p w:rsidR="00E20B54" w:rsidRDefault="00733C9E">
      <w:pPr>
        <w:spacing w:before="100" w:after="100" w:line="240" w:lineRule="exact"/>
        <w:rPr>
          <w:sz w:val="18"/>
          <w:szCs w:val="18"/>
        </w:rPr>
      </w:pPr>
      <w:r>
        <w:rPr>
          <w:sz w:val="18"/>
          <w:szCs w:val="18"/>
        </w:rPr>
        <w:t>收到的重要的与投资活动有关的现金</w:t>
      </w:r>
    </w:p>
    <w:p w:rsidR="00E20B54" w:rsidRDefault="00733C9E">
      <w:pPr>
        <w:spacing w:before="40" w:after="40" w:line="240" w:lineRule="exact"/>
        <w:jc w:val="right"/>
        <w:rPr>
          <w:sz w:val="18"/>
          <w:szCs w:val="18"/>
        </w:rPr>
      </w:pPr>
      <w:r>
        <w:rPr>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项目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本期发生额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上期发生额</w:t>
            </w:r>
          </w:p>
        </w:tc>
      </w:tr>
      <w:tr w:rsidR="00E20B54" w:rsidTr="00561B6F">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9D9D9" w:themeFill="background1" w:themeFillShade="D9"/>
            <w:vAlign w:val="center"/>
          </w:tcPr>
          <w:p w:rsidR="00E20B54" w:rsidRDefault="00733C9E">
            <w:pPr>
              <w:spacing w:line="240" w:lineRule="exact"/>
              <w:rPr>
                <w:sz w:val="18"/>
                <w:szCs w:val="18"/>
              </w:rPr>
            </w:pPr>
            <w:r>
              <w:rPr>
                <w:sz w:val="18"/>
                <w:szCs w:val="18"/>
              </w:rPr>
              <w:t>理财产品</w:t>
            </w:r>
            <w:r>
              <w:rPr>
                <w:sz w:val="18"/>
                <w:szCs w:val="18"/>
              </w:rPr>
              <w:t>-</w:t>
            </w:r>
            <w:r>
              <w:rPr>
                <w:sz w:val="18"/>
                <w:szCs w:val="18"/>
              </w:rPr>
              <w:t>结构性存款</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210,000,000.00</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合计</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210,000,000.00</w:t>
            </w:r>
          </w:p>
        </w:tc>
      </w:tr>
    </w:tbl>
    <w:p w:rsidR="00E20B54" w:rsidRDefault="00733C9E" w:rsidP="00561B6F">
      <w:pPr>
        <w:spacing w:before="100" w:after="100" w:line="240" w:lineRule="exact"/>
      </w:pPr>
      <w:r>
        <w:rPr>
          <w:sz w:val="18"/>
          <w:szCs w:val="18"/>
        </w:rPr>
        <w:t>收到的其他与投资活动有关的现金说明：无。</w:t>
      </w:r>
    </w:p>
    <w:p w:rsidR="00E20B54" w:rsidRDefault="00733C9E">
      <w:pPr>
        <w:spacing w:before="100" w:after="100" w:line="240" w:lineRule="exact"/>
        <w:rPr>
          <w:sz w:val="18"/>
          <w:szCs w:val="18"/>
        </w:rPr>
      </w:pPr>
      <w:r>
        <w:rPr>
          <w:sz w:val="18"/>
          <w:szCs w:val="18"/>
        </w:rPr>
        <w:t>支付的其他与投资活动有关的现金</w:t>
      </w:r>
    </w:p>
    <w:p w:rsidR="00E20B54" w:rsidRDefault="00733C9E">
      <w:pPr>
        <w:spacing w:before="40" w:after="40" w:line="240" w:lineRule="exact"/>
        <w:jc w:val="right"/>
        <w:rPr>
          <w:sz w:val="18"/>
          <w:szCs w:val="18"/>
        </w:rPr>
      </w:pPr>
      <w:r>
        <w:rPr>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项目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本期发生额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上期发生额</w:t>
            </w:r>
          </w:p>
        </w:tc>
      </w:tr>
      <w:tr w:rsidR="00E20B54" w:rsidTr="00561B6F">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9D9D9" w:themeFill="background1" w:themeFillShade="D9"/>
            <w:vAlign w:val="center"/>
          </w:tcPr>
          <w:p w:rsidR="00E20B54" w:rsidRDefault="00733C9E">
            <w:pPr>
              <w:spacing w:line="240" w:lineRule="exact"/>
              <w:rPr>
                <w:sz w:val="18"/>
                <w:szCs w:val="18"/>
              </w:rPr>
            </w:pPr>
            <w:r>
              <w:rPr>
                <w:sz w:val="18"/>
                <w:szCs w:val="18"/>
              </w:rPr>
              <w:t>定期存款</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100,000,000.00</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120,000,000.00</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合计</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100,000,000.00</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120,000,000.00</w:t>
            </w:r>
          </w:p>
        </w:tc>
      </w:tr>
    </w:tbl>
    <w:p w:rsidR="00E20B54" w:rsidRDefault="00733C9E">
      <w:pPr>
        <w:spacing w:before="100" w:after="100" w:line="240" w:lineRule="exact"/>
        <w:rPr>
          <w:sz w:val="18"/>
          <w:szCs w:val="18"/>
        </w:rPr>
      </w:pPr>
      <w:r>
        <w:rPr>
          <w:sz w:val="18"/>
          <w:szCs w:val="18"/>
        </w:rPr>
        <w:t>支付的重要的与投资活动有关的现金</w:t>
      </w:r>
    </w:p>
    <w:p w:rsidR="00E20B54" w:rsidRDefault="00733C9E">
      <w:pPr>
        <w:spacing w:before="40" w:after="40" w:line="240" w:lineRule="exact"/>
        <w:jc w:val="right"/>
        <w:rPr>
          <w:sz w:val="18"/>
          <w:szCs w:val="18"/>
        </w:rPr>
      </w:pPr>
      <w:r>
        <w:rPr>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项目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本期发生额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上期发生额</w:t>
            </w:r>
          </w:p>
        </w:tc>
      </w:tr>
      <w:tr w:rsidR="00E20B54" w:rsidTr="00561B6F">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9D9D9" w:themeFill="background1" w:themeFillShade="D9"/>
            <w:vAlign w:val="center"/>
          </w:tcPr>
          <w:p w:rsidR="00E20B54" w:rsidRDefault="00733C9E">
            <w:pPr>
              <w:spacing w:line="240" w:lineRule="exact"/>
              <w:rPr>
                <w:sz w:val="18"/>
                <w:szCs w:val="18"/>
              </w:rPr>
            </w:pPr>
            <w:r>
              <w:rPr>
                <w:sz w:val="18"/>
                <w:szCs w:val="18"/>
              </w:rPr>
              <w:t>理财产品</w:t>
            </w:r>
            <w:r>
              <w:rPr>
                <w:sz w:val="18"/>
                <w:szCs w:val="18"/>
              </w:rPr>
              <w:t>-</w:t>
            </w:r>
            <w:r>
              <w:rPr>
                <w:sz w:val="18"/>
                <w:szCs w:val="18"/>
              </w:rPr>
              <w:t>结构性存款</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190,000,000.00</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合计</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190,000,000.00</w:t>
            </w:r>
          </w:p>
        </w:tc>
      </w:tr>
    </w:tbl>
    <w:p w:rsidR="00E20B54" w:rsidRDefault="00733C9E" w:rsidP="00561B6F">
      <w:pPr>
        <w:spacing w:before="100" w:after="100" w:line="240" w:lineRule="exact"/>
      </w:pPr>
      <w:r>
        <w:rPr>
          <w:sz w:val="18"/>
          <w:szCs w:val="18"/>
        </w:rPr>
        <w:t>支付的其他与投资活动有关的现金说明：无。</w:t>
      </w:r>
    </w:p>
    <w:p w:rsidR="00E20B54" w:rsidRDefault="00733C9E">
      <w:pPr>
        <w:keepNext/>
        <w:keepLines/>
        <w:spacing w:before="300" w:after="300" w:line="280" w:lineRule="exact"/>
        <w:outlineLvl w:val="3"/>
        <w:rPr>
          <w:b/>
          <w:bCs/>
          <w:szCs w:val="21"/>
        </w:rPr>
      </w:pPr>
      <w:bookmarkStart w:id="355" w:name="_Toc989243"/>
      <w:r>
        <w:rPr>
          <w:b/>
          <w:bCs/>
          <w:szCs w:val="21"/>
        </w:rPr>
        <w:t>（</w:t>
      </w:r>
      <w:r>
        <w:rPr>
          <w:b/>
          <w:bCs/>
          <w:szCs w:val="21"/>
        </w:rPr>
        <w:t>3</w:t>
      </w:r>
      <w:r>
        <w:rPr>
          <w:b/>
          <w:bCs/>
          <w:szCs w:val="21"/>
        </w:rPr>
        <w:t>）</w:t>
      </w:r>
      <w:r>
        <w:rPr>
          <w:b/>
          <w:bCs/>
          <w:szCs w:val="21"/>
        </w:rPr>
        <w:t xml:space="preserve"> </w:t>
      </w:r>
      <w:r>
        <w:rPr>
          <w:b/>
          <w:bCs/>
          <w:szCs w:val="21"/>
        </w:rPr>
        <w:t>与筹资活动有关的现金</w:t>
      </w:r>
      <w:bookmarkEnd w:id="355"/>
    </w:p>
    <w:p w:rsidR="00E20B54" w:rsidRDefault="00733C9E">
      <w:pPr>
        <w:spacing w:before="100" w:after="100" w:line="240" w:lineRule="exact"/>
        <w:rPr>
          <w:sz w:val="18"/>
          <w:szCs w:val="18"/>
        </w:rPr>
      </w:pPr>
      <w:r>
        <w:rPr>
          <w:sz w:val="18"/>
          <w:szCs w:val="18"/>
        </w:rPr>
        <w:t>收到的其他与筹资活动有关的现金</w:t>
      </w:r>
    </w:p>
    <w:p w:rsidR="00E20B54" w:rsidRDefault="00733C9E">
      <w:pPr>
        <w:spacing w:before="40" w:after="40" w:line="240" w:lineRule="exact"/>
        <w:jc w:val="right"/>
        <w:rPr>
          <w:sz w:val="18"/>
          <w:szCs w:val="18"/>
        </w:rPr>
      </w:pPr>
      <w:r>
        <w:rPr>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项目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本期发生额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上期发生额</w:t>
            </w:r>
          </w:p>
        </w:tc>
      </w:tr>
      <w:tr w:rsidR="00E20B54" w:rsidTr="00561B6F">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9D9D9" w:themeFill="background1" w:themeFillShade="D9"/>
            <w:vAlign w:val="center"/>
          </w:tcPr>
          <w:p w:rsidR="00E20B54" w:rsidRDefault="00733C9E">
            <w:pPr>
              <w:spacing w:line="240" w:lineRule="exact"/>
              <w:rPr>
                <w:sz w:val="18"/>
                <w:szCs w:val="18"/>
              </w:rPr>
            </w:pPr>
            <w:r>
              <w:rPr>
                <w:sz w:val="18"/>
                <w:szCs w:val="18"/>
              </w:rPr>
              <w:t>收回租赁押金</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20,118.40</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588,595.00</w:t>
            </w:r>
          </w:p>
        </w:tc>
      </w:tr>
      <w:tr w:rsidR="00E20B54" w:rsidTr="00561B6F">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9D9D9" w:themeFill="background1" w:themeFillShade="D9"/>
            <w:vAlign w:val="center"/>
          </w:tcPr>
          <w:p w:rsidR="00E20B54" w:rsidRDefault="00733C9E">
            <w:pPr>
              <w:spacing w:line="240" w:lineRule="exact"/>
              <w:rPr>
                <w:sz w:val="18"/>
                <w:szCs w:val="18"/>
              </w:rPr>
            </w:pPr>
            <w:r>
              <w:rPr>
                <w:sz w:val="18"/>
                <w:szCs w:val="18"/>
              </w:rPr>
              <w:t>保证金</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13,401,503.13</w:t>
            </w:r>
          </w:p>
        </w:tc>
      </w:tr>
      <w:tr w:rsidR="00E20B54" w:rsidTr="00561B6F">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9D9D9" w:themeFill="background1" w:themeFillShade="D9"/>
            <w:vAlign w:val="center"/>
          </w:tcPr>
          <w:p w:rsidR="00E20B54" w:rsidRDefault="00733C9E">
            <w:pPr>
              <w:spacing w:line="240" w:lineRule="exact"/>
              <w:rPr>
                <w:sz w:val="18"/>
                <w:szCs w:val="18"/>
              </w:rPr>
            </w:pPr>
            <w:r>
              <w:rPr>
                <w:sz w:val="18"/>
                <w:szCs w:val="18"/>
              </w:rPr>
              <w:t>融资租赁款</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24,440,000.00</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7,000,000.00</w:t>
            </w:r>
          </w:p>
        </w:tc>
      </w:tr>
      <w:tr w:rsidR="00E20B54" w:rsidTr="00561B6F">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9D9D9" w:themeFill="background1" w:themeFillShade="D9"/>
            <w:vAlign w:val="center"/>
          </w:tcPr>
          <w:p w:rsidR="00E20B54" w:rsidRDefault="00733C9E">
            <w:pPr>
              <w:spacing w:line="240" w:lineRule="exact"/>
              <w:rPr>
                <w:sz w:val="18"/>
                <w:szCs w:val="18"/>
              </w:rPr>
            </w:pPr>
            <w:r>
              <w:rPr>
                <w:sz w:val="18"/>
                <w:szCs w:val="18"/>
              </w:rPr>
              <w:t>利息收入</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196,225.79</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合计</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24,460,118.40</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21,186,323.92</w:t>
            </w:r>
          </w:p>
        </w:tc>
      </w:tr>
    </w:tbl>
    <w:p w:rsidR="00E20B54" w:rsidRDefault="00733C9E" w:rsidP="00561B6F">
      <w:pPr>
        <w:spacing w:before="100" w:after="100" w:line="240" w:lineRule="exact"/>
      </w:pPr>
      <w:r>
        <w:rPr>
          <w:sz w:val="18"/>
          <w:szCs w:val="18"/>
        </w:rPr>
        <w:t>收到的其他与筹资活动有关的现金说明：无。</w:t>
      </w:r>
    </w:p>
    <w:p w:rsidR="00E20B54" w:rsidRDefault="00733C9E">
      <w:pPr>
        <w:spacing w:before="100" w:after="100" w:line="240" w:lineRule="exact"/>
        <w:rPr>
          <w:sz w:val="18"/>
          <w:szCs w:val="18"/>
        </w:rPr>
      </w:pPr>
      <w:r>
        <w:rPr>
          <w:sz w:val="18"/>
          <w:szCs w:val="18"/>
        </w:rPr>
        <w:t>支付的其他与筹资活动有关的现金</w:t>
      </w:r>
    </w:p>
    <w:p w:rsidR="00E20B54" w:rsidRDefault="00733C9E">
      <w:pPr>
        <w:spacing w:before="40" w:after="40" w:line="240" w:lineRule="exact"/>
        <w:jc w:val="right"/>
        <w:rPr>
          <w:sz w:val="18"/>
          <w:szCs w:val="18"/>
        </w:rPr>
      </w:pPr>
      <w:r>
        <w:rPr>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项目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本期发生额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上期发生额</w:t>
            </w:r>
          </w:p>
        </w:tc>
      </w:tr>
      <w:tr w:rsidR="00E20B54" w:rsidTr="00561B6F">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9D9D9" w:themeFill="background1" w:themeFillShade="D9"/>
            <w:vAlign w:val="center"/>
          </w:tcPr>
          <w:p w:rsidR="00E20B54" w:rsidRDefault="00733C9E">
            <w:pPr>
              <w:spacing w:line="240" w:lineRule="exact"/>
              <w:rPr>
                <w:sz w:val="18"/>
                <w:szCs w:val="18"/>
              </w:rPr>
            </w:pPr>
            <w:r>
              <w:rPr>
                <w:sz w:val="18"/>
                <w:szCs w:val="18"/>
              </w:rPr>
              <w:t>保证金</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2,200,000.00</w:t>
            </w:r>
          </w:p>
        </w:tc>
      </w:tr>
      <w:tr w:rsidR="00E20B54" w:rsidTr="00561B6F">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9D9D9" w:themeFill="background1" w:themeFillShade="D9"/>
            <w:vAlign w:val="center"/>
          </w:tcPr>
          <w:p w:rsidR="00E20B54" w:rsidRDefault="00733C9E">
            <w:pPr>
              <w:spacing w:line="240" w:lineRule="exact"/>
              <w:rPr>
                <w:sz w:val="18"/>
                <w:szCs w:val="18"/>
              </w:rPr>
            </w:pPr>
            <w:r>
              <w:rPr>
                <w:sz w:val="18"/>
                <w:szCs w:val="18"/>
              </w:rPr>
              <w:t>支付租金和租赁押金</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4,604,867.40</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4,372,343.27</w:t>
            </w:r>
          </w:p>
        </w:tc>
      </w:tr>
      <w:tr w:rsidR="00E20B54" w:rsidTr="00561B6F">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9D9D9" w:themeFill="background1" w:themeFillShade="D9"/>
            <w:vAlign w:val="center"/>
          </w:tcPr>
          <w:p w:rsidR="00E20B54" w:rsidRDefault="00733C9E">
            <w:pPr>
              <w:spacing w:line="240" w:lineRule="exact"/>
              <w:rPr>
                <w:sz w:val="18"/>
                <w:szCs w:val="18"/>
              </w:rPr>
            </w:pPr>
            <w:r>
              <w:rPr>
                <w:sz w:val="18"/>
                <w:szCs w:val="18"/>
              </w:rPr>
              <w:t>股票回购款</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4,116,536.88</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29,057,535.35</w:t>
            </w:r>
          </w:p>
        </w:tc>
      </w:tr>
      <w:tr w:rsidR="00E20B54" w:rsidTr="00561B6F">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9D9D9" w:themeFill="background1" w:themeFillShade="D9"/>
            <w:vAlign w:val="center"/>
          </w:tcPr>
          <w:p w:rsidR="00E20B54" w:rsidRDefault="00733C9E">
            <w:pPr>
              <w:spacing w:line="240" w:lineRule="exact"/>
              <w:rPr>
                <w:sz w:val="18"/>
                <w:szCs w:val="18"/>
              </w:rPr>
            </w:pPr>
            <w:r>
              <w:rPr>
                <w:sz w:val="18"/>
                <w:szCs w:val="18"/>
              </w:rPr>
              <w:t>融资租赁款</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4,642,559.91</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r w:rsidR="00E20B54" w:rsidTr="00561B6F">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9D9D9" w:themeFill="background1" w:themeFillShade="D9"/>
            <w:vAlign w:val="center"/>
          </w:tcPr>
          <w:p w:rsidR="00E20B54" w:rsidRDefault="00733C9E">
            <w:pPr>
              <w:spacing w:line="240" w:lineRule="exact"/>
              <w:rPr>
                <w:sz w:val="18"/>
                <w:szCs w:val="18"/>
              </w:rPr>
            </w:pPr>
            <w:r>
              <w:rPr>
                <w:sz w:val="18"/>
                <w:szCs w:val="18"/>
              </w:rPr>
              <w:t>其他</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1,156,623.07</w:t>
            </w:r>
          </w:p>
        </w:tc>
      </w:tr>
      <w:tr w:rsidR="00E20B54" w:rsidTr="00561B6F">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9D9D9" w:themeFill="background1" w:themeFillShade="D9"/>
            <w:vAlign w:val="center"/>
          </w:tcPr>
          <w:p w:rsidR="00E20B54" w:rsidRDefault="00733C9E">
            <w:pPr>
              <w:spacing w:before="40" w:after="40" w:line="240" w:lineRule="exact"/>
              <w:rPr>
                <w:sz w:val="18"/>
                <w:szCs w:val="18"/>
              </w:rPr>
            </w:pPr>
            <w:r>
              <w:rPr>
                <w:sz w:val="18"/>
                <w:szCs w:val="18"/>
              </w:rPr>
              <w:t>合计</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13,363,964.19</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36,786,501.69</w:t>
            </w:r>
          </w:p>
        </w:tc>
      </w:tr>
    </w:tbl>
    <w:p w:rsidR="00E20B54" w:rsidRDefault="00733C9E" w:rsidP="00561B6F">
      <w:pPr>
        <w:spacing w:before="100" w:after="100" w:line="240" w:lineRule="exact"/>
      </w:pPr>
      <w:r>
        <w:rPr>
          <w:sz w:val="18"/>
          <w:szCs w:val="18"/>
        </w:rPr>
        <w:t>支付的其他与筹资活动有关的现金说明：无。</w:t>
      </w:r>
    </w:p>
    <w:p w:rsidR="00E20B54" w:rsidRDefault="00733C9E">
      <w:pPr>
        <w:spacing w:before="100" w:after="100" w:line="240" w:lineRule="exact"/>
        <w:rPr>
          <w:sz w:val="18"/>
          <w:szCs w:val="18"/>
        </w:rPr>
      </w:pPr>
      <w:r>
        <w:rPr>
          <w:sz w:val="18"/>
          <w:szCs w:val="18"/>
        </w:rPr>
        <w:lastRenderedPageBreak/>
        <w:t>筹资活动产生的各项负债变动情况</w:t>
      </w:r>
    </w:p>
    <w:p w:rsidR="00E20B54" w:rsidRDefault="00733C9E">
      <w:pPr>
        <w:spacing w:before="40" w:after="40" w:line="240" w:lineRule="exact"/>
        <w:rPr>
          <w:sz w:val="18"/>
          <w:szCs w:val="18"/>
        </w:rPr>
      </w:pPr>
      <w:r>
        <w:rPr>
          <w:sz w:val="18"/>
          <w:szCs w:val="18"/>
        </w:rPr>
        <w:sym w:font="Wingdings 2" w:char="F052"/>
      </w:r>
      <w:r>
        <w:rPr>
          <w:sz w:val="18"/>
          <w:szCs w:val="18"/>
        </w:rPr>
        <w:t>适用</w:t>
      </w:r>
      <w:r>
        <w:rPr>
          <w:sz w:val="18"/>
          <w:szCs w:val="18"/>
        </w:rPr>
        <w:t xml:space="preserve"> □</w:t>
      </w:r>
      <w:r>
        <w:rPr>
          <w:sz w:val="18"/>
          <w:szCs w:val="18"/>
        </w:rPr>
        <w:t>不适用</w:t>
      </w:r>
    </w:p>
    <w:p w:rsidR="00E20B54" w:rsidRDefault="00733C9E">
      <w:pPr>
        <w:spacing w:before="120" w:after="120" w:line="240" w:lineRule="exact"/>
        <w:jc w:val="right"/>
        <w:rPr>
          <w:sz w:val="18"/>
          <w:szCs w:val="18"/>
        </w:rPr>
      </w:pPr>
      <w:r>
        <w:rPr>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377"/>
        <w:gridCol w:w="1377"/>
        <w:gridCol w:w="1377"/>
        <w:gridCol w:w="1377"/>
        <w:gridCol w:w="1377"/>
        <w:gridCol w:w="1377"/>
        <w:gridCol w:w="1377"/>
      </w:tblGrid>
      <w:tr w:rsidR="00E20B54">
        <w:trPr>
          <w:trHeight w:val="240"/>
        </w:trPr>
        <w:tc>
          <w:tcPr>
            <w:tcW w:w="1377"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项目</w:t>
            </w:r>
          </w:p>
        </w:tc>
        <w:tc>
          <w:tcPr>
            <w:tcW w:w="1377"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期初余额</w:t>
            </w:r>
          </w:p>
        </w:tc>
        <w:tc>
          <w:tcPr>
            <w:tcW w:w="2754"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本期增加</w:t>
            </w:r>
          </w:p>
        </w:tc>
        <w:tc>
          <w:tcPr>
            <w:tcW w:w="2754"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本期减少</w:t>
            </w:r>
          </w:p>
        </w:tc>
        <w:tc>
          <w:tcPr>
            <w:tcW w:w="1377"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期末余额</w:t>
            </w:r>
          </w:p>
        </w:tc>
      </w:tr>
      <w:tr w:rsidR="00E20B54">
        <w:trPr>
          <w:trHeight w:val="240"/>
        </w:trPr>
        <w:tc>
          <w:tcPr>
            <w:tcW w:w="1377" w:type="dxa"/>
            <w:vMerge/>
            <w:tcBorders>
              <w:top w:val="single" w:sz="2" w:space="0" w:color="auto"/>
              <w:left w:val="single" w:sz="2" w:space="0" w:color="auto"/>
              <w:bottom w:val="single" w:sz="2" w:space="0" w:color="auto"/>
              <w:right w:val="single" w:sz="2" w:space="0" w:color="auto"/>
            </w:tcBorders>
            <w:vAlign w:val="center"/>
          </w:tcPr>
          <w:p w:rsidR="00E20B54" w:rsidRDefault="00E20B54"/>
        </w:tc>
        <w:tc>
          <w:tcPr>
            <w:tcW w:w="1377" w:type="dxa"/>
            <w:vMerge/>
            <w:tcBorders>
              <w:top w:val="single" w:sz="2" w:space="0" w:color="auto"/>
              <w:left w:val="single" w:sz="2" w:space="0" w:color="auto"/>
              <w:bottom w:val="single" w:sz="2" w:space="0" w:color="auto"/>
              <w:right w:val="single" w:sz="2" w:space="0" w:color="auto"/>
            </w:tcBorders>
            <w:vAlign w:val="center"/>
          </w:tcPr>
          <w:p w:rsidR="00E20B54" w:rsidRDefault="00E20B54"/>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现金变动</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非现金变动</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现金变动</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非现金变动</w:t>
            </w:r>
          </w:p>
        </w:tc>
        <w:tc>
          <w:tcPr>
            <w:tcW w:w="1377"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r>
      <w:tr w:rsidR="00E20B54" w:rsidTr="00561B6F">
        <w:trPr>
          <w:trHeight w:val="240"/>
        </w:trPr>
        <w:tc>
          <w:tcPr>
            <w:tcW w:w="1377" w:type="dxa"/>
            <w:tcBorders>
              <w:top w:val="single" w:sz="2" w:space="0" w:color="auto"/>
              <w:left w:val="single" w:sz="2" w:space="0" w:color="auto"/>
              <w:bottom w:val="single" w:sz="2" w:space="0" w:color="auto"/>
              <w:right w:val="single" w:sz="2" w:space="0" w:color="auto"/>
            </w:tcBorders>
            <w:shd w:val="clear" w:color="auto" w:fill="D9D9D9" w:themeFill="background1" w:themeFillShade="D9"/>
            <w:vAlign w:val="center"/>
          </w:tcPr>
          <w:p w:rsidR="00E20B54" w:rsidRDefault="00733C9E">
            <w:pPr>
              <w:spacing w:line="240" w:lineRule="exact"/>
              <w:rPr>
                <w:sz w:val="18"/>
                <w:szCs w:val="18"/>
              </w:rPr>
            </w:pPr>
            <w:r>
              <w:rPr>
                <w:sz w:val="18"/>
                <w:szCs w:val="18"/>
              </w:rPr>
              <w:t>短期借款</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46,223,781.13</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145,771,947.33</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2,957,324.69</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119,199,329.20</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367,353.83</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75,386,370.12</w:t>
            </w:r>
          </w:p>
        </w:tc>
      </w:tr>
      <w:tr w:rsidR="00E20B54" w:rsidTr="00561B6F">
        <w:trPr>
          <w:trHeight w:val="240"/>
        </w:trPr>
        <w:tc>
          <w:tcPr>
            <w:tcW w:w="1377" w:type="dxa"/>
            <w:tcBorders>
              <w:top w:val="single" w:sz="2" w:space="0" w:color="auto"/>
              <w:left w:val="single" w:sz="2" w:space="0" w:color="auto"/>
              <w:bottom w:val="single" w:sz="2" w:space="0" w:color="auto"/>
              <w:right w:val="single" w:sz="2" w:space="0" w:color="auto"/>
            </w:tcBorders>
            <w:shd w:val="clear" w:color="auto" w:fill="D9D9D9" w:themeFill="background1" w:themeFillShade="D9"/>
            <w:vAlign w:val="center"/>
          </w:tcPr>
          <w:p w:rsidR="00E20B54" w:rsidRDefault="00733C9E">
            <w:pPr>
              <w:spacing w:line="240" w:lineRule="exact"/>
              <w:rPr>
                <w:sz w:val="18"/>
                <w:szCs w:val="18"/>
              </w:rPr>
            </w:pPr>
            <w:r>
              <w:rPr>
                <w:sz w:val="18"/>
                <w:szCs w:val="18"/>
              </w:rPr>
              <w:t>长期借款（含一年内到期部分）</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34,693,685.52</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279,327,950.19</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9,649,358.66</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49,236,819.54</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274,434,174.83</w:t>
            </w:r>
          </w:p>
        </w:tc>
      </w:tr>
      <w:tr w:rsidR="00E20B54" w:rsidTr="00561B6F">
        <w:trPr>
          <w:trHeight w:val="240"/>
        </w:trPr>
        <w:tc>
          <w:tcPr>
            <w:tcW w:w="1377" w:type="dxa"/>
            <w:tcBorders>
              <w:top w:val="single" w:sz="2" w:space="0" w:color="auto"/>
              <w:left w:val="single" w:sz="2" w:space="0" w:color="auto"/>
              <w:bottom w:val="single" w:sz="2" w:space="0" w:color="auto"/>
              <w:right w:val="single" w:sz="2" w:space="0" w:color="auto"/>
            </w:tcBorders>
            <w:shd w:val="clear" w:color="auto" w:fill="D9D9D9" w:themeFill="background1" w:themeFillShade="D9"/>
            <w:vAlign w:val="center"/>
          </w:tcPr>
          <w:p w:rsidR="00E20B54" w:rsidRDefault="00733C9E">
            <w:pPr>
              <w:spacing w:line="240" w:lineRule="exact"/>
              <w:rPr>
                <w:sz w:val="18"/>
                <w:szCs w:val="18"/>
              </w:rPr>
            </w:pPr>
            <w:r>
              <w:rPr>
                <w:sz w:val="18"/>
                <w:szCs w:val="18"/>
              </w:rPr>
              <w:t>长期应付款（含一年内到期部分）</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21,032,083.33</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24,440,000.00</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9,941,392.47</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4,600,359.91</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8,118,620.70</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42,694,495.19</w:t>
            </w:r>
          </w:p>
        </w:tc>
      </w:tr>
      <w:tr w:rsidR="00E20B54" w:rsidTr="00561B6F">
        <w:trPr>
          <w:trHeight w:val="240"/>
        </w:trPr>
        <w:tc>
          <w:tcPr>
            <w:tcW w:w="1377" w:type="dxa"/>
            <w:tcBorders>
              <w:top w:val="single" w:sz="2" w:space="0" w:color="auto"/>
              <w:left w:val="single" w:sz="2" w:space="0" w:color="auto"/>
              <w:bottom w:val="single" w:sz="2" w:space="0" w:color="auto"/>
              <w:right w:val="single" w:sz="2" w:space="0" w:color="auto"/>
            </w:tcBorders>
            <w:shd w:val="clear" w:color="auto" w:fill="D9D9D9" w:themeFill="background1" w:themeFillShade="D9"/>
            <w:vAlign w:val="center"/>
          </w:tcPr>
          <w:p w:rsidR="00E20B54" w:rsidRDefault="00733C9E">
            <w:pPr>
              <w:spacing w:line="240" w:lineRule="exact"/>
              <w:rPr>
                <w:sz w:val="18"/>
                <w:szCs w:val="18"/>
              </w:rPr>
            </w:pPr>
            <w:r>
              <w:rPr>
                <w:sz w:val="18"/>
                <w:szCs w:val="18"/>
              </w:rPr>
              <w:t>租赁负债（含一年内到期部分）</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8,517,744.37</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18,721,096.35</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4,544,867.40</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8,283,954.60</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14,410,018.72</w:t>
            </w:r>
          </w:p>
        </w:tc>
      </w:tr>
      <w:tr w:rsidR="00E20B54">
        <w:trPr>
          <w:trHeight w:val="240"/>
        </w:trPr>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合计</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110,467,294.35</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449,539,897.52</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41,269,172.17</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177,581,376.05</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16,769,929.13</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406,925,058.86</w:t>
            </w:r>
          </w:p>
        </w:tc>
      </w:tr>
    </w:tbl>
    <w:p w:rsidR="00E20B54" w:rsidRDefault="00733C9E">
      <w:pPr>
        <w:keepNext/>
        <w:keepLines/>
        <w:spacing w:before="300" w:after="300" w:line="280" w:lineRule="exact"/>
        <w:outlineLvl w:val="3"/>
        <w:rPr>
          <w:b/>
          <w:bCs/>
          <w:szCs w:val="21"/>
        </w:rPr>
      </w:pPr>
      <w:bookmarkStart w:id="356" w:name="_Toc989244"/>
      <w:r>
        <w:rPr>
          <w:b/>
          <w:bCs/>
          <w:szCs w:val="21"/>
        </w:rPr>
        <w:t>（</w:t>
      </w:r>
      <w:r>
        <w:rPr>
          <w:b/>
          <w:bCs/>
          <w:szCs w:val="21"/>
        </w:rPr>
        <w:t>4</w:t>
      </w:r>
      <w:r>
        <w:rPr>
          <w:b/>
          <w:bCs/>
          <w:szCs w:val="21"/>
        </w:rPr>
        <w:t>）</w:t>
      </w:r>
      <w:r>
        <w:rPr>
          <w:b/>
          <w:bCs/>
          <w:szCs w:val="21"/>
        </w:rPr>
        <w:t xml:space="preserve"> </w:t>
      </w:r>
      <w:r>
        <w:rPr>
          <w:b/>
          <w:bCs/>
          <w:szCs w:val="21"/>
        </w:rPr>
        <w:t>以净额列报现金流量的说明</w:t>
      </w:r>
      <w:bookmarkEnd w:id="356"/>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2409"/>
        <w:gridCol w:w="2410"/>
        <w:gridCol w:w="2410"/>
        <w:gridCol w:w="2410"/>
      </w:tblGrid>
      <w:tr w:rsidR="00E20B54">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项目</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相关事实情况</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采用净额列报的依据</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财务影响</w:t>
            </w:r>
          </w:p>
        </w:tc>
      </w:tr>
    </w:tbl>
    <w:p w:rsidR="00E20B54" w:rsidRDefault="00733C9E">
      <w:pPr>
        <w:keepNext/>
        <w:keepLines/>
        <w:spacing w:before="300" w:after="300" w:line="280" w:lineRule="exact"/>
        <w:outlineLvl w:val="3"/>
        <w:rPr>
          <w:b/>
          <w:bCs/>
          <w:szCs w:val="21"/>
        </w:rPr>
      </w:pPr>
      <w:bookmarkStart w:id="357" w:name="_Toc989245"/>
      <w:r>
        <w:rPr>
          <w:b/>
          <w:bCs/>
          <w:szCs w:val="21"/>
        </w:rPr>
        <w:t>（</w:t>
      </w:r>
      <w:r>
        <w:rPr>
          <w:b/>
          <w:bCs/>
          <w:szCs w:val="21"/>
        </w:rPr>
        <w:t>5</w:t>
      </w:r>
      <w:r>
        <w:rPr>
          <w:b/>
          <w:bCs/>
          <w:szCs w:val="21"/>
        </w:rPr>
        <w:t>）</w:t>
      </w:r>
      <w:r>
        <w:rPr>
          <w:b/>
          <w:bCs/>
          <w:szCs w:val="21"/>
        </w:rPr>
        <w:t xml:space="preserve"> </w:t>
      </w:r>
      <w:r>
        <w:rPr>
          <w:b/>
          <w:bCs/>
          <w:szCs w:val="21"/>
        </w:rPr>
        <w:t>不涉及当期现金收支、但影响企业财务状况或在未来可能影响企业现金流量的重大活动及财务影响</w:t>
      </w:r>
      <w:bookmarkEnd w:id="357"/>
    </w:p>
    <w:p w:rsidR="00E20B54" w:rsidRDefault="00733C9E">
      <w:pPr>
        <w:pStyle w:val="3"/>
        <w:spacing w:line="280" w:lineRule="exact"/>
        <w:jc w:val="left"/>
        <w:rPr>
          <w:b/>
          <w:bCs/>
        </w:rPr>
      </w:pPr>
      <w:bookmarkStart w:id="358" w:name="_Toc989246"/>
      <w:r>
        <w:rPr>
          <w:b/>
          <w:bCs/>
        </w:rPr>
        <w:t>56</w:t>
      </w:r>
      <w:r>
        <w:rPr>
          <w:b/>
          <w:bCs/>
        </w:rPr>
        <w:t>、现金流量表补充资料</w:t>
      </w:r>
      <w:bookmarkEnd w:id="358"/>
    </w:p>
    <w:p w:rsidR="00E20B54" w:rsidRDefault="00733C9E">
      <w:pPr>
        <w:keepNext/>
        <w:keepLines/>
        <w:spacing w:before="300" w:after="300" w:line="280" w:lineRule="exact"/>
        <w:outlineLvl w:val="3"/>
        <w:rPr>
          <w:b/>
          <w:bCs/>
          <w:szCs w:val="21"/>
        </w:rPr>
      </w:pPr>
      <w:bookmarkStart w:id="359" w:name="_Toc989247"/>
      <w:r>
        <w:rPr>
          <w:b/>
          <w:bCs/>
          <w:szCs w:val="21"/>
        </w:rPr>
        <w:t>（</w:t>
      </w:r>
      <w:r>
        <w:rPr>
          <w:b/>
          <w:bCs/>
          <w:szCs w:val="21"/>
        </w:rPr>
        <w:t>1</w:t>
      </w:r>
      <w:r>
        <w:rPr>
          <w:b/>
          <w:bCs/>
          <w:szCs w:val="21"/>
        </w:rPr>
        <w:t>）</w:t>
      </w:r>
      <w:r>
        <w:rPr>
          <w:b/>
          <w:bCs/>
          <w:szCs w:val="21"/>
        </w:rPr>
        <w:t xml:space="preserve"> </w:t>
      </w:r>
      <w:r>
        <w:rPr>
          <w:b/>
          <w:bCs/>
          <w:szCs w:val="21"/>
        </w:rPr>
        <w:t>现金流量表补充资料</w:t>
      </w:r>
      <w:bookmarkEnd w:id="359"/>
    </w:p>
    <w:p w:rsidR="00E20B54" w:rsidRDefault="00733C9E">
      <w:pPr>
        <w:spacing w:before="40" w:after="40" w:line="240" w:lineRule="exact"/>
        <w:jc w:val="right"/>
        <w:rPr>
          <w:sz w:val="18"/>
          <w:szCs w:val="18"/>
        </w:rPr>
      </w:pPr>
      <w:r>
        <w:rPr>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E20B54" w:rsidTr="00561B6F">
        <w:trPr>
          <w:trHeight w:val="240"/>
          <w:tblHeader/>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补充资料</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本期金额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上期金额</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1</w:t>
            </w:r>
            <w:r>
              <w:rPr>
                <w:sz w:val="18"/>
                <w:szCs w:val="18"/>
              </w:rPr>
              <w:t>．将净利润调节为经营活动现金流量</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100" w:firstLine="180"/>
              <w:rPr>
                <w:sz w:val="18"/>
                <w:szCs w:val="18"/>
              </w:rPr>
            </w:pPr>
            <w:r>
              <w:rPr>
                <w:sz w:val="18"/>
                <w:szCs w:val="18"/>
              </w:rPr>
              <w:t>净利润</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9,379,903.89</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-53,491,793.68</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100" w:firstLine="180"/>
              <w:rPr>
                <w:sz w:val="18"/>
                <w:szCs w:val="18"/>
              </w:rPr>
            </w:pPr>
            <w:r>
              <w:rPr>
                <w:sz w:val="18"/>
                <w:szCs w:val="18"/>
              </w:rPr>
              <w:t>加：资产减值准备</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-842,298.72</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3,648,261.03</w:t>
            </w:r>
          </w:p>
        </w:tc>
      </w:tr>
      <w:tr w:rsidR="00E20B54" w:rsidTr="00561B6F">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9D9D9" w:themeFill="background1" w:themeFillShade="D9"/>
            <w:vAlign w:val="center"/>
          </w:tcPr>
          <w:p w:rsidR="00E20B54" w:rsidRDefault="00733C9E" w:rsidP="00561B6F">
            <w:pPr>
              <w:spacing w:before="40" w:after="40" w:line="240" w:lineRule="exact"/>
              <w:ind w:firstLineChars="100" w:firstLine="180"/>
              <w:rPr>
                <w:rFonts w:eastAsia="仿宋"/>
                <w:szCs w:val="21"/>
              </w:rPr>
            </w:pPr>
            <w:r w:rsidRPr="00561B6F">
              <w:rPr>
                <w:sz w:val="18"/>
                <w:szCs w:val="18"/>
              </w:rPr>
              <w:t>信用减值损失</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33,387,359.99</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21,461,693.75</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300" w:firstLine="540"/>
              <w:rPr>
                <w:sz w:val="18"/>
                <w:szCs w:val="18"/>
              </w:rPr>
            </w:pPr>
            <w:r>
              <w:rPr>
                <w:sz w:val="18"/>
                <w:szCs w:val="18"/>
              </w:rPr>
              <w:t>固定资产折旧、油气资产折耗、生产性生物资产折旧</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43,620,426.69</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3,165,168.88</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300" w:firstLine="540"/>
              <w:rPr>
                <w:sz w:val="18"/>
                <w:szCs w:val="18"/>
              </w:rPr>
            </w:pPr>
            <w:r>
              <w:rPr>
                <w:sz w:val="18"/>
                <w:szCs w:val="18"/>
              </w:rPr>
              <w:t>使用权资产折旧</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3,731,178.74</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3,472,840.50</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300" w:firstLine="540"/>
              <w:rPr>
                <w:sz w:val="18"/>
                <w:szCs w:val="18"/>
              </w:rPr>
            </w:pPr>
            <w:r>
              <w:rPr>
                <w:sz w:val="18"/>
                <w:szCs w:val="18"/>
              </w:rPr>
              <w:t>无形资产摊销</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29,354.94</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952,915.10</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300" w:firstLine="540"/>
              <w:rPr>
                <w:sz w:val="18"/>
                <w:szCs w:val="18"/>
              </w:rPr>
            </w:pPr>
            <w:r>
              <w:rPr>
                <w:sz w:val="18"/>
                <w:szCs w:val="18"/>
              </w:rPr>
              <w:t>长期待摊费用摊销</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752,665.22</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415,243.70</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300" w:firstLine="540"/>
              <w:rPr>
                <w:sz w:val="18"/>
                <w:szCs w:val="18"/>
              </w:rPr>
            </w:pPr>
            <w:r>
              <w:rPr>
                <w:sz w:val="18"/>
                <w:szCs w:val="18"/>
              </w:rPr>
              <w:t>处置固定资产、无形资产和其他长期资产的损失（收益以</w:t>
            </w:r>
            <w:r>
              <w:rPr>
                <w:sz w:val="18"/>
                <w:szCs w:val="18"/>
              </w:rPr>
              <w:t>“</w:t>
            </w:r>
            <w:r>
              <w:rPr>
                <w:sz w:val="18"/>
                <w:szCs w:val="18"/>
              </w:rPr>
              <w:t>－</w:t>
            </w:r>
            <w:r>
              <w:rPr>
                <w:sz w:val="18"/>
                <w:szCs w:val="18"/>
              </w:rPr>
              <w:t>”</w:t>
            </w:r>
            <w:r>
              <w:rPr>
                <w:sz w:val="18"/>
                <w:szCs w:val="18"/>
              </w:rPr>
              <w:t>号填列）</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19,628.02</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-423,066.06</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300" w:firstLine="540"/>
              <w:rPr>
                <w:sz w:val="18"/>
                <w:szCs w:val="18"/>
              </w:rPr>
            </w:pPr>
            <w:r>
              <w:rPr>
                <w:sz w:val="18"/>
                <w:szCs w:val="18"/>
              </w:rPr>
              <w:t>固定资产报废损失（收益以</w:t>
            </w:r>
            <w:r>
              <w:rPr>
                <w:sz w:val="18"/>
                <w:szCs w:val="18"/>
              </w:rPr>
              <w:t>“</w:t>
            </w:r>
            <w:r>
              <w:rPr>
                <w:sz w:val="18"/>
                <w:szCs w:val="18"/>
              </w:rPr>
              <w:t>－</w:t>
            </w:r>
            <w:r>
              <w:rPr>
                <w:sz w:val="18"/>
                <w:szCs w:val="18"/>
              </w:rPr>
              <w:t>”</w:t>
            </w:r>
            <w:r>
              <w:rPr>
                <w:sz w:val="18"/>
                <w:szCs w:val="18"/>
              </w:rPr>
              <w:t>号填列）</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7,273.84</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300" w:firstLine="540"/>
              <w:rPr>
                <w:sz w:val="18"/>
                <w:szCs w:val="18"/>
              </w:rPr>
            </w:pPr>
            <w:r>
              <w:rPr>
                <w:sz w:val="18"/>
                <w:szCs w:val="18"/>
              </w:rPr>
              <w:t>公允价值变动损失（收益以</w:t>
            </w:r>
            <w:r>
              <w:rPr>
                <w:sz w:val="18"/>
                <w:szCs w:val="18"/>
              </w:rPr>
              <w:t>“</w:t>
            </w:r>
            <w:r>
              <w:rPr>
                <w:sz w:val="18"/>
                <w:szCs w:val="18"/>
              </w:rPr>
              <w:t>－</w:t>
            </w:r>
            <w:r>
              <w:rPr>
                <w:sz w:val="18"/>
                <w:szCs w:val="18"/>
              </w:rPr>
              <w:t>”</w:t>
            </w:r>
            <w:r>
              <w:rPr>
                <w:sz w:val="18"/>
                <w:szCs w:val="18"/>
              </w:rPr>
              <w:t>号填列）</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17,095.89</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300" w:firstLine="540"/>
              <w:rPr>
                <w:sz w:val="18"/>
                <w:szCs w:val="18"/>
              </w:rPr>
            </w:pPr>
            <w:r>
              <w:rPr>
                <w:sz w:val="18"/>
                <w:szCs w:val="18"/>
              </w:rPr>
              <w:t>财务费用（收益以</w:t>
            </w:r>
            <w:r>
              <w:rPr>
                <w:sz w:val="18"/>
                <w:szCs w:val="18"/>
              </w:rPr>
              <w:t>“</w:t>
            </w:r>
            <w:r>
              <w:rPr>
                <w:sz w:val="18"/>
                <w:szCs w:val="18"/>
              </w:rPr>
              <w:t>－</w:t>
            </w:r>
            <w:r>
              <w:rPr>
                <w:sz w:val="18"/>
                <w:szCs w:val="18"/>
              </w:rPr>
              <w:t>”</w:t>
            </w:r>
            <w:r>
              <w:rPr>
                <w:sz w:val="18"/>
                <w:szCs w:val="18"/>
              </w:rPr>
              <w:t>号填列）</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11,831,906.33</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-5,143,957.18</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300" w:firstLine="540"/>
              <w:rPr>
                <w:sz w:val="18"/>
                <w:szCs w:val="18"/>
              </w:rPr>
            </w:pPr>
            <w:r>
              <w:rPr>
                <w:sz w:val="18"/>
                <w:szCs w:val="18"/>
              </w:rPr>
              <w:lastRenderedPageBreak/>
              <w:t>投资损失（收益以</w:t>
            </w:r>
            <w:r>
              <w:rPr>
                <w:sz w:val="18"/>
                <w:szCs w:val="18"/>
              </w:rPr>
              <w:t>“</w:t>
            </w:r>
            <w:r>
              <w:rPr>
                <w:sz w:val="18"/>
                <w:szCs w:val="18"/>
              </w:rPr>
              <w:t>－</w:t>
            </w:r>
            <w:r>
              <w:rPr>
                <w:sz w:val="18"/>
                <w:szCs w:val="18"/>
              </w:rPr>
              <w:t>”</w:t>
            </w:r>
            <w:r>
              <w:rPr>
                <w:sz w:val="18"/>
                <w:szCs w:val="18"/>
              </w:rPr>
              <w:t>号填列）</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-5,467,769.79</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-646,465.76</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300" w:firstLine="540"/>
              <w:rPr>
                <w:sz w:val="18"/>
                <w:szCs w:val="18"/>
              </w:rPr>
            </w:pPr>
            <w:r>
              <w:rPr>
                <w:sz w:val="18"/>
                <w:szCs w:val="18"/>
              </w:rPr>
              <w:t>递延所得税资产减少（增加以</w:t>
            </w:r>
            <w:r>
              <w:rPr>
                <w:sz w:val="18"/>
                <w:szCs w:val="18"/>
              </w:rPr>
              <w:t>“</w:t>
            </w:r>
            <w:r>
              <w:rPr>
                <w:sz w:val="18"/>
                <w:szCs w:val="18"/>
              </w:rPr>
              <w:t>－</w:t>
            </w:r>
            <w:r>
              <w:rPr>
                <w:sz w:val="18"/>
                <w:szCs w:val="18"/>
              </w:rPr>
              <w:t>”</w:t>
            </w:r>
            <w:r>
              <w:rPr>
                <w:sz w:val="18"/>
                <w:szCs w:val="18"/>
              </w:rPr>
              <w:t>号填列）</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-13,001,792.83</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-11,618,015.27</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300" w:firstLine="540"/>
              <w:rPr>
                <w:sz w:val="18"/>
                <w:szCs w:val="18"/>
              </w:rPr>
            </w:pPr>
            <w:r>
              <w:rPr>
                <w:sz w:val="18"/>
                <w:szCs w:val="18"/>
              </w:rPr>
              <w:t>递延所得税负债增加（减少以</w:t>
            </w:r>
            <w:r>
              <w:rPr>
                <w:sz w:val="18"/>
                <w:szCs w:val="18"/>
              </w:rPr>
              <w:t>“</w:t>
            </w:r>
            <w:r>
              <w:rPr>
                <w:sz w:val="18"/>
                <w:szCs w:val="18"/>
              </w:rPr>
              <w:t>－</w:t>
            </w:r>
            <w:r>
              <w:rPr>
                <w:sz w:val="18"/>
                <w:szCs w:val="18"/>
              </w:rPr>
              <w:t>”</w:t>
            </w:r>
            <w:r>
              <w:rPr>
                <w:sz w:val="18"/>
                <w:szCs w:val="18"/>
              </w:rPr>
              <w:t>号填列）</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9,052,350.68</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295,672.42</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300" w:firstLine="540"/>
              <w:rPr>
                <w:sz w:val="18"/>
                <w:szCs w:val="18"/>
              </w:rPr>
            </w:pPr>
            <w:r>
              <w:rPr>
                <w:sz w:val="18"/>
                <w:szCs w:val="18"/>
              </w:rPr>
              <w:t>存货的减少（增加以</w:t>
            </w:r>
            <w:r>
              <w:rPr>
                <w:sz w:val="18"/>
                <w:szCs w:val="18"/>
              </w:rPr>
              <w:t>“</w:t>
            </w:r>
            <w:r>
              <w:rPr>
                <w:sz w:val="18"/>
                <w:szCs w:val="18"/>
              </w:rPr>
              <w:t>－</w:t>
            </w:r>
            <w:r>
              <w:rPr>
                <w:sz w:val="18"/>
                <w:szCs w:val="18"/>
              </w:rPr>
              <w:t>”</w:t>
            </w:r>
            <w:r>
              <w:rPr>
                <w:sz w:val="18"/>
                <w:szCs w:val="18"/>
              </w:rPr>
              <w:t>号填列）</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-8,598,676.42</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-43,907,568.00</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300" w:firstLine="540"/>
              <w:rPr>
                <w:sz w:val="18"/>
                <w:szCs w:val="18"/>
              </w:rPr>
            </w:pPr>
            <w:r>
              <w:rPr>
                <w:sz w:val="18"/>
                <w:szCs w:val="18"/>
              </w:rPr>
              <w:t>经营性应收项目的减少（增加以</w:t>
            </w:r>
            <w:r>
              <w:rPr>
                <w:sz w:val="18"/>
                <w:szCs w:val="18"/>
              </w:rPr>
              <w:t>“</w:t>
            </w:r>
            <w:r>
              <w:rPr>
                <w:sz w:val="18"/>
                <w:szCs w:val="18"/>
              </w:rPr>
              <w:t>－</w:t>
            </w:r>
            <w:r>
              <w:rPr>
                <w:sz w:val="18"/>
                <w:szCs w:val="18"/>
              </w:rPr>
              <w:t>”</w:t>
            </w:r>
            <w:r>
              <w:rPr>
                <w:sz w:val="18"/>
                <w:szCs w:val="18"/>
              </w:rPr>
              <w:t>号填列）</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-82,695,156.82</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-25,765,099.77</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300" w:firstLine="540"/>
              <w:rPr>
                <w:sz w:val="18"/>
                <w:szCs w:val="18"/>
              </w:rPr>
            </w:pPr>
            <w:r>
              <w:rPr>
                <w:sz w:val="18"/>
                <w:szCs w:val="18"/>
              </w:rPr>
              <w:t>经营性应付项目的增加（减少以</w:t>
            </w:r>
            <w:r>
              <w:rPr>
                <w:sz w:val="18"/>
                <w:szCs w:val="18"/>
              </w:rPr>
              <w:t>“</w:t>
            </w:r>
            <w:r>
              <w:rPr>
                <w:sz w:val="18"/>
                <w:szCs w:val="18"/>
              </w:rPr>
              <w:t>－</w:t>
            </w:r>
            <w:r>
              <w:rPr>
                <w:sz w:val="18"/>
                <w:szCs w:val="18"/>
              </w:rPr>
              <w:t>”</w:t>
            </w:r>
            <w:r>
              <w:rPr>
                <w:sz w:val="18"/>
                <w:szCs w:val="18"/>
              </w:rPr>
              <w:t>号填列）</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19,601,556.26</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53,327,570.07</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300" w:firstLine="540"/>
              <w:rPr>
                <w:sz w:val="18"/>
                <w:szCs w:val="18"/>
              </w:rPr>
            </w:pPr>
            <w:r>
              <w:rPr>
                <w:sz w:val="18"/>
                <w:szCs w:val="18"/>
              </w:rPr>
              <w:t>其他</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11,367,836.90</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300" w:firstLine="540"/>
              <w:rPr>
                <w:sz w:val="18"/>
                <w:szCs w:val="18"/>
              </w:rPr>
            </w:pPr>
            <w:r>
              <w:rPr>
                <w:sz w:val="18"/>
                <w:szCs w:val="18"/>
              </w:rPr>
              <w:t>经营活动产生的现金流量净额</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32,175,746.92</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-54,239,504.38</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2</w:t>
            </w:r>
            <w:r>
              <w:rPr>
                <w:sz w:val="18"/>
                <w:szCs w:val="18"/>
              </w:rPr>
              <w:t>．不涉及现金收支的重大投资和筹资活动</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100" w:firstLine="180"/>
              <w:rPr>
                <w:sz w:val="18"/>
                <w:szCs w:val="18"/>
              </w:rPr>
            </w:pPr>
            <w:r>
              <w:rPr>
                <w:sz w:val="18"/>
                <w:szCs w:val="18"/>
              </w:rPr>
              <w:t>债务转为资本</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100" w:firstLine="180"/>
              <w:rPr>
                <w:sz w:val="18"/>
                <w:szCs w:val="18"/>
              </w:rPr>
            </w:pPr>
            <w:r>
              <w:rPr>
                <w:sz w:val="18"/>
                <w:szCs w:val="18"/>
              </w:rPr>
              <w:t>一年内到期的可转换公司债券</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100" w:firstLine="180"/>
              <w:rPr>
                <w:sz w:val="18"/>
                <w:szCs w:val="18"/>
              </w:rPr>
            </w:pPr>
            <w:r>
              <w:rPr>
                <w:sz w:val="18"/>
                <w:szCs w:val="18"/>
              </w:rPr>
              <w:t>融资租入固定资产</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3</w:t>
            </w:r>
            <w:r>
              <w:rPr>
                <w:sz w:val="18"/>
                <w:szCs w:val="18"/>
              </w:rPr>
              <w:t>．现金及现金等价物净变动情况：</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100" w:firstLine="180"/>
              <w:rPr>
                <w:sz w:val="18"/>
                <w:szCs w:val="18"/>
              </w:rPr>
            </w:pPr>
            <w:r>
              <w:rPr>
                <w:sz w:val="18"/>
                <w:szCs w:val="18"/>
              </w:rPr>
              <w:t>现金的期末余额</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307,078,221.04</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271,722,181.78</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100" w:firstLine="180"/>
              <w:rPr>
                <w:sz w:val="18"/>
                <w:szCs w:val="18"/>
              </w:rPr>
            </w:pPr>
            <w:r>
              <w:rPr>
                <w:sz w:val="18"/>
                <w:szCs w:val="18"/>
              </w:rPr>
              <w:t>减：现金的期初余额</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271,722,181.78</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214,544,630.45</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100" w:firstLine="180"/>
              <w:rPr>
                <w:sz w:val="18"/>
                <w:szCs w:val="18"/>
              </w:rPr>
            </w:pPr>
            <w:r>
              <w:rPr>
                <w:sz w:val="18"/>
                <w:szCs w:val="18"/>
              </w:rPr>
              <w:t>加：现金等价物的期末余额</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100" w:firstLine="180"/>
              <w:rPr>
                <w:sz w:val="18"/>
                <w:szCs w:val="18"/>
              </w:rPr>
            </w:pPr>
            <w:r>
              <w:rPr>
                <w:sz w:val="18"/>
                <w:szCs w:val="18"/>
              </w:rPr>
              <w:t>减：现金等价物的期初余额</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100" w:firstLine="180"/>
              <w:rPr>
                <w:sz w:val="18"/>
                <w:szCs w:val="18"/>
              </w:rPr>
            </w:pPr>
            <w:r>
              <w:rPr>
                <w:sz w:val="18"/>
                <w:szCs w:val="18"/>
              </w:rPr>
              <w:t>现金及现金等价物净增加额</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35,356,039.26</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57,177,551.33</w:t>
            </w:r>
          </w:p>
        </w:tc>
      </w:tr>
    </w:tbl>
    <w:p w:rsidR="00E20B54" w:rsidRDefault="00733C9E">
      <w:pPr>
        <w:keepNext/>
        <w:keepLines/>
        <w:spacing w:before="300" w:after="300" w:line="280" w:lineRule="exact"/>
        <w:outlineLvl w:val="3"/>
        <w:rPr>
          <w:b/>
          <w:bCs/>
          <w:szCs w:val="21"/>
        </w:rPr>
      </w:pPr>
      <w:bookmarkStart w:id="360" w:name="_Toc989248"/>
      <w:r>
        <w:rPr>
          <w:b/>
          <w:bCs/>
          <w:szCs w:val="21"/>
        </w:rPr>
        <w:t>（</w:t>
      </w:r>
      <w:r>
        <w:rPr>
          <w:b/>
          <w:bCs/>
          <w:szCs w:val="21"/>
        </w:rPr>
        <w:t>2</w:t>
      </w:r>
      <w:r>
        <w:rPr>
          <w:b/>
          <w:bCs/>
          <w:szCs w:val="21"/>
        </w:rPr>
        <w:t>）</w:t>
      </w:r>
      <w:r>
        <w:rPr>
          <w:b/>
          <w:bCs/>
          <w:szCs w:val="21"/>
        </w:rPr>
        <w:t xml:space="preserve"> </w:t>
      </w:r>
      <w:r>
        <w:rPr>
          <w:b/>
          <w:bCs/>
          <w:szCs w:val="21"/>
        </w:rPr>
        <w:t>本期支付的取得子公司的现金净额</w:t>
      </w:r>
      <w:bookmarkEnd w:id="360"/>
    </w:p>
    <w:p w:rsidR="00E20B54" w:rsidRDefault="00733C9E">
      <w:pPr>
        <w:spacing w:before="40" w:after="40" w:line="240" w:lineRule="exact"/>
        <w:jc w:val="right"/>
        <w:rPr>
          <w:sz w:val="18"/>
          <w:szCs w:val="18"/>
        </w:rPr>
      </w:pPr>
      <w:r>
        <w:rPr>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4820"/>
        <w:gridCol w:w="4819"/>
      </w:tblGrid>
      <w:tr w:rsidR="00E20B54">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金额</w:t>
            </w:r>
          </w:p>
        </w:tc>
      </w:tr>
      <w:tr w:rsidR="00E20B54">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其中：</w:t>
            </w:r>
          </w:p>
        </w:tc>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r>
      <w:tr w:rsidR="00E20B54">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其中：</w:t>
            </w:r>
          </w:p>
        </w:tc>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r>
      <w:tr w:rsidR="00E20B54">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其中：</w:t>
            </w:r>
          </w:p>
        </w:tc>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r>
    </w:tbl>
    <w:p w:rsidR="00E20B54" w:rsidRDefault="00733C9E" w:rsidP="00561B6F">
      <w:pPr>
        <w:spacing w:before="100" w:after="100" w:line="240" w:lineRule="exact"/>
      </w:pPr>
      <w:r>
        <w:rPr>
          <w:sz w:val="18"/>
          <w:szCs w:val="18"/>
        </w:rPr>
        <w:t>其他说明：无</w:t>
      </w:r>
    </w:p>
    <w:p w:rsidR="00E20B54" w:rsidRDefault="00733C9E">
      <w:pPr>
        <w:keepNext/>
        <w:keepLines/>
        <w:spacing w:before="300" w:after="300" w:line="280" w:lineRule="exact"/>
        <w:outlineLvl w:val="3"/>
        <w:rPr>
          <w:b/>
          <w:bCs/>
          <w:szCs w:val="21"/>
        </w:rPr>
      </w:pPr>
      <w:bookmarkStart w:id="361" w:name="_Toc989249"/>
      <w:r>
        <w:rPr>
          <w:b/>
          <w:bCs/>
          <w:szCs w:val="21"/>
        </w:rPr>
        <w:t>（</w:t>
      </w:r>
      <w:r>
        <w:rPr>
          <w:b/>
          <w:bCs/>
          <w:szCs w:val="21"/>
        </w:rPr>
        <w:t>3</w:t>
      </w:r>
      <w:r>
        <w:rPr>
          <w:b/>
          <w:bCs/>
          <w:szCs w:val="21"/>
        </w:rPr>
        <w:t>）</w:t>
      </w:r>
      <w:r>
        <w:rPr>
          <w:b/>
          <w:bCs/>
          <w:szCs w:val="21"/>
        </w:rPr>
        <w:t xml:space="preserve"> </w:t>
      </w:r>
      <w:r>
        <w:rPr>
          <w:b/>
          <w:bCs/>
          <w:szCs w:val="21"/>
        </w:rPr>
        <w:t>本期收到的处置子公司的现金净额</w:t>
      </w:r>
      <w:bookmarkEnd w:id="361"/>
    </w:p>
    <w:p w:rsidR="00E20B54" w:rsidRDefault="00733C9E">
      <w:pPr>
        <w:spacing w:before="40" w:after="40" w:line="240" w:lineRule="exact"/>
        <w:jc w:val="right"/>
        <w:rPr>
          <w:sz w:val="18"/>
          <w:szCs w:val="18"/>
        </w:rPr>
      </w:pPr>
      <w:r>
        <w:rPr>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4820"/>
        <w:gridCol w:w="4819"/>
      </w:tblGrid>
      <w:tr w:rsidR="00E20B54">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金额</w:t>
            </w:r>
          </w:p>
        </w:tc>
      </w:tr>
      <w:tr w:rsidR="00E20B54">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其中：</w:t>
            </w:r>
          </w:p>
        </w:tc>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r>
      <w:tr w:rsidR="00E20B54">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其中：</w:t>
            </w:r>
          </w:p>
        </w:tc>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r>
      <w:tr w:rsidR="00E20B54">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其中：</w:t>
            </w:r>
          </w:p>
        </w:tc>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r>
    </w:tbl>
    <w:p w:rsidR="00E20B54" w:rsidRDefault="00733C9E">
      <w:pPr>
        <w:spacing w:before="100" w:after="100" w:line="240" w:lineRule="exact"/>
        <w:rPr>
          <w:sz w:val="18"/>
          <w:szCs w:val="18"/>
        </w:rPr>
      </w:pPr>
      <w:r>
        <w:rPr>
          <w:sz w:val="18"/>
          <w:szCs w:val="18"/>
        </w:rPr>
        <w:t>其他说明：</w:t>
      </w:r>
      <w:r w:rsidR="00561B6F">
        <w:rPr>
          <w:sz w:val="18"/>
          <w:szCs w:val="18"/>
        </w:rPr>
        <w:t>无。</w:t>
      </w:r>
    </w:p>
    <w:p w:rsidR="00E20B54" w:rsidRDefault="00733C9E">
      <w:pPr>
        <w:keepNext/>
        <w:keepLines/>
        <w:spacing w:before="300" w:after="300" w:line="280" w:lineRule="exact"/>
        <w:outlineLvl w:val="3"/>
        <w:rPr>
          <w:b/>
          <w:bCs/>
          <w:szCs w:val="21"/>
        </w:rPr>
      </w:pPr>
      <w:bookmarkStart w:id="362" w:name="_Toc989250"/>
      <w:r>
        <w:rPr>
          <w:b/>
          <w:bCs/>
          <w:szCs w:val="21"/>
        </w:rPr>
        <w:lastRenderedPageBreak/>
        <w:t>（</w:t>
      </w:r>
      <w:r>
        <w:rPr>
          <w:b/>
          <w:bCs/>
          <w:szCs w:val="21"/>
        </w:rPr>
        <w:t>4</w:t>
      </w:r>
      <w:r>
        <w:rPr>
          <w:b/>
          <w:bCs/>
          <w:szCs w:val="21"/>
        </w:rPr>
        <w:t>）</w:t>
      </w:r>
      <w:r>
        <w:rPr>
          <w:b/>
          <w:bCs/>
          <w:szCs w:val="21"/>
        </w:rPr>
        <w:t xml:space="preserve"> </w:t>
      </w:r>
      <w:r>
        <w:rPr>
          <w:b/>
          <w:bCs/>
          <w:szCs w:val="21"/>
        </w:rPr>
        <w:t>现金和现金等价物的构成</w:t>
      </w:r>
      <w:bookmarkEnd w:id="362"/>
    </w:p>
    <w:p w:rsidR="00E20B54" w:rsidRDefault="00733C9E">
      <w:pPr>
        <w:spacing w:before="40" w:after="40" w:line="240" w:lineRule="exact"/>
        <w:jc w:val="right"/>
        <w:rPr>
          <w:sz w:val="18"/>
          <w:szCs w:val="18"/>
        </w:rPr>
      </w:pPr>
      <w:r>
        <w:rPr>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E20B54" w:rsidTr="00A10B23">
        <w:trPr>
          <w:trHeight w:val="240"/>
          <w:tblHeader/>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项目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期末余额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期初余额</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一、现金</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307,078,221.04</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271,722,181.78</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其中：库存现金</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118,274.31</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300" w:firstLine="540"/>
              <w:rPr>
                <w:sz w:val="18"/>
                <w:szCs w:val="18"/>
              </w:rPr>
            </w:pPr>
            <w:r>
              <w:rPr>
                <w:sz w:val="18"/>
                <w:szCs w:val="18"/>
              </w:rPr>
              <w:t>可随时用于支付的银行存款</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306,924,100.65</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270,882,832.98</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300" w:firstLine="540"/>
              <w:rPr>
                <w:sz w:val="18"/>
                <w:szCs w:val="18"/>
              </w:rPr>
            </w:pPr>
            <w:r>
              <w:rPr>
                <w:sz w:val="18"/>
                <w:szCs w:val="18"/>
              </w:rPr>
              <w:t>可随时用于支付的其他货币资金</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154,120.39</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721,074.49</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三、期末现金及现金等价物余额</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307,078,221.04</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271,722,181.78</w:t>
            </w:r>
          </w:p>
        </w:tc>
      </w:tr>
    </w:tbl>
    <w:p w:rsidR="00E20B54" w:rsidRDefault="00733C9E">
      <w:pPr>
        <w:keepNext/>
        <w:keepLines/>
        <w:spacing w:before="300" w:after="300" w:line="280" w:lineRule="exact"/>
        <w:outlineLvl w:val="3"/>
        <w:rPr>
          <w:b/>
          <w:bCs/>
          <w:szCs w:val="21"/>
        </w:rPr>
      </w:pPr>
      <w:bookmarkStart w:id="363" w:name="_Toc989251"/>
      <w:r>
        <w:rPr>
          <w:b/>
          <w:bCs/>
          <w:szCs w:val="21"/>
        </w:rPr>
        <w:t>（</w:t>
      </w:r>
      <w:r>
        <w:rPr>
          <w:b/>
          <w:bCs/>
          <w:szCs w:val="21"/>
        </w:rPr>
        <w:t>5</w:t>
      </w:r>
      <w:r>
        <w:rPr>
          <w:b/>
          <w:bCs/>
          <w:szCs w:val="21"/>
        </w:rPr>
        <w:t>）</w:t>
      </w:r>
      <w:r>
        <w:rPr>
          <w:b/>
          <w:bCs/>
          <w:szCs w:val="21"/>
        </w:rPr>
        <w:t xml:space="preserve"> </w:t>
      </w:r>
      <w:r>
        <w:rPr>
          <w:b/>
          <w:bCs/>
          <w:szCs w:val="21"/>
        </w:rPr>
        <w:t>使用范围受限但仍属于现金及现金等价物列示的情况</w:t>
      </w:r>
      <w:bookmarkEnd w:id="363"/>
    </w:p>
    <w:p w:rsidR="00E20B54" w:rsidRDefault="00733C9E">
      <w:pPr>
        <w:spacing w:before="40" w:after="40" w:line="240" w:lineRule="exact"/>
        <w:jc w:val="right"/>
        <w:rPr>
          <w:sz w:val="18"/>
          <w:szCs w:val="18"/>
        </w:rPr>
      </w:pPr>
      <w:r>
        <w:rPr>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2409"/>
        <w:gridCol w:w="2410"/>
        <w:gridCol w:w="2410"/>
        <w:gridCol w:w="2410"/>
      </w:tblGrid>
      <w:tr w:rsidR="00E20B54">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项目</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本期金额</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上期金额</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仍属于现金及现金等价物的理由</w:t>
            </w:r>
          </w:p>
        </w:tc>
      </w:tr>
      <w:tr w:rsidR="00E20B54" w:rsidTr="00A10B23">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9D9D9" w:themeFill="background1" w:themeFillShade="D9"/>
            <w:vAlign w:val="center"/>
          </w:tcPr>
          <w:p w:rsidR="00E20B54" w:rsidRDefault="00733C9E">
            <w:pPr>
              <w:spacing w:line="240" w:lineRule="exact"/>
              <w:rPr>
                <w:sz w:val="18"/>
                <w:szCs w:val="18"/>
              </w:rPr>
            </w:pPr>
            <w:r>
              <w:rPr>
                <w:sz w:val="18"/>
                <w:szCs w:val="18"/>
              </w:rPr>
              <w:t>货币资金</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306,390.45</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62,901,653.46</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承兑保证金、冻结</w:t>
            </w:r>
          </w:p>
        </w:tc>
      </w:tr>
      <w:tr w:rsidR="00E20B54">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合计</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306,390.45</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62,901,653.46</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r>
    </w:tbl>
    <w:p w:rsidR="00E20B54" w:rsidRDefault="00733C9E">
      <w:pPr>
        <w:keepNext/>
        <w:keepLines/>
        <w:spacing w:before="300" w:after="300" w:line="280" w:lineRule="exact"/>
        <w:outlineLvl w:val="3"/>
        <w:rPr>
          <w:b/>
          <w:bCs/>
          <w:szCs w:val="21"/>
        </w:rPr>
      </w:pPr>
      <w:bookmarkStart w:id="364" w:name="_Toc989252"/>
      <w:r>
        <w:rPr>
          <w:b/>
          <w:bCs/>
          <w:szCs w:val="21"/>
        </w:rPr>
        <w:t>（</w:t>
      </w:r>
      <w:r>
        <w:rPr>
          <w:b/>
          <w:bCs/>
          <w:szCs w:val="21"/>
        </w:rPr>
        <w:t>6</w:t>
      </w:r>
      <w:r>
        <w:rPr>
          <w:b/>
          <w:bCs/>
          <w:szCs w:val="21"/>
        </w:rPr>
        <w:t>）</w:t>
      </w:r>
      <w:r>
        <w:rPr>
          <w:b/>
          <w:bCs/>
          <w:szCs w:val="21"/>
        </w:rPr>
        <w:t xml:space="preserve"> </w:t>
      </w:r>
      <w:r>
        <w:rPr>
          <w:b/>
          <w:bCs/>
          <w:szCs w:val="21"/>
        </w:rPr>
        <w:t>不属于现金及现金等价物的货币资金</w:t>
      </w:r>
      <w:bookmarkEnd w:id="364"/>
    </w:p>
    <w:p w:rsidR="00E20B54" w:rsidRDefault="00733C9E">
      <w:pPr>
        <w:spacing w:before="40" w:after="40" w:line="240" w:lineRule="exact"/>
        <w:jc w:val="right"/>
        <w:rPr>
          <w:sz w:val="18"/>
          <w:szCs w:val="18"/>
        </w:rPr>
      </w:pPr>
      <w:r>
        <w:rPr>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2409"/>
        <w:gridCol w:w="2410"/>
        <w:gridCol w:w="2410"/>
        <w:gridCol w:w="2410"/>
      </w:tblGrid>
      <w:tr w:rsidR="00E20B54">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项目</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本期金额</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上期金额</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不属于现金及现金等价物的理由</w:t>
            </w:r>
          </w:p>
        </w:tc>
      </w:tr>
    </w:tbl>
    <w:p w:rsidR="00E20B54" w:rsidRDefault="00733C9E">
      <w:pPr>
        <w:spacing w:before="100" w:after="100" w:line="240" w:lineRule="exact"/>
        <w:rPr>
          <w:sz w:val="18"/>
          <w:szCs w:val="18"/>
        </w:rPr>
      </w:pPr>
      <w:r>
        <w:rPr>
          <w:sz w:val="18"/>
          <w:szCs w:val="18"/>
        </w:rPr>
        <w:t>其他说明：</w:t>
      </w:r>
      <w:r w:rsidR="00A10B23">
        <w:rPr>
          <w:sz w:val="18"/>
          <w:szCs w:val="18"/>
        </w:rPr>
        <w:t>无。</w:t>
      </w:r>
    </w:p>
    <w:p w:rsidR="00E20B54" w:rsidRDefault="00733C9E">
      <w:pPr>
        <w:keepNext/>
        <w:keepLines/>
        <w:spacing w:before="300" w:after="300" w:line="280" w:lineRule="exact"/>
        <w:outlineLvl w:val="3"/>
        <w:rPr>
          <w:b/>
          <w:bCs/>
          <w:szCs w:val="21"/>
        </w:rPr>
      </w:pPr>
      <w:bookmarkStart w:id="365" w:name="_Toc989253"/>
      <w:r>
        <w:rPr>
          <w:b/>
          <w:bCs/>
          <w:szCs w:val="21"/>
        </w:rPr>
        <w:t>（</w:t>
      </w:r>
      <w:r>
        <w:rPr>
          <w:b/>
          <w:bCs/>
          <w:szCs w:val="21"/>
        </w:rPr>
        <w:t>7</w:t>
      </w:r>
      <w:r>
        <w:rPr>
          <w:b/>
          <w:bCs/>
          <w:szCs w:val="21"/>
        </w:rPr>
        <w:t>）</w:t>
      </w:r>
      <w:r>
        <w:rPr>
          <w:b/>
          <w:bCs/>
          <w:szCs w:val="21"/>
        </w:rPr>
        <w:t xml:space="preserve"> </w:t>
      </w:r>
      <w:r>
        <w:rPr>
          <w:b/>
          <w:bCs/>
          <w:szCs w:val="21"/>
        </w:rPr>
        <w:t>其他重大活动说明</w:t>
      </w:r>
      <w:bookmarkEnd w:id="365"/>
    </w:p>
    <w:p w:rsidR="00E20B54" w:rsidRDefault="00733C9E">
      <w:pPr>
        <w:pStyle w:val="3"/>
        <w:spacing w:line="280" w:lineRule="exact"/>
        <w:jc w:val="left"/>
        <w:rPr>
          <w:b/>
          <w:bCs/>
        </w:rPr>
      </w:pPr>
      <w:bookmarkStart w:id="366" w:name="_Toc989254"/>
      <w:r>
        <w:rPr>
          <w:b/>
          <w:bCs/>
        </w:rPr>
        <w:t>57</w:t>
      </w:r>
      <w:r>
        <w:rPr>
          <w:b/>
          <w:bCs/>
        </w:rPr>
        <w:t>、所有者权益变动表项目注释</w:t>
      </w:r>
      <w:bookmarkEnd w:id="366"/>
    </w:p>
    <w:p w:rsidR="00E20B54" w:rsidRDefault="00733C9E" w:rsidP="00A10B23">
      <w:pPr>
        <w:spacing w:before="100" w:after="100" w:line="240" w:lineRule="exact"/>
      </w:pPr>
      <w:r>
        <w:rPr>
          <w:sz w:val="18"/>
          <w:szCs w:val="18"/>
        </w:rPr>
        <w:t>说明对上年年末余额进行调整的</w:t>
      </w:r>
      <w:r>
        <w:rPr>
          <w:sz w:val="18"/>
          <w:szCs w:val="18"/>
        </w:rPr>
        <w:t>“</w:t>
      </w:r>
      <w:r>
        <w:rPr>
          <w:sz w:val="18"/>
          <w:szCs w:val="18"/>
        </w:rPr>
        <w:t>其他</w:t>
      </w:r>
      <w:r>
        <w:rPr>
          <w:sz w:val="18"/>
          <w:szCs w:val="18"/>
        </w:rPr>
        <w:t>”</w:t>
      </w:r>
      <w:r>
        <w:rPr>
          <w:sz w:val="18"/>
          <w:szCs w:val="18"/>
        </w:rPr>
        <w:t>项目名称及调整金额等事项：无。</w:t>
      </w:r>
    </w:p>
    <w:p w:rsidR="00E20B54" w:rsidRDefault="00733C9E">
      <w:pPr>
        <w:pStyle w:val="3"/>
        <w:spacing w:line="280" w:lineRule="exact"/>
        <w:jc w:val="left"/>
        <w:rPr>
          <w:b/>
          <w:bCs/>
        </w:rPr>
      </w:pPr>
      <w:bookmarkStart w:id="367" w:name="_Toc989255"/>
      <w:r>
        <w:rPr>
          <w:b/>
          <w:bCs/>
        </w:rPr>
        <w:t>58</w:t>
      </w:r>
      <w:r>
        <w:rPr>
          <w:b/>
          <w:bCs/>
        </w:rPr>
        <w:t>、外币货币性项目</w:t>
      </w:r>
      <w:bookmarkEnd w:id="367"/>
    </w:p>
    <w:p w:rsidR="00E20B54" w:rsidRDefault="00733C9E">
      <w:pPr>
        <w:keepNext/>
        <w:keepLines/>
        <w:spacing w:before="300" w:after="300" w:line="280" w:lineRule="exact"/>
        <w:outlineLvl w:val="3"/>
        <w:rPr>
          <w:b/>
          <w:bCs/>
          <w:szCs w:val="21"/>
        </w:rPr>
      </w:pPr>
      <w:bookmarkStart w:id="368" w:name="_Toc989256"/>
      <w:r>
        <w:rPr>
          <w:b/>
          <w:bCs/>
          <w:szCs w:val="21"/>
        </w:rPr>
        <w:t>（</w:t>
      </w:r>
      <w:r>
        <w:rPr>
          <w:b/>
          <w:bCs/>
          <w:szCs w:val="21"/>
        </w:rPr>
        <w:t>1</w:t>
      </w:r>
      <w:r>
        <w:rPr>
          <w:b/>
          <w:bCs/>
          <w:szCs w:val="21"/>
        </w:rPr>
        <w:t>）</w:t>
      </w:r>
      <w:r>
        <w:rPr>
          <w:b/>
          <w:bCs/>
          <w:szCs w:val="21"/>
        </w:rPr>
        <w:t xml:space="preserve"> </w:t>
      </w:r>
      <w:r>
        <w:rPr>
          <w:b/>
          <w:bCs/>
          <w:szCs w:val="21"/>
        </w:rPr>
        <w:t>外币货币性项目</w:t>
      </w:r>
      <w:bookmarkEnd w:id="368"/>
    </w:p>
    <w:p w:rsidR="00E20B54" w:rsidRDefault="00733C9E">
      <w:pPr>
        <w:spacing w:before="40" w:after="40" w:line="240" w:lineRule="exact"/>
        <w:jc w:val="right"/>
        <w:rPr>
          <w:sz w:val="18"/>
          <w:szCs w:val="18"/>
        </w:rPr>
      </w:pPr>
      <w:r>
        <w:rPr>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2409"/>
        <w:gridCol w:w="2410"/>
        <w:gridCol w:w="2410"/>
        <w:gridCol w:w="2410"/>
      </w:tblGrid>
      <w:tr w:rsidR="00E20B54" w:rsidTr="00AA0900">
        <w:trPr>
          <w:trHeight w:val="240"/>
          <w:tblHeader/>
        </w:trPr>
        <w:tc>
          <w:tcPr>
            <w:tcW w:w="2409"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项目</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期末外币余额</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折算汇率</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期末折算人民币余额</w:t>
            </w:r>
          </w:p>
        </w:tc>
      </w:tr>
      <w:tr w:rsidR="00E20B54" w:rsidTr="00AA0900">
        <w:trPr>
          <w:trHeight w:val="240"/>
        </w:trPr>
        <w:tc>
          <w:tcPr>
            <w:tcW w:w="2409"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货币资金</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3,092,985.93</w:t>
            </w:r>
          </w:p>
        </w:tc>
      </w:tr>
      <w:tr w:rsidR="00E20B54" w:rsidTr="00AA0900">
        <w:trPr>
          <w:trHeight w:val="240"/>
        </w:trPr>
        <w:tc>
          <w:tcPr>
            <w:tcW w:w="2409"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其中：美元</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rPr>
                <w:sz w:val="18"/>
                <w:szCs w:val="18"/>
              </w:rPr>
            </w:pP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r w:rsidR="00E20B54" w:rsidTr="00AA0900">
        <w:trPr>
          <w:trHeight w:val="240"/>
        </w:trPr>
        <w:tc>
          <w:tcPr>
            <w:tcW w:w="2409"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300" w:firstLine="540"/>
              <w:rPr>
                <w:sz w:val="18"/>
                <w:szCs w:val="18"/>
              </w:rPr>
            </w:pPr>
            <w:r>
              <w:rPr>
                <w:sz w:val="18"/>
                <w:szCs w:val="18"/>
              </w:rPr>
              <w:t>欧元</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rPr>
                <w:sz w:val="18"/>
                <w:szCs w:val="18"/>
              </w:rPr>
            </w:pP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r w:rsidR="00E20B54" w:rsidTr="00AA0900">
        <w:trPr>
          <w:trHeight w:val="240"/>
        </w:trPr>
        <w:tc>
          <w:tcPr>
            <w:tcW w:w="2409"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300" w:firstLine="540"/>
              <w:rPr>
                <w:sz w:val="18"/>
                <w:szCs w:val="18"/>
              </w:rPr>
            </w:pPr>
            <w:r>
              <w:rPr>
                <w:sz w:val="18"/>
                <w:szCs w:val="18"/>
              </w:rPr>
              <w:t>港币</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3,424,399.29</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0.90322</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3,092,985.93</w:t>
            </w:r>
          </w:p>
        </w:tc>
      </w:tr>
      <w:tr w:rsidR="00E20B54" w:rsidTr="00AA0900">
        <w:trPr>
          <w:trHeight w:val="240"/>
        </w:trPr>
        <w:tc>
          <w:tcPr>
            <w:tcW w:w="2409"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应收账款</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192,239.54</w:t>
            </w:r>
          </w:p>
        </w:tc>
      </w:tr>
      <w:tr w:rsidR="00E20B54" w:rsidTr="00AA0900">
        <w:trPr>
          <w:trHeight w:val="240"/>
        </w:trPr>
        <w:tc>
          <w:tcPr>
            <w:tcW w:w="2409"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其中：美元</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rPr>
                <w:sz w:val="18"/>
                <w:szCs w:val="18"/>
              </w:rPr>
            </w:pP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r w:rsidR="00E20B54" w:rsidTr="00AA0900">
        <w:trPr>
          <w:trHeight w:val="240"/>
        </w:trPr>
        <w:tc>
          <w:tcPr>
            <w:tcW w:w="2409"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300" w:firstLine="540"/>
              <w:rPr>
                <w:sz w:val="18"/>
                <w:szCs w:val="18"/>
              </w:rPr>
            </w:pPr>
            <w:r>
              <w:rPr>
                <w:sz w:val="18"/>
                <w:szCs w:val="18"/>
              </w:rPr>
              <w:t>欧元</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rPr>
                <w:sz w:val="18"/>
                <w:szCs w:val="18"/>
              </w:rPr>
            </w:pP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r w:rsidR="00E20B54" w:rsidTr="00AA0900">
        <w:trPr>
          <w:trHeight w:val="240"/>
        </w:trPr>
        <w:tc>
          <w:tcPr>
            <w:tcW w:w="2409"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300" w:firstLine="540"/>
              <w:rPr>
                <w:sz w:val="18"/>
                <w:szCs w:val="18"/>
              </w:rPr>
            </w:pPr>
            <w:r>
              <w:rPr>
                <w:sz w:val="18"/>
                <w:szCs w:val="18"/>
              </w:rPr>
              <w:t>港币</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212,838.00</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0.90322</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192,239.54</w:t>
            </w:r>
          </w:p>
        </w:tc>
      </w:tr>
      <w:tr w:rsidR="00E20B54" w:rsidTr="00AA0900">
        <w:trPr>
          <w:trHeight w:val="240"/>
        </w:trPr>
        <w:tc>
          <w:tcPr>
            <w:tcW w:w="2409"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lastRenderedPageBreak/>
              <w:t>长期借款</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r w:rsidR="00E20B54" w:rsidTr="00AA0900">
        <w:trPr>
          <w:trHeight w:val="240"/>
        </w:trPr>
        <w:tc>
          <w:tcPr>
            <w:tcW w:w="2409"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其中：美元</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rPr>
                <w:sz w:val="18"/>
                <w:szCs w:val="18"/>
              </w:rPr>
            </w:pP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r w:rsidR="00E20B54" w:rsidTr="00AA0900">
        <w:trPr>
          <w:trHeight w:val="240"/>
        </w:trPr>
        <w:tc>
          <w:tcPr>
            <w:tcW w:w="2409"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300" w:firstLine="540"/>
              <w:rPr>
                <w:sz w:val="18"/>
                <w:szCs w:val="18"/>
              </w:rPr>
            </w:pPr>
            <w:r>
              <w:rPr>
                <w:sz w:val="18"/>
                <w:szCs w:val="18"/>
              </w:rPr>
              <w:t>欧元</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rPr>
                <w:sz w:val="18"/>
                <w:szCs w:val="18"/>
              </w:rPr>
            </w:pP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r w:rsidR="00E20B54" w:rsidTr="00AA0900">
        <w:trPr>
          <w:trHeight w:val="240"/>
        </w:trPr>
        <w:tc>
          <w:tcPr>
            <w:tcW w:w="2409"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300" w:firstLine="540"/>
              <w:rPr>
                <w:sz w:val="18"/>
                <w:szCs w:val="18"/>
              </w:rPr>
            </w:pPr>
            <w:r>
              <w:rPr>
                <w:sz w:val="18"/>
                <w:szCs w:val="18"/>
              </w:rPr>
              <w:t>港币</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rPr>
                <w:sz w:val="18"/>
                <w:szCs w:val="18"/>
              </w:rPr>
            </w:pP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r w:rsidR="00E20B54" w:rsidTr="00AA0900">
        <w:trPr>
          <w:trHeight w:val="240"/>
        </w:trPr>
        <w:tc>
          <w:tcPr>
            <w:tcW w:w="2409"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其他应收款</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15,086.76</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rPr>
                <w:sz w:val="18"/>
                <w:szCs w:val="18"/>
              </w:rPr>
            </w:pP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13,626.67</w:t>
            </w:r>
          </w:p>
        </w:tc>
      </w:tr>
      <w:tr w:rsidR="00E20B54" w:rsidTr="00AA0900">
        <w:trPr>
          <w:trHeight w:val="240"/>
        </w:trPr>
        <w:tc>
          <w:tcPr>
            <w:tcW w:w="2409"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其中：港元</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15,086.76</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0.90322</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13,626.67</w:t>
            </w:r>
          </w:p>
        </w:tc>
      </w:tr>
      <w:tr w:rsidR="00E20B54" w:rsidTr="00AA0900">
        <w:trPr>
          <w:trHeight w:val="240"/>
        </w:trPr>
        <w:tc>
          <w:tcPr>
            <w:tcW w:w="2409"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其他流动资产</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31,501.00</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rPr>
                <w:sz w:val="18"/>
                <w:szCs w:val="18"/>
              </w:rPr>
            </w:pP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28,452.33</w:t>
            </w:r>
          </w:p>
        </w:tc>
      </w:tr>
      <w:tr w:rsidR="00E20B54" w:rsidTr="00AA0900">
        <w:trPr>
          <w:trHeight w:val="240"/>
        </w:trPr>
        <w:tc>
          <w:tcPr>
            <w:tcW w:w="2409"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其中：港元</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31,501.00</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0.90322</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28,452.33</w:t>
            </w:r>
          </w:p>
        </w:tc>
      </w:tr>
    </w:tbl>
    <w:p w:rsidR="00E20B54" w:rsidRDefault="00733C9E">
      <w:pPr>
        <w:spacing w:before="100" w:after="100" w:line="240" w:lineRule="exact"/>
        <w:rPr>
          <w:sz w:val="18"/>
          <w:szCs w:val="18"/>
        </w:rPr>
      </w:pPr>
      <w:r>
        <w:rPr>
          <w:sz w:val="18"/>
          <w:szCs w:val="18"/>
        </w:rPr>
        <w:t>其他说明：</w:t>
      </w:r>
    </w:p>
    <w:p w:rsidR="00E20B54" w:rsidRDefault="00733C9E">
      <w:pPr>
        <w:keepNext/>
        <w:keepLines/>
        <w:spacing w:before="300" w:after="300" w:line="280" w:lineRule="exact"/>
        <w:outlineLvl w:val="3"/>
        <w:rPr>
          <w:b/>
          <w:bCs/>
          <w:szCs w:val="21"/>
        </w:rPr>
      </w:pPr>
      <w:bookmarkStart w:id="369" w:name="_Toc989257"/>
      <w:r>
        <w:rPr>
          <w:b/>
          <w:bCs/>
          <w:szCs w:val="21"/>
        </w:rPr>
        <w:t>（</w:t>
      </w:r>
      <w:r>
        <w:rPr>
          <w:b/>
          <w:bCs/>
          <w:szCs w:val="21"/>
        </w:rPr>
        <w:t>2</w:t>
      </w:r>
      <w:r>
        <w:rPr>
          <w:b/>
          <w:bCs/>
          <w:szCs w:val="21"/>
        </w:rPr>
        <w:t>）</w:t>
      </w:r>
      <w:r>
        <w:rPr>
          <w:b/>
          <w:bCs/>
          <w:szCs w:val="21"/>
        </w:rPr>
        <w:t xml:space="preserve"> </w:t>
      </w:r>
      <w:r>
        <w:rPr>
          <w:b/>
          <w:bCs/>
          <w:szCs w:val="21"/>
        </w:rPr>
        <w:t>境外经营实体说明，包括对于重要的境外经营实体，应披露其境外主要经营地、记账本位币及选择依据，记账本位币发生变化的还应披露原因。</w:t>
      </w:r>
      <w:bookmarkEnd w:id="369"/>
    </w:p>
    <w:p w:rsidR="00E20B54" w:rsidRDefault="00733C9E">
      <w:pPr>
        <w:spacing w:before="100" w:after="100" w:line="240" w:lineRule="exact"/>
        <w:rPr>
          <w:sz w:val="18"/>
          <w:szCs w:val="18"/>
        </w:rPr>
      </w:pPr>
      <w:r>
        <w:rPr>
          <w:sz w:val="18"/>
          <w:szCs w:val="18"/>
        </w:rPr>
        <w:sym w:font="Wingdings 2" w:char="F052"/>
      </w:r>
      <w:r>
        <w:rPr>
          <w:sz w:val="18"/>
          <w:szCs w:val="18"/>
        </w:rPr>
        <w:t>适用</w:t>
      </w:r>
      <w:r>
        <w:rPr>
          <w:sz w:val="18"/>
          <w:szCs w:val="18"/>
        </w:rPr>
        <w:t xml:space="preserve"> □</w:t>
      </w:r>
      <w:r>
        <w:rPr>
          <w:sz w:val="18"/>
          <w:szCs w:val="18"/>
        </w:rPr>
        <w:t>不适用</w:t>
      </w:r>
    </w:p>
    <w:tbl>
      <w:tblPr>
        <w:tblW w:w="9720" w:type="dxa"/>
        <w:tblBorders>
          <w:top w:val="none" w:sz="6" w:space="0" w:color="auto"/>
          <w:left w:val="none" w:sz="6" w:space="0" w:color="auto"/>
          <w:bottom w:val="none" w:sz="6" w:space="0" w:color="auto"/>
          <w:right w:val="none" w:sz="6" w:space="0" w:color="auto"/>
          <w:insideH w:val="outset" w:sz="6" w:space="0" w:color="auto"/>
          <w:insideV w:val="outset" w:sz="6" w:space="0" w:color="auto"/>
        </w:tblBorders>
        <w:tblCellMar>
          <w:top w:w="15" w:type="dxa"/>
          <w:left w:w="15" w:type="dxa"/>
          <w:bottom w:w="15" w:type="dxa"/>
          <w:right w:w="15" w:type="dxa"/>
        </w:tblCellMar>
        <w:tblLook w:val="04A0" w:firstRow="1" w:lastRow="0" w:firstColumn="1" w:lastColumn="0" w:noHBand="0" w:noVBand="1"/>
      </w:tblPr>
      <w:tblGrid>
        <w:gridCol w:w="1740"/>
        <w:gridCol w:w="2354"/>
        <w:gridCol w:w="1989"/>
        <w:gridCol w:w="3637"/>
      </w:tblGrid>
      <w:tr w:rsidR="00E20B54">
        <w:trPr>
          <w:trHeight w:val="284"/>
        </w:trPr>
        <w:tc>
          <w:tcPr>
            <w:tcW w:w="1527"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tcPr>
          <w:p w:rsidR="00E20B54" w:rsidRDefault="00733C9E">
            <w:pPr>
              <w:pStyle w:val="a3"/>
              <w:widowControl/>
              <w:spacing w:beforeAutospacing="0" w:afterAutospacing="0"/>
              <w:jc w:val="center"/>
              <w:rPr>
                <w:sz w:val="21"/>
                <w:szCs w:val="21"/>
              </w:rPr>
            </w:pPr>
            <w:r>
              <w:rPr>
                <w:rStyle w:val="a4"/>
                <w:sz w:val="21"/>
                <w:szCs w:val="21"/>
              </w:rPr>
              <w:t>项目</w:t>
            </w:r>
          </w:p>
        </w:tc>
        <w:tc>
          <w:tcPr>
            <w:tcW w:w="2065"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tcPr>
          <w:p w:rsidR="00E20B54" w:rsidRDefault="00733C9E">
            <w:pPr>
              <w:pStyle w:val="a3"/>
              <w:widowControl/>
              <w:spacing w:beforeAutospacing="0" w:afterAutospacing="0"/>
              <w:jc w:val="center"/>
              <w:rPr>
                <w:sz w:val="21"/>
                <w:szCs w:val="21"/>
              </w:rPr>
            </w:pPr>
            <w:r>
              <w:rPr>
                <w:rStyle w:val="a4"/>
                <w:sz w:val="21"/>
                <w:szCs w:val="21"/>
              </w:rPr>
              <w:t>境外主要经营地</w:t>
            </w:r>
          </w:p>
        </w:tc>
        <w:tc>
          <w:tcPr>
            <w:tcW w:w="1745"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tcPr>
          <w:p w:rsidR="00E20B54" w:rsidRDefault="00733C9E">
            <w:pPr>
              <w:pStyle w:val="a3"/>
              <w:widowControl/>
              <w:spacing w:beforeAutospacing="0" w:afterAutospacing="0"/>
              <w:jc w:val="center"/>
              <w:rPr>
                <w:sz w:val="21"/>
                <w:szCs w:val="21"/>
              </w:rPr>
            </w:pPr>
            <w:r>
              <w:rPr>
                <w:rStyle w:val="a4"/>
                <w:sz w:val="21"/>
                <w:szCs w:val="21"/>
              </w:rPr>
              <w:t>记账本位币</w:t>
            </w:r>
          </w:p>
        </w:tc>
        <w:tc>
          <w:tcPr>
            <w:tcW w:w="3191"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tcPr>
          <w:p w:rsidR="00E20B54" w:rsidRDefault="00733C9E">
            <w:pPr>
              <w:pStyle w:val="a3"/>
              <w:widowControl/>
              <w:spacing w:beforeAutospacing="0" w:afterAutospacing="0"/>
              <w:jc w:val="center"/>
              <w:rPr>
                <w:sz w:val="21"/>
                <w:szCs w:val="21"/>
              </w:rPr>
            </w:pPr>
            <w:r>
              <w:rPr>
                <w:rStyle w:val="a4"/>
                <w:sz w:val="21"/>
                <w:szCs w:val="21"/>
              </w:rPr>
              <w:t>记账本位币的选择依据</w:t>
            </w:r>
          </w:p>
        </w:tc>
      </w:tr>
      <w:tr w:rsidR="00E20B54">
        <w:trPr>
          <w:trHeight w:val="284"/>
        </w:trPr>
        <w:tc>
          <w:tcPr>
            <w:tcW w:w="1527"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tcPr>
          <w:p w:rsidR="00E20B54" w:rsidRDefault="00733C9E">
            <w:pPr>
              <w:pStyle w:val="a3"/>
              <w:widowControl/>
              <w:spacing w:beforeAutospacing="0" w:afterAutospacing="0"/>
              <w:jc w:val="both"/>
              <w:rPr>
                <w:sz w:val="21"/>
                <w:szCs w:val="21"/>
              </w:rPr>
            </w:pPr>
            <w:r>
              <w:rPr>
                <w:sz w:val="21"/>
                <w:szCs w:val="21"/>
              </w:rPr>
              <w:t>天亿马（香港）信息产业有限公司</w:t>
            </w:r>
          </w:p>
        </w:tc>
        <w:tc>
          <w:tcPr>
            <w:tcW w:w="206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E20B54" w:rsidRDefault="00733C9E">
            <w:pPr>
              <w:pStyle w:val="a3"/>
              <w:widowControl/>
              <w:spacing w:beforeAutospacing="0" w:afterAutospacing="0"/>
              <w:jc w:val="center"/>
              <w:rPr>
                <w:sz w:val="21"/>
                <w:szCs w:val="21"/>
              </w:rPr>
            </w:pPr>
            <w:r>
              <w:rPr>
                <w:sz w:val="21"/>
                <w:szCs w:val="21"/>
              </w:rPr>
              <w:t>香港</w:t>
            </w:r>
          </w:p>
        </w:tc>
        <w:tc>
          <w:tcPr>
            <w:tcW w:w="174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E20B54" w:rsidRDefault="00733C9E">
            <w:pPr>
              <w:pStyle w:val="a3"/>
              <w:widowControl/>
              <w:spacing w:beforeAutospacing="0" w:afterAutospacing="0"/>
              <w:jc w:val="center"/>
              <w:rPr>
                <w:sz w:val="21"/>
                <w:szCs w:val="21"/>
              </w:rPr>
            </w:pPr>
            <w:r>
              <w:rPr>
                <w:sz w:val="21"/>
                <w:szCs w:val="21"/>
              </w:rPr>
              <w:t>港币</w:t>
            </w:r>
          </w:p>
        </w:tc>
        <w:tc>
          <w:tcPr>
            <w:tcW w:w="3191"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E20B54" w:rsidRDefault="00733C9E">
            <w:pPr>
              <w:pStyle w:val="a3"/>
              <w:widowControl/>
              <w:spacing w:beforeAutospacing="0" w:afterAutospacing="0"/>
              <w:jc w:val="center"/>
              <w:rPr>
                <w:sz w:val="21"/>
                <w:szCs w:val="21"/>
              </w:rPr>
            </w:pPr>
            <w:r>
              <w:rPr>
                <w:sz w:val="21"/>
                <w:szCs w:val="21"/>
              </w:rPr>
              <w:t>公司交易主要以港币结算</w:t>
            </w:r>
          </w:p>
        </w:tc>
      </w:tr>
    </w:tbl>
    <w:p w:rsidR="00E20B54" w:rsidRDefault="00733C9E">
      <w:pPr>
        <w:pStyle w:val="3"/>
        <w:spacing w:line="280" w:lineRule="exact"/>
        <w:jc w:val="left"/>
        <w:rPr>
          <w:b/>
          <w:bCs/>
        </w:rPr>
      </w:pPr>
      <w:bookmarkStart w:id="370" w:name="_Toc989258"/>
      <w:r>
        <w:rPr>
          <w:b/>
          <w:bCs/>
        </w:rPr>
        <w:t>59</w:t>
      </w:r>
      <w:r>
        <w:rPr>
          <w:b/>
          <w:bCs/>
        </w:rPr>
        <w:t>、租赁</w:t>
      </w:r>
      <w:bookmarkEnd w:id="370"/>
    </w:p>
    <w:p w:rsidR="00E20B54" w:rsidRDefault="00733C9E">
      <w:pPr>
        <w:keepNext/>
        <w:keepLines/>
        <w:spacing w:before="300" w:after="300" w:line="280" w:lineRule="exact"/>
        <w:outlineLvl w:val="3"/>
        <w:rPr>
          <w:b/>
          <w:bCs/>
          <w:szCs w:val="21"/>
        </w:rPr>
      </w:pPr>
      <w:bookmarkStart w:id="371" w:name="_Toc989259"/>
      <w:r>
        <w:rPr>
          <w:b/>
          <w:bCs/>
          <w:szCs w:val="21"/>
        </w:rPr>
        <w:t>（</w:t>
      </w:r>
      <w:r>
        <w:rPr>
          <w:b/>
          <w:bCs/>
          <w:szCs w:val="21"/>
        </w:rPr>
        <w:t>1</w:t>
      </w:r>
      <w:r>
        <w:rPr>
          <w:b/>
          <w:bCs/>
          <w:szCs w:val="21"/>
        </w:rPr>
        <w:t>）</w:t>
      </w:r>
      <w:r>
        <w:rPr>
          <w:b/>
          <w:bCs/>
          <w:szCs w:val="21"/>
        </w:rPr>
        <w:t xml:space="preserve"> </w:t>
      </w:r>
      <w:r>
        <w:rPr>
          <w:b/>
          <w:bCs/>
          <w:szCs w:val="21"/>
        </w:rPr>
        <w:t>本公司作为承租方</w:t>
      </w:r>
      <w:bookmarkEnd w:id="371"/>
    </w:p>
    <w:p w:rsidR="00E20B54" w:rsidRDefault="00733C9E">
      <w:pPr>
        <w:spacing w:before="100" w:after="100" w:line="240" w:lineRule="exact"/>
        <w:rPr>
          <w:sz w:val="18"/>
          <w:szCs w:val="18"/>
        </w:rPr>
      </w:pPr>
      <w:r>
        <w:rPr>
          <w:sz w:val="18"/>
          <w:szCs w:val="18"/>
        </w:rPr>
        <w:sym w:font="Wingdings 2" w:char="F052"/>
      </w:r>
      <w:r>
        <w:rPr>
          <w:sz w:val="18"/>
          <w:szCs w:val="18"/>
        </w:rPr>
        <w:t>适用</w:t>
      </w:r>
      <w:r>
        <w:rPr>
          <w:sz w:val="18"/>
          <w:szCs w:val="18"/>
        </w:rPr>
        <w:t xml:space="preserve"> □</w:t>
      </w:r>
      <w:r>
        <w:rPr>
          <w:sz w:val="18"/>
          <w:szCs w:val="18"/>
        </w:rPr>
        <w:t>不适用</w:t>
      </w:r>
    </w:p>
    <w:p w:rsidR="00E20B54" w:rsidRDefault="00733C9E">
      <w:pPr>
        <w:spacing w:before="100" w:after="100" w:line="240" w:lineRule="exact"/>
        <w:rPr>
          <w:sz w:val="18"/>
          <w:szCs w:val="18"/>
        </w:rPr>
      </w:pPr>
      <w:r>
        <w:rPr>
          <w:sz w:val="18"/>
          <w:szCs w:val="18"/>
        </w:rPr>
        <w:t>未纳入租赁负债计量的可变租赁付款额</w:t>
      </w:r>
    </w:p>
    <w:p w:rsidR="00E20B54" w:rsidRDefault="00733C9E">
      <w:pPr>
        <w:spacing w:before="100" w:after="100" w:line="240" w:lineRule="exact"/>
        <w:rPr>
          <w:sz w:val="18"/>
          <w:szCs w:val="18"/>
        </w:rPr>
      </w:pPr>
      <w:r>
        <w:rPr>
          <w:sz w:val="18"/>
          <w:szCs w:val="18"/>
        </w:rPr>
        <w:t>□</w:t>
      </w:r>
      <w:r>
        <w:rPr>
          <w:sz w:val="18"/>
          <w:szCs w:val="18"/>
        </w:rPr>
        <w:t>适用</w:t>
      </w:r>
      <w:r>
        <w:rPr>
          <w:sz w:val="18"/>
          <w:szCs w:val="18"/>
        </w:rPr>
        <w:t xml:space="preserve"> </w:t>
      </w:r>
      <w:r>
        <w:rPr>
          <w:sz w:val="18"/>
          <w:szCs w:val="18"/>
        </w:rPr>
        <w:sym w:font="Wingdings 2" w:char="F052"/>
      </w:r>
      <w:r>
        <w:rPr>
          <w:sz w:val="18"/>
          <w:szCs w:val="18"/>
        </w:rPr>
        <w:t>不适用</w:t>
      </w:r>
    </w:p>
    <w:p w:rsidR="00E20B54" w:rsidRDefault="00733C9E">
      <w:pPr>
        <w:spacing w:before="100" w:after="100" w:line="240" w:lineRule="exact"/>
        <w:rPr>
          <w:sz w:val="18"/>
          <w:szCs w:val="18"/>
        </w:rPr>
      </w:pPr>
      <w:r>
        <w:rPr>
          <w:sz w:val="18"/>
          <w:szCs w:val="18"/>
        </w:rPr>
        <w:t>简化处理的短期租赁或低价值资产的租赁费用</w:t>
      </w:r>
    </w:p>
    <w:p w:rsidR="00E20B54" w:rsidRDefault="00733C9E">
      <w:pPr>
        <w:spacing w:before="100" w:after="100" w:line="240" w:lineRule="exact"/>
        <w:rPr>
          <w:sz w:val="18"/>
          <w:szCs w:val="18"/>
        </w:rPr>
      </w:pPr>
      <w:r>
        <w:rPr>
          <w:sz w:val="18"/>
          <w:szCs w:val="18"/>
        </w:rPr>
        <w:t>□</w:t>
      </w:r>
      <w:r>
        <w:rPr>
          <w:sz w:val="18"/>
          <w:szCs w:val="18"/>
        </w:rPr>
        <w:t>适用</w:t>
      </w:r>
      <w:r>
        <w:rPr>
          <w:sz w:val="18"/>
          <w:szCs w:val="18"/>
        </w:rPr>
        <w:t xml:space="preserve"> </w:t>
      </w:r>
      <w:r>
        <w:rPr>
          <w:sz w:val="18"/>
          <w:szCs w:val="18"/>
        </w:rPr>
        <w:sym w:font="Wingdings 2" w:char="F052"/>
      </w:r>
      <w:r>
        <w:rPr>
          <w:sz w:val="18"/>
          <w:szCs w:val="18"/>
        </w:rPr>
        <w:t>不适用</w:t>
      </w:r>
    </w:p>
    <w:p w:rsidR="00E20B54" w:rsidRDefault="00733C9E">
      <w:pPr>
        <w:spacing w:before="100" w:after="100" w:line="240" w:lineRule="exact"/>
        <w:rPr>
          <w:sz w:val="18"/>
          <w:szCs w:val="18"/>
        </w:rPr>
      </w:pPr>
      <w:r>
        <w:rPr>
          <w:sz w:val="18"/>
          <w:szCs w:val="18"/>
        </w:rPr>
        <w:t>涉及售后租回交易的情况</w:t>
      </w:r>
    </w:p>
    <w:p w:rsidR="00E20B54" w:rsidRDefault="00733C9E">
      <w:pPr>
        <w:pStyle w:val="a3"/>
        <w:widowControl/>
      </w:pPr>
      <w:r>
        <w:rPr>
          <w:sz w:val="18"/>
          <w:szCs w:val="18"/>
        </w:rPr>
        <w:t>报告期内公司发生的租赁事项主要为子公司以售后回租方式申请融资租赁，不满足确认销售收入条件。</w:t>
      </w:r>
    </w:p>
    <w:p w:rsidR="00E20B54" w:rsidRDefault="00733C9E">
      <w:pPr>
        <w:keepNext/>
        <w:keepLines/>
        <w:spacing w:before="300" w:after="300" w:line="280" w:lineRule="exact"/>
        <w:outlineLvl w:val="3"/>
        <w:rPr>
          <w:b/>
          <w:bCs/>
          <w:szCs w:val="21"/>
        </w:rPr>
      </w:pPr>
      <w:bookmarkStart w:id="372" w:name="_Toc989260"/>
      <w:r>
        <w:rPr>
          <w:b/>
          <w:bCs/>
          <w:szCs w:val="21"/>
        </w:rPr>
        <w:t>（</w:t>
      </w:r>
      <w:r>
        <w:rPr>
          <w:b/>
          <w:bCs/>
          <w:szCs w:val="21"/>
        </w:rPr>
        <w:t>2</w:t>
      </w:r>
      <w:r>
        <w:rPr>
          <w:b/>
          <w:bCs/>
          <w:szCs w:val="21"/>
        </w:rPr>
        <w:t>）</w:t>
      </w:r>
      <w:r>
        <w:rPr>
          <w:b/>
          <w:bCs/>
          <w:szCs w:val="21"/>
        </w:rPr>
        <w:t xml:space="preserve"> </w:t>
      </w:r>
      <w:r>
        <w:rPr>
          <w:b/>
          <w:bCs/>
          <w:szCs w:val="21"/>
        </w:rPr>
        <w:t>本公司作为出租方</w:t>
      </w:r>
      <w:bookmarkEnd w:id="372"/>
    </w:p>
    <w:p w:rsidR="00E20B54" w:rsidRDefault="00733C9E">
      <w:pPr>
        <w:spacing w:before="100" w:after="100" w:line="240" w:lineRule="exact"/>
        <w:rPr>
          <w:sz w:val="18"/>
          <w:szCs w:val="18"/>
        </w:rPr>
      </w:pPr>
      <w:r>
        <w:rPr>
          <w:sz w:val="18"/>
          <w:szCs w:val="18"/>
        </w:rPr>
        <w:t>作为出租人的经营租赁</w:t>
      </w:r>
    </w:p>
    <w:p w:rsidR="00E20B54" w:rsidRDefault="00733C9E">
      <w:pPr>
        <w:spacing w:before="100" w:after="100" w:line="240" w:lineRule="exact"/>
        <w:rPr>
          <w:sz w:val="18"/>
          <w:szCs w:val="18"/>
        </w:rPr>
      </w:pPr>
      <w:r>
        <w:rPr>
          <w:sz w:val="18"/>
          <w:szCs w:val="18"/>
        </w:rPr>
        <w:t>□</w:t>
      </w:r>
      <w:r>
        <w:rPr>
          <w:sz w:val="18"/>
          <w:szCs w:val="18"/>
        </w:rPr>
        <w:t>适用</w:t>
      </w:r>
      <w:r>
        <w:rPr>
          <w:sz w:val="18"/>
          <w:szCs w:val="18"/>
        </w:rPr>
        <w:t xml:space="preserve"> </w:t>
      </w:r>
      <w:r>
        <w:rPr>
          <w:sz w:val="18"/>
          <w:szCs w:val="18"/>
        </w:rPr>
        <w:sym w:font="Wingdings 2" w:char="F052"/>
      </w:r>
      <w:r>
        <w:rPr>
          <w:sz w:val="18"/>
          <w:szCs w:val="18"/>
        </w:rPr>
        <w:t>不适用</w:t>
      </w:r>
    </w:p>
    <w:p w:rsidR="00E20B54" w:rsidRDefault="00733C9E">
      <w:pPr>
        <w:spacing w:before="100" w:after="100" w:line="240" w:lineRule="exact"/>
        <w:rPr>
          <w:sz w:val="18"/>
          <w:szCs w:val="18"/>
        </w:rPr>
      </w:pPr>
      <w:r>
        <w:rPr>
          <w:sz w:val="18"/>
          <w:szCs w:val="18"/>
        </w:rPr>
        <w:t>作为出租人的融资租赁</w:t>
      </w:r>
    </w:p>
    <w:p w:rsidR="00E20B54" w:rsidRDefault="00733C9E">
      <w:pPr>
        <w:spacing w:before="100" w:after="100" w:line="240" w:lineRule="exact"/>
        <w:rPr>
          <w:sz w:val="18"/>
          <w:szCs w:val="18"/>
        </w:rPr>
      </w:pPr>
      <w:r>
        <w:rPr>
          <w:sz w:val="18"/>
          <w:szCs w:val="18"/>
        </w:rPr>
        <w:t>□</w:t>
      </w:r>
      <w:r>
        <w:rPr>
          <w:sz w:val="18"/>
          <w:szCs w:val="18"/>
        </w:rPr>
        <w:t>适用</w:t>
      </w:r>
      <w:r>
        <w:rPr>
          <w:sz w:val="18"/>
          <w:szCs w:val="18"/>
        </w:rPr>
        <w:t xml:space="preserve"> </w:t>
      </w:r>
      <w:r>
        <w:rPr>
          <w:sz w:val="18"/>
          <w:szCs w:val="18"/>
        </w:rPr>
        <w:sym w:font="Wingdings 2" w:char="F052"/>
      </w:r>
      <w:r>
        <w:rPr>
          <w:sz w:val="18"/>
          <w:szCs w:val="18"/>
        </w:rPr>
        <w:t>不适用</w:t>
      </w:r>
    </w:p>
    <w:p w:rsidR="00E20B54" w:rsidRDefault="00733C9E">
      <w:pPr>
        <w:spacing w:before="100" w:after="100" w:line="240" w:lineRule="exact"/>
        <w:rPr>
          <w:sz w:val="18"/>
          <w:szCs w:val="18"/>
        </w:rPr>
      </w:pPr>
      <w:r>
        <w:rPr>
          <w:sz w:val="18"/>
          <w:szCs w:val="18"/>
        </w:rPr>
        <w:t>未来五年每年未折现租赁收款额</w:t>
      </w:r>
    </w:p>
    <w:p w:rsidR="00E20B54" w:rsidRDefault="00733C9E">
      <w:pPr>
        <w:spacing w:before="100" w:after="100" w:line="240" w:lineRule="exact"/>
        <w:rPr>
          <w:sz w:val="18"/>
          <w:szCs w:val="18"/>
        </w:rPr>
      </w:pPr>
      <w:r>
        <w:rPr>
          <w:sz w:val="18"/>
          <w:szCs w:val="18"/>
        </w:rPr>
        <w:t>□</w:t>
      </w:r>
      <w:r>
        <w:rPr>
          <w:sz w:val="18"/>
          <w:szCs w:val="18"/>
        </w:rPr>
        <w:t>适用</w:t>
      </w:r>
      <w:r>
        <w:rPr>
          <w:sz w:val="18"/>
          <w:szCs w:val="18"/>
        </w:rPr>
        <w:t xml:space="preserve"> </w:t>
      </w:r>
      <w:r>
        <w:rPr>
          <w:sz w:val="18"/>
          <w:szCs w:val="18"/>
        </w:rPr>
        <w:sym w:font="Wingdings 2" w:char="F052"/>
      </w:r>
      <w:r>
        <w:rPr>
          <w:sz w:val="18"/>
          <w:szCs w:val="18"/>
        </w:rPr>
        <w:t>不适用</w:t>
      </w:r>
    </w:p>
    <w:p w:rsidR="00E20B54" w:rsidRDefault="00733C9E">
      <w:pPr>
        <w:spacing w:before="100" w:after="100" w:line="240" w:lineRule="exact"/>
        <w:rPr>
          <w:sz w:val="18"/>
          <w:szCs w:val="18"/>
        </w:rPr>
      </w:pPr>
      <w:r>
        <w:rPr>
          <w:sz w:val="18"/>
          <w:szCs w:val="18"/>
        </w:rPr>
        <w:t>未折现租赁收款额与租赁投资净额的调节表</w:t>
      </w:r>
    </w:p>
    <w:p w:rsidR="00E20B54" w:rsidRDefault="00733C9E">
      <w:pPr>
        <w:keepNext/>
        <w:keepLines/>
        <w:spacing w:before="300" w:after="300" w:line="280" w:lineRule="exact"/>
        <w:outlineLvl w:val="3"/>
        <w:rPr>
          <w:b/>
          <w:bCs/>
          <w:szCs w:val="21"/>
        </w:rPr>
      </w:pPr>
      <w:bookmarkStart w:id="373" w:name="_Toc989261"/>
      <w:r>
        <w:rPr>
          <w:b/>
          <w:bCs/>
          <w:szCs w:val="21"/>
        </w:rPr>
        <w:t>（</w:t>
      </w:r>
      <w:r>
        <w:rPr>
          <w:b/>
          <w:bCs/>
          <w:szCs w:val="21"/>
        </w:rPr>
        <w:t>3</w:t>
      </w:r>
      <w:r>
        <w:rPr>
          <w:b/>
          <w:bCs/>
          <w:szCs w:val="21"/>
        </w:rPr>
        <w:t>）</w:t>
      </w:r>
      <w:r>
        <w:rPr>
          <w:b/>
          <w:bCs/>
          <w:szCs w:val="21"/>
        </w:rPr>
        <w:t xml:space="preserve"> </w:t>
      </w:r>
      <w:r>
        <w:rPr>
          <w:b/>
          <w:bCs/>
          <w:szCs w:val="21"/>
        </w:rPr>
        <w:t>作为生产商或经销商确认融资租赁销售损益</w:t>
      </w:r>
      <w:bookmarkEnd w:id="373"/>
    </w:p>
    <w:p w:rsidR="00E20B54" w:rsidRDefault="00733C9E">
      <w:pPr>
        <w:spacing w:before="100" w:after="100" w:line="240" w:lineRule="exact"/>
        <w:rPr>
          <w:sz w:val="18"/>
          <w:szCs w:val="18"/>
        </w:rPr>
      </w:pPr>
      <w:r>
        <w:rPr>
          <w:sz w:val="18"/>
          <w:szCs w:val="18"/>
        </w:rPr>
        <w:t>□</w:t>
      </w:r>
      <w:r>
        <w:rPr>
          <w:sz w:val="18"/>
          <w:szCs w:val="18"/>
        </w:rPr>
        <w:t>适用</w:t>
      </w:r>
      <w:r>
        <w:rPr>
          <w:sz w:val="18"/>
          <w:szCs w:val="18"/>
        </w:rPr>
        <w:t xml:space="preserve"> </w:t>
      </w:r>
      <w:r>
        <w:rPr>
          <w:sz w:val="18"/>
          <w:szCs w:val="18"/>
        </w:rPr>
        <w:sym w:font="Wingdings 2" w:char="F052"/>
      </w:r>
      <w:r>
        <w:rPr>
          <w:sz w:val="18"/>
          <w:szCs w:val="18"/>
        </w:rPr>
        <w:t>不适用</w:t>
      </w:r>
    </w:p>
    <w:p w:rsidR="00E20B54" w:rsidRDefault="00733C9E">
      <w:pPr>
        <w:pStyle w:val="3"/>
        <w:spacing w:line="280" w:lineRule="exact"/>
        <w:jc w:val="left"/>
        <w:rPr>
          <w:b/>
          <w:bCs/>
        </w:rPr>
      </w:pPr>
      <w:bookmarkStart w:id="374" w:name="_Toc989262"/>
      <w:r>
        <w:rPr>
          <w:b/>
          <w:bCs/>
        </w:rPr>
        <w:lastRenderedPageBreak/>
        <w:t>60</w:t>
      </w:r>
      <w:r>
        <w:rPr>
          <w:b/>
          <w:bCs/>
        </w:rPr>
        <w:t>、数据资源</w:t>
      </w:r>
      <w:bookmarkEnd w:id="374"/>
    </w:p>
    <w:p w:rsidR="00E20B54" w:rsidRPr="00AA0900" w:rsidRDefault="00733C9E">
      <w:pPr>
        <w:pStyle w:val="a3"/>
        <w:widowControl/>
        <w:spacing w:beforeAutospacing="0" w:afterAutospacing="0"/>
        <w:ind w:firstLine="420"/>
        <w:jc w:val="both"/>
        <w:rPr>
          <w:rFonts w:asciiTheme="minorEastAsia" w:eastAsiaTheme="minorEastAsia" w:hAnsiTheme="minorEastAsia"/>
          <w:sz w:val="21"/>
          <w:szCs w:val="21"/>
        </w:rPr>
      </w:pPr>
      <w:r w:rsidRPr="00AA0900">
        <w:rPr>
          <w:rFonts w:asciiTheme="minorEastAsia" w:eastAsiaTheme="minorEastAsia" w:hAnsiTheme="minorEastAsia"/>
          <w:sz w:val="21"/>
          <w:szCs w:val="21"/>
        </w:rPr>
        <w:t>“翼启AI政策计算器”利用人工智能技术对汕头市各级政府部门发布的政策文件进行收集、分析和整理，实现政策的精准匹配、推荐和详细解读，为用户提供政策查询精准匹配、个性化的政策推荐、政策数据可视化展示等服务，减少用户查找政策的时间和精力，提升效率，助力企业和群众更好地享受政策红利。同时也作为政策宣传和推广的辅助工具，帮助政府部门更好地服务企业和群众，从而为企业带来经济效益。公司通过数据治理和挖掘，确保数据的准确性、有效性和合法性。“翼启AI政策计算器”已于2025年7月完成深圳数据交易所数据商品上市流程，取得数据产权登记证书，数据(商品)上市证书，数据产权正式确权，可正式公开流通交易。根据市场调研和初步估算，该数据资产预计将带来一定的经济效益，未来该资产也可复制到全国的其他城市，其服务计费方式可能与产品销售、使用许可等相关。至此“翼启AI政策计算器”开发完成达到了预定可使用状态，符合资本化条件，于2025年7月正式转为公司的无形资产。</w:t>
      </w:r>
    </w:p>
    <w:p w:rsidR="00E20B54" w:rsidRPr="00AA0900" w:rsidRDefault="00733C9E">
      <w:pPr>
        <w:pStyle w:val="a3"/>
        <w:widowControl/>
        <w:spacing w:beforeAutospacing="0" w:afterAutospacing="0"/>
        <w:ind w:firstLine="420"/>
        <w:jc w:val="both"/>
        <w:rPr>
          <w:rFonts w:asciiTheme="minorEastAsia" w:eastAsiaTheme="minorEastAsia" w:hAnsiTheme="minorEastAsia"/>
          <w:sz w:val="21"/>
          <w:szCs w:val="21"/>
        </w:rPr>
      </w:pPr>
      <w:r w:rsidRPr="00AA0900">
        <w:rPr>
          <w:rFonts w:asciiTheme="minorEastAsia" w:eastAsiaTheme="minorEastAsia" w:hAnsiTheme="minorEastAsia"/>
          <w:sz w:val="21"/>
          <w:szCs w:val="21"/>
        </w:rPr>
        <w:t>天亿马建立了覆盖数据归集、加工处理、产品化开发与迭代优化的全流程管理体系。在开发过程中，我们依据法律法规要求，对原始数据实施严格的去标识化或匿名化处理，确保个人信息与隐私安全。通过部署防火墙、采用数据加密技术等手段，保障数据在传输与存储环节的安全。同时，我们建立了数据分类分级规范和全生命周期安全管理机制，对数据实行精细化的分类管理与授权访问，并记录完整操作日志，确保数据处理全程合规、安全、可控。</w:t>
      </w:r>
    </w:p>
    <w:p w:rsidR="00E20B54" w:rsidRDefault="00733C9E">
      <w:pPr>
        <w:pStyle w:val="3"/>
        <w:spacing w:line="280" w:lineRule="exact"/>
        <w:jc w:val="left"/>
        <w:rPr>
          <w:b/>
          <w:bCs/>
        </w:rPr>
      </w:pPr>
      <w:bookmarkStart w:id="375" w:name="_Toc989263"/>
      <w:r>
        <w:rPr>
          <w:b/>
          <w:bCs/>
        </w:rPr>
        <w:t>61</w:t>
      </w:r>
      <w:r>
        <w:rPr>
          <w:b/>
          <w:bCs/>
        </w:rPr>
        <w:t>、其他</w:t>
      </w:r>
      <w:bookmarkEnd w:id="375"/>
    </w:p>
    <w:p w:rsidR="00E20B54" w:rsidRDefault="00733C9E">
      <w:pPr>
        <w:pStyle w:val="2"/>
        <w:spacing w:before="300" w:after="300" w:line="320" w:lineRule="exact"/>
        <w:rPr>
          <w:b/>
          <w:bCs/>
          <w:sz w:val="24"/>
          <w:szCs w:val="24"/>
        </w:rPr>
      </w:pPr>
      <w:bookmarkStart w:id="376" w:name="_Toc989264"/>
      <w:r>
        <w:rPr>
          <w:b/>
          <w:bCs/>
          <w:sz w:val="24"/>
          <w:szCs w:val="24"/>
        </w:rPr>
        <w:t>八、研发支出</w:t>
      </w:r>
      <w:bookmarkEnd w:id="376"/>
    </w:p>
    <w:p w:rsidR="00E20B54" w:rsidRDefault="00733C9E">
      <w:pPr>
        <w:spacing w:before="40" w:after="40" w:line="240" w:lineRule="exact"/>
        <w:jc w:val="right"/>
        <w:rPr>
          <w:sz w:val="18"/>
          <w:szCs w:val="18"/>
        </w:rPr>
      </w:pPr>
      <w:r>
        <w:rPr>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项目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本期发生额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上期发生额</w:t>
            </w:r>
          </w:p>
        </w:tc>
      </w:tr>
      <w:tr w:rsidR="00E20B54" w:rsidTr="00AA0900">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9D9D9" w:themeFill="background1" w:themeFillShade="D9"/>
            <w:vAlign w:val="center"/>
          </w:tcPr>
          <w:p w:rsidR="00E20B54" w:rsidRDefault="00733C9E">
            <w:pPr>
              <w:spacing w:line="240" w:lineRule="exact"/>
              <w:rPr>
                <w:sz w:val="18"/>
                <w:szCs w:val="18"/>
              </w:rPr>
            </w:pPr>
            <w:r>
              <w:rPr>
                <w:sz w:val="18"/>
                <w:szCs w:val="18"/>
              </w:rPr>
              <w:t>直接人工费用</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10,668,497.33</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11,403,418.76</w:t>
            </w:r>
          </w:p>
        </w:tc>
      </w:tr>
      <w:tr w:rsidR="00E20B54" w:rsidTr="00AA0900">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9D9D9" w:themeFill="background1" w:themeFillShade="D9"/>
            <w:vAlign w:val="center"/>
          </w:tcPr>
          <w:p w:rsidR="00E20B54" w:rsidRDefault="00733C9E">
            <w:pPr>
              <w:spacing w:line="240" w:lineRule="exact"/>
              <w:rPr>
                <w:sz w:val="18"/>
                <w:szCs w:val="18"/>
              </w:rPr>
            </w:pPr>
            <w:r>
              <w:rPr>
                <w:sz w:val="18"/>
                <w:szCs w:val="18"/>
              </w:rPr>
              <w:t>直接投入费用</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232,482.29</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665,768.94</w:t>
            </w:r>
          </w:p>
        </w:tc>
      </w:tr>
      <w:tr w:rsidR="00E20B54" w:rsidTr="00AA0900">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9D9D9" w:themeFill="background1" w:themeFillShade="D9"/>
            <w:vAlign w:val="center"/>
          </w:tcPr>
          <w:p w:rsidR="00E20B54" w:rsidRDefault="00733C9E">
            <w:pPr>
              <w:spacing w:line="240" w:lineRule="exact"/>
              <w:rPr>
                <w:sz w:val="18"/>
                <w:szCs w:val="18"/>
              </w:rPr>
            </w:pPr>
            <w:r>
              <w:rPr>
                <w:sz w:val="18"/>
                <w:szCs w:val="18"/>
              </w:rPr>
              <w:t>折旧摊销费用</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2,153,978.82</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2,379,224.60</w:t>
            </w:r>
          </w:p>
        </w:tc>
      </w:tr>
      <w:tr w:rsidR="00E20B54" w:rsidTr="00AA0900">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9D9D9" w:themeFill="background1" w:themeFillShade="D9"/>
            <w:vAlign w:val="center"/>
          </w:tcPr>
          <w:p w:rsidR="00E20B54" w:rsidRDefault="00733C9E">
            <w:pPr>
              <w:spacing w:line="240" w:lineRule="exact"/>
              <w:rPr>
                <w:sz w:val="18"/>
                <w:szCs w:val="18"/>
              </w:rPr>
            </w:pPr>
            <w:r>
              <w:rPr>
                <w:sz w:val="18"/>
                <w:szCs w:val="18"/>
              </w:rPr>
              <w:t>其他相关费用</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1,028,212.10</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998,827.43</w:t>
            </w:r>
          </w:p>
        </w:tc>
      </w:tr>
      <w:tr w:rsidR="00E20B54" w:rsidTr="00AA0900">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9D9D9" w:themeFill="background1" w:themeFillShade="D9"/>
            <w:vAlign w:val="center"/>
          </w:tcPr>
          <w:p w:rsidR="00E20B54" w:rsidRDefault="00733C9E">
            <w:pPr>
              <w:spacing w:line="240" w:lineRule="exact"/>
              <w:rPr>
                <w:sz w:val="18"/>
                <w:szCs w:val="18"/>
              </w:rPr>
            </w:pPr>
            <w:r>
              <w:rPr>
                <w:sz w:val="18"/>
                <w:szCs w:val="18"/>
              </w:rPr>
              <w:t>委托研发费用</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2,773,584.91</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610,377.36</w:t>
            </w:r>
          </w:p>
        </w:tc>
      </w:tr>
      <w:tr w:rsidR="00E20B54" w:rsidTr="00AA0900">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9D9D9" w:themeFill="background1" w:themeFillShade="D9"/>
            <w:vAlign w:val="center"/>
          </w:tcPr>
          <w:p w:rsidR="00E20B54" w:rsidRDefault="00733C9E">
            <w:pPr>
              <w:spacing w:line="240" w:lineRule="exact"/>
              <w:rPr>
                <w:sz w:val="18"/>
                <w:szCs w:val="18"/>
              </w:rPr>
            </w:pPr>
            <w:r>
              <w:rPr>
                <w:sz w:val="18"/>
                <w:szCs w:val="18"/>
              </w:rPr>
              <w:t>股权激励</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463,431.60</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408,337.40</w:t>
            </w:r>
          </w:p>
        </w:tc>
      </w:tr>
      <w:tr w:rsidR="00E20B54" w:rsidTr="00AA0900">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9D9D9" w:themeFill="background1" w:themeFillShade="D9"/>
            <w:vAlign w:val="center"/>
          </w:tcPr>
          <w:p w:rsidR="00E20B54" w:rsidRDefault="00733C9E">
            <w:pPr>
              <w:spacing w:line="240" w:lineRule="exact"/>
              <w:rPr>
                <w:sz w:val="18"/>
                <w:szCs w:val="18"/>
              </w:rPr>
            </w:pPr>
            <w:r>
              <w:rPr>
                <w:sz w:val="18"/>
                <w:szCs w:val="18"/>
              </w:rPr>
              <w:t>新产品设计费用</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68,870.27</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845,308.04</w:t>
            </w:r>
          </w:p>
        </w:tc>
      </w:tr>
      <w:tr w:rsidR="00E20B54" w:rsidTr="00AA0900">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9D9D9" w:themeFill="background1" w:themeFillShade="D9"/>
            <w:vAlign w:val="center"/>
          </w:tcPr>
          <w:p w:rsidR="00E20B54" w:rsidRDefault="00733C9E">
            <w:pPr>
              <w:spacing w:before="40" w:after="40" w:line="240" w:lineRule="exact"/>
              <w:rPr>
                <w:sz w:val="18"/>
                <w:szCs w:val="18"/>
              </w:rPr>
            </w:pPr>
            <w:r>
              <w:rPr>
                <w:sz w:val="18"/>
                <w:szCs w:val="18"/>
              </w:rPr>
              <w:t>合计</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17,389,057.32</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17,311,262.53</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其中：费用化研发支出</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17,278,343.33</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17,311,262.53</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300" w:firstLine="540"/>
              <w:rPr>
                <w:sz w:val="18"/>
                <w:szCs w:val="18"/>
              </w:rPr>
            </w:pPr>
            <w:r>
              <w:rPr>
                <w:sz w:val="18"/>
                <w:szCs w:val="18"/>
              </w:rPr>
              <w:t>资本化研发支出</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110,713.99</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bl>
    <w:p w:rsidR="00E20B54" w:rsidRDefault="00733C9E">
      <w:pPr>
        <w:pStyle w:val="3"/>
        <w:spacing w:line="280" w:lineRule="exact"/>
        <w:jc w:val="left"/>
        <w:rPr>
          <w:b/>
          <w:bCs/>
        </w:rPr>
      </w:pPr>
      <w:bookmarkStart w:id="377" w:name="_Toc989265"/>
      <w:r>
        <w:rPr>
          <w:b/>
          <w:bCs/>
        </w:rPr>
        <w:t>1</w:t>
      </w:r>
      <w:r>
        <w:rPr>
          <w:b/>
          <w:bCs/>
        </w:rPr>
        <w:t>、符合资本化条件的研发项目</w:t>
      </w:r>
      <w:bookmarkEnd w:id="377"/>
    </w:p>
    <w:p w:rsidR="00E20B54" w:rsidRDefault="00733C9E">
      <w:pPr>
        <w:spacing w:before="40" w:after="40" w:line="240" w:lineRule="exact"/>
        <w:jc w:val="right"/>
        <w:rPr>
          <w:sz w:val="18"/>
          <w:szCs w:val="18"/>
        </w:rPr>
      </w:pPr>
      <w:r>
        <w:rPr>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071"/>
        <w:gridCol w:w="1071"/>
        <w:gridCol w:w="1071"/>
        <w:gridCol w:w="1071"/>
        <w:gridCol w:w="1071"/>
        <w:gridCol w:w="1071"/>
        <w:gridCol w:w="1071"/>
        <w:gridCol w:w="1071"/>
        <w:gridCol w:w="1071"/>
      </w:tblGrid>
      <w:tr w:rsidR="00E20B54">
        <w:trPr>
          <w:trHeight w:val="240"/>
        </w:trPr>
        <w:tc>
          <w:tcPr>
            <w:tcW w:w="1071"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项目</w:t>
            </w:r>
          </w:p>
        </w:tc>
        <w:tc>
          <w:tcPr>
            <w:tcW w:w="1071"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期初余额</w:t>
            </w:r>
          </w:p>
        </w:tc>
        <w:tc>
          <w:tcPr>
            <w:tcW w:w="3213" w:type="dxa"/>
            <w:gridSpan w:val="3"/>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本期增加金额</w:t>
            </w:r>
          </w:p>
        </w:tc>
        <w:tc>
          <w:tcPr>
            <w:tcW w:w="3213" w:type="dxa"/>
            <w:gridSpan w:val="3"/>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本期减少金额</w:t>
            </w:r>
          </w:p>
        </w:tc>
        <w:tc>
          <w:tcPr>
            <w:tcW w:w="1071"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期末余额</w:t>
            </w:r>
          </w:p>
        </w:tc>
      </w:tr>
      <w:tr w:rsidR="00E20B54">
        <w:trPr>
          <w:trHeight w:val="240"/>
        </w:trPr>
        <w:tc>
          <w:tcPr>
            <w:tcW w:w="1071"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c>
          <w:tcPr>
            <w:tcW w:w="1071"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内部开发支出</w:t>
            </w:r>
          </w:p>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其他</w:t>
            </w:r>
          </w:p>
        </w:tc>
        <w:tc>
          <w:tcPr>
            <w:tcW w:w="1071"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center"/>
              <w:rPr>
                <w:sz w:val="18"/>
                <w:szCs w:val="18"/>
              </w:rPr>
            </w:pPr>
          </w:p>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确认为无形资产</w:t>
            </w:r>
          </w:p>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转入当期损益</w:t>
            </w:r>
          </w:p>
        </w:tc>
        <w:tc>
          <w:tcPr>
            <w:tcW w:w="1071"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center"/>
              <w:rPr>
                <w:sz w:val="18"/>
                <w:szCs w:val="18"/>
              </w:rPr>
            </w:pPr>
          </w:p>
        </w:tc>
        <w:tc>
          <w:tcPr>
            <w:tcW w:w="1071"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r>
      <w:tr w:rsidR="00E20B54" w:rsidTr="00AA0900">
        <w:trPr>
          <w:trHeight w:val="240"/>
        </w:trPr>
        <w:tc>
          <w:tcPr>
            <w:tcW w:w="1071" w:type="dxa"/>
            <w:tcBorders>
              <w:top w:val="single" w:sz="2" w:space="0" w:color="auto"/>
              <w:left w:val="single" w:sz="2" w:space="0" w:color="auto"/>
              <w:bottom w:val="single" w:sz="2" w:space="0" w:color="auto"/>
              <w:right w:val="single" w:sz="2" w:space="0" w:color="auto"/>
            </w:tcBorders>
            <w:shd w:val="clear" w:color="auto" w:fill="D9D9D9" w:themeFill="background1" w:themeFillShade="D9"/>
            <w:vAlign w:val="center"/>
          </w:tcPr>
          <w:p w:rsidR="00E20B54" w:rsidRDefault="00733C9E">
            <w:pPr>
              <w:spacing w:line="240" w:lineRule="exact"/>
              <w:rPr>
                <w:sz w:val="18"/>
                <w:szCs w:val="18"/>
              </w:rPr>
            </w:pPr>
            <w:r>
              <w:rPr>
                <w:sz w:val="18"/>
                <w:szCs w:val="18"/>
              </w:rPr>
              <w:t>翼启</w:t>
            </w:r>
            <w:r>
              <w:rPr>
                <w:sz w:val="18"/>
                <w:szCs w:val="18"/>
              </w:rPr>
              <w:t>AI</w:t>
            </w:r>
            <w:r>
              <w:rPr>
                <w:sz w:val="18"/>
                <w:szCs w:val="18"/>
              </w:rPr>
              <w:t>政策计算器</w:t>
            </w:r>
          </w:p>
        </w:tc>
        <w:tc>
          <w:tcPr>
            <w:tcW w:w="1071"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0.00</w:t>
            </w:r>
          </w:p>
        </w:tc>
        <w:tc>
          <w:tcPr>
            <w:tcW w:w="1071"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154,773.00</w:t>
            </w:r>
          </w:p>
        </w:tc>
        <w:tc>
          <w:tcPr>
            <w:tcW w:w="1071"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110,713.99</w:t>
            </w:r>
          </w:p>
        </w:tc>
        <w:tc>
          <w:tcPr>
            <w:tcW w:w="1071"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44,059.01</w:t>
            </w:r>
          </w:p>
        </w:tc>
        <w:tc>
          <w:tcPr>
            <w:tcW w:w="1071"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0.00</w:t>
            </w:r>
          </w:p>
        </w:tc>
      </w:tr>
      <w:tr w:rsidR="00E20B54">
        <w:trPr>
          <w:trHeight w:val="240"/>
        </w:trPr>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合计</w:t>
            </w:r>
          </w:p>
        </w:tc>
        <w:tc>
          <w:tcPr>
            <w:tcW w:w="1071"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0.00</w:t>
            </w:r>
          </w:p>
        </w:tc>
        <w:tc>
          <w:tcPr>
            <w:tcW w:w="1071"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154,773.00</w:t>
            </w:r>
          </w:p>
        </w:tc>
        <w:tc>
          <w:tcPr>
            <w:tcW w:w="1071"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110,713.99</w:t>
            </w:r>
          </w:p>
        </w:tc>
        <w:tc>
          <w:tcPr>
            <w:tcW w:w="1071"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44,059.01</w:t>
            </w:r>
          </w:p>
        </w:tc>
        <w:tc>
          <w:tcPr>
            <w:tcW w:w="1071"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071"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0.00</w:t>
            </w:r>
          </w:p>
        </w:tc>
      </w:tr>
    </w:tbl>
    <w:p w:rsidR="00E20B54" w:rsidRDefault="00733C9E">
      <w:pPr>
        <w:spacing w:before="100" w:after="100" w:line="240" w:lineRule="exact"/>
        <w:rPr>
          <w:sz w:val="18"/>
          <w:szCs w:val="18"/>
        </w:rPr>
      </w:pPr>
      <w:r>
        <w:rPr>
          <w:sz w:val="18"/>
          <w:szCs w:val="18"/>
        </w:rPr>
        <w:t>重要的资本化研发项目</w:t>
      </w:r>
    </w:p>
    <w:p w:rsidR="00E20B54" w:rsidRDefault="00E20B54">
      <w:pPr>
        <w:spacing w:line="0" w:lineRule="atLeast"/>
      </w:pP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606"/>
        <w:gridCol w:w="1606"/>
        <w:gridCol w:w="1606"/>
        <w:gridCol w:w="1607"/>
        <w:gridCol w:w="1607"/>
        <w:gridCol w:w="1607"/>
      </w:tblGrid>
      <w:tr w:rsidR="00E20B54">
        <w:trPr>
          <w:trHeight w:val="240"/>
        </w:trPr>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项目</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研发进度</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预计完成时间</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预计经济利益产</w:t>
            </w:r>
            <w:r>
              <w:rPr>
                <w:sz w:val="18"/>
                <w:szCs w:val="18"/>
              </w:rPr>
              <w:lastRenderedPageBreak/>
              <w:t>生方式</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lastRenderedPageBreak/>
              <w:t>开始资本化的时</w:t>
            </w:r>
            <w:r>
              <w:rPr>
                <w:sz w:val="18"/>
                <w:szCs w:val="18"/>
              </w:rPr>
              <w:lastRenderedPageBreak/>
              <w:t>点</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lastRenderedPageBreak/>
              <w:t>开始资本化的具</w:t>
            </w:r>
            <w:r>
              <w:rPr>
                <w:sz w:val="18"/>
                <w:szCs w:val="18"/>
              </w:rPr>
              <w:lastRenderedPageBreak/>
              <w:t>体依据</w:t>
            </w:r>
          </w:p>
        </w:tc>
      </w:tr>
    </w:tbl>
    <w:p w:rsidR="00E20B54" w:rsidRDefault="00733C9E">
      <w:pPr>
        <w:spacing w:before="100" w:after="100" w:line="240" w:lineRule="exact"/>
        <w:rPr>
          <w:sz w:val="18"/>
          <w:szCs w:val="18"/>
        </w:rPr>
      </w:pPr>
      <w:r>
        <w:rPr>
          <w:sz w:val="18"/>
          <w:szCs w:val="18"/>
        </w:rPr>
        <w:lastRenderedPageBreak/>
        <w:t>开发支出减值准备</w:t>
      </w:r>
    </w:p>
    <w:p w:rsidR="00E20B54" w:rsidRDefault="00733C9E">
      <w:pPr>
        <w:spacing w:before="40" w:after="40" w:line="240" w:lineRule="exact"/>
        <w:jc w:val="right"/>
        <w:rPr>
          <w:sz w:val="18"/>
          <w:szCs w:val="18"/>
        </w:rPr>
      </w:pPr>
      <w:r>
        <w:rPr>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606"/>
        <w:gridCol w:w="1606"/>
        <w:gridCol w:w="1606"/>
        <w:gridCol w:w="1607"/>
        <w:gridCol w:w="1607"/>
        <w:gridCol w:w="1607"/>
      </w:tblGrid>
      <w:tr w:rsidR="00E20B54">
        <w:trPr>
          <w:trHeight w:val="240"/>
        </w:trPr>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项目</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期初余额</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本期增加</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本期减少</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期末余额</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减值测试情况</w:t>
            </w:r>
          </w:p>
        </w:tc>
      </w:tr>
    </w:tbl>
    <w:p w:rsidR="00E20B54" w:rsidRDefault="00733C9E">
      <w:pPr>
        <w:pStyle w:val="3"/>
        <w:spacing w:line="280" w:lineRule="exact"/>
        <w:jc w:val="left"/>
        <w:rPr>
          <w:b/>
          <w:bCs/>
        </w:rPr>
      </w:pPr>
      <w:bookmarkStart w:id="378" w:name="_Toc989266"/>
      <w:r>
        <w:rPr>
          <w:b/>
          <w:bCs/>
        </w:rPr>
        <w:t>2</w:t>
      </w:r>
      <w:r>
        <w:rPr>
          <w:b/>
          <w:bCs/>
        </w:rPr>
        <w:t>、重要外购在研项目</w:t>
      </w:r>
      <w:bookmarkEnd w:id="378"/>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项目名称</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预期产生经济利益的方式</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资本化或费用化的判断标准和具体依据</w:t>
            </w:r>
          </w:p>
        </w:tc>
      </w:tr>
    </w:tbl>
    <w:p w:rsidR="00E20B54" w:rsidRDefault="00733C9E">
      <w:pPr>
        <w:spacing w:before="100" w:after="100" w:line="240" w:lineRule="exact"/>
        <w:rPr>
          <w:sz w:val="18"/>
          <w:szCs w:val="18"/>
        </w:rPr>
      </w:pPr>
      <w:r>
        <w:rPr>
          <w:sz w:val="18"/>
          <w:szCs w:val="18"/>
        </w:rPr>
        <w:t>其他说明：</w:t>
      </w:r>
      <w:r w:rsidR="00AA0900">
        <w:rPr>
          <w:rFonts w:hint="eastAsia"/>
          <w:sz w:val="18"/>
          <w:szCs w:val="18"/>
        </w:rPr>
        <w:t>无。</w:t>
      </w:r>
    </w:p>
    <w:p w:rsidR="00E20B54" w:rsidRDefault="00733C9E">
      <w:pPr>
        <w:pStyle w:val="2"/>
        <w:spacing w:before="300" w:after="300" w:line="320" w:lineRule="exact"/>
        <w:rPr>
          <w:b/>
          <w:bCs/>
          <w:sz w:val="24"/>
          <w:szCs w:val="24"/>
        </w:rPr>
      </w:pPr>
      <w:bookmarkStart w:id="379" w:name="_Toc989267"/>
      <w:r>
        <w:rPr>
          <w:b/>
          <w:bCs/>
          <w:sz w:val="24"/>
          <w:szCs w:val="24"/>
        </w:rPr>
        <w:t>九、合并范围的变更</w:t>
      </w:r>
      <w:bookmarkEnd w:id="379"/>
    </w:p>
    <w:p w:rsidR="00E20B54" w:rsidRDefault="00733C9E">
      <w:pPr>
        <w:pStyle w:val="3"/>
        <w:spacing w:line="280" w:lineRule="exact"/>
        <w:jc w:val="left"/>
        <w:rPr>
          <w:b/>
          <w:bCs/>
        </w:rPr>
      </w:pPr>
      <w:bookmarkStart w:id="380" w:name="_Toc989268"/>
      <w:r>
        <w:rPr>
          <w:b/>
          <w:bCs/>
        </w:rPr>
        <w:t>1</w:t>
      </w:r>
      <w:r>
        <w:rPr>
          <w:b/>
          <w:bCs/>
        </w:rPr>
        <w:t>、非同一控制下企业合并</w:t>
      </w:r>
      <w:bookmarkEnd w:id="380"/>
    </w:p>
    <w:p w:rsidR="00E20B54" w:rsidRDefault="00733C9E">
      <w:pPr>
        <w:keepNext/>
        <w:keepLines/>
        <w:spacing w:before="300" w:after="300" w:line="280" w:lineRule="exact"/>
        <w:outlineLvl w:val="3"/>
        <w:rPr>
          <w:b/>
          <w:bCs/>
          <w:sz w:val="18"/>
          <w:szCs w:val="18"/>
        </w:rPr>
      </w:pPr>
      <w:bookmarkStart w:id="381" w:name="_Toc989269"/>
      <w:r>
        <w:rPr>
          <w:b/>
          <w:bCs/>
          <w:sz w:val="18"/>
          <w:szCs w:val="18"/>
        </w:rPr>
        <w:t>（</w:t>
      </w:r>
      <w:r>
        <w:rPr>
          <w:b/>
          <w:bCs/>
          <w:sz w:val="18"/>
          <w:szCs w:val="18"/>
        </w:rPr>
        <w:t>1</w:t>
      </w:r>
      <w:r>
        <w:rPr>
          <w:b/>
          <w:bCs/>
          <w:sz w:val="18"/>
          <w:szCs w:val="18"/>
        </w:rPr>
        <w:t>）</w:t>
      </w:r>
      <w:r>
        <w:rPr>
          <w:b/>
          <w:bCs/>
          <w:sz w:val="18"/>
          <w:szCs w:val="18"/>
        </w:rPr>
        <w:t xml:space="preserve"> </w:t>
      </w:r>
      <w:r>
        <w:rPr>
          <w:b/>
          <w:bCs/>
          <w:sz w:val="18"/>
          <w:szCs w:val="18"/>
        </w:rPr>
        <w:t>本期发生的非同一控制下企业合并</w:t>
      </w:r>
      <w:bookmarkEnd w:id="381"/>
    </w:p>
    <w:p w:rsidR="00E20B54" w:rsidRDefault="00733C9E">
      <w:pPr>
        <w:spacing w:before="40" w:after="40" w:line="240" w:lineRule="exact"/>
        <w:jc w:val="right"/>
        <w:rPr>
          <w:sz w:val="18"/>
          <w:szCs w:val="18"/>
        </w:rPr>
      </w:pPr>
      <w:r>
        <w:rPr>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963"/>
        <w:gridCol w:w="964"/>
        <w:gridCol w:w="964"/>
        <w:gridCol w:w="964"/>
        <w:gridCol w:w="964"/>
        <w:gridCol w:w="964"/>
        <w:gridCol w:w="964"/>
        <w:gridCol w:w="964"/>
        <w:gridCol w:w="964"/>
        <w:gridCol w:w="964"/>
      </w:tblGrid>
      <w:tr w:rsidR="00E20B54">
        <w:trPr>
          <w:trHeight w:val="240"/>
        </w:trPr>
        <w:tc>
          <w:tcPr>
            <w:tcW w:w="964"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被购买方名称</w:t>
            </w:r>
          </w:p>
        </w:tc>
        <w:tc>
          <w:tcPr>
            <w:tcW w:w="964"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股权取得时点</w:t>
            </w:r>
          </w:p>
        </w:tc>
        <w:tc>
          <w:tcPr>
            <w:tcW w:w="964"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股权取得成本</w:t>
            </w:r>
          </w:p>
        </w:tc>
        <w:tc>
          <w:tcPr>
            <w:tcW w:w="964"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股权取得比例</w:t>
            </w:r>
          </w:p>
        </w:tc>
        <w:tc>
          <w:tcPr>
            <w:tcW w:w="964"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股权取得方式</w:t>
            </w:r>
          </w:p>
        </w:tc>
        <w:tc>
          <w:tcPr>
            <w:tcW w:w="964"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购买日</w:t>
            </w:r>
          </w:p>
        </w:tc>
        <w:tc>
          <w:tcPr>
            <w:tcW w:w="964"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购买日的确定依据</w:t>
            </w:r>
          </w:p>
        </w:tc>
        <w:tc>
          <w:tcPr>
            <w:tcW w:w="964"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购买日至期末被购买方的收入</w:t>
            </w:r>
          </w:p>
        </w:tc>
        <w:tc>
          <w:tcPr>
            <w:tcW w:w="964"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购买日至期末被购买方的净利润</w:t>
            </w:r>
          </w:p>
        </w:tc>
        <w:tc>
          <w:tcPr>
            <w:tcW w:w="964"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购买日至期末被购买方的现金流</w:t>
            </w:r>
          </w:p>
        </w:tc>
      </w:tr>
    </w:tbl>
    <w:p w:rsidR="00E20B54" w:rsidRDefault="00733C9E">
      <w:pPr>
        <w:spacing w:before="100" w:after="100" w:line="240" w:lineRule="exact"/>
        <w:rPr>
          <w:sz w:val="18"/>
          <w:szCs w:val="18"/>
        </w:rPr>
      </w:pPr>
      <w:r>
        <w:rPr>
          <w:sz w:val="18"/>
          <w:szCs w:val="18"/>
        </w:rPr>
        <w:t>其他说明：</w:t>
      </w:r>
      <w:r w:rsidR="00AA0900">
        <w:rPr>
          <w:rFonts w:hint="eastAsia"/>
          <w:sz w:val="18"/>
          <w:szCs w:val="18"/>
        </w:rPr>
        <w:t>本期无非</w:t>
      </w:r>
      <w:r w:rsidR="00AA0900" w:rsidRPr="00AA0900">
        <w:rPr>
          <w:rFonts w:hint="eastAsia"/>
          <w:sz w:val="18"/>
          <w:szCs w:val="18"/>
        </w:rPr>
        <w:t>同一控制下企业合并</w:t>
      </w:r>
      <w:r w:rsidR="00AA0900">
        <w:rPr>
          <w:rFonts w:hint="eastAsia"/>
          <w:sz w:val="18"/>
          <w:szCs w:val="18"/>
        </w:rPr>
        <w:t>。</w:t>
      </w:r>
    </w:p>
    <w:p w:rsidR="00E20B54" w:rsidRDefault="00733C9E">
      <w:pPr>
        <w:keepNext/>
        <w:keepLines/>
        <w:spacing w:before="300" w:after="300" w:line="280" w:lineRule="exact"/>
        <w:outlineLvl w:val="3"/>
        <w:rPr>
          <w:b/>
          <w:bCs/>
          <w:sz w:val="18"/>
          <w:szCs w:val="18"/>
        </w:rPr>
      </w:pPr>
      <w:bookmarkStart w:id="382" w:name="_Toc989270"/>
      <w:r>
        <w:rPr>
          <w:b/>
          <w:bCs/>
          <w:sz w:val="18"/>
          <w:szCs w:val="18"/>
        </w:rPr>
        <w:t>（</w:t>
      </w:r>
      <w:r>
        <w:rPr>
          <w:b/>
          <w:bCs/>
          <w:sz w:val="18"/>
          <w:szCs w:val="18"/>
        </w:rPr>
        <w:t>2</w:t>
      </w:r>
      <w:r>
        <w:rPr>
          <w:b/>
          <w:bCs/>
          <w:sz w:val="18"/>
          <w:szCs w:val="18"/>
        </w:rPr>
        <w:t>）</w:t>
      </w:r>
      <w:r>
        <w:rPr>
          <w:b/>
          <w:bCs/>
          <w:sz w:val="18"/>
          <w:szCs w:val="18"/>
        </w:rPr>
        <w:t xml:space="preserve"> </w:t>
      </w:r>
      <w:r>
        <w:rPr>
          <w:b/>
          <w:bCs/>
          <w:sz w:val="18"/>
          <w:szCs w:val="18"/>
        </w:rPr>
        <w:t>合并成本及商誉</w:t>
      </w:r>
      <w:bookmarkEnd w:id="382"/>
    </w:p>
    <w:p w:rsidR="00E20B54" w:rsidRDefault="00733C9E">
      <w:pPr>
        <w:spacing w:before="40" w:after="40" w:line="240" w:lineRule="exact"/>
        <w:jc w:val="right"/>
        <w:rPr>
          <w:sz w:val="18"/>
          <w:szCs w:val="18"/>
        </w:rPr>
      </w:pPr>
      <w:r>
        <w:rPr>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4820"/>
        <w:gridCol w:w="4819"/>
      </w:tblGrid>
      <w:tr w:rsidR="00E20B54">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合并成本</w:t>
            </w:r>
          </w:p>
        </w:tc>
        <w:tc>
          <w:tcPr>
            <w:tcW w:w="4820"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center"/>
              <w:rPr>
                <w:sz w:val="18"/>
                <w:szCs w:val="18"/>
              </w:rPr>
            </w:pPr>
          </w:p>
        </w:tc>
      </w:tr>
      <w:tr w:rsidR="00E20B54">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w:t>
            </w:r>
            <w:r>
              <w:rPr>
                <w:sz w:val="18"/>
                <w:szCs w:val="18"/>
              </w:rPr>
              <w:t>现金</w:t>
            </w:r>
          </w:p>
        </w:tc>
        <w:tc>
          <w:tcPr>
            <w:tcW w:w="4820"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r w:rsidR="00E20B54">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w:t>
            </w:r>
            <w:r>
              <w:rPr>
                <w:sz w:val="18"/>
                <w:szCs w:val="18"/>
              </w:rPr>
              <w:t>非现金资产的公允价值</w:t>
            </w:r>
          </w:p>
        </w:tc>
        <w:tc>
          <w:tcPr>
            <w:tcW w:w="4820"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r w:rsidR="00E20B54">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w:t>
            </w:r>
            <w:r>
              <w:rPr>
                <w:sz w:val="18"/>
                <w:szCs w:val="18"/>
              </w:rPr>
              <w:t>发行或承担的债务的公允价值</w:t>
            </w:r>
          </w:p>
        </w:tc>
        <w:tc>
          <w:tcPr>
            <w:tcW w:w="4820"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r w:rsidR="00E20B54">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w:t>
            </w:r>
            <w:r>
              <w:rPr>
                <w:sz w:val="18"/>
                <w:szCs w:val="18"/>
              </w:rPr>
              <w:t>发行的权益性证券的公允价值</w:t>
            </w:r>
          </w:p>
        </w:tc>
        <w:tc>
          <w:tcPr>
            <w:tcW w:w="4820"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r w:rsidR="00E20B54">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w:t>
            </w:r>
            <w:r>
              <w:rPr>
                <w:sz w:val="18"/>
                <w:szCs w:val="18"/>
              </w:rPr>
              <w:t>或有对价的公允价值</w:t>
            </w:r>
          </w:p>
        </w:tc>
        <w:tc>
          <w:tcPr>
            <w:tcW w:w="4820"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r w:rsidR="00E20B54">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w:t>
            </w:r>
            <w:r>
              <w:rPr>
                <w:sz w:val="18"/>
                <w:szCs w:val="18"/>
              </w:rPr>
              <w:t>购买日之前持有的股权于购买日的公允价值</w:t>
            </w:r>
          </w:p>
        </w:tc>
        <w:tc>
          <w:tcPr>
            <w:tcW w:w="4820"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r w:rsidR="00E20B54">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w:t>
            </w:r>
            <w:r>
              <w:rPr>
                <w:sz w:val="18"/>
                <w:szCs w:val="18"/>
              </w:rPr>
              <w:t>其他</w:t>
            </w:r>
          </w:p>
        </w:tc>
        <w:tc>
          <w:tcPr>
            <w:tcW w:w="4820"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r w:rsidR="00E20B54">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合并成本合计</w:t>
            </w:r>
          </w:p>
        </w:tc>
        <w:tc>
          <w:tcPr>
            <w:tcW w:w="4820"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r w:rsidR="00E20B54">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减：取得的可辨认净资产公允价值份额</w:t>
            </w:r>
          </w:p>
        </w:tc>
        <w:tc>
          <w:tcPr>
            <w:tcW w:w="4820"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r w:rsidR="00E20B54">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商誉</w:t>
            </w:r>
            <w:r>
              <w:rPr>
                <w:sz w:val="18"/>
                <w:szCs w:val="18"/>
              </w:rPr>
              <w:t>/</w:t>
            </w:r>
            <w:r>
              <w:rPr>
                <w:sz w:val="18"/>
                <w:szCs w:val="18"/>
              </w:rPr>
              <w:t>合并成本小于取得的可辨认净资产公允价值份额的金额</w:t>
            </w:r>
          </w:p>
        </w:tc>
        <w:tc>
          <w:tcPr>
            <w:tcW w:w="4820"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bl>
    <w:p w:rsidR="00E20B54" w:rsidRDefault="00733C9E">
      <w:pPr>
        <w:spacing w:before="100" w:after="100" w:line="240" w:lineRule="exact"/>
        <w:rPr>
          <w:sz w:val="18"/>
          <w:szCs w:val="18"/>
        </w:rPr>
      </w:pPr>
      <w:r>
        <w:rPr>
          <w:sz w:val="18"/>
          <w:szCs w:val="18"/>
        </w:rPr>
        <w:t>合并成本公允价值的确定方法：</w:t>
      </w:r>
      <w:r w:rsidR="00FC748D">
        <w:rPr>
          <w:rFonts w:hint="eastAsia"/>
          <w:sz w:val="18"/>
          <w:szCs w:val="18"/>
        </w:rPr>
        <w:t>不适用。</w:t>
      </w:r>
    </w:p>
    <w:p w:rsidR="00E20B54" w:rsidRDefault="00733C9E">
      <w:pPr>
        <w:spacing w:before="100" w:after="100" w:line="240" w:lineRule="exact"/>
        <w:rPr>
          <w:sz w:val="18"/>
          <w:szCs w:val="18"/>
        </w:rPr>
      </w:pPr>
      <w:r>
        <w:rPr>
          <w:sz w:val="18"/>
          <w:szCs w:val="18"/>
        </w:rPr>
        <w:t>或有对价及其变动的说明</w:t>
      </w:r>
      <w:r w:rsidR="00FC748D">
        <w:rPr>
          <w:rFonts w:hint="eastAsia"/>
          <w:sz w:val="18"/>
          <w:szCs w:val="18"/>
        </w:rPr>
        <w:t>：不适用。</w:t>
      </w:r>
    </w:p>
    <w:p w:rsidR="00E20B54" w:rsidRDefault="00733C9E">
      <w:pPr>
        <w:spacing w:before="100" w:after="100" w:line="240" w:lineRule="exact"/>
        <w:rPr>
          <w:sz w:val="18"/>
          <w:szCs w:val="18"/>
        </w:rPr>
      </w:pPr>
      <w:r>
        <w:rPr>
          <w:sz w:val="18"/>
          <w:szCs w:val="18"/>
        </w:rPr>
        <w:t>大额商誉形成的主要原因：</w:t>
      </w:r>
      <w:r w:rsidR="00FC748D">
        <w:rPr>
          <w:rFonts w:hint="eastAsia"/>
          <w:sz w:val="18"/>
          <w:szCs w:val="18"/>
        </w:rPr>
        <w:t>不适用。</w:t>
      </w:r>
    </w:p>
    <w:p w:rsidR="00E20B54" w:rsidRDefault="00733C9E">
      <w:pPr>
        <w:spacing w:before="100" w:after="100" w:line="240" w:lineRule="exact"/>
        <w:rPr>
          <w:sz w:val="18"/>
          <w:szCs w:val="18"/>
        </w:rPr>
      </w:pPr>
      <w:r>
        <w:rPr>
          <w:sz w:val="18"/>
          <w:szCs w:val="18"/>
        </w:rPr>
        <w:t>其他说明：</w:t>
      </w:r>
      <w:r w:rsidR="00FC748D">
        <w:rPr>
          <w:rFonts w:hint="eastAsia"/>
          <w:sz w:val="18"/>
          <w:szCs w:val="18"/>
        </w:rPr>
        <w:t>不适用。</w:t>
      </w:r>
    </w:p>
    <w:p w:rsidR="00E20B54" w:rsidRDefault="00733C9E">
      <w:pPr>
        <w:keepNext/>
        <w:keepLines/>
        <w:spacing w:before="300" w:after="300" w:line="280" w:lineRule="exact"/>
        <w:outlineLvl w:val="3"/>
        <w:rPr>
          <w:b/>
          <w:bCs/>
          <w:sz w:val="18"/>
          <w:szCs w:val="18"/>
        </w:rPr>
      </w:pPr>
      <w:bookmarkStart w:id="383" w:name="_Toc989271"/>
      <w:r>
        <w:rPr>
          <w:b/>
          <w:bCs/>
          <w:sz w:val="18"/>
          <w:szCs w:val="18"/>
        </w:rPr>
        <w:lastRenderedPageBreak/>
        <w:t>（</w:t>
      </w:r>
      <w:r>
        <w:rPr>
          <w:b/>
          <w:bCs/>
          <w:sz w:val="18"/>
          <w:szCs w:val="18"/>
        </w:rPr>
        <w:t>3</w:t>
      </w:r>
      <w:r>
        <w:rPr>
          <w:b/>
          <w:bCs/>
          <w:sz w:val="18"/>
          <w:szCs w:val="18"/>
        </w:rPr>
        <w:t>）</w:t>
      </w:r>
      <w:r>
        <w:rPr>
          <w:b/>
          <w:bCs/>
          <w:sz w:val="18"/>
          <w:szCs w:val="18"/>
        </w:rPr>
        <w:t xml:space="preserve"> </w:t>
      </w:r>
      <w:r>
        <w:rPr>
          <w:b/>
          <w:bCs/>
          <w:sz w:val="18"/>
          <w:szCs w:val="18"/>
        </w:rPr>
        <w:t>被购买方于购买日可辨认资产、负债</w:t>
      </w:r>
      <w:bookmarkEnd w:id="383"/>
    </w:p>
    <w:p w:rsidR="00E20B54" w:rsidRDefault="00733C9E">
      <w:pPr>
        <w:spacing w:before="40" w:after="40" w:line="240" w:lineRule="exact"/>
        <w:jc w:val="right"/>
        <w:rPr>
          <w:sz w:val="18"/>
          <w:szCs w:val="18"/>
        </w:rPr>
      </w:pPr>
      <w:r>
        <w:rPr>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E20B54">
        <w:trPr>
          <w:trHeight w:val="240"/>
        </w:trPr>
        <w:tc>
          <w:tcPr>
            <w:tcW w:w="3213"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c>
          <w:tcPr>
            <w:tcW w:w="6426" w:type="dxa"/>
            <w:gridSpan w:val="2"/>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center"/>
              <w:rPr>
                <w:sz w:val="18"/>
                <w:szCs w:val="18"/>
              </w:rPr>
            </w:pPr>
          </w:p>
        </w:tc>
      </w:tr>
      <w:tr w:rsidR="00E20B54">
        <w:trPr>
          <w:trHeight w:val="240"/>
        </w:trPr>
        <w:tc>
          <w:tcPr>
            <w:tcW w:w="3213"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购买日公允价值</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购买日账面价值</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资产：</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货币资金</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应收款项</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存货</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固定资产</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无形资产</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负债：</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借款</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应付款项</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递延所得税负债</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净资产</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减：少数股东权益</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取得的净资产</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bl>
    <w:p w:rsidR="00E20B54" w:rsidRDefault="00733C9E">
      <w:pPr>
        <w:spacing w:before="100" w:after="100" w:line="240" w:lineRule="exact"/>
        <w:rPr>
          <w:sz w:val="18"/>
          <w:szCs w:val="18"/>
        </w:rPr>
      </w:pPr>
      <w:r>
        <w:rPr>
          <w:sz w:val="18"/>
          <w:szCs w:val="18"/>
        </w:rPr>
        <w:t>可辨认资产、负债公允价值的确定方法：</w:t>
      </w:r>
      <w:r w:rsidR="00FC748D">
        <w:rPr>
          <w:rFonts w:hint="eastAsia"/>
          <w:sz w:val="18"/>
          <w:szCs w:val="18"/>
        </w:rPr>
        <w:t>不适用。</w:t>
      </w:r>
    </w:p>
    <w:p w:rsidR="00E20B54" w:rsidRDefault="00733C9E">
      <w:pPr>
        <w:spacing w:before="100" w:after="100" w:line="240" w:lineRule="exact"/>
        <w:rPr>
          <w:sz w:val="18"/>
          <w:szCs w:val="18"/>
        </w:rPr>
      </w:pPr>
      <w:r>
        <w:rPr>
          <w:sz w:val="18"/>
          <w:szCs w:val="18"/>
        </w:rPr>
        <w:t>企业合并中承担的被购买方的或有负债：</w:t>
      </w:r>
      <w:r w:rsidR="00FC748D">
        <w:rPr>
          <w:rFonts w:hint="eastAsia"/>
          <w:sz w:val="18"/>
          <w:szCs w:val="18"/>
        </w:rPr>
        <w:t>不适用。</w:t>
      </w:r>
    </w:p>
    <w:p w:rsidR="00E20B54" w:rsidRDefault="00733C9E">
      <w:pPr>
        <w:spacing w:before="100" w:after="100" w:line="240" w:lineRule="exact"/>
        <w:rPr>
          <w:sz w:val="18"/>
          <w:szCs w:val="18"/>
        </w:rPr>
      </w:pPr>
      <w:r>
        <w:rPr>
          <w:sz w:val="18"/>
          <w:szCs w:val="18"/>
        </w:rPr>
        <w:t>其他说明：</w:t>
      </w:r>
      <w:r w:rsidR="00FC748D">
        <w:rPr>
          <w:rFonts w:hint="eastAsia"/>
          <w:sz w:val="18"/>
          <w:szCs w:val="18"/>
        </w:rPr>
        <w:t>不适用。</w:t>
      </w:r>
    </w:p>
    <w:p w:rsidR="00E20B54" w:rsidRDefault="00733C9E">
      <w:pPr>
        <w:keepNext/>
        <w:keepLines/>
        <w:spacing w:before="300" w:after="300" w:line="280" w:lineRule="exact"/>
        <w:outlineLvl w:val="3"/>
        <w:rPr>
          <w:b/>
          <w:bCs/>
          <w:sz w:val="18"/>
          <w:szCs w:val="18"/>
        </w:rPr>
      </w:pPr>
      <w:bookmarkStart w:id="384" w:name="_Toc989272"/>
      <w:r>
        <w:rPr>
          <w:b/>
          <w:bCs/>
          <w:sz w:val="18"/>
          <w:szCs w:val="18"/>
        </w:rPr>
        <w:t>（</w:t>
      </w:r>
      <w:r>
        <w:rPr>
          <w:b/>
          <w:bCs/>
          <w:sz w:val="18"/>
          <w:szCs w:val="18"/>
        </w:rPr>
        <w:t>4</w:t>
      </w:r>
      <w:r>
        <w:rPr>
          <w:b/>
          <w:bCs/>
          <w:sz w:val="18"/>
          <w:szCs w:val="18"/>
        </w:rPr>
        <w:t>）</w:t>
      </w:r>
      <w:r>
        <w:rPr>
          <w:b/>
          <w:bCs/>
          <w:sz w:val="18"/>
          <w:szCs w:val="18"/>
        </w:rPr>
        <w:t xml:space="preserve"> </w:t>
      </w:r>
      <w:r>
        <w:rPr>
          <w:b/>
          <w:bCs/>
          <w:sz w:val="18"/>
          <w:szCs w:val="18"/>
        </w:rPr>
        <w:t>购买日之前持有的股权按照公允价值重新计量产生的利得或损失</w:t>
      </w:r>
      <w:bookmarkEnd w:id="384"/>
    </w:p>
    <w:p w:rsidR="00E20B54" w:rsidRDefault="00733C9E">
      <w:pPr>
        <w:spacing w:before="100" w:after="100" w:line="240" w:lineRule="exact"/>
        <w:rPr>
          <w:sz w:val="18"/>
          <w:szCs w:val="18"/>
        </w:rPr>
      </w:pPr>
      <w:r>
        <w:rPr>
          <w:sz w:val="18"/>
          <w:szCs w:val="18"/>
        </w:rPr>
        <w:t>是否存在通过多次交易分步实现企业合并且在报告期内取得控制权的交易</w:t>
      </w:r>
    </w:p>
    <w:p w:rsidR="00E20B54" w:rsidRDefault="00733C9E">
      <w:pPr>
        <w:spacing w:line="240" w:lineRule="exact"/>
        <w:rPr>
          <w:sz w:val="18"/>
          <w:szCs w:val="18"/>
        </w:rPr>
      </w:pPr>
      <w:r>
        <w:rPr>
          <w:sz w:val="18"/>
          <w:szCs w:val="18"/>
        </w:rPr>
        <w:t>□</w:t>
      </w:r>
      <w:r>
        <w:rPr>
          <w:sz w:val="18"/>
          <w:szCs w:val="18"/>
        </w:rPr>
        <w:t>是</w:t>
      </w:r>
      <w:r>
        <w:rPr>
          <w:sz w:val="18"/>
          <w:szCs w:val="18"/>
        </w:rPr>
        <w:t xml:space="preserve"> </w:t>
      </w:r>
      <w:r>
        <w:rPr>
          <w:sz w:val="18"/>
          <w:szCs w:val="18"/>
        </w:rPr>
        <w:sym w:font="Wingdings 2" w:char="F052"/>
      </w:r>
      <w:r>
        <w:rPr>
          <w:sz w:val="18"/>
          <w:szCs w:val="18"/>
        </w:rPr>
        <w:t>否</w:t>
      </w:r>
    </w:p>
    <w:p w:rsidR="00E20B54" w:rsidRDefault="00733C9E">
      <w:pPr>
        <w:keepNext/>
        <w:keepLines/>
        <w:spacing w:before="300" w:after="300" w:line="280" w:lineRule="exact"/>
        <w:outlineLvl w:val="3"/>
        <w:rPr>
          <w:b/>
          <w:bCs/>
          <w:sz w:val="18"/>
          <w:szCs w:val="18"/>
        </w:rPr>
      </w:pPr>
      <w:bookmarkStart w:id="385" w:name="_Toc989273"/>
      <w:r>
        <w:rPr>
          <w:b/>
          <w:bCs/>
          <w:sz w:val="18"/>
          <w:szCs w:val="18"/>
        </w:rPr>
        <w:t>（</w:t>
      </w:r>
      <w:r>
        <w:rPr>
          <w:b/>
          <w:bCs/>
          <w:sz w:val="18"/>
          <w:szCs w:val="18"/>
        </w:rPr>
        <w:t>5</w:t>
      </w:r>
      <w:r>
        <w:rPr>
          <w:b/>
          <w:bCs/>
          <w:sz w:val="18"/>
          <w:szCs w:val="18"/>
        </w:rPr>
        <w:t>）</w:t>
      </w:r>
      <w:r>
        <w:rPr>
          <w:b/>
          <w:bCs/>
          <w:sz w:val="18"/>
          <w:szCs w:val="18"/>
        </w:rPr>
        <w:t xml:space="preserve"> </w:t>
      </w:r>
      <w:r>
        <w:rPr>
          <w:b/>
          <w:bCs/>
          <w:sz w:val="18"/>
          <w:szCs w:val="18"/>
        </w:rPr>
        <w:t>购买日或合并当期期末无法合理确定合并对价或被购买方可辨认资产、负债公允价值的相关说明</w:t>
      </w:r>
      <w:bookmarkEnd w:id="385"/>
    </w:p>
    <w:p w:rsidR="00E20B54" w:rsidRDefault="00733C9E">
      <w:pPr>
        <w:keepNext/>
        <w:keepLines/>
        <w:spacing w:before="300" w:after="300" w:line="280" w:lineRule="exact"/>
        <w:outlineLvl w:val="3"/>
        <w:rPr>
          <w:b/>
          <w:bCs/>
          <w:sz w:val="18"/>
          <w:szCs w:val="18"/>
        </w:rPr>
      </w:pPr>
      <w:bookmarkStart w:id="386" w:name="_Toc989274"/>
      <w:r>
        <w:rPr>
          <w:b/>
          <w:bCs/>
          <w:sz w:val="18"/>
          <w:szCs w:val="18"/>
        </w:rPr>
        <w:t>（</w:t>
      </w:r>
      <w:r>
        <w:rPr>
          <w:b/>
          <w:bCs/>
          <w:sz w:val="18"/>
          <w:szCs w:val="18"/>
        </w:rPr>
        <w:t>6</w:t>
      </w:r>
      <w:r>
        <w:rPr>
          <w:b/>
          <w:bCs/>
          <w:sz w:val="18"/>
          <w:szCs w:val="18"/>
        </w:rPr>
        <w:t>）</w:t>
      </w:r>
      <w:r>
        <w:rPr>
          <w:b/>
          <w:bCs/>
          <w:sz w:val="18"/>
          <w:szCs w:val="18"/>
        </w:rPr>
        <w:t xml:space="preserve"> </w:t>
      </w:r>
      <w:r>
        <w:rPr>
          <w:b/>
          <w:bCs/>
          <w:sz w:val="18"/>
          <w:szCs w:val="18"/>
        </w:rPr>
        <w:t>其他说明</w:t>
      </w:r>
      <w:bookmarkEnd w:id="386"/>
    </w:p>
    <w:p w:rsidR="00E20B54" w:rsidRDefault="00733C9E">
      <w:pPr>
        <w:pStyle w:val="3"/>
        <w:spacing w:line="280" w:lineRule="exact"/>
        <w:jc w:val="left"/>
        <w:rPr>
          <w:b/>
          <w:bCs/>
        </w:rPr>
      </w:pPr>
      <w:bookmarkStart w:id="387" w:name="_Toc989275"/>
      <w:r>
        <w:rPr>
          <w:b/>
          <w:bCs/>
        </w:rPr>
        <w:t>2</w:t>
      </w:r>
      <w:r>
        <w:rPr>
          <w:b/>
          <w:bCs/>
        </w:rPr>
        <w:t>、同一控制下企业合并</w:t>
      </w:r>
      <w:bookmarkEnd w:id="387"/>
    </w:p>
    <w:p w:rsidR="00E20B54" w:rsidRDefault="00733C9E">
      <w:pPr>
        <w:keepNext/>
        <w:keepLines/>
        <w:spacing w:before="300" w:after="300" w:line="280" w:lineRule="exact"/>
        <w:outlineLvl w:val="3"/>
        <w:rPr>
          <w:b/>
          <w:bCs/>
          <w:sz w:val="18"/>
          <w:szCs w:val="18"/>
        </w:rPr>
      </w:pPr>
      <w:bookmarkStart w:id="388" w:name="_Toc989276"/>
      <w:r>
        <w:rPr>
          <w:b/>
          <w:bCs/>
          <w:sz w:val="18"/>
          <w:szCs w:val="18"/>
        </w:rPr>
        <w:t>（</w:t>
      </w:r>
      <w:r>
        <w:rPr>
          <w:b/>
          <w:bCs/>
          <w:sz w:val="18"/>
          <w:szCs w:val="18"/>
        </w:rPr>
        <w:t>1</w:t>
      </w:r>
      <w:r>
        <w:rPr>
          <w:b/>
          <w:bCs/>
          <w:sz w:val="18"/>
          <w:szCs w:val="18"/>
        </w:rPr>
        <w:t>）</w:t>
      </w:r>
      <w:r>
        <w:rPr>
          <w:b/>
          <w:bCs/>
          <w:sz w:val="18"/>
          <w:szCs w:val="18"/>
        </w:rPr>
        <w:t xml:space="preserve"> </w:t>
      </w:r>
      <w:r>
        <w:rPr>
          <w:b/>
          <w:bCs/>
          <w:sz w:val="18"/>
          <w:szCs w:val="18"/>
        </w:rPr>
        <w:t>本期发生的同一控制下企业合并</w:t>
      </w:r>
      <w:bookmarkEnd w:id="388"/>
    </w:p>
    <w:p w:rsidR="00E20B54" w:rsidRDefault="00733C9E">
      <w:pPr>
        <w:spacing w:before="40" w:after="40" w:line="240" w:lineRule="exact"/>
        <w:jc w:val="right"/>
        <w:rPr>
          <w:sz w:val="18"/>
          <w:szCs w:val="18"/>
        </w:rPr>
      </w:pPr>
      <w:r>
        <w:rPr>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071"/>
        <w:gridCol w:w="1071"/>
        <w:gridCol w:w="1071"/>
        <w:gridCol w:w="1071"/>
        <w:gridCol w:w="1071"/>
        <w:gridCol w:w="1071"/>
        <w:gridCol w:w="1071"/>
        <w:gridCol w:w="1071"/>
        <w:gridCol w:w="1071"/>
      </w:tblGrid>
      <w:tr w:rsidR="00E20B54">
        <w:trPr>
          <w:trHeight w:val="240"/>
        </w:trPr>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被合并方名称</w:t>
            </w:r>
          </w:p>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企业合并中取得的权益比例</w:t>
            </w:r>
          </w:p>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构成同一控制下企业合并的依据</w:t>
            </w:r>
          </w:p>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合并日</w:t>
            </w:r>
          </w:p>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合并日的确定依据</w:t>
            </w:r>
          </w:p>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合并当期期初至合并日被合并方的收入</w:t>
            </w:r>
          </w:p>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合并当期期初至合并日被合并方的净利润</w:t>
            </w:r>
          </w:p>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比较期间被合并方的收入</w:t>
            </w:r>
          </w:p>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比较期间被合并方的净利润</w:t>
            </w:r>
          </w:p>
        </w:tc>
      </w:tr>
    </w:tbl>
    <w:p w:rsidR="00E20B54" w:rsidRDefault="00733C9E">
      <w:pPr>
        <w:spacing w:before="100" w:after="100" w:line="240" w:lineRule="exact"/>
        <w:rPr>
          <w:sz w:val="18"/>
          <w:szCs w:val="18"/>
        </w:rPr>
      </w:pPr>
      <w:r>
        <w:rPr>
          <w:sz w:val="18"/>
          <w:szCs w:val="18"/>
        </w:rPr>
        <w:t>其他说明：</w:t>
      </w:r>
      <w:r w:rsidR="00A00083">
        <w:rPr>
          <w:rFonts w:hint="eastAsia"/>
          <w:sz w:val="18"/>
          <w:szCs w:val="18"/>
        </w:rPr>
        <w:t>不适用。</w:t>
      </w:r>
    </w:p>
    <w:p w:rsidR="00E20B54" w:rsidRDefault="00733C9E">
      <w:pPr>
        <w:keepNext/>
        <w:keepLines/>
        <w:spacing w:before="300" w:after="300" w:line="280" w:lineRule="exact"/>
        <w:outlineLvl w:val="3"/>
        <w:rPr>
          <w:b/>
          <w:bCs/>
          <w:sz w:val="18"/>
          <w:szCs w:val="18"/>
        </w:rPr>
      </w:pPr>
      <w:bookmarkStart w:id="389" w:name="_Toc989277"/>
      <w:r>
        <w:rPr>
          <w:b/>
          <w:bCs/>
          <w:sz w:val="18"/>
          <w:szCs w:val="18"/>
        </w:rPr>
        <w:t>（</w:t>
      </w:r>
      <w:r>
        <w:rPr>
          <w:b/>
          <w:bCs/>
          <w:sz w:val="18"/>
          <w:szCs w:val="18"/>
        </w:rPr>
        <w:t>2</w:t>
      </w:r>
      <w:r>
        <w:rPr>
          <w:b/>
          <w:bCs/>
          <w:sz w:val="18"/>
          <w:szCs w:val="18"/>
        </w:rPr>
        <w:t>）</w:t>
      </w:r>
      <w:r>
        <w:rPr>
          <w:b/>
          <w:bCs/>
          <w:sz w:val="18"/>
          <w:szCs w:val="18"/>
        </w:rPr>
        <w:t xml:space="preserve"> </w:t>
      </w:r>
      <w:r>
        <w:rPr>
          <w:b/>
          <w:bCs/>
          <w:sz w:val="18"/>
          <w:szCs w:val="18"/>
        </w:rPr>
        <w:t>合并成本</w:t>
      </w:r>
      <w:bookmarkEnd w:id="389"/>
    </w:p>
    <w:p w:rsidR="00E20B54" w:rsidRDefault="00733C9E">
      <w:pPr>
        <w:spacing w:before="40" w:after="40" w:line="240" w:lineRule="exact"/>
        <w:jc w:val="right"/>
        <w:rPr>
          <w:sz w:val="18"/>
          <w:szCs w:val="18"/>
        </w:rPr>
      </w:pPr>
      <w:r>
        <w:rPr>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4820"/>
        <w:gridCol w:w="4819"/>
      </w:tblGrid>
      <w:tr w:rsidR="00E20B54">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lastRenderedPageBreak/>
              <w:t>合并成本</w:t>
            </w:r>
          </w:p>
        </w:tc>
        <w:tc>
          <w:tcPr>
            <w:tcW w:w="4820"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center"/>
              <w:rPr>
                <w:sz w:val="18"/>
                <w:szCs w:val="18"/>
              </w:rPr>
            </w:pPr>
          </w:p>
        </w:tc>
      </w:tr>
      <w:tr w:rsidR="00E20B54">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w:t>
            </w:r>
            <w:r>
              <w:rPr>
                <w:sz w:val="18"/>
                <w:szCs w:val="18"/>
              </w:rPr>
              <w:t>现金</w:t>
            </w:r>
          </w:p>
        </w:tc>
        <w:tc>
          <w:tcPr>
            <w:tcW w:w="4820"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r w:rsidR="00E20B54">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w:t>
            </w:r>
            <w:r>
              <w:rPr>
                <w:sz w:val="18"/>
                <w:szCs w:val="18"/>
              </w:rPr>
              <w:t>非现金资产的账面价值</w:t>
            </w:r>
          </w:p>
        </w:tc>
        <w:tc>
          <w:tcPr>
            <w:tcW w:w="4820"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r w:rsidR="00E20B54">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w:t>
            </w:r>
            <w:r>
              <w:rPr>
                <w:sz w:val="18"/>
                <w:szCs w:val="18"/>
              </w:rPr>
              <w:t>发行或承担的债务的账面价值</w:t>
            </w:r>
          </w:p>
        </w:tc>
        <w:tc>
          <w:tcPr>
            <w:tcW w:w="4820"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r w:rsidR="00E20B54">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w:t>
            </w:r>
            <w:r>
              <w:rPr>
                <w:sz w:val="18"/>
                <w:szCs w:val="18"/>
              </w:rPr>
              <w:t>发行的权益性证券的面值</w:t>
            </w:r>
          </w:p>
        </w:tc>
        <w:tc>
          <w:tcPr>
            <w:tcW w:w="4820"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r w:rsidR="00E20B54">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w:t>
            </w:r>
            <w:r>
              <w:rPr>
                <w:sz w:val="18"/>
                <w:szCs w:val="18"/>
              </w:rPr>
              <w:t>或有对价</w:t>
            </w:r>
          </w:p>
        </w:tc>
        <w:tc>
          <w:tcPr>
            <w:tcW w:w="4820"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bl>
    <w:p w:rsidR="00E20B54" w:rsidRDefault="00733C9E">
      <w:pPr>
        <w:spacing w:before="100" w:after="100" w:line="240" w:lineRule="exact"/>
        <w:rPr>
          <w:sz w:val="18"/>
          <w:szCs w:val="18"/>
        </w:rPr>
      </w:pPr>
      <w:r>
        <w:rPr>
          <w:sz w:val="18"/>
          <w:szCs w:val="18"/>
        </w:rPr>
        <w:t>或有对价及其变动的说明：</w:t>
      </w:r>
      <w:r w:rsidR="00850F70">
        <w:rPr>
          <w:rFonts w:hint="eastAsia"/>
          <w:sz w:val="18"/>
          <w:szCs w:val="18"/>
        </w:rPr>
        <w:t>不适用。</w:t>
      </w:r>
    </w:p>
    <w:p w:rsidR="00E20B54" w:rsidRDefault="00733C9E">
      <w:pPr>
        <w:spacing w:before="100" w:after="100" w:line="240" w:lineRule="exact"/>
        <w:rPr>
          <w:sz w:val="18"/>
          <w:szCs w:val="18"/>
        </w:rPr>
      </w:pPr>
      <w:r>
        <w:rPr>
          <w:sz w:val="18"/>
          <w:szCs w:val="18"/>
        </w:rPr>
        <w:t>其他说明：</w:t>
      </w:r>
      <w:r w:rsidR="00850F70">
        <w:rPr>
          <w:rFonts w:hint="eastAsia"/>
          <w:sz w:val="18"/>
          <w:szCs w:val="18"/>
        </w:rPr>
        <w:t>不适用。</w:t>
      </w:r>
    </w:p>
    <w:p w:rsidR="00E20B54" w:rsidRDefault="00733C9E">
      <w:pPr>
        <w:keepNext/>
        <w:keepLines/>
        <w:spacing w:before="300" w:after="300" w:line="280" w:lineRule="exact"/>
        <w:outlineLvl w:val="3"/>
        <w:rPr>
          <w:b/>
          <w:bCs/>
          <w:sz w:val="18"/>
          <w:szCs w:val="18"/>
        </w:rPr>
      </w:pPr>
      <w:bookmarkStart w:id="390" w:name="_Toc989278"/>
      <w:r>
        <w:rPr>
          <w:b/>
          <w:bCs/>
          <w:sz w:val="18"/>
          <w:szCs w:val="18"/>
        </w:rPr>
        <w:t>（</w:t>
      </w:r>
      <w:r>
        <w:rPr>
          <w:b/>
          <w:bCs/>
          <w:sz w:val="18"/>
          <w:szCs w:val="18"/>
        </w:rPr>
        <w:t>3</w:t>
      </w:r>
      <w:r>
        <w:rPr>
          <w:b/>
          <w:bCs/>
          <w:sz w:val="18"/>
          <w:szCs w:val="18"/>
        </w:rPr>
        <w:t>）</w:t>
      </w:r>
      <w:r>
        <w:rPr>
          <w:b/>
          <w:bCs/>
          <w:sz w:val="18"/>
          <w:szCs w:val="18"/>
        </w:rPr>
        <w:t xml:space="preserve"> </w:t>
      </w:r>
      <w:r>
        <w:rPr>
          <w:b/>
          <w:bCs/>
          <w:sz w:val="18"/>
          <w:szCs w:val="18"/>
        </w:rPr>
        <w:t>合并日被合并方资产、负债的账面价值</w:t>
      </w:r>
      <w:bookmarkEnd w:id="390"/>
    </w:p>
    <w:p w:rsidR="00E20B54" w:rsidRDefault="00733C9E">
      <w:pPr>
        <w:spacing w:before="40" w:after="40" w:line="240" w:lineRule="exact"/>
        <w:jc w:val="right"/>
        <w:rPr>
          <w:sz w:val="18"/>
          <w:szCs w:val="18"/>
        </w:rPr>
      </w:pPr>
      <w:r>
        <w:rPr>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E20B54">
        <w:trPr>
          <w:trHeight w:val="240"/>
        </w:trPr>
        <w:tc>
          <w:tcPr>
            <w:tcW w:w="3213"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c>
          <w:tcPr>
            <w:tcW w:w="6426" w:type="dxa"/>
            <w:gridSpan w:val="2"/>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center"/>
              <w:rPr>
                <w:sz w:val="18"/>
                <w:szCs w:val="18"/>
              </w:rPr>
            </w:pPr>
          </w:p>
        </w:tc>
      </w:tr>
      <w:tr w:rsidR="00E20B54">
        <w:trPr>
          <w:trHeight w:val="240"/>
        </w:trPr>
        <w:tc>
          <w:tcPr>
            <w:tcW w:w="3213"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合并日</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上期期末</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资产：</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货币资金</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应收款项</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存货</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固定资产</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无形资产</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负债：</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借款</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应付款项</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净资产</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减：少数股东权益</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取得的净资产</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bl>
    <w:p w:rsidR="00E20B54" w:rsidRDefault="00733C9E">
      <w:pPr>
        <w:spacing w:before="100" w:after="100" w:line="240" w:lineRule="exact"/>
        <w:rPr>
          <w:sz w:val="18"/>
          <w:szCs w:val="18"/>
        </w:rPr>
      </w:pPr>
      <w:r>
        <w:rPr>
          <w:sz w:val="18"/>
          <w:szCs w:val="18"/>
        </w:rPr>
        <w:t>企业合并中承担的被合并方的或有负债：</w:t>
      </w:r>
      <w:r w:rsidR="00850F70">
        <w:rPr>
          <w:rFonts w:hint="eastAsia"/>
          <w:sz w:val="18"/>
          <w:szCs w:val="18"/>
        </w:rPr>
        <w:t>不适用。</w:t>
      </w:r>
    </w:p>
    <w:p w:rsidR="00E20B54" w:rsidRDefault="00733C9E">
      <w:pPr>
        <w:spacing w:before="100" w:after="100" w:line="240" w:lineRule="exact"/>
        <w:rPr>
          <w:sz w:val="18"/>
          <w:szCs w:val="18"/>
        </w:rPr>
      </w:pPr>
      <w:r>
        <w:rPr>
          <w:sz w:val="18"/>
          <w:szCs w:val="18"/>
        </w:rPr>
        <w:t>其他说明：</w:t>
      </w:r>
      <w:r w:rsidR="00850F70">
        <w:rPr>
          <w:rFonts w:hint="eastAsia"/>
          <w:sz w:val="18"/>
          <w:szCs w:val="18"/>
        </w:rPr>
        <w:t>不适用。</w:t>
      </w:r>
    </w:p>
    <w:p w:rsidR="00E20B54" w:rsidRDefault="00733C9E">
      <w:pPr>
        <w:pStyle w:val="3"/>
        <w:spacing w:line="280" w:lineRule="exact"/>
        <w:jc w:val="left"/>
        <w:rPr>
          <w:b/>
          <w:bCs/>
        </w:rPr>
      </w:pPr>
      <w:bookmarkStart w:id="391" w:name="_Toc989279"/>
      <w:r>
        <w:rPr>
          <w:b/>
          <w:bCs/>
        </w:rPr>
        <w:t>3</w:t>
      </w:r>
      <w:r>
        <w:rPr>
          <w:b/>
          <w:bCs/>
        </w:rPr>
        <w:t>、反向购买</w:t>
      </w:r>
      <w:bookmarkEnd w:id="391"/>
    </w:p>
    <w:p w:rsidR="00E20B54" w:rsidRDefault="00733C9E">
      <w:pPr>
        <w:spacing w:before="100" w:after="100" w:line="240" w:lineRule="exact"/>
        <w:rPr>
          <w:sz w:val="18"/>
          <w:szCs w:val="18"/>
        </w:rPr>
      </w:pPr>
      <w:r>
        <w:rPr>
          <w:sz w:val="18"/>
          <w:szCs w:val="18"/>
        </w:rPr>
        <w:t>交易基本信息、交易构成反向购买的依据、上市公司保留的资产、负债是否构成业务及其依据、合并成本的确定、按照权益性交易处理时调整权益的金额及其计算：</w:t>
      </w:r>
      <w:r w:rsidR="00850F70">
        <w:rPr>
          <w:rFonts w:hint="eastAsia"/>
          <w:sz w:val="18"/>
          <w:szCs w:val="18"/>
        </w:rPr>
        <w:t>不适用。</w:t>
      </w:r>
    </w:p>
    <w:p w:rsidR="00E20B54" w:rsidRDefault="00733C9E">
      <w:pPr>
        <w:pStyle w:val="3"/>
        <w:spacing w:line="280" w:lineRule="exact"/>
        <w:jc w:val="left"/>
        <w:rPr>
          <w:b/>
          <w:bCs/>
        </w:rPr>
      </w:pPr>
      <w:bookmarkStart w:id="392" w:name="_Toc989280"/>
      <w:r>
        <w:rPr>
          <w:b/>
          <w:bCs/>
        </w:rPr>
        <w:t>4</w:t>
      </w:r>
      <w:r>
        <w:rPr>
          <w:b/>
          <w:bCs/>
        </w:rPr>
        <w:t>、处置子公司</w:t>
      </w:r>
      <w:bookmarkEnd w:id="392"/>
    </w:p>
    <w:p w:rsidR="00E20B54" w:rsidRDefault="00733C9E">
      <w:pPr>
        <w:spacing w:before="100" w:after="100" w:line="240" w:lineRule="exact"/>
        <w:rPr>
          <w:sz w:val="18"/>
          <w:szCs w:val="18"/>
        </w:rPr>
      </w:pPr>
      <w:r>
        <w:rPr>
          <w:sz w:val="18"/>
          <w:szCs w:val="18"/>
        </w:rPr>
        <w:t>本期是否存在丧失子公司控制权的交易或事项</w:t>
      </w:r>
    </w:p>
    <w:p w:rsidR="00E20B54" w:rsidRDefault="00733C9E">
      <w:pPr>
        <w:spacing w:before="40" w:after="40" w:line="240" w:lineRule="exact"/>
        <w:rPr>
          <w:sz w:val="18"/>
          <w:szCs w:val="18"/>
        </w:rPr>
      </w:pPr>
      <w:r>
        <w:rPr>
          <w:sz w:val="18"/>
          <w:szCs w:val="18"/>
        </w:rPr>
        <w:sym w:font="Wingdings 2" w:char="F052"/>
      </w:r>
      <w:r>
        <w:rPr>
          <w:sz w:val="18"/>
          <w:szCs w:val="18"/>
        </w:rPr>
        <w:t>是</w:t>
      </w:r>
      <w:r>
        <w:rPr>
          <w:sz w:val="18"/>
          <w:szCs w:val="18"/>
        </w:rPr>
        <w:t xml:space="preserve"> □</w:t>
      </w:r>
      <w:r>
        <w:rPr>
          <w:sz w:val="18"/>
          <w:szCs w:val="18"/>
        </w:rPr>
        <w:t>否</w:t>
      </w:r>
    </w:p>
    <w:p w:rsidR="00E20B54" w:rsidRDefault="00733C9E">
      <w:pPr>
        <w:spacing w:before="120" w:after="120" w:line="240" w:lineRule="exact"/>
        <w:jc w:val="right"/>
        <w:rPr>
          <w:sz w:val="18"/>
          <w:szCs w:val="18"/>
        </w:rPr>
      </w:pPr>
      <w:r>
        <w:rPr>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742"/>
        <w:gridCol w:w="742"/>
        <w:gridCol w:w="742"/>
        <w:gridCol w:w="742"/>
        <w:gridCol w:w="742"/>
        <w:gridCol w:w="742"/>
        <w:gridCol w:w="741"/>
        <w:gridCol w:w="741"/>
        <w:gridCol w:w="741"/>
        <w:gridCol w:w="741"/>
        <w:gridCol w:w="741"/>
        <w:gridCol w:w="741"/>
        <w:gridCol w:w="741"/>
      </w:tblGrid>
      <w:tr w:rsidR="00E20B54" w:rsidTr="00850F70">
        <w:trPr>
          <w:trHeight w:val="240"/>
          <w:tblHeader/>
        </w:trPr>
        <w:tc>
          <w:tcPr>
            <w:tcW w:w="741"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lastRenderedPageBreak/>
              <w:t>子公司名称</w:t>
            </w:r>
          </w:p>
        </w:tc>
        <w:tc>
          <w:tcPr>
            <w:tcW w:w="741"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丧失控制权时点的处置价款</w:t>
            </w:r>
          </w:p>
        </w:tc>
        <w:tc>
          <w:tcPr>
            <w:tcW w:w="741"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丧失控制权时点的处置比例</w:t>
            </w:r>
          </w:p>
        </w:tc>
        <w:tc>
          <w:tcPr>
            <w:tcW w:w="741"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丧失控制权时点的处置方式</w:t>
            </w:r>
          </w:p>
        </w:tc>
        <w:tc>
          <w:tcPr>
            <w:tcW w:w="741"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丧失控制权的时点</w:t>
            </w:r>
          </w:p>
        </w:tc>
        <w:tc>
          <w:tcPr>
            <w:tcW w:w="741"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丧失控制权时点的判断依据</w:t>
            </w:r>
          </w:p>
        </w:tc>
        <w:tc>
          <w:tcPr>
            <w:tcW w:w="741"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处置价款与处置投资对应的合并财务报表层面享有该子公司净资产份额的差额</w:t>
            </w:r>
          </w:p>
        </w:tc>
        <w:tc>
          <w:tcPr>
            <w:tcW w:w="741"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丧失控制权之日剩余股权的比例</w:t>
            </w:r>
          </w:p>
        </w:tc>
        <w:tc>
          <w:tcPr>
            <w:tcW w:w="741"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丧失控制权之日合并财务报表层面剩余股权的账面价值</w:t>
            </w:r>
          </w:p>
        </w:tc>
        <w:tc>
          <w:tcPr>
            <w:tcW w:w="741"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丧失控制权之日合并财务报表层面剩余股权的公允价值</w:t>
            </w:r>
          </w:p>
        </w:tc>
        <w:tc>
          <w:tcPr>
            <w:tcW w:w="741"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按照公允价值重新计量剩余股权产生的利得或损失</w:t>
            </w:r>
          </w:p>
        </w:tc>
        <w:tc>
          <w:tcPr>
            <w:tcW w:w="741"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丧失控制权之日合并财务报表层面剩余股权公允价值的确定方法及主要假设</w:t>
            </w:r>
          </w:p>
        </w:tc>
        <w:tc>
          <w:tcPr>
            <w:tcW w:w="741"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与原子公司股权投资相关的其他综合收益转入投资损益或留存收益的金额</w:t>
            </w:r>
          </w:p>
        </w:tc>
      </w:tr>
      <w:tr w:rsidR="00E20B54">
        <w:trPr>
          <w:trHeight w:val="240"/>
        </w:trPr>
        <w:tc>
          <w:tcPr>
            <w:tcW w:w="741"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湖南亿道电力有限公司</w:t>
            </w:r>
          </w:p>
        </w:tc>
        <w:tc>
          <w:tcPr>
            <w:tcW w:w="741"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33.15%</w:t>
            </w:r>
          </w:p>
        </w:tc>
        <w:tc>
          <w:tcPr>
            <w:tcW w:w="741"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股权转让</w:t>
            </w:r>
          </w:p>
        </w:tc>
        <w:tc>
          <w:tcPr>
            <w:tcW w:w="741"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2025</w:t>
            </w:r>
            <w:r>
              <w:rPr>
                <w:sz w:val="18"/>
                <w:szCs w:val="18"/>
              </w:rPr>
              <w:t>年</w:t>
            </w:r>
            <w:r>
              <w:rPr>
                <w:sz w:val="18"/>
                <w:szCs w:val="18"/>
              </w:rPr>
              <w:t>04</w:t>
            </w:r>
            <w:r>
              <w:rPr>
                <w:sz w:val="18"/>
                <w:szCs w:val="18"/>
              </w:rPr>
              <w:t>月</w:t>
            </w:r>
            <w:r>
              <w:rPr>
                <w:sz w:val="18"/>
                <w:szCs w:val="18"/>
              </w:rPr>
              <w:t>16</w:t>
            </w:r>
            <w:r>
              <w:rPr>
                <w:sz w:val="18"/>
                <w:szCs w:val="18"/>
              </w:rPr>
              <w:t>日</w:t>
            </w:r>
          </w:p>
        </w:tc>
        <w:tc>
          <w:tcPr>
            <w:tcW w:w="741"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完成工商变更手续且控制权已转移</w:t>
            </w:r>
          </w:p>
        </w:tc>
        <w:tc>
          <w:tcPr>
            <w:tcW w:w="741"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0.00%</w:t>
            </w:r>
          </w:p>
        </w:tc>
        <w:tc>
          <w:tcPr>
            <w:tcW w:w="741"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741"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741"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741"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rPr>
                <w:sz w:val="18"/>
                <w:szCs w:val="18"/>
              </w:rPr>
            </w:pPr>
          </w:p>
        </w:tc>
        <w:tc>
          <w:tcPr>
            <w:tcW w:w="741"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bl>
    <w:p w:rsidR="00E20B54" w:rsidRDefault="00733C9E" w:rsidP="00850F70">
      <w:pPr>
        <w:spacing w:before="100" w:after="100" w:line="240" w:lineRule="exact"/>
      </w:pPr>
      <w:r>
        <w:rPr>
          <w:sz w:val="18"/>
          <w:szCs w:val="18"/>
        </w:rPr>
        <w:t>其他说明：无。</w:t>
      </w:r>
    </w:p>
    <w:p w:rsidR="00E20B54" w:rsidRDefault="00733C9E">
      <w:pPr>
        <w:spacing w:before="100" w:after="100" w:line="240" w:lineRule="exact"/>
        <w:rPr>
          <w:sz w:val="18"/>
          <w:szCs w:val="18"/>
        </w:rPr>
      </w:pPr>
      <w:r>
        <w:rPr>
          <w:sz w:val="18"/>
          <w:szCs w:val="18"/>
        </w:rPr>
        <w:t>是否存在通过多次交易分步处置对子公司投资且在本期丧失控制权的情形</w:t>
      </w:r>
    </w:p>
    <w:p w:rsidR="00E20B54" w:rsidRDefault="00733C9E">
      <w:pPr>
        <w:spacing w:before="100" w:after="100" w:line="240" w:lineRule="exact"/>
        <w:rPr>
          <w:sz w:val="18"/>
          <w:szCs w:val="18"/>
        </w:rPr>
      </w:pPr>
      <w:r>
        <w:rPr>
          <w:sz w:val="18"/>
          <w:szCs w:val="18"/>
        </w:rPr>
        <w:t>□</w:t>
      </w:r>
      <w:r>
        <w:rPr>
          <w:sz w:val="18"/>
          <w:szCs w:val="18"/>
        </w:rPr>
        <w:t>是</w:t>
      </w:r>
      <w:r>
        <w:rPr>
          <w:sz w:val="18"/>
          <w:szCs w:val="18"/>
        </w:rPr>
        <w:t xml:space="preserve"> </w:t>
      </w:r>
      <w:r>
        <w:rPr>
          <w:sz w:val="18"/>
          <w:szCs w:val="18"/>
        </w:rPr>
        <w:sym w:font="Wingdings 2" w:char="F052"/>
      </w:r>
      <w:r>
        <w:rPr>
          <w:sz w:val="18"/>
          <w:szCs w:val="18"/>
        </w:rPr>
        <w:t>否</w:t>
      </w:r>
    </w:p>
    <w:p w:rsidR="00E20B54" w:rsidRDefault="00733C9E">
      <w:pPr>
        <w:pStyle w:val="3"/>
        <w:spacing w:line="280" w:lineRule="exact"/>
        <w:jc w:val="left"/>
        <w:rPr>
          <w:b/>
          <w:bCs/>
        </w:rPr>
      </w:pPr>
      <w:bookmarkStart w:id="393" w:name="_Toc989281"/>
      <w:r>
        <w:rPr>
          <w:b/>
          <w:bCs/>
        </w:rPr>
        <w:t>5</w:t>
      </w:r>
      <w:r>
        <w:rPr>
          <w:b/>
          <w:bCs/>
        </w:rPr>
        <w:t>、其他原因的合并范围变动</w:t>
      </w:r>
      <w:bookmarkEnd w:id="393"/>
    </w:p>
    <w:p w:rsidR="00E20B54" w:rsidRDefault="00733C9E" w:rsidP="00850F70">
      <w:pPr>
        <w:spacing w:before="100" w:after="100" w:line="240" w:lineRule="exact"/>
        <w:rPr>
          <w:sz w:val="18"/>
          <w:szCs w:val="18"/>
        </w:rPr>
      </w:pPr>
      <w:r>
        <w:rPr>
          <w:sz w:val="18"/>
          <w:szCs w:val="18"/>
        </w:rPr>
        <w:t>说明其他原因导致的合并范围变动（如，新设子公司、清算子公司等）及其相关情况：</w:t>
      </w:r>
      <w:r>
        <w:rPr>
          <w:rFonts w:eastAsia="瀹嬩綋"/>
          <w:color w:val="000000"/>
          <w:sz w:val="18"/>
          <w:szCs w:val="18"/>
          <w:lang w:bidi="ar"/>
        </w:rPr>
        <w:t>详见本报告第三节</w:t>
      </w:r>
      <w:r>
        <w:rPr>
          <w:rFonts w:eastAsia="瀹嬩綋"/>
          <w:color w:val="000000"/>
          <w:sz w:val="18"/>
          <w:szCs w:val="18"/>
          <w:lang w:bidi="ar"/>
        </w:rPr>
        <w:t xml:space="preserve"> </w:t>
      </w:r>
      <w:r>
        <w:rPr>
          <w:rFonts w:eastAsia="瀹嬩綋"/>
          <w:color w:val="000000"/>
          <w:sz w:val="18"/>
          <w:szCs w:val="18"/>
          <w:lang w:bidi="ar"/>
        </w:rPr>
        <w:t>管理层讨论与分析</w:t>
      </w:r>
      <w:r>
        <w:rPr>
          <w:rFonts w:eastAsia="瀹嬩綋"/>
          <w:color w:val="000000"/>
          <w:sz w:val="18"/>
          <w:szCs w:val="18"/>
          <w:lang w:bidi="ar"/>
        </w:rPr>
        <w:t xml:space="preserve"> </w:t>
      </w:r>
      <w:r>
        <w:rPr>
          <w:rFonts w:eastAsia="瀹嬩綋"/>
          <w:color w:val="000000"/>
          <w:sz w:val="18"/>
          <w:szCs w:val="18"/>
          <w:lang w:bidi="ar"/>
        </w:rPr>
        <w:t>九、主要控股参股公司分析。</w:t>
      </w:r>
    </w:p>
    <w:p w:rsidR="00E20B54" w:rsidRDefault="00733C9E">
      <w:pPr>
        <w:pStyle w:val="3"/>
        <w:spacing w:line="280" w:lineRule="exact"/>
        <w:jc w:val="left"/>
        <w:rPr>
          <w:b/>
          <w:bCs/>
        </w:rPr>
      </w:pPr>
      <w:bookmarkStart w:id="394" w:name="_Toc989282"/>
      <w:r>
        <w:rPr>
          <w:b/>
          <w:bCs/>
        </w:rPr>
        <w:t>6</w:t>
      </w:r>
      <w:r>
        <w:rPr>
          <w:b/>
          <w:bCs/>
        </w:rPr>
        <w:t>、其他</w:t>
      </w:r>
      <w:bookmarkEnd w:id="394"/>
    </w:p>
    <w:p w:rsidR="00E20B54" w:rsidRDefault="00733C9E">
      <w:pPr>
        <w:pStyle w:val="2"/>
        <w:spacing w:before="300" w:after="300" w:line="320" w:lineRule="exact"/>
        <w:rPr>
          <w:b/>
          <w:bCs/>
          <w:sz w:val="24"/>
          <w:szCs w:val="24"/>
        </w:rPr>
      </w:pPr>
      <w:bookmarkStart w:id="395" w:name="_Toc989283"/>
      <w:r>
        <w:rPr>
          <w:b/>
          <w:bCs/>
          <w:sz w:val="24"/>
          <w:szCs w:val="24"/>
        </w:rPr>
        <w:t>十、在其他主体中的权益</w:t>
      </w:r>
      <w:bookmarkEnd w:id="395"/>
    </w:p>
    <w:p w:rsidR="00E20B54" w:rsidRDefault="00733C9E">
      <w:pPr>
        <w:pStyle w:val="3"/>
        <w:spacing w:line="280" w:lineRule="exact"/>
        <w:jc w:val="left"/>
        <w:rPr>
          <w:b/>
          <w:bCs/>
        </w:rPr>
      </w:pPr>
      <w:bookmarkStart w:id="396" w:name="_Toc989284"/>
      <w:r>
        <w:rPr>
          <w:b/>
          <w:bCs/>
        </w:rPr>
        <w:t>1</w:t>
      </w:r>
      <w:r>
        <w:rPr>
          <w:b/>
          <w:bCs/>
        </w:rPr>
        <w:t>、在子公司中的权益</w:t>
      </w:r>
      <w:bookmarkEnd w:id="396"/>
    </w:p>
    <w:p w:rsidR="00E20B54" w:rsidRDefault="00733C9E">
      <w:pPr>
        <w:keepNext/>
        <w:keepLines/>
        <w:spacing w:before="300" w:after="300" w:line="280" w:lineRule="exact"/>
        <w:outlineLvl w:val="3"/>
        <w:rPr>
          <w:b/>
          <w:bCs/>
          <w:sz w:val="18"/>
          <w:szCs w:val="18"/>
        </w:rPr>
      </w:pPr>
      <w:bookmarkStart w:id="397" w:name="_Toc989285"/>
      <w:r>
        <w:rPr>
          <w:b/>
          <w:bCs/>
          <w:sz w:val="18"/>
          <w:szCs w:val="18"/>
        </w:rPr>
        <w:t>（</w:t>
      </w:r>
      <w:r>
        <w:rPr>
          <w:b/>
          <w:bCs/>
          <w:sz w:val="18"/>
          <w:szCs w:val="18"/>
        </w:rPr>
        <w:t>1</w:t>
      </w:r>
      <w:r>
        <w:rPr>
          <w:b/>
          <w:bCs/>
          <w:sz w:val="18"/>
          <w:szCs w:val="18"/>
        </w:rPr>
        <w:t>）</w:t>
      </w:r>
      <w:r>
        <w:rPr>
          <w:b/>
          <w:bCs/>
          <w:sz w:val="18"/>
          <w:szCs w:val="18"/>
        </w:rPr>
        <w:t xml:space="preserve"> </w:t>
      </w:r>
      <w:r>
        <w:rPr>
          <w:b/>
          <w:bCs/>
          <w:sz w:val="18"/>
          <w:szCs w:val="18"/>
        </w:rPr>
        <w:t>企业集团的构成</w:t>
      </w:r>
      <w:bookmarkEnd w:id="397"/>
    </w:p>
    <w:p w:rsidR="00E20B54" w:rsidRDefault="00733C9E">
      <w:pPr>
        <w:spacing w:before="40" w:after="40" w:line="240" w:lineRule="exact"/>
        <w:jc w:val="right"/>
        <w:rPr>
          <w:sz w:val="18"/>
          <w:szCs w:val="18"/>
        </w:rPr>
      </w:pPr>
      <w:r>
        <w:rPr>
          <w:sz w:val="18"/>
          <w:szCs w:val="18"/>
        </w:rPr>
        <w:t>单位：元</w:t>
      </w: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2502"/>
        <w:gridCol w:w="1251"/>
        <w:gridCol w:w="946"/>
        <w:gridCol w:w="809"/>
        <w:gridCol w:w="1814"/>
        <w:gridCol w:w="861"/>
        <w:gridCol w:w="861"/>
        <w:gridCol w:w="809"/>
      </w:tblGrid>
      <w:tr w:rsidR="00E20B54" w:rsidTr="00850F70">
        <w:trPr>
          <w:trHeight w:val="240"/>
          <w:tblHeader/>
        </w:trPr>
        <w:tc>
          <w:tcPr>
            <w:tcW w:w="0" w:type="auto"/>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子公司名称</w:t>
            </w:r>
          </w:p>
        </w:tc>
        <w:tc>
          <w:tcPr>
            <w:tcW w:w="0" w:type="auto"/>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注册资本</w:t>
            </w:r>
          </w:p>
        </w:tc>
        <w:tc>
          <w:tcPr>
            <w:tcW w:w="0" w:type="auto"/>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主要经营地</w:t>
            </w:r>
          </w:p>
        </w:tc>
        <w:tc>
          <w:tcPr>
            <w:tcW w:w="0" w:type="auto"/>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注册地</w:t>
            </w:r>
          </w:p>
        </w:tc>
        <w:tc>
          <w:tcPr>
            <w:tcW w:w="0" w:type="auto"/>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业务性质</w:t>
            </w:r>
          </w:p>
        </w:tc>
        <w:tc>
          <w:tcPr>
            <w:tcW w:w="0" w:type="auto"/>
            <w:gridSpan w:val="2"/>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持股比例</w:t>
            </w:r>
          </w:p>
        </w:tc>
        <w:tc>
          <w:tcPr>
            <w:tcW w:w="0" w:type="auto"/>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取得方式</w:t>
            </w:r>
          </w:p>
        </w:tc>
      </w:tr>
      <w:tr w:rsidR="00E20B54" w:rsidTr="00850F70">
        <w:trPr>
          <w:trHeight w:val="240"/>
          <w:tblHeader/>
        </w:trPr>
        <w:tc>
          <w:tcPr>
            <w:tcW w:w="0" w:type="auto"/>
            <w:vMerge/>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c>
          <w:tcPr>
            <w:tcW w:w="0" w:type="auto"/>
            <w:vMerge/>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c>
          <w:tcPr>
            <w:tcW w:w="0" w:type="auto"/>
            <w:vMerge/>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c>
          <w:tcPr>
            <w:tcW w:w="0" w:type="auto"/>
            <w:vMerge/>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c>
          <w:tcPr>
            <w:tcW w:w="0" w:type="auto"/>
            <w:vMerge/>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c>
          <w:tcPr>
            <w:tcW w:w="0" w:type="auto"/>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直接</w:t>
            </w:r>
          </w:p>
        </w:tc>
        <w:tc>
          <w:tcPr>
            <w:tcW w:w="0" w:type="auto"/>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间接</w:t>
            </w:r>
          </w:p>
        </w:tc>
        <w:tc>
          <w:tcPr>
            <w:tcW w:w="0" w:type="auto"/>
            <w:vMerge/>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r>
      <w:tr w:rsidR="00E20B54" w:rsidTr="00850F70">
        <w:trPr>
          <w:trHeight w:val="240"/>
        </w:trPr>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深圳市互联精英信息技术有限公司</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53,900,000.00</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深圳市</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深圳市</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软件和信息技术服务</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100.00%</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收购</w:t>
            </w:r>
          </w:p>
        </w:tc>
      </w:tr>
      <w:tr w:rsidR="00E20B54" w:rsidTr="00850F70">
        <w:trPr>
          <w:trHeight w:val="240"/>
        </w:trPr>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广东翼启数据产业有限公司</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12,500,000.00</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汕头市</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汕头市</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软件和信息技术服务业</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51.00%</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收购</w:t>
            </w:r>
          </w:p>
        </w:tc>
      </w:tr>
      <w:tr w:rsidR="00E20B54" w:rsidTr="00850F70">
        <w:trPr>
          <w:trHeight w:val="240"/>
        </w:trPr>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天亿马信息技术有限公司</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50,000,000.00</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汕头市</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汕头市</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软件和信息技术服务</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100.00%</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设立</w:t>
            </w:r>
          </w:p>
        </w:tc>
      </w:tr>
      <w:tr w:rsidR="00E20B54" w:rsidTr="00850F70">
        <w:trPr>
          <w:trHeight w:val="240"/>
        </w:trPr>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广东天亿马信息科技有限公</w:t>
            </w:r>
            <w:r>
              <w:rPr>
                <w:sz w:val="18"/>
                <w:szCs w:val="18"/>
              </w:rPr>
              <w:lastRenderedPageBreak/>
              <w:t>司</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lastRenderedPageBreak/>
              <w:t>10,000,000.00</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广州市</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广州市</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软件和信息技术服</w:t>
            </w:r>
            <w:r>
              <w:rPr>
                <w:sz w:val="18"/>
                <w:szCs w:val="18"/>
              </w:rPr>
              <w:lastRenderedPageBreak/>
              <w:t>务</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lastRenderedPageBreak/>
              <w:t>100.00%</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设立</w:t>
            </w:r>
          </w:p>
        </w:tc>
      </w:tr>
      <w:tr w:rsidR="00E20B54" w:rsidTr="00850F70">
        <w:trPr>
          <w:trHeight w:val="240"/>
        </w:trPr>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lastRenderedPageBreak/>
              <w:t>广图粤科（广州）科技有限公司</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10,000,000.00</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广州市</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广州市</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研究和试验发展</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51.00%</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收购</w:t>
            </w:r>
          </w:p>
        </w:tc>
      </w:tr>
      <w:tr w:rsidR="00E20B54" w:rsidTr="00850F70">
        <w:trPr>
          <w:trHeight w:val="240"/>
        </w:trPr>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粤科睿肯（上海）科技有限公司</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2,000,000.00</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上海市</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上海市</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软件和信息技术服务业</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100.00%</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收购</w:t>
            </w:r>
          </w:p>
        </w:tc>
      </w:tr>
      <w:tr w:rsidR="00E20B54" w:rsidTr="00850F70">
        <w:trPr>
          <w:trHeight w:val="240"/>
        </w:trPr>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广东天亿马数字能源有限公司</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10,000,000.00</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深圳市</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深圳市</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电力、热力生产和供应业</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51.00%</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设立</w:t>
            </w:r>
          </w:p>
        </w:tc>
      </w:tr>
      <w:tr w:rsidR="00E20B54" w:rsidTr="00850F70">
        <w:trPr>
          <w:trHeight w:val="240"/>
        </w:trPr>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桓台爱康新能源有限公司</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8,208,000.00</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淄博市</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淄博市</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电力、热力生产和供应业</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100.00%</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收购</w:t>
            </w:r>
          </w:p>
        </w:tc>
      </w:tr>
      <w:tr w:rsidR="00E20B54" w:rsidTr="00850F70">
        <w:trPr>
          <w:trHeight w:val="240"/>
        </w:trPr>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桓台爱道光伏发电有限公司</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9,120,000.00</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淄博市</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淄博市</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电力、热力生产和供应业</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100.00%</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收购</w:t>
            </w:r>
          </w:p>
        </w:tc>
      </w:tr>
      <w:tr w:rsidR="00E20B54" w:rsidTr="00850F70">
        <w:trPr>
          <w:trHeight w:val="240"/>
        </w:trPr>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邯郸庚源新能源科技有限公司</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17,000,000.00</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邯郸市</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邯郸市</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电力、热力生产和供应业</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100.00%</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收购</w:t>
            </w:r>
          </w:p>
        </w:tc>
      </w:tr>
      <w:tr w:rsidR="00E20B54" w:rsidTr="00850F70">
        <w:trPr>
          <w:trHeight w:val="240"/>
        </w:trPr>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湖南天晨新能源有限公司</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20,000,000.00</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冷水江市</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冷水江市</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电力、热力生产和供应业</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48.00%</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设立</w:t>
            </w:r>
          </w:p>
        </w:tc>
      </w:tr>
      <w:tr w:rsidR="00E20B54" w:rsidTr="00850F70">
        <w:trPr>
          <w:trHeight w:val="240"/>
        </w:trPr>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海南天亿马数字能源有限公司</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4,000,000.00</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东方市</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东方市</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电力、热力生产和供应业</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100.00%</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设立</w:t>
            </w:r>
          </w:p>
        </w:tc>
      </w:tr>
      <w:tr w:rsidR="00E20B54" w:rsidTr="00850F70">
        <w:trPr>
          <w:trHeight w:val="240"/>
        </w:trPr>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广东天亿马新能源产业发展有限公司</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10,000,000.00</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汕头市</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汕头市</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电力、热力生产和供应业</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51.00%</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设立</w:t>
            </w:r>
          </w:p>
        </w:tc>
      </w:tr>
      <w:tr w:rsidR="00E20B54" w:rsidTr="00850F70">
        <w:trPr>
          <w:trHeight w:val="240"/>
        </w:trPr>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天亿马新能源（衡阳）有限公司</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5,760,000.00</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衡阳市</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衡阳市</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电力、热力生产和供应业</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55.00%</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设立</w:t>
            </w:r>
          </w:p>
        </w:tc>
      </w:tr>
      <w:tr w:rsidR="00E20B54" w:rsidTr="00850F70">
        <w:trPr>
          <w:trHeight w:val="240"/>
        </w:trPr>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深圳市亿泰新能源有限公司</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10,000,000.00</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深圳市</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深圳市</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电力、热力生产和供应业</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67.00%</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设立</w:t>
            </w:r>
          </w:p>
        </w:tc>
      </w:tr>
      <w:tr w:rsidR="00E20B54" w:rsidTr="00850F70">
        <w:trPr>
          <w:trHeight w:val="240"/>
        </w:trPr>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广西亿泰新能源有限公司</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4,120,000.00</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柳州市</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柳州市</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电力、热力生产和供应业</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100.00%</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设立</w:t>
            </w:r>
          </w:p>
        </w:tc>
      </w:tr>
      <w:tr w:rsidR="00E20B54" w:rsidTr="00850F70">
        <w:trPr>
          <w:trHeight w:val="240"/>
        </w:trPr>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衡阳凯晶新能源有限公司</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6,300,000.00</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衡阳市</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衡阳市</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电力、热力生产和供应业</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100.00%</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设立</w:t>
            </w:r>
          </w:p>
        </w:tc>
      </w:tr>
      <w:tr w:rsidR="00E20B54" w:rsidTr="00850F70">
        <w:trPr>
          <w:trHeight w:val="240"/>
        </w:trPr>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广东天亿马数字产业有限公司</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10,000,000.00</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汕头市</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汕头市</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软件和信息技术服务业</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100.00%</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设立</w:t>
            </w:r>
          </w:p>
        </w:tc>
      </w:tr>
      <w:tr w:rsidR="00E20B54" w:rsidTr="00850F70">
        <w:trPr>
          <w:trHeight w:val="240"/>
        </w:trPr>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广州市天亿马信息技术有限公司</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5,000,000.00</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广州市</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广州市</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软件和信息技术服务业</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100.00%</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设立</w:t>
            </w:r>
          </w:p>
        </w:tc>
      </w:tr>
      <w:tr w:rsidR="00E20B54" w:rsidTr="00850F70">
        <w:trPr>
          <w:trHeight w:val="240"/>
        </w:trPr>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深圳市天亿马信息技术有限公司</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10,000,000.00</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深圳市</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深圳市</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软件和信息技术服务业</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100.00%</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设立</w:t>
            </w:r>
          </w:p>
        </w:tc>
      </w:tr>
      <w:tr w:rsidR="00E20B54" w:rsidTr="00850F70">
        <w:trPr>
          <w:trHeight w:val="240"/>
        </w:trPr>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广州路创轨道科技有限公司</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5,000,000.00</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广州市</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广州市</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研究和试验发展</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49.00%</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设立</w:t>
            </w:r>
          </w:p>
        </w:tc>
      </w:tr>
      <w:tr w:rsidR="00E20B54" w:rsidTr="00850F70">
        <w:trPr>
          <w:trHeight w:val="240"/>
        </w:trPr>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天亿马（香港）信息产业有限公司</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0.80</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香港</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香港</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软件和信息技术服务</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100.00%</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收购</w:t>
            </w:r>
          </w:p>
        </w:tc>
      </w:tr>
    </w:tbl>
    <w:p w:rsidR="00E20B54" w:rsidRDefault="00733C9E">
      <w:pPr>
        <w:spacing w:before="120" w:after="120" w:line="240" w:lineRule="exact"/>
        <w:jc w:val="right"/>
        <w:rPr>
          <w:sz w:val="18"/>
          <w:szCs w:val="18"/>
        </w:rPr>
      </w:pPr>
      <w:r>
        <w:rPr>
          <w:sz w:val="18"/>
          <w:szCs w:val="18"/>
        </w:rPr>
        <w:t>单位：元</w:t>
      </w:r>
    </w:p>
    <w:p w:rsidR="00E20B54" w:rsidRDefault="00733C9E" w:rsidP="00850F70">
      <w:pPr>
        <w:spacing w:before="100" w:after="100" w:line="240" w:lineRule="exact"/>
      </w:pPr>
      <w:r>
        <w:rPr>
          <w:sz w:val="18"/>
          <w:szCs w:val="18"/>
        </w:rPr>
        <w:t>在子公司的持股比例不同于表决权比例的说明：不适用。</w:t>
      </w:r>
    </w:p>
    <w:p w:rsidR="00E20B54" w:rsidRDefault="00733C9E">
      <w:pPr>
        <w:spacing w:before="100" w:after="100" w:line="240" w:lineRule="exact"/>
        <w:rPr>
          <w:sz w:val="18"/>
          <w:szCs w:val="18"/>
        </w:rPr>
      </w:pPr>
      <w:r>
        <w:rPr>
          <w:sz w:val="18"/>
          <w:szCs w:val="18"/>
        </w:rPr>
        <w:t>持有半数或以下表决权但仍控制被投资单位、以及持有半数以上表决权但不控制被投资单位的依据：</w:t>
      </w:r>
    </w:p>
    <w:p w:rsidR="00E20B54" w:rsidRDefault="00733C9E">
      <w:pPr>
        <w:widowControl/>
        <w:rPr>
          <w:sz w:val="18"/>
          <w:szCs w:val="18"/>
        </w:rPr>
      </w:pPr>
      <w:r>
        <w:rPr>
          <w:rFonts w:eastAsia="瀹嬩綋"/>
          <w:color w:val="000000"/>
          <w:sz w:val="18"/>
          <w:szCs w:val="18"/>
          <w:lang w:bidi="ar"/>
        </w:rPr>
        <w:t>①</w:t>
      </w:r>
      <w:r>
        <w:rPr>
          <w:rFonts w:eastAsia="瀹嬩綋"/>
          <w:color w:val="000000"/>
          <w:sz w:val="18"/>
          <w:szCs w:val="18"/>
          <w:lang w:bidi="ar"/>
        </w:rPr>
        <w:t>湖南天晨新能源有限公司：公司持有天亿马数字能源</w:t>
      </w:r>
      <w:r>
        <w:rPr>
          <w:rFonts w:eastAsia="瀹嬩綋"/>
          <w:color w:val="000000"/>
          <w:sz w:val="18"/>
          <w:szCs w:val="18"/>
          <w:lang w:bidi="ar"/>
        </w:rPr>
        <w:t xml:space="preserve"> </w:t>
      </w:r>
      <w:r>
        <w:rPr>
          <w:color w:val="000000"/>
          <w:sz w:val="18"/>
          <w:szCs w:val="18"/>
          <w:lang w:bidi="ar"/>
        </w:rPr>
        <w:t>51%</w:t>
      </w:r>
      <w:r>
        <w:rPr>
          <w:rFonts w:eastAsia="瀹嬩綋"/>
          <w:color w:val="000000"/>
          <w:sz w:val="18"/>
          <w:szCs w:val="18"/>
          <w:lang w:bidi="ar"/>
        </w:rPr>
        <w:t>股权；天亿马数字能源为湖南天晨第一大股东，持股</w:t>
      </w:r>
      <w:r>
        <w:rPr>
          <w:rFonts w:eastAsia="瀹嬩綋"/>
          <w:color w:val="000000"/>
          <w:sz w:val="18"/>
          <w:szCs w:val="18"/>
          <w:lang w:bidi="ar"/>
        </w:rPr>
        <w:t xml:space="preserve"> </w:t>
      </w:r>
      <w:r>
        <w:rPr>
          <w:color w:val="000000"/>
          <w:sz w:val="18"/>
          <w:szCs w:val="18"/>
          <w:lang w:bidi="ar"/>
        </w:rPr>
        <w:t>48%</w:t>
      </w:r>
      <w:r>
        <w:rPr>
          <w:rFonts w:eastAsia="瀹嬩綋"/>
          <w:color w:val="000000"/>
          <w:sz w:val="18"/>
          <w:szCs w:val="18"/>
          <w:lang w:bidi="ar"/>
        </w:rPr>
        <w:t>；天亿马数字能源副总经理李华青先生担任湖南天晨执行董事、经理、法定代表人，对其经营管理、财务方面等具有控制权。</w:t>
      </w:r>
      <w:r>
        <w:rPr>
          <w:rFonts w:eastAsia="瀹嬩綋"/>
          <w:color w:val="000000"/>
          <w:sz w:val="18"/>
          <w:szCs w:val="18"/>
          <w:lang w:bidi="ar"/>
        </w:rPr>
        <w:t xml:space="preserve"> </w:t>
      </w:r>
    </w:p>
    <w:p w:rsidR="00E20B54" w:rsidRDefault="00733C9E">
      <w:pPr>
        <w:widowControl/>
        <w:rPr>
          <w:sz w:val="18"/>
          <w:szCs w:val="18"/>
        </w:rPr>
      </w:pPr>
      <w:r>
        <w:rPr>
          <w:rFonts w:eastAsia="瀹嬩綋"/>
          <w:color w:val="000000"/>
          <w:sz w:val="18"/>
          <w:szCs w:val="18"/>
          <w:lang w:bidi="ar"/>
        </w:rPr>
        <w:t>②</w:t>
      </w:r>
      <w:r>
        <w:rPr>
          <w:rFonts w:eastAsia="瀹嬩綋"/>
          <w:color w:val="000000"/>
          <w:sz w:val="18"/>
          <w:szCs w:val="18"/>
          <w:lang w:bidi="ar"/>
        </w:rPr>
        <w:t>广州路创轨道科技有限公司：公司持有路创科技</w:t>
      </w:r>
      <w:r>
        <w:rPr>
          <w:rFonts w:eastAsia="瀹嬩綋"/>
          <w:color w:val="000000"/>
          <w:sz w:val="18"/>
          <w:szCs w:val="18"/>
          <w:lang w:bidi="ar"/>
        </w:rPr>
        <w:t xml:space="preserve"> </w:t>
      </w:r>
      <w:r>
        <w:rPr>
          <w:color w:val="000000"/>
          <w:sz w:val="18"/>
          <w:szCs w:val="18"/>
          <w:lang w:bidi="ar"/>
        </w:rPr>
        <w:t>49%</w:t>
      </w:r>
      <w:r>
        <w:rPr>
          <w:rFonts w:eastAsia="瀹嬩綋"/>
          <w:color w:val="000000"/>
          <w:sz w:val="18"/>
          <w:szCs w:val="18"/>
          <w:lang w:bidi="ar"/>
        </w:rPr>
        <w:t>股权，为第一大股东。路创科技不设董事会，公司董事长林明玲女士任其董事，对其经营管理、财务方面等具有控制权。</w:t>
      </w:r>
    </w:p>
    <w:p w:rsidR="00E20B54" w:rsidRDefault="00733C9E">
      <w:pPr>
        <w:spacing w:before="100" w:after="100" w:line="240" w:lineRule="exact"/>
        <w:rPr>
          <w:sz w:val="18"/>
          <w:szCs w:val="18"/>
        </w:rPr>
      </w:pPr>
      <w:r>
        <w:rPr>
          <w:sz w:val="18"/>
          <w:szCs w:val="18"/>
        </w:rPr>
        <w:t>对于纳入合并范围的重要的结构化主体，控制的依据：</w:t>
      </w:r>
      <w:r w:rsidR="00850F70">
        <w:rPr>
          <w:rFonts w:hint="eastAsia"/>
          <w:sz w:val="18"/>
          <w:szCs w:val="18"/>
        </w:rPr>
        <w:t>不适用。</w:t>
      </w:r>
    </w:p>
    <w:p w:rsidR="00E20B54" w:rsidRDefault="00733C9E">
      <w:pPr>
        <w:spacing w:before="100" w:after="100" w:line="240" w:lineRule="exact"/>
        <w:rPr>
          <w:sz w:val="18"/>
          <w:szCs w:val="18"/>
        </w:rPr>
      </w:pPr>
      <w:r>
        <w:rPr>
          <w:sz w:val="18"/>
          <w:szCs w:val="18"/>
        </w:rPr>
        <w:t>确定公司是代理人还是委托人的依据：</w:t>
      </w:r>
      <w:r w:rsidR="00850F70">
        <w:rPr>
          <w:rFonts w:hint="eastAsia"/>
          <w:sz w:val="18"/>
          <w:szCs w:val="18"/>
        </w:rPr>
        <w:t>不适用。</w:t>
      </w:r>
    </w:p>
    <w:p w:rsidR="00E20B54" w:rsidRDefault="00733C9E">
      <w:pPr>
        <w:spacing w:before="100" w:after="100" w:line="240" w:lineRule="exact"/>
        <w:rPr>
          <w:sz w:val="18"/>
          <w:szCs w:val="18"/>
        </w:rPr>
      </w:pPr>
      <w:r>
        <w:rPr>
          <w:sz w:val="18"/>
          <w:szCs w:val="18"/>
        </w:rPr>
        <w:t>其他说明：</w:t>
      </w:r>
      <w:r w:rsidR="00850F70">
        <w:rPr>
          <w:rFonts w:hint="eastAsia"/>
          <w:sz w:val="18"/>
          <w:szCs w:val="18"/>
        </w:rPr>
        <w:t>不适用。</w:t>
      </w:r>
    </w:p>
    <w:p w:rsidR="00E20B54" w:rsidRDefault="00733C9E">
      <w:pPr>
        <w:keepNext/>
        <w:keepLines/>
        <w:spacing w:before="300" w:after="300" w:line="280" w:lineRule="exact"/>
        <w:outlineLvl w:val="3"/>
        <w:rPr>
          <w:b/>
          <w:bCs/>
          <w:sz w:val="18"/>
          <w:szCs w:val="18"/>
        </w:rPr>
      </w:pPr>
      <w:bookmarkStart w:id="398" w:name="_Toc989286"/>
      <w:r>
        <w:rPr>
          <w:b/>
          <w:bCs/>
          <w:sz w:val="18"/>
          <w:szCs w:val="18"/>
        </w:rPr>
        <w:lastRenderedPageBreak/>
        <w:t>（</w:t>
      </w:r>
      <w:r>
        <w:rPr>
          <w:b/>
          <w:bCs/>
          <w:sz w:val="18"/>
          <w:szCs w:val="18"/>
        </w:rPr>
        <w:t>2</w:t>
      </w:r>
      <w:r>
        <w:rPr>
          <w:b/>
          <w:bCs/>
          <w:sz w:val="18"/>
          <w:szCs w:val="18"/>
        </w:rPr>
        <w:t>）</w:t>
      </w:r>
      <w:r>
        <w:rPr>
          <w:b/>
          <w:bCs/>
          <w:sz w:val="18"/>
          <w:szCs w:val="18"/>
        </w:rPr>
        <w:t xml:space="preserve"> </w:t>
      </w:r>
      <w:r>
        <w:rPr>
          <w:b/>
          <w:bCs/>
          <w:sz w:val="18"/>
          <w:szCs w:val="18"/>
        </w:rPr>
        <w:t>重要的非全资子公司</w:t>
      </w:r>
      <w:bookmarkEnd w:id="398"/>
    </w:p>
    <w:p w:rsidR="00E20B54" w:rsidRDefault="00733C9E">
      <w:pPr>
        <w:spacing w:before="40" w:after="40" w:line="240" w:lineRule="exact"/>
        <w:jc w:val="right"/>
        <w:rPr>
          <w:sz w:val="18"/>
          <w:szCs w:val="18"/>
        </w:rPr>
      </w:pPr>
      <w:r>
        <w:rPr>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927"/>
        <w:gridCol w:w="1928"/>
        <w:gridCol w:w="1928"/>
        <w:gridCol w:w="1928"/>
        <w:gridCol w:w="1928"/>
      </w:tblGrid>
      <w:tr w:rsidR="00E20B54">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子公司名称</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少数股东持股比例</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本期归属于少数股东的损益</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本期向少数股东宣告分派的股利</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期末少数股东权益余额</w:t>
            </w:r>
          </w:p>
        </w:tc>
      </w:tr>
      <w:tr w:rsidR="00E20B54">
        <w:trPr>
          <w:trHeight w:val="240"/>
        </w:trPr>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广东天亿马数字能源有限公司</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49.00%</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2,949,868.19</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0.00</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12,195,889.20</w:t>
            </w:r>
          </w:p>
        </w:tc>
      </w:tr>
    </w:tbl>
    <w:p w:rsidR="00E20B54" w:rsidRDefault="00733C9E">
      <w:pPr>
        <w:spacing w:before="100" w:after="100" w:line="240" w:lineRule="exact"/>
        <w:rPr>
          <w:sz w:val="18"/>
          <w:szCs w:val="18"/>
        </w:rPr>
      </w:pPr>
      <w:r>
        <w:rPr>
          <w:sz w:val="18"/>
          <w:szCs w:val="18"/>
        </w:rPr>
        <w:t>子公司少数股东的持股比例不同于表决权比例的说明：</w:t>
      </w:r>
      <w:r w:rsidR="00540487">
        <w:rPr>
          <w:rFonts w:hint="eastAsia"/>
          <w:sz w:val="18"/>
          <w:szCs w:val="18"/>
        </w:rPr>
        <w:t>不适用。</w:t>
      </w:r>
    </w:p>
    <w:p w:rsidR="00E20B54" w:rsidRDefault="00733C9E">
      <w:pPr>
        <w:spacing w:before="100" w:after="100" w:line="240" w:lineRule="exact"/>
        <w:rPr>
          <w:sz w:val="18"/>
          <w:szCs w:val="18"/>
        </w:rPr>
      </w:pPr>
      <w:r>
        <w:rPr>
          <w:sz w:val="18"/>
          <w:szCs w:val="18"/>
        </w:rPr>
        <w:t>其他说明：</w:t>
      </w:r>
      <w:r w:rsidR="00540487">
        <w:rPr>
          <w:rFonts w:hint="eastAsia"/>
          <w:sz w:val="18"/>
          <w:szCs w:val="18"/>
        </w:rPr>
        <w:t>不适用。</w:t>
      </w:r>
    </w:p>
    <w:p w:rsidR="00E20B54" w:rsidRDefault="00733C9E">
      <w:pPr>
        <w:keepNext/>
        <w:keepLines/>
        <w:spacing w:before="300" w:after="300" w:line="280" w:lineRule="exact"/>
        <w:outlineLvl w:val="3"/>
        <w:rPr>
          <w:b/>
          <w:bCs/>
          <w:sz w:val="18"/>
          <w:szCs w:val="18"/>
        </w:rPr>
      </w:pPr>
      <w:bookmarkStart w:id="399" w:name="_Toc989287"/>
      <w:r>
        <w:rPr>
          <w:b/>
          <w:bCs/>
          <w:sz w:val="18"/>
          <w:szCs w:val="18"/>
        </w:rPr>
        <w:t>（</w:t>
      </w:r>
      <w:r>
        <w:rPr>
          <w:b/>
          <w:bCs/>
          <w:sz w:val="18"/>
          <w:szCs w:val="18"/>
        </w:rPr>
        <w:t>3</w:t>
      </w:r>
      <w:r>
        <w:rPr>
          <w:b/>
          <w:bCs/>
          <w:sz w:val="18"/>
          <w:szCs w:val="18"/>
        </w:rPr>
        <w:t>）</w:t>
      </w:r>
      <w:r>
        <w:rPr>
          <w:b/>
          <w:bCs/>
          <w:sz w:val="18"/>
          <w:szCs w:val="18"/>
        </w:rPr>
        <w:t xml:space="preserve"> </w:t>
      </w:r>
      <w:r>
        <w:rPr>
          <w:b/>
          <w:bCs/>
          <w:sz w:val="18"/>
          <w:szCs w:val="18"/>
        </w:rPr>
        <w:t>重要非全资子公司的主要财务信息</w:t>
      </w:r>
      <w:bookmarkEnd w:id="399"/>
    </w:p>
    <w:p w:rsidR="00E20B54" w:rsidRDefault="00733C9E">
      <w:pPr>
        <w:spacing w:before="40" w:after="40" w:line="240" w:lineRule="exact"/>
        <w:jc w:val="right"/>
        <w:rPr>
          <w:sz w:val="18"/>
          <w:szCs w:val="18"/>
        </w:rPr>
      </w:pPr>
      <w:r>
        <w:rPr>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741"/>
        <w:gridCol w:w="741"/>
        <w:gridCol w:w="741"/>
        <w:gridCol w:w="741"/>
        <w:gridCol w:w="741"/>
        <w:gridCol w:w="741"/>
        <w:gridCol w:w="744"/>
        <w:gridCol w:w="741"/>
        <w:gridCol w:w="741"/>
        <w:gridCol w:w="741"/>
        <w:gridCol w:w="741"/>
        <w:gridCol w:w="741"/>
        <w:gridCol w:w="744"/>
      </w:tblGrid>
      <w:tr w:rsidR="00E20B54">
        <w:trPr>
          <w:trHeight w:val="240"/>
        </w:trPr>
        <w:tc>
          <w:tcPr>
            <w:tcW w:w="741"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子公司名称</w:t>
            </w:r>
          </w:p>
        </w:tc>
        <w:tc>
          <w:tcPr>
            <w:tcW w:w="4449" w:type="dxa"/>
            <w:gridSpan w:val="6"/>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期末余额</w:t>
            </w:r>
          </w:p>
        </w:tc>
        <w:tc>
          <w:tcPr>
            <w:tcW w:w="4449" w:type="dxa"/>
            <w:gridSpan w:val="6"/>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期初余额</w:t>
            </w:r>
          </w:p>
        </w:tc>
      </w:tr>
      <w:tr w:rsidR="00E20B54">
        <w:trPr>
          <w:trHeight w:val="240"/>
        </w:trPr>
        <w:tc>
          <w:tcPr>
            <w:tcW w:w="741"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c>
          <w:tcPr>
            <w:tcW w:w="741"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流动资产</w:t>
            </w:r>
          </w:p>
        </w:tc>
        <w:tc>
          <w:tcPr>
            <w:tcW w:w="741"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非流动资产</w:t>
            </w:r>
          </w:p>
        </w:tc>
        <w:tc>
          <w:tcPr>
            <w:tcW w:w="741"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资产合计</w:t>
            </w:r>
          </w:p>
        </w:tc>
        <w:tc>
          <w:tcPr>
            <w:tcW w:w="741"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流动负债</w:t>
            </w:r>
          </w:p>
        </w:tc>
        <w:tc>
          <w:tcPr>
            <w:tcW w:w="741"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非流动负债</w:t>
            </w:r>
          </w:p>
        </w:tc>
        <w:tc>
          <w:tcPr>
            <w:tcW w:w="741"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负债合计</w:t>
            </w:r>
          </w:p>
        </w:tc>
        <w:tc>
          <w:tcPr>
            <w:tcW w:w="741"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流动资产</w:t>
            </w:r>
          </w:p>
        </w:tc>
        <w:tc>
          <w:tcPr>
            <w:tcW w:w="741"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非流动资产</w:t>
            </w:r>
          </w:p>
        </w:tc>
        <w:tc>
          <w:tcPr>
            <w:tcW w:w="741"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资产合计</w:t>
            </w:r>
          </w:p>
        </w:tc>
        <w:tc>
          <w:tcPr>
            <w:tcW w:w="741"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流动负债</w:t>
            </w:r>
          </w:p>
        </w:tc>
        <w:tc>
          <w:tcPr>
            <w:tcW w:w="741"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非流动负债</w:t>
            </w:r>
          </w:p>
        </w:tc>
        <w:tc>
          <w:tcPr>
            <w:tcW w:w="741"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负债合计</w:t>
            </w:r>
          </w:p>
        </w:tc>
      </w:tr>
      <w:tr w:rsidR="00E20B54">
        <w:trPr>
          <w:trHeight w:val="240"/>
        </w:trPr>
        <w:tc>
          <w:tcPr>
            <w:tcW w:w="741"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广东天亿马数字能源有限公司</w:t>
            </w:r>
          </w:p>
        </w:tc>
        <w:tc>
          <w:tcPr>
            <w:tcW w:w="741"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36,442,570.09</w:t>
            </w:r>
          </w:p>
        </w:tc>
        <w:tc>
          <w:tcPr>
            <w:tcW w:w="741"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182,571,440.56</w:t>
            </w:r>
          </w:p>
        </w:tc>
        <w:tc>
          <w:tcPr>
            <w:tcW w:w="741"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219,014,010.65</w:t>
            </w:r>
          </w:p>
        </w:tc>
        <w:tc>
          <w:tcPr>
            <w:tcW w:w="741"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115,494,038.02</w:t>
            </w:r>
          </w:p>
        </w:tc>
        <w:tc>
          <w:tcPr>
            <w:tcW w:w="741"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81,887,662.97</w:t>
            </w:r>
          </w:p>
        </w:tc>
        <w:tc>
          <w:tcPr>
            <w:tcW w:w="741"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197,381,700.99</w:t>
            </w:r>
          </w:p>
        </w:tc>
        <w:tc>
          <w:tcPr>
            <w:tcW w:w="741"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18,793,392.40</w:t>
            </w:r>
          </w:p>
        </w:tc>
        <w:tc>
          <w:tcPr>
            <w:tcW w:w="741"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98,981,615.02</w:t>
            </w:r>
          </w:p>
        </w:tc>
        <w:tc>
          <w:tcPr>
            <w:tcW w:w="741"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117,775,007.42</w:t>
            </w:r>
          </w:p>
        </w:tc>
        <w:tc>
          <w:tcPr>
            <w:tcW w:w="741"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52,024,087.36</w:t>
            </w:r>
          </w:p>
        </w:tc>
        <w:tc>
          <w:tcPr>
            <w:tcW w:w="741"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51,243,932.00</w:t>
            </w:r>
          </w:p>
        </w:tc>
        <w:tc>
          <w:tcPr>
            <w:tcW w:w="741"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103,268,019.36</w:t>
            </w:r>
          </w:p>
        </w:tc>
      </w:tr>
    </w:tbl>
    <w:p w:rsidR="00E20B54" w:rsidRDefault="00733C9E">
      <w:pPr>
        <w:spacing w:before="40" w:after="40" w:line="240" w:lineRule="exact"/>
        <w:jc w:val="right"/>
        <w:rPr>
          <w:sz w:val="18"/>
          <w:szCs w:val="18"/>
        </w:rPr>
      </w:pPr>
      <w:r>
        <w:rPr>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071"/>
        <w:gridCol w:w="1071"/>
        <w:gridCol w:w="1071"/>
        <w:gridCol w:w="1071"/>
        <w:gridCol w:w="1071"/>
        <w:gridCol w:w="1071"/>
        <w:gridCol w:w="1071"/>
        <w:gridCol w:w="1071"/>
        <w:gridCol w:w="1071"/>
      </w:tblGrid>
      <w:tr w:rsidR="00E20B54">
        <w:trPr>
          <w:trHeight w:val="240"/>
        </w:trPr>
        <w:tc>
          <w:tcPr>
            <w:tcW w:w="1071"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子公司名称</w:t>
            </w:r>
          </w:p>
        </w:tc>
        <w:tc>
          <w:tcPr>
            <w:tcW w:w="4284" w:type="dxa"/>
            <w:gridSpan w:val="4"/>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本期发生额</w:t>
            </w:r>
          </w:p>
        </w:tc>
        <w:tc>
          <w:tcPr>
            <w:tcW w:w="4284" w:type="dxa"/>
            <w:gridSpan w:val="4"/>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上期发生额</w:t>
            </w:r>
          </w:p>
        </w:tc>
      </w:tr>
      <w:tr w:rsidR="00E20B54">
        <w:trPr>
          <w:trHeight w:val="240"/>
        </w:trPr>
        <w:tc>
          <w:tcPr>
            <w:tcW w:w="1071"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营业收入</w:t>
            </w:r>
          </w:p>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净利润</w:t>
            </w:r>
          </w:p>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综合收益总额</w:t>
            </w:r>
          </w:p>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经营活动现金流量</w:t>
            </w:r>
          </w:p>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营业收入</w:t>
            </w:r>
          </w:p>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净利润</w:t>
            </w:r>
          </w:p>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综合收益总额</w:t>
            </w:r>
          </w:p>
        </w:tc>
        <w:tc>
          <w:tcPr>
            <w:tcW w:w="1071"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经营活动现金流量</w:t>
            </w:r>
          </w:p>
        </w:tc>
      </w:tr>
      <w:tr w:rsidR="00E20B54">
        <w:trPr>
          <w:trHeight w:val="240"/>
        </w:trPr>
        <w:tc>
          <w:tcPr>
            <w:tcW w:w="1071"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广东天亿马数字能源有限公司</w:t>
            </w:r>
          </w:p>
        </w:tc>
        <w:tc>
          <w:tcPr>
            <w:tcW w:w="1071"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21,298,988.55</w:t>
            </w:r>
          </w:p>
        </w:tc>
        <w:tc>
          <w:tcPr>
            <w:tcW w:w="1071"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4,017,459.20</w:t>
            </w:r>
          </w:p>
        </w:tc>
        <w:tc>
          <w:tcPr>
            <w:tcW w:w="1071"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4,017,459.20</w:t>
            </w:r>
          </w:p>
        </w:tc>
        <w:tc>
          <w:tcPr>
            <w:tcW w:w="1071"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73,005,031.36</w:t>
            </w:r>
          </w:p>
        </w:tc>
        <w:tc>
          <w:tcPr>
            <w:tcW w:w="1071"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643,382.46</w:t>
            </w:r>
          </w:p>
        </w:tc>
        <w:tc>
          <w:tcPr>
            <w:tcW w:w="1071"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-3,209,009.63</w:t>
            </w:r>
          </w:p>
        </w:tc>
        <w:tc>
          <w:tcPr>
            <w:tcW w:w="1071"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-3,209,009.63</w:t>
            </w:r>
          </w:p>
        </w:tc>
        <w:tc>
          <w:tcPr>
            <w:tcW w:w="1071"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17,860,222.17</w:t>
            </w:r>
          </w:p>
        </w:tc>
      </w:tr>
    </w:tbl>
    <w:p w:rsidR="00E20B54" w:rsidRDefault="00733C9E">
      <w:pPr>
        <w:spacing w:before="100" w:after="100" w:line="240" w:lineRule="exact"/>
        <w:rPr>
          <w:sz w:val="18"/>
          <w:szCs w:val="18"/>
        </w:rPr>
      </w:pPr>
      <w:r>
        <w:rPr>
          <w:sz w:val="18"/>
          <w:szCs w:val="18"/>
        </w:rPr>
        <w:t>其他说明：</w:t>
      </w:r>
      <w:r w:rsidR="00540487">
        <w:rPr>
          <w:rFonts w:hint="eastAsia"/>
          <w:sz w:val="18"/>
          <w:szCs w:val="18"/>
        </w:rPr>
        <w:t>无。</w:t>
      </w:r>
    </w:p>
    <w:p w:rsidR="00E20B54" w:rsidRDefault="00733C9E">
      <w:pPr>
        <w:keepNext/>
        <w:keepLines/>
        <w:spacing w:before="300" w:after="300" w:line="280" w:lineRule="exact"/>
        <w:outlineLvl w:val="3"/>
        <w:rPr>
          <w:b/>
          <w:bCs/>
          <w:sz w:val="18"/>
          <w:szCs w:val="18"/>
        </w:rPr>
      </w:pPr>
      <w:bookmarkStart w:id="400" w:name="_Toc989288"/>
      <w:r>
        <w:rPr>
          <w:b/>
          <w:bCs/>
          <w:sz w:val="18"/>
          <w:szCs w:val="18"/>
        </w:rPr>
        <w:t>（</w:t>
      </w:r>
      <w:r>
        <w:rPr>
          <w:b/>
          <w:bCs/>
          <w:sz w:val="18"/>
          <w:szCs w:val="18"/>
        </w:rPr>
        <w:t>4</w:t>
      </w:r>
      <w:r>
        <w:rPr>
          <w:b/>
          <w:bCs/>
          <w:sz w:val="18"/>
          <w:szCs w:val="18"/>
        </w:rPr>
        <w:t>）</w:t>
      </w:r>
      <w:r>
        <w:rPr>
          <w:b/>
          <w:bCs/>
          <w:sz w:val="18"/>
          <w:szCs w:val="18"/>
        </w:rPr>
        <w:t xml:space="preserve"> </w:t>
      </w:r>
      <w:r>
        <w:rPr>
          <w:b/>
          <w:bCs/>
          <w:sz w:val="18"/>
          <w:szCs w:val="18"/>
        </w:rPr>
        <w:t>使用企业集团资产和清偿企业集团债务的重大限制</w:t>
      </w:r>
      <w:bookmarkEnd w:id="400"/>
    </w:p>
    <w:p w:rsidR="00E20B54" w:rsidRDefault="00733C9E">
      <w:pPr>
        <w:keepNext/>
        <w:keepLines/>
        <w:spacing w:before="300" w:after="300" w:line="280" w:lineRule="exact"/>
        <w:outlineLvl w:val="3"/>
        <w:rPr>
          <w:b/>
          <w:bCs/>
          <w:sz w:val="18"/>
          <w:szCs w:val="18"/>
        </w:rPr>
      </w:pPr>
      <w:bookmarkStart w:id="401" w:name="_Toc989289"/>
      <w:r>
        <w:rPr>
          <w:b/>
          <w:bCs/>
          <w:sz w:val="18"/>
          <w:szCs w:val="18"/>
        </w:rPr>
        <w:t>（</w:t>
      </w:r>
      <w:r>
        <w:rPr>
          <w:b/>
          <w:bCs/>
          <w:sz w:val="18"/>
          <w:szCs w:val="18"/>
        </w:rPr>
        <w:t>5</w:t>
      </w:r>
      <w:r>
        <w:rPr>
          <w:b/>
          <w:bCs/>
          <w:sz w:val="18"/>
          <w:szCs w:val="18"/>
        </w:rPr>
        <w:t>）</w:t>
      </w:r>
      <w:r>
        <w:rPr>
          <w:b/>
          <w:bCs/>
          <w:sz w:val="18"/>
          <w:szCs w:val="18"/>
        </w:rPr>
        <w:t xml:space="preserve"> </w:t>
      </w:r>
      <w:r>
        <w:rPr>
          <w:b/>
          <w:bCs/>
          <w:sz w:val="18"/>
          <w:szCs w:val="18"/>
        </w:rPr>
        <w:t>向纳入合并财务报表范围的结构化主体提供的财务支持或其他支持</w:t>
      </w:r>
      <w:bookmarkEnd w:id="401"/>
    </w:p>
    <w:p w:rsidR="00E20B54" w:rsidRDefault="00733C9E">
      <w:pPr>
        <w:spacing w:before="100" w:after="100" w:line="240" w:lineRule="exact"/>
        <w:rPr>
          <w:sz w:val="18"/>
          <w:szCs w:val="18"/>
        </w:rPr>
      </w:pPr>
      <w:r>
        <w:rPr>
          <w:sz w:val="18"/>
          <w:szCs w:val="18"/>
        </w:rPr>
        <w:t>其他说明：</w:t>
      </w:r>
      <w:r w:rsidR="00E27A93">
        <w:rPr>
          <w:rFonts w:hint="eastAsia"/>
          <w:sz w:val="18"/>
          <w:szCs w:val="18"/>
        </w:rPr>
        <w:t>无。</w:t>
      </w:r>
    </w:p>
    <w:p w:rsidR="00E20B54" w:rsidRDefault="00733C9E">
      <w:pPr>
        <w:pStyle w:val="3"/>
        <w:spacing w:line="280" w:lineRule="exact"/>
        <w:jc w:val="left"/>
        <w:rPr>
          <w:b/>
          <w:bCs/>
        </w:rPr>
      </w:pPr>
      <w:bookmarkStart w:id="402" w:name="_Toc989290"/>
      <w:r>
        <w:rPr>
          <w:b/>
          <w:bCs/>
        </w:rPr>
        <w:t>2</w:t>
      </w:r>
      <w:r>
        <w:rPr>
          <w:b/>
          <w:bCs/>
        </w:rPr>
        <w:t>、在子公司的所有者权益份额发生变化且仍控制子公司的交易</w:t>
      </w:r>
      <w:bookmarkEnd w:id="402"/>
    </w:p>
    <w:p w:rsidR="00E20B54" w:rsidRDefault="00733C9E">
      <w:pPr>
        <w:keepNext/>
        <w:keepLines/>
        <w:spacing w:before="300" w:after="300" w:line="280" w:lineRule="exact"/>
        <w:outlineLvl w:val="3"/>
        <w:rPr>
          <w:b/>
          <w:bCs/>
          <w:sz w:val="18"/>
          <w:szCs w:val="18"/>
        </w:rPr>
      </w:pPr>
      <w:bookmarkStart w:id="403" w:name="_Toc989291"/>
      <w:r>
        <w:rPr>
          <w:b/>
          <w:bCs/>
          <w:sz w:val="18"/>
          <w:szCs w:val="18"/>
        </w:rPr>
        <w:t>（</w:t>
      </w:r>
      <w:r>
        <w:rPr>
          <w:b/>
          <w:bCs/>
          <w:sz w:val="18"/>
          <w:szCs w:val="18"/>
        </w:rPr>
        <w:t>1</w:t>
      </w:r>
      <w:r>
        <w:rPr>
          <w:b/>
          <w:bCs/>
          <w:sz w:val="18"/>
          <w:szCs w:val="18"/>
        </w:rPr>
        <w:t>）</w:t>
      </w:r>
      <w:r>
        <w:rPr>
          <w:b/>
          <w:bCs/>
          <w:sz w:val="18"/>
          <w:szCs w:val="18"/>
        </w:rPr>
        <w:t xml:space="preserve"> </w:t>
      </w:r>
      <w:r>
        <w:rPr>
          <w:b/>
          <w:bCs/>
          <w:sz w:val="18"/>
          <w:szCs w:val="18"/>
        </w:rPr>
        <w:t>在子公司所有者权益份额发生变化的情况说明</w:t>
      </w:r>
      <w:bookmarkEnd w:id="403"/>
    </w:p>
    <w:p w:rsidR="00E20B54" w:rsidRDefault="00733C9E">
      <w:pPr>
        <w:keepNext/>
        <w:keepLines/>
        <w:spacing w:before="300" w:after="300" w:line="280" w:lineRule="exact"/>
        <w:outlineLvl w:val="3"/>
        <w:rPr>
          <w:b/>
          <w:bCs/>
          <w:sz w:val="18"/>
          <w:szCs w:val="18"/>
        </w:rPr>
      </w:pPr>
      <w:bookmarkStart w:id="404" w:name="_Toc989292"/>
      <w:r>
        <w:rPr>
          <w:b/>
          <w:bCs/>
          <w:sz w:val="18"/>
          <w:szCs w:val="18"/>
        </w:rPr>
        <w:t>（</w:t>
      </w:r>
      <w:r>
        <w:rPr>
          <w:b/>
          <w:bCs/>
          <w:sz w:val="18"/>
          <w:szCs w:val="18"/>
        </w:rPr>
        <w:t>2</w:t>
      </w:r>
      <w:r>
        <w:rPr>
          <w:b/>
          <w:bCs/>
          <w:sz w:val="18"/>
          <w:szCs w:val="18"/>
        </w:rPr>
        <w:t>）</w:t>
      </w:r>
      <w:r>
        <w:rPr>
          <w:b/>
          <w:bCs/>
          <w:sz w:val="18"/>
          <w:szCs w:val="18"/>
        </w:rPr>
        <w:t xml:space="preserve"> </w:t>
      </w:r>
      <w:r>
        <w:rPr>
          <w:b/>
          <w:bCs/>
          <w:sz w:val="18"/>
          <w:szCs w:val="18"/>
        </w:rPr>
        <w:t>交易对于少数股东权益及归属于母公司所有者权益的影响</w:t>
      </w:r>
      <w:bookmarkEnd w:id="404"/>
    </w:p>
    <w:p w:rsidR="00E20B54" w:rsidRDefault="00733C9E">
      <w:pPr>
        <w:spacing w:before="40" w:after="40" w:line="240" w:lineRule="exact"/>
        <w:jc w:val="right"/>
        <w:rPr>
          <w:sz w:val="18"/>
          <w:szCs w:val="18"/>
        </w:rPr>
      </w:pPr>
      <w:r>
        <w:rPr>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4820"/>
        <w:gridCol w:w="4819"/>
      </w:tblGrid>
      <w:tr w:rsidR="00E20B54" w:rsidTr="00E27A93">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c>
          <w:tcPr>
            <w:tcW w:w="4819"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center"/>
              <w:rPr>
                <w:sz w:val="18"/>
                <w:szCs w:val="18"/>
              </w:rPr>
            </w:pPr>
          </w:p>
        </w:tc>
      </w:tr>
      <w:tr w:rsidR="00E20B54" w:rsidTr="00E27A93">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购买成本</w:t>
            </w:r>
            <w:r>
              <w:rPr>
                <w:sz w:val="18"/>
                <w:szCs w:val="18"/>
              </w:rPr>
              <w:t>/</w:t>
            </w:r>
            <w:r>
              <w:rPr>
                <w:sz w:val="18"/>
                <w:szCs w:val="18"/>
              </w:rPr>
              <w:t>处置对价</w:t>
            </w:r>
          </w:p>
        </w:tc>
        <w:tc>
          <w:tcPr>
            <w:tcW w:w="4819"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r w:rsidR="00E20B54" w:rsidTr="00E27A93">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lastRenderedPageBreak/>
              <w:t>--</w:t>
            </w:r>
            <w:r>
              <w:rPr>
                <w:sz w:val="18"/>
                <w:szCs w:val="18"/>
              </w:rPr>
              <w:t>现金</w:t>
            </w:r>
          </w:p>
        </w:tc>
        <w:tc>
          <w:tcPr>
            <w:tcW w:w="4819"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r w:rsidR="00E20B54" w:rsidTr="00E27A93">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w:t>
            </w:r>
            <w:r>
              <w:rPr>
                <w:sz w:val="18"/>
                <w:szCs w:val="18"/>
              </w:rPr>
              <w:t>非现金资产的公允价值</w:t>
            </w:r>
          </w:p>
        </w:tc>
        <w:tc>
          <w:tcPr>
            <w:tcW w:w="4819"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r w:rsidR="00E20B54" w:rsidTr="00E27A93">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购买成本</w:t>
            </w:r>
            <w:r>
              <w:rPr>
                <w:sz w:val="18"/>
                <w:szCs w:val="18"/>
              </w:rPr>
              <w:t>/</w:t>
            </w:r>
            <w:r>
              <w:rPr>
                <w:sz w:val="18"/>
                <w:szCs w:val="18"/>
              </w:rPr>
              <w:t>处置对价合计</w:t>
            </w:r>
          </w:p>
        </w:tc>
        <w:tc>
          <w:tcPr>
            <w:tcW w:w="4819"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r w:rsidR="00E20B54" w:rsidTr="00E27A93">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减：按取得</w:t>
            </w:r>
            <w:r>
              <w:rPr>
                <w:sz w:val="18"/>
                <w:szCs w:val="18"/>
              </w:rPr>
              <w:t>/</w:t>
            </w:r>
            <w:r>
              <w:rPr>
                <w:sz w:val="18"/>
                <w:szCs w:val="18"/>
              </w:rPr>
              <w:t>处置的股权比例计算的子公司净资产份额</w:t>
            </w:r>
          </w:p>
        </w:tc>
        <w:tc>
          <w:tcPr>
            <w:tcW w:w="4819"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r w:rsidR="00E20B54" w:rsidTr="00E27A93">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差额</w:t>
            </w:r>
          </w:p>
        </w:tc>
        <w:tc>
          <w:tcPr>
            <w:tcW w:w="4819"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r w:rsidR="00E20B54" w:rsidTr="00E27A93">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其中：调整资本公积</w:t>
            </w:r>
          </w:p>
        </w:tc>
        <w:tc>
          <w:tcPr>
            <w:tcW w:w="4819"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r w:rsidR="00E20B54" w:rsidTr="00E27A93">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300" w:firstLine="540"/>
              <w:rPr>
                <w:sz w:val="18"/>
                <w:szCs w:val="18"/>
              </w:rPr>
            </w:pPr>
            <w:r>
              <w:rPr>
                <w:sz w:val="18"/>
                <w:szCs w:val="18"/>
              </w:rPr>
              <w:t>调整盈余公积</w:t>
            </w:r>
          </w:p>
        </w:tc>
        <w:tc>
          <w:tcPr>
            <w:tcW w:w="4819"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r w:rsidR="00E20B54" w:rsidTr="00E27A93">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300" w:firstLine="540"/>
              <w:rPr>
                <w:sz w:val="18"/>
                <w:szCs w:val="18"/>
              </w:rPr>
            </w:pPr>
            <w:r>
              <w:rPr>
                <w:sz w:val="18"/>
                <w:szCs w:val="18"/>
              </w:rPr>
              <w:t>调整未分配利润</w:t>
            </w:r>
          </w:p>
        </w:tc>
        <w:tc>
          <w:tcPr>
            <w:tcW w:w="4819"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bl>
    <w:p w:rsidR="00E20B54" w:rsidRDefault="00733C9E">
      <w:pPr>
        <w:spacing w:before="100" w:after="100" w:line="240" w:lineRule="exact"/>
        <w:rPr>
          <w:sz w:val="18"/>
          <w:szCs w:val="18"/>
        </w:rPr>
      </w:pPr>
      <w:r>
        <w:rPr>
          <w:sz w:val="18"/>
          <w:szCs w:val="18"/>
        </w:rPr>
        <w:t>其他说明：</w:t>
      </w:r>
      <w:r w:rsidR="00A172AA">
        <w:rPr>
          <w:rFonts w:hint="eastAsia"/>
          <w:sz w:val="18"/>
          <w:szCs w:val="18"/>
        </w:rPr>
        <w:t>无。</w:t>
      </w:r>
    </w:p>
    <w:p w:rsidR="00E20B54" w:rsidRDefault="00733C9E">
      <w:pPr>
        <w:pStyle w:val="3"/>
        <w:spacing w:line="280" w:lineRule="exact"/>
        <w:jc w:val="left"/>
        <w:rPr>
          <w:b/>
          <w:bCs/>
        </w:rPr>
      </w:pPr>
      <w:bookmarkStart w:id="405" w:name="_Toc989293"/>
      <w:r>
        <w:rPr>
          <w:b/>
          <w:bCs/>
        </w:rPr>
        <w:t>3</w:t>
      </w:r>
      <w:r>
        <w:rPr>
          <w:b/>
          <w:bCs/>
        </w:rPr>
        <w:t>、在合营企业或联营企业中的权益</w:t>
      </w:r>
      <w:bookmarkEnd w:id="405"/>
    </w:p>
    <w:p w:rsidR="00E20B54" w:rsidRDefault="00733C9E">
      <w:pPr>
        <w:keepNext/>
        <w:keepLines/>
        <w:spacing w:before="300" w:after="300" w:line="280" w:lineRule="exact"/>
        <w:outlineLvl w:val="3"/>
        <w:rPr>
          <w:b/>
          <w:bCs/>
          <w:szCs w:val="21"/>
        </w:rPr>
      </w:pPr>
      <w:bookmarkStart w:id="406" w:name="_Toc989294"/>
      <w:r>
        <w:rPr>
          <w:b/>
          <w:bCs/>
          <w:szCs w:val="21"/>
        </w:rPr>
        <w:t>（</w:t>
      </w:r>
      <w:r>
        <w:rPr>
          <w:b/>
          <w:bCs/>
          <w:szCs w:val="21"/>
        </w:rPr>
        <w:t>1</w:t>
      </w:r>
      <w:r>
        <w:rPr>
          <w:b/>
          <w:bCs/>
          <w:szCs w:val="21"/>
        </w:rPr>
        <w:t>）</w:t>
      </w:r>
      <w:r>
        <w:rPr>
          <w:b/>
          <w:bCs/>
          <w:szCs w:val="21"/>
        </w:rPr>
        <w:t xml:space="preserve"> </w:t>
      </w:r>
      <w:r>
        <w:rPr>
          <w:b/>
          <w:bCs/>
          <w:szCs w:val="21"/>
        </w:rPr>
        <w:t>重要的合营企业或联营企业</w:t>
      </w:r>
      <w:bookmarkEnd w:id="406"/>
    </w:p>
    <w:p w:rsidR="00E20B54" w:rsidRDefault="00733C9E">
      <w:pPr>
        <w:spacing w:before="100" w:after="100" w:line="240" w:lineRule="exact"/>
        <w:rPr>
          <w:sz w:val="18"/>
          <w:szCs w:val="18"/>
        </w:rPr>
      </w:pPr>
      <w:r>
        <w:rPr>
          <w:sz w:val="18"/>
          <w:szCs w:val="18"/>
        </w:rPr>
        <w:t>在合营企业或联营企业的持股比例不同于表决权比例的说明：</w:t>
      </w:r>
      <w:r w:rsidR="00A172AA">
        <w:rPr>
          <w:rFonts w:hint="eastAsia"/>
          <w:sz w:val="18"/>
          <w:szCs w:val="18"/>
        </w:rPr>
        <w:t>不适用。</w:t>
      </w:r>
    </w:p>
    <w:p w:rsidR="00E20B54" w:rsidRDefault="00733C9E">
      <w:pPr>
        <w:spacing w:before="100" w:after="100" w:line="240" w:lineRule="exact"/>
        <w:rPr>
          <w:sz w:val="18"/>
          <w:szCs w:val="18"/>
        </w:rPr>
      </w:pPr>
      <w:r>
        <w:rPr>
          <w:sz w:val="18"/>
          <w:szCs w:val="18"/>
        </w:rPr>
        <w:t>持有</w:t>
      </w:r>
      <w:r>
        <w:rPr>
          <w:sz w:val="18"/>
          <w:szCs w:val="18"/>
        </w:rPr>
        <w:t>20%</w:t>
      </w:r>
      <w:r>
        <w:rPr>
          <w:sz w:val="18"/>
          <w:szCs w:val="18"/>
        </w:rPr>
        <w:t>以下表决权但具有重大影响，或者持有</w:t>
      </w:r>
      <w:r>
        <w:rPr>
          <w:sz w:val="18"/>
          <w:szCs w:val="18"/>
        </w:rPr>
        <w:t>20%</w:t>
      </w:r>
      <w:r>
        <w:rPr>
          <w:sz w:val="18"/>
          <w:szCs w:val="18"/>
        </w:rPr>
        <w:t>或以上表决权但不具有重大影响的依据：</w:t>
      </w:r>
      <w:r w:rsidR="00A172AA">
        <w:rPr>
          <w:rFonts w:hint="eastAsia"/>
          <w:sz w:val="18"/>
          <w:szCs w:val="18"/>
        </w:rPr>
        <w:t>不适用。</w:t>
      </w:r>
    </w:p>
    <w:p w:rsidR="00E20B54" w:rsidRDefault="00733C9E">
      <w:pPr>
        <w:keepNext/>
        <w:keepLines/>
        <w:spacing w:before="300" w:after="300" w:line="280" w:lineRule="exact"/>
        <w:outlineLvl w:val="3"/>
        <w:rPr>
          <w:b/>
          <w:bCs/>
          <w:szCs w:val="21"/>
        </w:rPr>
      </w:pPr>
      <w:bookmarkStart w:id="407" w:name="_Toc989295"/>
      <w:r>
        <w:rPr>
          <w:b/>
          <w:bCs/>
          <w:szCs w:val="21"/>
        </w:rPr>
        <w:t>（</w:t>
      </w:r>
      <w:r>
        <w:rPr>
          <w:b/>
          <w:bCs/>
          <w:szCs w:val="21"/>
        </w:rPr>
        <w:t>2</w:t>
      </w:r>
      <w:r>
        <w:rPr>
          <w:b/>
          <w:bCs/>
          <w:szCs w:val="21"/>
        </w:rPr>
        <w:t>）</w:t>
      </w:r>
      <w:r>
        <w:rPr>
          <w:b/>
          <w:bCs/>
          <w:szCs w:val="21"/>
        </w:rPr>
        <w:t xml:space="preserve"> </w:t>
      </w:r>
      <w:r>
        <w:rPr>
          <w:b/>
          <w:bCs/>
          <w:szCs w:val="21"/>
        </w:rPr>
        <w:t>重要合营企业的主要财务信息</w:t>
      </w:r>
      <w:bookmarkEnd w:id="407"/>
    </w:p>
    <w:p w:rsidR="00E20B54" w:rsidRDefault="00733C9E">
      <w:pPr>
        <w:spacing w:before="100" w:after="100" w:line="240" w:lineRule="exact"/>
        <w:rPr>
          <w:sz w:val="18"/>
          <w:szCs w:val="18"/>
        </w:rPr>
      </w:pPr>
      <w:r>
        <w:rPr>
          <w:sz w:val="18"/>
          <w:szCs w:val="18"/>
        </w:rPr>
        <w:t>其他说明：</w:t>
      </w:r>
      <w:r w:rsidR="002436D6">
        <w:rPr>
          <w:rFonts w:hint="eastAsia"/>
          <w:sz w:val="18"/>
          <w:szCs w:val="18"/>
        </w:rPr>
        <w:t>无重要合营企业。</w:t>
      </w:r>
    </w:p>
    <w:p w:rsidR="00E20B54" w:rsidRDefault="00733C9E">
      <w:pPr>
        <w:keepNext/>
        <w:keepLines/>
        <w:spacing w:before="300" w:after="300" w:line="280" w:lineRule="exact"/>
        <w:outlineLvl w:val="3"/>
        <w:rPr>
          <w:b/>
          <w:bCs/>
          <w:szCs w:val="21"/>
        </w:rPr>
      </w:pPr>
      <w:bookmarkStart w:id="408" w:name="_Toc989296"/>
      <w:r>
        <w:rPr>
          <w:b/>
          <w:bCs/>
          <w:szCs w:val="21"/>
        </w:rPr>
        <w:t>（</w:t>
      </w:r>
      <w:r>
        <w:rPr>
          <w:b/>
          <w:bCs/>
          <w:szCs w:val="21"/>
        </w:rPr>
        <w:t>3</w:t>
      </w:r>
      <w:r>
        <w:rPr>
          <w:b/>
          <w:bCs/>
          <w:szCs w:val="21"/>
        </w:rPr>
        <w:t>）</w:t>
      </w:r>
      <w:r>
        <w:rPr>
          <w:b/>
          <w:bCs/>
          <w:szCs w:val="21"/>
        </w:rPr>
        <w:t xml:space="preserve"> </w:t>
      </w:r>
      <w:r>
        <w:rPr>
          <w:b/>
          <w:bCs/>
          <w:szCs w:val="21"/>
        </w:rPr>
        <w:t>重要联营企业的主要财务信息</w:t>
      </w:r>
      <w:bookmarkEnd w:id="408"/>
    </w:p>
    <w:p w:rsidR="00E20B54" w:rsidRDefault="00733C9E">
      <w:pPr>
        <w:spacing w:before="100" w:after="100" w:line="240" w:lineRule="exact"/>
        <w:rPr>
          <w:sz w:val="18"/>
          <w:szCs w:val="18"/>
        </w:rPr>
      </w:pPr>
      <w:r>
        <w:rPr>
          <w:sz w:val="18"/>
          <w:szCs w:val="18"/>
        </w:rPr>
        <w:t>其他说明：</w:t>
      </w:r>
      <w:r w:rsidR="002436D6">
        <w:rPr>
          <w:rFonts w:hint="eastAsia"/>
          <w:sz w:val="18"/>
          <w:szCs w:val="18"/>
        </w:rPr>
        <w:t>无重要联营企业。</w:t>
      </w:r>
    </w:p>
    <w:p w:rsidR="00E20B54" w:rsidRDefault="00733C9E">
      <w:pPr>
        <w:keepNext/>
        <w:keepLines/>
        <w:spacing w:before="300" w:after="300" w:line="280" w:lineRule="exact"/>
        <w:outlineLvl w:val="3"/>
        <w:rPr>
          <w:b/>
          <w:bCs/>
          <w:szCs w:val="21"/>
        </w:rPr>
      </w:pPr>
      <w:bookmarkStart w:id="409" w:name="_Toc989297"/>
      <w:r>
        <w:rPr>
          <w:b/>
          <w:bCs/>
          <w:szCs w:val="21"/>
        </w:rPr>
        <w:t>（</w:t>
      </w:r>
      <w:r>
        <w:rPr>
          <w:b/>
          <w:bCs/>
          <w:szCs w:val="21"/>
        </w:rPr>
        <w:t>4</w:t>
      </w:r>
      <w:r>
        <w:rPr>
          <w:b/>
          <w:bCs/>
          <w:szCs w:val="21"/>
        </w:rPr>
        <w:t>）</w:t>
      </w:r>
      <w:r>
        <w:rPr>
          <w:b/>
          <w:bCs/>
          <w:szCs w:val="21"/>
        </w:rPr>
        <w:t xml:space="preserve"> </w:t>
      </w:r>
      <w:r>
        <w:rPr>
          <w:b/>
          <w:bCs/>
          <w:szCs w:val="21"/>
        </w:rPr>
        <w:t>不重要的合营企业和联营企业的汇总财务信息</w:t>
      </w:r>
      <w:bookmarkEnd w:id="409"/>
    </w:p>
    <w:p w:rsidR="00E20B54" w:rsidRDefault="00733C9E">
      <w:pPr>
        <w:spacing w:before="100" w:after="100" w:line="240" w:lineRule="exact"/>
        <w:rPr>
          <w:sz w:val="18"/>
          <w:szCs w:val="18"/>
        </w:rPr>
      </w:pPr>
      <w:r>
        <w:rPr>
          <w:sz w:val="18"/>
          <w:szCs w:val="18"/>
        </w:rPr>
        <w:t>其他说明：</w:t>
      </w:r>
      <w:r w:rsidR="00112ABE">
        <w:rPr>
          <w:rFonts w:hint="eastAsia"/>
          <w:sz w:val="18"/>
          <w:szCs w:val="18"/>
        </w:rPr>
        <w:t>无此类主体。</w:t>
      </w:r>
    </w:p>
    <w:p w:rsidR="00E20B54" w:rsidRDefault="00733C9E">
      <w:pPr>
        <w:keepNext/>
        <w:keepLines/>
        <w:spacing w:before="300" w:after="300" w:line="280" w:lineRule="exact"/>
        <w:outlineLvl w:val="3"/>
        <w:rPr>
          <w:b/>
          <w:bCs/>
          <w:szCs w:val="21"/>
        </w:rPr>
      </w:pPr>
      <w:bookmarkStart w:id="410" w:name="_Toc989298"/>
      <w:r>
        <w:rPr>
          <w:b/>
          <w:bCs/>
          <w:szCs w:val="21"/>
        </w:rPr>
        <w:t>（</w:t>
      </w:r>
      <w:r>
        <w:rPr>
          <w:b/>
          <w:bCs/>
          <w:szCs w:val="21"/>
        </w:rPr>
        <w:t>5</w:t>
      </w:r>
      <w:r>
        <w:rPr>
          <w:b/>
          <w:bCs/>
          <w:szCs w:val="21"/>
        </w:rPr>
        <w:t>）</w:t>
      </w:r>
      <w:r>
        <w:rPr>
          <w:b/>
          <w:bCs/>
          <w:szCs w:val="21"/>
        </w:rPr>
        <w:t xml:space="preserve"> </w:t>
      </w:r>
      <w:r>
        <w:rPr>
          <w:b/>
          <w:bCs/>
          <w:szCs w:val="21"/>
        </w:rPr>
        <w:t>合营企业或联营企业向本公司转移资金的能力存在重大限制的说明</w:t>
      </w:r>
      <w:bookmarkEnd w:id="410"/>
    </w:p>
    <w:p w:rsidR="00112ABE" w:rsidRPr="00112ABE" w:rsidRDefault="00112ABE" w:rsidP="00112ABE">
      <w:pPr>
        <w:spacing w:before="100" w:after="100" w:line="240" w:lineRule="exact"/>
        <w:rPr>
          <w:sz w:val="18"/>
          <w:szCs w:val="18"/>
        </w:rPr>
      </w:pPr>
      <w:r>
        <w:rPr>
          <w:sz w:val="18"/>
          <w:szCs w:val="18"/>
        </w:rPr>
        <w:t>其他说明：</w:t>
      </w:r>
      <w:r>
        <w:rPr>
          <w:rFonts w:hint="eastAsia"/>
          <w:sz w:val="18"/>
          <w:szCs w:val="18"/>
        </w:rPr>
        <w:t>不适用。</w:t>
      </w:r>
    </w:p>
    <w:p w:rsidR="00E20B54" w:rsidRDefault="00733C9E">
      <w:pPr>
        <w:keepNext/>
        <w:keepLines/>
        <w:spacing w:before="300" w:after="300" w:line="280" w:lineRule="exact"/>
        <w:outlineLvl w:val="3"/>
        <w:rPr>
          <w:b/>
          <w:bCs/>
          <w:szCs w:val="21"/>
        </w:rPr>
      </w:pPr>
      <w:bookmarkStart w:id="411" w:name="_Toc989299"/>
      <w:r>
        <w:rPr>
          <w:b/>
          <w:bCs/>
          <w:szCs w:val="21"/>
        </w:rPr>
        <w:t>（</w:t>
      </w:r>
      <w:r>
        <w:rPr>
          <w:b/>
          <w:bCs/>
          <w:szCs w:val="21"/>
        </w:rPr>
        <w:t>6</w:t>
      </w:r>
      <w:r>
        <w:rPr>
          <w:b/>
          <w:bCs/>
          <w:szCs w:val="21"/>
        </w:rPr>
        <w:t>）</w:t>
      </w:r>
      <w:r>
        <w:rPr>
          <w:b/>
          <w:bCs/>
          <w:szCs w:val="21"/>
        </w:rPr>
        <w:t xml:space="preserve"> </w:t>
      </w:r>
      <w:r>
        <w:rPr>
          <w:b/>
          <w:bCs/>
          <w:szCs w:val="21"/>
        </w:rPr>
        <w:t>合营企业或联营企业发生的超额亏损</w:t>
      </w:r>
      <w:bookmarkEnd w:id="411"/>
    </w:p>
    <w:p w:rsidR="00E20B54" w:rsidRDefault="00733C9E">
      <w:pPr>
        <w:spacing w:before="100" w:after="100" w:line="240" w:lineRule="exact"/>
        <w:rPr>
          <w:sz w:val="18"/>
          <w:szCs w:val="18"/>
        </w:rPr>
      </w:pPr>
      <w:r>
        <w:rPr>
          <w:sz w:val="18"/>
          <w:szCs w:val="18"/>
        </w:rPr>
        <w:t>其他说明：</w:t>
      </w:r>
      <w:r w:rsidR="00112ABE">
        <w:rPr>
          <w:rFonts w:hint="eastAsia"/>
          <w:sz w:val="18"/>
          <w:szCs w:val="18"/>
        </w:rPr>
        <w:t>不适用。</w:t>
      </w:r>
    </w:p>
    <w:p w:rsidR="00E20B54" w:rsidRDefault="00733C9E">
      <w:pPr>
        <w:keepNext/>
        <w:keepLines/>
        <w:spacing w:before="300" w:after="300" w:line="280" w:lineRule="exact"/>
        <w:outlineLvl w:val="3"/>
        <w:rPr>
          <w:b/>
          <w:bCs/>
          <w:szCs w:val="21"/>
        </w:rPr>
      </w:pPr>
      <w:bookmarkStart w:id="412" w:name="_Toc989300"/>
      <w:r>
        <w:rPr>
          <w:b/>
          <w:bCs/>
          <w:szCs w:val="21"/>
        </w:rPr>
        <w:t>（</w:t>
      </w:r>
      <w:r>
        <w:rPr>
          <w:b/>
          <w:bCs/>
          <w:szCs w:val="21"/>
        </w:rPr>
        <w:t>7</w:t>
      </w:r>
      <w:r>
        <w:rPr>
          <w:b/>
          <w:bCs/>
          <w:szCs w:val="21"/>
        </w:rPr>
        <w:t>）</w:t>
      </w:r>
      <w:r>
        <w:rPr>
          <w:b/>
          <w:bCs/>
          <w:szCs w:val="21"/>
        </w:rPr>
        <w:t xml:space="preserve"> </w:t>
      </w:r>
      <w:r>
        <w:rPr>
          <w:b/>
          <w:bCs/>
          <w:szCs w:val="21"/>
        </w:rPr>
        <w:t>与合营企业投资相关的未确认承诺</w:t>
      </w:r>
      <w:bookmarkEnd w:id="412"/>
    </w:p>
    <w:p w:rsidR="009404E5" w:rsidRDefault="009404E5" w:rsidP="007949DA">
      <w:pPr>
        <w:spacing w:before="100" w:after="100" w:line="240" w:lineRule="exact"/>
        <w:rPr>
          <w:b/>
          <w:bCs/>
          <w:szCs w:val="21"/>
        </w:rPr>
      </w:pPr>
      <w:r>
        <w:rPr>
          <w:sz w:val="18"/>
          <w:szCs w:val="18"/>
        </w:rPr>
        <w:t>其他说明：</w:t>
      </w:r>
      <w:r>
        <w:rPr>
          <w:rFonts w:hint="eastAsia"/>
          <w:sz w:val="18"/>
          <w:szCs w:val="18"/>
        </w:rPr>
        <w:t>不适用。</w:t>
      </w:r>
    </w:p>
    <w:p w:rsidR="00E20B54" w:rsidRDefault="00733C9E">
      <w:pPr>
        <w:keepNext/>
        <w:keepLines/>
        <w:spacing w:before="300" w:after="300" w:line="280" w:lineRule="exact"/>
        <w:outlineLvl w:val="3"/>
        <w:rPr>
          <w:b/>
          <w:bCs/>
          <w:szCs w:val="21"/>
        </w:rPr>
      </w:pPr>
      <w:bookmarkStart w:id="413" w:name="_Toc989301"/>
      <w:r>
        <w:rPr>
          <w:b/>
          <w:bCs/>
          <w:szCs w:val="21"/>
        </w:rPr>
        <w:t>（</w:t>
      </w:r>
      <w:r>
        <w:rPr>
          <w:b/>
          <w:bCs/>
          <w:szCs w:val="21"/>
        </w:rPr>
        <w:t>8</w:t>
      </w:r>
      <w:r>
        <w:rPr>
          <w:b/>
          <w:bCs/>
          <w:szCs w:val="21"/>
        </w:rPr>
        <w:t>）</w:t>
      </w:r>
      <w:r>
        <w:rPr>
          <w:b/>
          <w:bCs/>
          <w:szCs w:val="21"/>
        </w:rPr>
        <w:t xml:space="preserve"> </w:t>
      </w:r>
      <w:r>
        <w:rPr>
          <w:b/>
          <w:bCs/>
          <w:szCs w:val="21"/>
        </w:rPr>
        <w:t>与合营企业或联营企业投资相关的或有负债</w:t>
      </w:r>
      <w:bookmarkEnd w:id="413"/>
    </w:p>
    <w:p w:rsidR="007949DA" w:rsidRDefault="007949DA" w:rsidP="007949DA">
      <w:pPr>
        <w:spacing w:before="100" w:after="100" w:line="240" w:lineRule="exact"/>
        <w:rPr>
          <w:b/>
          <w:bCs/>
          <w:szCs w:val="21"/>
        </w:rPr>
      </w:pPr>
      <w:r>
        <w:rPr>
          <w:sz w:val="18"/>
          <w:szCs w:val="18"/>
        </w:rPr>
        <w:t>其他说明：</w:t>
      </w:r>
      <w:r>
        <w:rPr>
          <w:rFonts w:hint="eastAsia"/>
          <w:sz w:val="18"/>
          <w:szCs w:val="18"/>
        </w:rPr>
        <w:t>不适用。</w:t>
      </w:r>
    </w:p>
    <w:p w:rsidR="00E20B54" w:rsidRDefault="00733C9E">
      <w:pPr>
        <w:pStyle w:val="3"/>
        <w:spacing w:line="280" w:lineRule="exact"/>
        <w:jc w:val="left"/>
        <w:rPr>
          <w:b/>
          <w:bCs/>
        </w:rPr>
      </w:pPr>
      <w:bookmarkStart w:id="414" w:name="_Toc989302"/>
      <w:r>
        <w:rPr>
          <w:b/>
          <w:bCs/>
        </w:rPr>
        <w:lastRenderedPageBreak/>
        <w:t>4</w:t>
      </w:r>
      <w:r>
        <w:rPr>
          <w:b/>
          <w:bCs/>
        </w:rPr>
        <w:t>、重要的共同经营</w:t>
      </w:r>
      <w:bookmarkEnd w:id="414"/>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607"/>
        <w:gridCol w:w="1607"/>
        <w:gridCol w:w="1606"/>
        <w:gridCol w:w="1606"/>
        <w:gridCol w:w="1606"/>
        <w:gridCol w:w="1607"/>
      </w:tblGrid>
      <w:tr w:rsidR="00E20B54" w:rsidTr="007949DA">
        <w:trPr>
          <w:trHeight w:val="240"/>
          <w:tblHeader/>
        </w:trPr>
        <w:tc>
          <w:tcPr>
            <w:tcW w:w="1606"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共同经营名称</w:t>
            </w:r>
          </w:p>
        </w:tc>
        <w:tc>
          <w:tcPr>
            <w:tcW w:w="1606"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主要经营地</w:t>
            </w:r>
          </w:p>
        </w:tc>
        <w:tc>
          <w:tcPr>
            <w:tcW w:w="1606"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注册地</w:t>
            </w:r>
          </w:p>
        </w:tc>
        <w:tc>
          <w:tcPr>
            <w:tcW w:w="1606"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业务性质</w:t>
            </w:r>
          </w:p>
        </w:tc>
        <w:tc>
          <w:tcPr>
            <w:tcW w:w="3213"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持股比例</w:t>
            </w:r>
            <w:r>
              <w:rPr>
                <w:sz w:val="18"/>
                <w:szCs w:val="18"/>
              </w:rPr>
              <w:t>/</w:t>
            </w:r>
            <w:r>
              <w:rPr>
                <w:sz w:val="18"/>
                <w:szCs w:val="18"/>
              </w:rPr>
              <w:t>享有的份额</w:t>
            </w:r>
          </w:p>
        </w:tc>
      </w:tr>
      <w:tr w:rsidR="00E20B54" w:rsidTr="007949DA">
        <w:trPr>
          <w:trHeight w:val="240"/>
          <w:tblHeader/>
        </w:trPr>
        <w:tc>
          <w:tcPr>
            <w:tcW w:w="1606"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c>
          <w:tcPr>
            <w:tcW w:w="1606"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c>
          <w:tcPr>
            <w:tcW w:w="1606"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c>
          <w:tcPr>
            <w:tcW w:w="1606"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直接</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间接</w:t>
            </w:r>
          </w:p>
        </w:tc>
      </w:tr>
    </w:tbl>
    <w:p w:rsidR="00E20B54" w:rsidRDefault="00733C9E">
      <w:pPr>
        <w:spacing w:before="100" w:after="100" w:line="240" w:lineRule="exact"/>
        <w:rPr>
          <w:sz w:val="18"/>
          <w:szCs w:val="18"/>
        </w:rPr>
      </w:pPr>
      <w:r>
        <w:rPr>
          <w:sz w:val="18"/>
          <w:szCs w:val="18"/>
        </w:rPr>
        <w:t>在共同经营中的持股比例或享有的份额不同于表决权比例的说明：</w:t>
      </w:r>
      <w:r w:rsidR="007949DA">
        <w:rPr>
          <w:rFonts w:hint="eastAsia"/>
          <w:sz w:val="18"/>
          <w:szCs w:val="18"/>
        </w:rPr>
        <w:t>不适用。</w:t>
      </w:r>
    </w:p>
    <w:p w:rsidR="00E20B54" w:rsidRDefault="00733C9E">
      <w:pPr>
        <w:spacing w:before="100" w:after="100" w:line="240" w:lineRule="exact"/>
        <w:rPr>
          <w:sz w:val="18"/>
          <w:szCs w:val="18"/>
        </w:rPr>
      </w:pPr>
      <w:r>
        <w:rPr>
          <w:sz w:val="18"/>
          <w:szCs w:val="18"/>
        </w:rPr>
        <w:t>共同经营为单独主体的，分类为共同经营的依据：</w:t>
      </w:r>
      <w:r w:rsidR="007949DA">
        <w:rPr>
          <w:rFonts w:hint="eastAsia"/>
          <w:sz w:val="18"/>
          <w:szCs w:val="18"/>
        </w:rPr>
        <w:t>不适用。</w:t>
      </w:r>
    </w:p>
    <w:p w:rsidR="00E20B54" w:rsidRDefault="00733C9E">
      <w:pPr>
        <w:spacing w:before="100" w:after="100" w:line="240" w:lineRule="exact"/>
        <w:rPr>
          <w:sz w:val="18"/>
          <w:szCs w:val="18"/>
        </w:rPr>
      </w:pPr>
      <w:r>
        <w:rPr>
          <w:sz w:val="18"/>
          <w:szCs w:val="18"/>
        </w:rPr>
        <w:t>其他说明：</w:t>
      </w:r>
      <w:r w:rsidR="007949DA">
        <w:rPr>
          <w:rFonts w:hint="eastAsia"/>
          <w:sz w:val="18"/>
          <w:szCs w:val="18"/>
        </w:rPr>
        <w:t>无。</w:t>
      </w:r>
    </w:p>
    <w:p w:rsidR="00E20B54" w:rsidRDefault="00733C9E">
      <w:pPr>
        <w:pStyle w:val="3"/>
        <w:spacing w:line="280" w:lineRule="exact"/>
        <w:jc w:val="left"/>
        <w:rPr>
          <w:b/>
          <w:bCs/>
        </w:rPr>
      </w:pPr>
      <w:bookmarkStart w:id="415" w:name="_Toc989303"/>
      <w:r>
        <w:rPr>
          <w:b/>
          <w:bCs/>
        </w:rPr>
        <w:t>5</w:t>
      </w:r>
      <w:r>
        <w:rPr>
          <w:b/>
          <w:bCs/>
        </w:rPr>
        <w:t>、在未纳入合并财务报表范围的结构化主体中的权益</w:t>
      </w:r>
      <w:bookmarkEnd w:id="415"/>
    </w:p>
    <w:p w:rsidR="00E20B54" w:rsidRDefault="00733C9E">
      <w:pPr>
        <w:spacing w:before="100" w:after="100" w:line="240" w:lineRule="exact"/>
        <w:rPr>
          <w:sz w:val="18"/>
          <w:szCs w:val="18"/>
        </w:rPr>
      </w:pPr>
      <w:r>
        <w:rPr>
          <w:sz w:val="18"/>
          <w:szCs w:val="18"/>
        </w:rPr>
        <w:t>未纳入合并财务报表范围的结构化主体的相关说明：</w:t>
      </w:r>
      <w:r w:rsidR="00682C39">
        <w:rPr>
          <w:rFonts w:hint="eastAsia"/>
          <w:sz w:val="18"/>
          <w:szCs w:val="18"/>
        </w:rPr>
        <w:t>不适用。</w:t>
      </w:r>
    </w:p>
    <w:p w:rsidR="00E20B54" w:rsidRDefault="00733C9E">
      <w:pPr>
        <w:pStyle w:val="3"/>
        <w:spacing w:line="280" w:lineRule="exact"/>
        <w:jc w:val="left"/>
        <w:rPr>
          <w:b/>
          <w:bCs/>
        </w:rPr>
      </w:pPr>
      <w:bookmarkStart w:id="416" w:name="_Toc989304"/>
      <w:r>
        <w:rPr>
          <w:b/>
          <w:bCs/>
        </w:rPr>
        <w:t>6</w:t>
      </w:r>
      <w:r>
        <w:rPr>
          <w:b/>
          <w:bCs/>
        </w:rPr>
        <w:t>、其他</w:t>
      </w:r>
      <w:bookmarkEnd w:id="416"/>
    </w:p>
    <w:p w:rsidR="00E20B54" w:rsidRDefault="00733C9E">
      <w:pPr>
        <w:pStyle w:val="a3"/>
        <w:widowControl/>
      </w:pPr>
      <w:r>
        <w:rPr>
          <w:sz w:val="18"/>
          <w:szCs w:val="18"/>
        </w:rPr>
        <w:t>无。</w:t>
      </w:r>
    </w:p>
    <w:p w:rsidR="00E20B54" w:rsidRDefault="00733C9E">
      <w:pPr>
        <w:pStyle w:val="2"/>
        <w:spacing w:before="300" w:after="300" w:line="320" w:lineRule="exact"/>
        <w:rPr>
          <w:b/>
          <w:bCs/>
          <w:sz w:val="24"/>
          <w:szCs w:val="24"/>
        </w:rPr>
      </w:pPr>
      <w:bookmarkStart w:id="417" w:name="_Toc989305"/>
      <w:r>
        <w:rPr>
          <w:b/>
          <w:bCs/>
          <w:sz w:val="24"/>
          <w:szCs w:val="24"/>
        </w:rPr>
        <w:t>十一、政府补助</w:t>
      </w:r>
      <w:bookmarkEnd w:id="417"/>
    </w:p>
    <w:p w:rsidR="00E20B54" w:rsidRDefault="00733C9E">
      <w:pPr>
        <w:pStyle w:val="3"/>
        <w:spacing w:line="280" w:lineRule="exact"/>
        <w:jc w:val="left"/>
        <w:rPr>
          <w:b/>
          <w:bCs/>
        </w:rPr>
      </w:pPr>
      <w:bookmarkStart w:id="418" w:name="_Toc989306"/>
      <w:r>
        <w:rPr>
          <w:b/>
          <w:bCs/>
        </w:rPr>
        <w:t>1</w:t>
      </w:r>
      <w:r>
        <w:rPr>
          <w:b/>
          <w:bCs/>
        </w:rPr>
        <w:t>、报告期末按应收金额确认的政府补助</w:t>
      </w:r>
      <w:bookmarkEnd w:id="418"/>
    </w:p>
    <w:p w:rsidR="00E20B54" w:rsidRDefault="00733C9E">
      <w:pPr>
        <w:spacing w:before="100" w:after="100" w:line="240" w:lineRule="exact"/>
        <w:rPr>
          <w:sz w:val="18"/>
          <w:szCs w:val="18"/>
        </w:rPr>
      </w:pPr>
      <w:r>
        <w:rPr>
          <w:sz w:val="18"/>
          <w:szCs w:val="18"/>
        </w:rPr>
        <w:t>□</w:t>
      </w:r>
      <w:r>
        <w:rPr>
          <w:sz w:val="18"/>
          <w:szCs w:val="18"/>
        </w:rPr>
        <w:t>适用</w:t>
      </w:r>
      <w:r>
        <w:rPr>
          <w:sz w:val="18"/>
          <w:szCs w:val="18"/>
        </w:rPr>
        <w:t xml:space="preserve"> </w:t>
      </w:r>
      <w:r>
        <w:rPr>
          <w:sz w:val="18"/>
          <w:szCs w:val="18"/>
        </w:rPr>
        <w:sym w:font="Wingdings 2" w:char="F052"/>
      </w:r>
      <w:r>
        <w:rPr>
          <w:sz w:val="18"/>
          <w:szCs w:val="18"/>
        </w:rPr>
        <w:t>不适用</w:t>
      </w:r>
    </w:p>
    <w:p w:rsidR="00E20B54" w:rsidRDefault="00733C9E">
      <w:pPr>
        <w:spacing w:line="240" w:lineRule="exact"/>
        <w:rPr>
          <w:sz w:val="18"/>
          <w:szCs w:val="18"/>
        </w:rPr>
      </w:pPr>
      <w:r>
        <w:rPr>
          <w:sz w:val="18"/>
          <w:szCs w:val="18"/>
        </w:rPr>
        <w:t>未能在预计时点收到预计金额的政府补助的原因</w:t>
      </w:r>
    </w:p>
    <w:p w:rsidR="00E20B54" w:rsidRDefault="00733C9E">
      <w:pPr>
        <w:spacing w:before="100" w:after="100" w:line="240" w:lineRule="exact"/>
        <w:rPr>
          <w:sz w:val="18"/>
          <w:szCs w:val="18"/>
        </w:rPr>
      </w:pPr>
      <w:r>
        <w:rPr>
          <w:sz w:val="18"/>
          <w:szCs w:val="18"/>
        </w:rPr>
        <w:t>□</w:t>
      </w:r>
      <w:r>
        <w:rPr>
          <w:sz w:val="18"/>
          <w:szCs w:val="18"/>
        </w:rPr>
        <w:t>适用</w:t>
      </w:r>
      <w:r>
        <w:rPr>
          <w:sz w:val="18"/>
          <w:szCs w:val="18"/>
        </w:rPr>
        <w:t xml:space="preserve"> </w:t>
      </w:r>
      <w:r>
        <w:rPr>
          <w:sz w:val="18"/>
          <w:szCs w:val="18"/>
        </w:rPr>
        <w:sym w:font="Wingdings 2" w:char="F052"/>
      </w:r>
      <w:r>
        <w:rPr>
          <w:sz w:val="18"/>
          <w:szCs w:val="18"/>
        </w:rPr>
        <w:t>不适用</w:t>
      </w:r>
    </w:p>
    <w:p w:rsidR="00E20B54" w:rsidRDefault="00733C9E">
      <w:pPr>
        <w:pStyle w:val="3"/>
        <w:spacing w:line="280" w:lineRule="exact"/>
        <w:jc w:val="left"/>
        <w:rPr>
          <w:b/>
          <w:bCs/>
        </w:rPr>
      </w:pPr>
      <w:bookmarkStart w:id="419" w:name="_Toc989307"/>
      <w:r>
        <w:rPr>
          <w:b/>
          <w:bCs/>
        </w:rPr>
        <w:t>2</w:t>
      </w:r>
      <w:r>
        <w:rPr>
          <w:b/>
          <w:bCs/>
        </w:rPr>
        <w:t>、涉及政府补助的负债项目</w:t>
      </w:r>
      <w:bookmarkEnd w:id="419"/>
    </w:p>
    <w:p w:rsidR="00E20B54" w:rsidRDefault="00733C9E">
      <w:pPr>
        <w:spacing w:before="100" w:after="100" w:line="240" w:lineRule="exact"/>
        <w:rPr>
          <w:sz w:val="18"/>
          <w:szCs w:val="18"/>
        </w:rPr>
      </w:pPr>
      <w:r>
        <w:rPr>
          <w:sz w:val="18"/>
          <w:szCs w:val="18"/>
        </w:rPr>
        <w:t>□</w:t>
      </w:r>
      <w:r>
        <w:rPr>
          <w:sz w:val="18"/>
          <w:szCs w:val="18"/>
        </w:rPr>
        <w:t>适用</w:t>
      </w:r>
      <w:r>
        <w:rPr>
          <w:sz w:val="18"/>
          <w:szCs w:val="18"/>
        </w:rPr>
        <w:t xml:space="preserve"> </w:t>
      </w:r>
      <w:r>
        <w:rPr>
          <w:sz w:val="18"/>
          <w:szCs w:val="18"/>
        </w:rPr>
        <w:sym w:font="Wingdings 2" w:char="F052"/>
      </w:r>
      <w:r>
        <w:rPr>
          <w:sz w:val="18"/>
          <w:szCs w:val="18"/>
        </w:rPr>
        <w:t>不适用</w:t>
      </w:r>
    </w:p>
    <w:p w:rsidR="00E20B54" w:rsidRDefault="00733C9E">
      <w:pPr>
        <w:pStyle w:val="3"/>
        <w:spacing w:line="280" w:lineRule="exact"/>
        <w:jc w:val="left"/>
        <w:rPr>
          <w:b/>
          <w:bCs/>
        </w:rPr>
      </w:pPr>
      <w:bookmarkStart w:id="420" w:name="_Toc989308"/>
      <w:r>
        <w:rPr>
          <w:b/>
          <w:bCs/>
        </w:rPr>
        <w:t>3</w:t>
      </w:r>
      <w:r>
        <w:rPr>
          <w:b/>
          <w:bCs/>
        </w:rPr>
        <w:t>、计入当期损益的政府补助</w:t>
      </w:r>
      <w:bookmarkEnd w:id="420"/>
    </w:p>
    <w:p w:rsidR="00E20B54" w:rsidRDefault="00733C9E">
      <w:pPr>
        <w:spacing w:before="100" w:after="100" w:line="240" w:lineRule="exact"/>
        <w:rPr>
          <w:sz w:val="18"/>
          <w:szCs w:val="18"/>
        </w:rPr>
      </w:pPr>
      <w:r>
        <w:rPr>
          <w:sz w:val="18"/>
          <w:szCs w:val="18"/>
        </w:rPr>
        <w:sym w:font="Wingdings 2" w:char="F052"/>
      </w:r>
      <w:r>
        <w:rPr>
          <w:sz w:val="18"/>
          <w:szCs w:val="18"/>
        </w:rPr>
        <w:t>适用</w:t>
      </w:r>
      <w:r>
        <w:rPr>
          <w:sz w:val="18"/>
          <w:szCs w:val="18"/>
        </w:rPr>
        <w:t xml:space="preserve"> □</w:t>
      </w:r>
      <w:r>
        <w:rPr>
          <w:sz w:val="18"/>
          <w:szCs w:val="18"/>
        </w:rPr>
        <w:t>不适用</w:t>
      </w:r>
    </w:p>
    <w:p w:rsidR="00E20B54" w:rsidRDefault="00733C9E">
      <w:pPr>
        <w:spacing w:before="40" w:after="40" w:line="240" w:lineRule="exact"/>
        <w:jc w:val="right"/>
        <w:rPr>
          <w:sz w:val="18"/>
          <w:szCs w:val="18"/>
        </w:rPr>
      </w:pPr>
      <w:r>
        <w:rPr>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会计科目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本期发生额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上期发生额</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其他收益</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17,959.86</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65,182.83</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营业外收入</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106,313.70</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297,318.39</w:t>
            </w:r>
          </w:p>
        </w:tc>
      </w:tr>
    </w:tbl>
    <w:p w:rsidR="00E20B54" w:rsidRDefault="00733C9E">
      <w:pPr>
        <w:spacing w:before="100" w:after="100" w:line="240" w:lineRule="exact"/>
        <w:rPr>
          <w:sz w:val="18"/>
          <w:szCs w:val="18"/>
        </w:rPr>
      </w:pPr>
      <w:r>
        <w:rPr>
          <w:sz w:val="18"/>
          <w:szCs w:val="18"/>
        </w:rPr>
        <w:t>其他说明</w:t>
      </w:r>
    </w:p>
    <w:p w:rsidR="00E20B54" w:rsidRDefault="00733C9E">
      <w:pPr>
        <w:pStyle w:val="2"/>
        <w:spacing w:before="300" w:after="300" w:line="320" w:lineRule="exact"/>
        <w:rPr>
          <w:b/>
          <w:bCs/>
          <w:sz w:val="24"/>
          <w:szCs w:val="24"/>
        </w:rPr>
      </w:pPr>
      <w:bookmarkStart w:id="421" w:name="_Toc989309"/>
      <w:r>
        <w:rPr>
          <w:b/>
          <w:bCs/>
          <w:sz w:val="24"/>
          <w:szCs w:val="24"/>
        </w:rPr>
        <w:t>十二、与金融工具相关的风险</w:t>
      </w:r>
      <w:bookmarkEnd w:id="421"/>
    </w:p>
    <w:p w:rsidR="00E20B54" w:rsidRDefault="00733C9E">
      <w:pPr>
        <w:pStyle w:val="3"/>
        <w:spacing w:line="280" w:lineRule="exact"/>
        <w:jc w:val="left"/>
        <w:rPr>
          <w:b/>
          <w:bCs/>
        </w:rPr>
      </w:pPr>
      <w:bookmarkStart w:id="422" w:name="_Toc989310"/>
      <w:r>
        <w:rPr>
          <w:b/>
          <w:bCs/>
        </w:rPr>
        <w:t>1</w:t>
      </w:r>
      <w:r>
        <w:rPr>
          <w:b/>
          <w:bCs/>
        </w:rPr>
        <w:t>、金融工具产生的各类风险</w:t>
      </w:r>
      <w:bookmarkEnd w:id="422"/>
    </w:p>
    <w:p w:rsidR="00E20B54" w:rsidRDefault="00733C9E" w:rsidP="00682C39">
      <w:pPr>
        <w:pStyle w:val="a3"/>
        <w:widowControl/>
        <w:spacing w:beforeLines="50" w:before="156" w:beforeAutospacing="0" w:afterLines="50" w:after="156" w:afterAutospacing="0"/>
        <w:ind w:firstLine="417"/>
        <w:jc w:val="both"/>
        <w:rPr>
          <w:sz w:val="21"/>
          <w:szCs w:val="21"/>
        </w:rPr>
      </w:pPr>
      <w:r>
        <w:rPr>
          <w:rStyle w:val="a4"/>
          <w:sz w:val="21"/>
          <w:szCs w:val="21"/>
        </w:rPr>
        <w:t>1</w:t>
      </w:r>
      <w:r>
        <w:rPr>
          <w:rStyle w:val="a4"/>
          <w:sz w:val="21"/>
          <w:szCs w:val="21"/>
        </w:rPr>
        <w:t>、风险管理目标和政策</w:t>
      </w:r>
    </w:p>
    <w:p w:rsidR="00E20B54" w:rsidRDefault="00733C9E" w:rsidP="00682C39">
      <w:pPr>
        <w:pStyle w:val="a3"/>
        <w:widowControl/>
        <w:spacing w:beforeLines="50" w:before="156" w:beforeAutospacing="0" w:afterLines="50" w:after="156" w:afterAutospacing="0"/>
        <w:ind w:firstLine="420"/>
        <w:jc w:val="both"/>
        <w:rPr>
          <w:sz w:val="21"/>
          <w:szCs w:val="21"/>
        </w:rPr>
      </w:pPr>
      <w:r>
        <w:rPr>
          <w:sz w:val="21"/>
          <w:szCs w:val="21"/>
        </w:rPr>
        <w:t>本集团的主要金融工具包括股权投资、债权投资、借款、应收款项、应付账款等，各项金融工具的详细情况说明见本节七相关项目。本集团从事风险管理的目标是在风险和收益之间取得适当的平衡，将风险对本集团经营业绩的负面影响降低到最低水平，使股东及其他权益投资者的利益最大化。基于该风</w:t>
      </w:r>
      <w:r>
        <w:rPr>
          <w:sz w:val="21"/>
          <w:szCs w:val="21"/>
        </w:rPr>
        <w:lastRenderedPageBreak/>
        <w:t>险管理目标，本集团风险管理的基本策略是确定和分析本集团所面临的各种风险，建立适当的风险承受底线和进行风险管理，并及时可靠地对各种风险进行监督，将风险控制在限定的范围之内。</w:t>
      </w:r>
    </w:p>
    <w:p w:rsidR="00E20B54" w:rsidRDefault="00733C9E" w:rsidP="00682C39">
      <w:pPr>
        <w:pStyle w:val="a3"/>
        <w:widowControl/>
        <w:spacing w:beforeLines="50" w:before="156" w:beforeAutospacing="0" w:afterLines="50" w:after="156" w:afterAutospacing="0"/>
        <w:ind w:firstLine="417"/>
        <w:jc w:val="both"/>
        <w:rPr>
          <w:sz w:val="21"/>
          <w:szCs w:val="21"/>
        </w:rPr>
      </w:pPr>
      <w:r>
        <w:rPr>
          <w:rStyle w:val="a4"/>
          <w:sz w:val="21"/>
          <w:szCs w:val="21"/>
        </w:rPr>
        <w:t>2</w:t>
      </w:r>
      <w:r>
        <w:rPr>
          <w:rStyle w:val="a4"/>
          <w:sz w:val="21"/>
          <w:szCs w:val="21"/>
        </w:rPr>
        <w:t>、信用风险</w:t>
      </w:r>
    </w:p>
    <w:p w:rsidR="00E20B54" w:rsidRDefault="00733C9E" w:rsidP="00682C39">
      <w:pPr>
        <w:pStyle w:val="a3"/>
        <w:widowControl/>
        <w:spacing w:beforeLines="50" w:before="156" w:beforeAutospacing="0" w:afterLines="50" w:after="156" w:afterAutospacing="0"/>
        <w:ind w:firstLine="420"/>
        <w:jc w:val="both"/>
        <w:rPr>
          <w:sz w:val="21"/>
          <w:szCs w:val="21"/>
        </w:rPr>
      </w:pPr>
      <w:r>
        <w:rPr>
          <w:sz w:val="21"/>
          <w:szCs w:val="21"/>
        </w:rPr>
        <w:t>信用风险，是指金融工具的一方不能履行义务，造成另一方发生财务损失的风险。</w:t>
      </w:r>
    </w:p>
    <w:p w:rsidR="00E20B54" w:rsidRDefault="00733C9E" w:rsidP="00682C39">
      <w:pPr>
        <w:pStyle w:val="a3"/>
        <w:widowControl/>
        <w:spacing w:beforeLines="50" w:before="156" w:beforeAutospacing="0" w:afterLines="50" w:after="156" w:afterAutospacing="0"/>
        <w:ind w:firstLine="420"/>
        <w:jc w:val="both"/>
        <w:rPr>
          <w:sz w:val="21"/>
          <w:szCs w:val="21"/>
        </w:rPr>
      </w:pPr>
      <w:r>
        <w:rPr>
          <w:sz w:val="21"/>
          <w:szCs w:val="21"/>
        </w:rPr>
        <w:t>于</w:t>
      </w:r>
      <w:r>
        <w:rPr>
          <w:sz w:val="21"/>
          <w:szCs w:val="21"/>
        </w:rPr>
        <w:t>2025</w:t>
      </w:r>
      <w:r>
        <w:rPr>
          <w:sz w:val="21"/>
          <w:szCs w:val="21"/>
        </w:rPr>
        <w:t>年</w:t>
      </w:r>
      <w:r>
        <w:rPr>
          <w:sz w:val="21"/>
          <w:szCs w:val="21"/>
        </w:rPr>
        <w:t>12</w:t>
      </w:r>
      <w:r>
        <w:rPr>
          <w:sz w:val="21"/>
          <w:szCs w:val="21"/>
        </w:rPr>
        <w:t>月</w:t>
      </w:r>
      <w:r>
        <w:rPr>
          <w:sz w:val="21"/>
          <w:szCs w:val="21"/>
        </w:rPr>
        <w:t>31</w:t>
      </w:r>
      <w:r>
        <w:rPr>
          <w:sz w:val="21"/>
          <w:szCs w:val="21"/>
        </w:rPr>
        <w:t>日，本集团的信用风险主要来自于本集团确认的金融资产，具体包括：</w:t>
      </w:r>
    </w:p>
    <w:p w:rsidR="00E20B54" w:rsidRDefault="00733C9E" w:rsidP="00682C39">
      <w:pPr>
        <w:pStyle w:val="a3"/>
        <w:widowControl/>
        <w:spacing w:beforeLines="50" w:before="156" w:beforeAutospacing="0" w:afterLines="50" w:after="156" w:afterAutospacing="0"/>
        <w:ind w:firstLine="420"/>
        <w:jc w:val="both"/>
        <w:rPr>
          <w:sz w:val="21"/>
          <w:szCs w:val="21"/>
        </w:rPr>
      </w:pPr>
      <w:r>
        <w:rPr>
          <w:sz w:val="21"/>
          <w:szCs w:val="21"/>
        </w:rPr>
        <w:t>合并资产负债表中已确认的金融资产的账面金额，最大风险敞口等于这些金融资产的账面价值。</w:t>
      </w:r>
    </w:p>
    <w:p w:rsidR="00E20B54" w:rsidRDefault="00733C9E" w:rsidP="00682C39">
      <w:pPr>
        <w:pStyle w:val="a3"/>
        <w:widowControl/>
        <w:spacing w:beforeLines="50" w:before="156" w:beforeAutospacing="0" w:afterLines="50" w:after="156" w:afterAutospacing="0"/>
        <w:ind w:firstLine="420"/>
        <w:jc w:val="both"/>
        <w:rPr>
          <w:sz w:val="21"/>
          <w:szCs w:val="21"/>
        </w:rPr>
      </w:pPr>
      <w:r>
        <w:rPr>
          <w:sz w:val="21"/>
          <w:szCs w:val="21"/>
        </w:rPr>
        <w:t>本节七</w:t>
      </w:r>
      <w:r>
        <w:rPr>
          <w:sz w:val="21"/>
          <w:szCs w:val="21"/>
        </w:rPr>
        <w:t>.4“</w:t>
      </w:r>
      <w:r>
        <w:rPr>
          <w:sz w:val="21"/>
          <w:szCs w:val="21"/>
        </w:rPr>
        <w:t>合同资产</w:t>
      </w:r>
      <w:r>
        <w:rPr>
          <w:sz w:val="21"/>
          <w:szCs w:val="21"/>
        </w:rPr>
        <w:t>”</w:t>
      </w:r>
      <w:r>
        <w:rPr>
          <w:sz w:val="21"/>
          <w:szCs w:val="21"/>
        </w:rPr>
        <w:t>中披露的合同资产金额。</w:t>
      </w:r>
    </w:p>
    <w:p w:rsidR="00E20B54" w:rsidRDefault="00733C9E" w:rsidP="00682C39">
      <w:pPr>
        <w:pStyle w:val="a3"/>
        <w:widowControl/>
        <w:spacing w:beforeLines="50" w:before="156" w:beforeAutospacing="0" w:afterLines="50" w:after="156" w:afterAutospacing="0"/>
        <w:ind w:firstLine="420"/>
        <w:jc w:val="both"/>
        <w:rPr>
          <w:sz w:val="21"/>
          <w:szCs w:val="21"/>
        </w:rPr>
      </w:pPr>
      <w:r>
        <w:rPr>
          <w:sz w:val="21"/>
          <w:szCs w:val="21"/>
        </w:rPr>
        <w:t>本集团的流动资金存放在信用评级较高的银行，故流动资金的信用风险较低。本集团与客户间的贸易条款以信用交易为主，且一般要求新客户预付款或采取货到付款方式进行。信用期通常为</w:t>
      </w:r>
      <w:r>
        <w:rPr>
          <w:sz w:val="21"/>
          <w:szCs w:val="21"/>
        </w:rPr>
        <w:t>1</w:t>
      </w:r>
      <w:r>
        <w:rPr>
          <w:sz w:val="21"/>
          <w:szCs w:val="21"/>
        </w:rPr>
        <w:t>个月，主要客户可以延长至</w:t>
      </w:r>
      <w:r>
        <w:rPr>
          <w:sz w:val="21"/>
          <w:szCs w:val="21"/>
        </w:rPr>
        <w:t>6</w:t>
      </w:r>
      <w:r>
        <w:rPr>
          <w:sz w:val="21"/>
          <w:szCs w:val="21"/>
        </w:rPr>
        <w:t>个月，交易记录良好的客户可获得比较长的信贷期。由于本集团仅与经认可的且信誉良好的第三方进行交易，所以无需担保物。</w:t>
      </w:r>
    </w:p>
    <w:p w:rsidR="00E20B54" w:rsidRDefault="00733C9E" w:rsidP="00682C39">
      <w:pPr>
        <w:pStyle w:val="a3"/>
        <w:widowControl/>
        <w:spacing w:beforeLines="50" w:before="156" w:beforeAutospacing="0" w:afterLines="50" w:after="156" w:afterAutospacing="0"/>
        <w:ind w:firstLine="420"/>
        <w:jc w:val="both"/>
        <w:rPr>
          <w:sz w:val="21"/>
          <w:szCs w:val="21"/>
        </w:rPr>
      </w:pPr>
      <w:r>
        <w:rPr>
          <w:sz w:val="21"/>
          <w:szCs w:val="21"/>
        </w:rPr>
        <w:t>本集团评估信用风险自初始确认后是否已增加的方法、确定金融资产已发生信用减值的依据、划分组合为基础评估预期信用风险的金融工具的组合方法、直接减记金融工具的政策等，参见本节五</w:t>
      </w:r>
      <w:r>
        <w:rPr>
          <w:sz w:val="21"/>
          <w:szCs w:val="21"/>
        </w:rPr>
        <w:t>.11</w:t>
      </w:r>
      <w:r>
        <w:rPr>
          <w:sz w:val="21"/>
          <w:szCs w:val="21"/>
        </w:rPr>
        <w:t>。</w:t>
      </w:r>
    </w:p>
    <w:p w:rsidR="00E20B54" w:rsidRDefault="00733C9E" w:rsidP="00682C39">
      <w:pPr>
        <w:pStyle w:val="a3"/>
        <w:widowControl/>
        <w:spacing w:beforeLines="50" w:before="156" w:beforeAutospacing="0" w:afterLines="50" w:after="156" w:afterAutospacing="0"/>
        <w:ind w:firstLine="420"/>
        <w:jc w:val="both"/>
        <w:rPr>
          <w:sz w:val="21"/>
          <w:szCs w:val="21"/>
        </w:rPr>
      </w:pPr>
      <w:r>
        <w:rPr>
          <w:sz w:val="21"/>
          <w:szCs w:val="21"/>
        </w:rPr>
        <w:t>本集团对不同的资产分别以</w:t>
      </w:r>
      <w:r>
        <w:rPr>
          <w:sz w:val="21"/>
          <w:szCs w:val="21"/>
        </w:rPr>
        <w:t>12</w:t>
      </w:r>
      <w:r>
        <w:rPr>
          <w:sz w:val="21"/>
          <w:szCs w:val="21"/>
        </w:rPr>
        <w:t>个月或整个存续期的预期信用损失计量减值准备。预期信用损失计量的关键参数包括违约概率、违约损失率和违约风险敞口。本集团考虑历史统计数据</w:t>
      </w:r>
      <w:r>
        <w:rPr>
          <w:sz w:val="21"/>
          <w:szCs w:val="21"/>
        </w:rPr>
        <w:t>(</w:t>
      </w:r>
      <w:r>
        <w:rPr>
          <w:sz w:val="21"/>
          <w:szCs w:val="21"/>
        </w:rPr>
        <w:t>如交易对手评级、担保方式及抵质押物类别、还款方式等</w:t>
      </w:r>
      <w:r>
        <w:rPr>
          <w:sz w:val="21"/>
          <w:szCs w:val="21"/>
        </w:rPr>
        <w:t>)</w:t>
      </w:r>
      <w:r>
        <w:rPr>
          <w:sz w:val="21"/>
          <w:szCs w:val="21"/>
        </w:rPr>
        <w:t>的定量分析及前瞻性信息，建立违约概率、违约损失率及违约风险敞口模型。</w:t>
      </w:r>
    </w:p>
    <w:p w:rsidR="00E20B54" w:rsidRDefault="00733C9E" w:rsidP="00682C39">
      <w:pPr>
        <w:pStyle w:val="a3"/>
        <w:widowControl/>
        <w:spacing w:beforeLines="50" w:before="156" w:beforeAutospacing="0" w:afterLines="50" w:after="156" w:afterAutospacing="0"/>
        <w:ind w:firstLine="420"/>
        <w:jc w:val="both"/>
        <w:rPr>
          <w:sz w:val="21"/>
          <w:szCs w:val="21"/>
        </w:rPr>
      </w:pPr>
      <w:r>
        <w:rPr>
          <w:sz w:val="21"/>
          <w:szCs w:val="21"/>
        </w:rPr>
        <w:t>信用风险显著增加的评估及预期信用损失的计算均涉及前瞻性信息。本集团通过进行历史数据分析，识别出影响各业务类型信用风险及预期信用损失的关键经济指标。</w:t>
      </w:r>
    </w:p>
    <w:p w:rsidR="00E20B54" w:rsidRDefault="00733C9E" w:rsidP="00682C39">
      <w:pPr>
        <w:pStyle w:val="a3"/>
        <w:widowControl/>
        <w:spacing w:beforeLines="50" w:before="156" w:beforeAutospacing="0" w:afterLines="50" w:after="156" w:afterAutospacing="0"/>
        <w:ind w:firstLine="420"/>
        <w:jc w:val="both"/>
        <w:rPr>
          <w:sz w:val="21"/>
          <w:szCs w:val="21"/>
        </w:rPr>
      </w:pPr>
      <w:r>
        <w:rPr>
          <w:sz w:val="21"/>
          <w:szCs w:val="21"/>
        </w:rPr>
        <w:t>本集团因应收账款、其他应收款和合同资产产生的信用风险敞口、损失准备的量化数据，参见本节七</w:t>
      </w:r>
      <w:r>
        <w:rPr>
          <w:sz w:val="21"/>
          <w:szCs w:val="21"/>
        </w:rPr>
        <w:t>.3</w:t>
      </w:r>
      <w:r>
        <w:rPr>
          <w:sz w:val="21"/>
          <w:szCs w:val="21"/>
        </w:rPr>
        <w:t>、本节七</w:t>
      </w:r>
      <w:r>
        <w:rPr>
          <w:sz w:val="21"/>
          <w:szCs w:val="21"/>
        </w:rPr>
        <w:t>.5</w:t>
      </w:r>
      <w:r>
        <w:rPr>
          <w:sz w:val="21"/>
          <w:szCs w:val="21"/>
        </w:rPr>
        <w:t>和本节七</w:t>
      </w:r>
      <w:r>
        <w:rPr>
          <w:sz w:val="21"/>
          <w:szCs w:val="21"/>
        </w:rPr>
        <w:t>.4</w:t>
      </w:r>
      <w:r>
        <w:rPr>
          <w:sz w:val="21"/>
          <w:szCs w:val="21"/>
        </w:rPr>
        <w:t>的披露。</w:t>
      </w:r>
    </w:p>
    <w:p w:rsidR="00E20B54" w:rsidRDefault="00733C9E" w:rsidP="00682C39">
      <w:pPr>
        <w:pStyle w:val="a3"/>
        <w:widowControl/>
        <w:spacing w:beforeLines="50" w:before="156" w:beforeAutospacing="0" w:afterLines="50" w:after="156" w:afterAutospacing="0"/>
        <w:ind w:firstLine="417"/>
        <w:jc w:val="both"/>
        <w:rPr>
          <w:sz w:val="21"/>
          <w:szCs w:val="21"/>
        </w:rPr>
      </w:pPr>
      <w:r>
        <w:rPr>
          <w:rStyle w:val="a4"/>
          <w:sz w:val="21"/>
          <w:szCs w:val="21"/>
        </w:rPr>
        <w:t>3</w:t>
      </w:r>
      <w:r>
        <w:rPr>
          <w:rStyle w:val="a4"/>
          <w:sz w:val="21"/>
          <w:szCs w:val="21"/>
        </w:rPr>
        <w:t>、流动风险</w:t>
      </w:r>
    </w:p>
    <w:p w:rsidR="00E20B54" w:rsidRDefault="00733C9E" w:rsidP="00682C39">
      <w:pPr>
        <w:pStyle w:val="a3"/>
        <w:widowControl/>
        <w:spacing w:beforeLines="50" w:before="156" w:beforeAutospacing="0" w:afterLines="50" w:after="156" w:afterAutospacing="0"/>
        <w:ind w:firstLine="420"/>
        <w:jc w:val="both"/>
        <w:rPr>
          <w:sz w:val="21"/>
          <w:szCs w:val="21"/>
        </w:rPr>
      </w:pPr>
      <w:r>
        <w:rPr>
          <w:sz w:val="21"/>
          <w:szCs w:val="21"/>
        </w:rPr>
        <w:t>流动性风险，是指企业在履行以交付现金或其他金融资产的方式结算的义务时发生资金短缺的风险。本公司通过利用银行贷款及债务维持资金延续性与灵活性之间的平衡，以管理其流动性风险。本公司的目标是运用银行借款、债券和其他计息借款等多种融资手段以保持融资的持续性与灵活性的平衡。</w:t>
      </w:r>
    </w:p>
    <w:p w:rsidR="00E20B54" w:rsidRDefault="00733C9E" w:rsidP="00682C39">
      <w:pPr>
        <w:pStyle w:val="a3"/>
        <w:widowControl/>
        <w:spacing w:beforeLines="50" w:before="156" w:beforeAutospacing="0" w:afterLines="50" w:after="156" w:afterAutospacing="0"/>
        <w:ind w:firstLine="420"/>
        <w:jc w:val="both"/>
        <w:rPr>
          <w:sz w:val="21"/>
          <w:szCs w:val="21"/>
        </w:rPr>
      </w:pPr>
      <w:r>
        <w:rPr>
          <w:sz w:val="21"/>
          <w:szCs w:val="21"/>
        </w:rPr>
        <w:t>截至报告期末，本公司无对外承担其他保证责任的事项。</w:t>
      </w:r>
    </w:p>
    <w:p w:rsidR="00E20B54" w:rsidRDefault="00733C9E" w:rsidP="00682C39">
      <w:pPr>
        <w:pStyle w:val="a3"/>
        <w:widowControl/>
        <w:spacing w:beforeLines="50" w:before="156" w:beforeAutospacing="0" w:afterLines="50" w:after="156" w:afterAutospacing="0"/>
        <w:ind w:firstLine="417"/>
        <w:jc w:val="both"/>
        <w:rPr>
          <w:sz w:val="21"/>
          <w:szCs w:val="21"/>
        </w:rPr>
      </w:pPr>
      <w:r>
        <w:rPr>
          <w:rStyle w:val="a4"/>
          <w:sz w:val="21"/>
          <w:szCs w:val="21"/>
        </w:rPr>
        <w:t>4</w:t>
      </w:r>
      <w:r>
        <w:rPr>
          <w:rStyle w:val="a4"/>
          <w:sz w:val="21"/>
          <w:szCs w:val="21"/>
        </w:rPr>
        <w:t>、市场风险</w:t>
      </w:r>
    </w:p>
    <w:p w:rsidR="00E20B54" w:rsidRDefault="00733C9E" w:rsidP="00682C39">
      <w:pPr>
        <w:pStyle w:val="a3"/>
        <w:widowControl/>
        <w:spacing w:beforeLines="50" w:before="156" w:beforeAutospacing="0" w:afterLines="50" w:after="156" w:afterAutospacing="0"/>
        <w:ind w:firstLine="420"/>
        <w:jc w:val="both"/>
        <w:rPr>
          <w:sz w:val="21"/>
          <w:szCs w:val="21"/>
        </w:rPr>
      </w:pPr>
      <w:r>
        <w:rPr>
          <w:sz w:val="21"/>
          <w:szCs w:val="21"/>
        </w:rPr>
        <w:t>市场风险，是指金融工具的公允价值或未来现金流量因市场价格变动而发生波动的风险，包括汇率风险、利率风险和其他价格风险。</w:t>
      </w:r>
    </w:p>
    <w:p w:rsidR="00E20B54" w:rsidRDefault="00733C9E" w:rsidP="00682C39">
      <w:pPr>
        <w:pStyle w:val="a3"/>
        <w:widowControl/>
        <w:spacing w:beforeLines="50" w:before="156" w:beforeAutospacing="0" w:afterLines="50" w:after="156" w:afterAutospacing="0"/>
        <w:ind w:firstLine="420"/>
        <w:jc w:val="both"/>
        <w:rPr>
          <w:sz w:val="21"/>
          <w:szCs w:val="21"/>
        </w:rPr>
      </w:pPr>
      <w:r>
        <w:rPr>
          <w:sz w:val="21"/>
          <w:szCs w:val="21"/>
        </w:rPr>
        <w:t>A</w:t>
      </w:r>
      <w:r>
        <w:rPr>
          <w:sz w:val="21"/>
          <w:szCs w:val="21"/>
        </w:rPr>
        <w:t>、汇率风险</w:t>
      </w:r>
    </w:p>
    <w:p w:rsidR="00E20B54" w:rsidRDefault="00733C9E" w:rsidP="00682C39">
      <w:pPr>
        <w:pStyle w:val="a3"/>
        <w:widowControl/>
        <w:spacing w:beforeLines="50" w:before="156" w:beforeAutospacing="0" w:afterLines="50" w:after="156" w:afterAutospacing="0"/>
        <w:ind w:firstLine="420"/>
        <w:jc w:val="both"/>
        <w:rPr>
          <w:sz w:val="21"/>
          <w:szCs w:val="21"/>
        </w:rPr>
      </w:pPr>
      <w:r>
        <w:rPr>
          <w:sz w:val="21"/>
          <w:szCs w:val="21"/>
        </w:rPr>
        <w:t>汇率风险，是指金融工具的公允价值或未来现金流量因外汇汇率变动而发生波动的风险。</w:t>
      </w:r>
    </w:p>
    <w:p w:rsidR="00E20B54" w:rsidRDefault="00733C9E" w:rsidP="00682C39">
      <w:pPr>
        <w:pStyle w:val="a3"/>
        <w:widowControl/>
        <w:spacing w:beforeLines="50" w:before="156" w:beforeAutospacing="0" w:afterLines="50" w:after="156" w:afterAutospacing="0"/>
        <w:ind w:firstLine="420"/>
        <w:jc w:val="both"/>
        <w:rPr>
          <w:sz w:val="21"/>
          <w:szCs w:val="21"/>
        </w:rPr>
      </w:pPr>
      <w:r>
        <w:rPr>
          <w:sz w:val="21"/>
          <w:szCs w:val="21"/>
        </w:rPr>
        <w:t>B</w:t>
      </w:r>
      <w:r>
        <w:rPr>
          <w:sz w:val="21"/>
          <w:szCs w:val="21"/>
        </w:rPr>
        <w:t>、利率风险</w:t>
      </w:r>
    </w:p>
    <w:p w:rsidR="00E20B54" w:rsidRDefault="00733C9E" w:rsidP="00682C39">
      <w:pPr>
        <w:pStyle w:val="a3"/>
        <w:widowControl/>
        <w:spacing w:beforeLines="50" w:before="156" w:beforeAutospacing="0" w:afterLines="50" w:after="156" w:afterAutospacing="0"/>
        <w:ind w:firstLine="420"/>
        <w:jc w:val="both"/>
        <w:rPr>
          <w:sz w:val="21"/>
          <w:szCs w:val="21"/>
        </w:rPr>
      </w:pPr>
      <w:r>
        <w:rPr>
          <w:sz w:val="21"/>
          <w:szCs w:val="21"/>
        </w:rPr>
        <w:t>利率风险，是指金融工具的公允价值或未来现金流量因市场利率变动而发生波动的风险。</w:t>
      </w:r>
    </w:p>
    <w:p w:rsidR="00E20B54" w:rsidRDefault="00733C9E" w:rsidP="00682C39">
      <w:pPr>
        <w:pStyle w:val="a3"/>
        <w:widowControl/>
        <w:spacing w:beforeLines="50" w:before="156" w:beforeAutospacing="0" w:afterLines="50" w:after="156" w:afterAutospacing="0"/>
        <w:ind w:firstLine="420"/>
        <w:jc w:val="both"/>
        <w:rPr>
          <w:sz w:val="21"/>
          <w:szCs w:val="21"/>
        </w:rPr>
      </w:pPr>
      <w:r>
        <w:rPr>
          <w:sz w:val="21"/>
          <w:szCs w:val="21"/>
        </w:rPr>
        <w:lastRenderedPageBreak/>
        <w:t>本公司的利率风险产生于银行借款及应付债券等带息债务。浮动利率的金融负债使本公司面临现金流量利率风险，固定利率的金融负债使本公司面临公允价值利率风险。本公司根据当时的市场环境来决定固定利率及浮动利率合同的相对比例。</w:t>
      </w:r>
    </w:p>
    <w:p w:rsidR="00E20B54" w:rsidRDefault="00733C9E" w:rsidP="00682C39">
      <w:pPr>
        <w:pStyle w:val="a3"/>
        <w:widowControl/>
        <w:spacing w:beforeLines="50" w:before="156" w:beforeAutospacing="0" w:afterLines="50" w:after="156" w:afterAutospacing="0"/>
        <w:ind w:firstLine="420"/>
        <w:jc w:val="both"/>
        <w:rPr>
          <w:sz w:val="21"/>
          <w:szCs w:val="21"/>
        </w:rPr>
      </w:pPr>
      <w:r>
        <w:rPr>
          <w:sz w:val="21"/>
          <w:szCs w:val="21"/>
        </w:rPr>
        <w:t>C</w:t>
      </w:r>
      <w:r>
        <w:rPr>
          <w:sz w:val="21"/>
          <w:szCs w:val="21"/>
        </w:rPr>
        <w:t>、其他价格风险</w:t>
      </w:r>
    </w:p>
    <w:p w:rsidR="00E20B54" w:rsidRDefault="00733C9E" w:rsidP="00682C39">
      <w:pPr>
        <w:pStyle w:val="a3"/>
        <w:widowControl/>
        <w:spacing w:beforeLines="50" w:before="156" w:beforeAutospacing="0" w:afterLines="50" w:after="156" w:afterAutospacing="0"/>
        <w:ind w:firstLine="420"/>
        <w:jc w:val="both"/>
        <w:rPr>
          <w:sz w:val="21"/>
          <w:szCs w:val="21"/>
        </w:rPr>
      </w:pPr>
      <w:r>
        <w:rPr>
          <w:sz w:val="21"/>
          <w:szCs w:val="21"/>
        </w:rPr>
        <w:t>其他价格风险，是指汇率风险和利率风险以外的市场价格变动而发生波动的风险，无论这些变动是由于与单项金融工具或其发行方有关的因素而引起的，还是由于与市场内交易的所有类似金融工具有关的因素而引起的。</w:t>
      </w:r>
    </w:p>
    <w:p w:rsidR="00E20B54" w:rsidRDefault="00733C9E">
      <w:pPr>
        <w:pStyle w:val="3"/>
        <w:spacing w:line="280" w:lineRule="exact"/>
        <w:jc w:val="left"/>
        <w:rPr>
          <w:b/>
          <w:bCs/>
        </w:rPr>
      </w:pPr>
      <w:bookmarkStart w:id="423" w:name="_Toc989311"/>
      <w:r>
        <w:rPr>
          <w:b/>
          <w:bCs/>
        </w:rPr>
        <w:t>2</w:t>
      </w:r>
      <w:r>
        <w:rPr>
          <w:b/>
          <w:bCs/>
        </w:rPr>
        <w:t>、套期</w:t>
      </w:r>
      <w:bookmarkEnd w:id="423"/>
    </w:p>
    <w:p w:rsidR="00E20B54" w:rsidRDefault="00733C9E">
      <w:pPr>
        <w:keepNext/>
        <w:keepLines/>
        <w:spacing w:before="300" w:after="300" w:line="280" w:lineRule="exact"/>
        <w:outlineLvl w:val="4"/>
        <w:rPr>
          <w:b/>
          <w:bCs/>
          <w:sz w:val="18"/>
          <w:szCs w:val="18"/>
        </w:rPr>
      </w:pPr>
      <w:bookmarkStart w:id="424" w:name="_Toc989312"/>
      <w:r>
        <w:rPr>
          <w:b/>
          <w:bCs/>
          <w:sz w:val="18"/>
          <w:szCs w:val="18"/>
        </w:rPr>
        <w:t>（</w:t>
      </w:r>
      <w:r>
        <w:rPr>
          <w:b/>
          <w:bCs/>
          <w:sz w:val="18"/>
          <w:szCs w:val="18"/>
        </w:rPr>
        <w:t>1</w:t>
      </w:r>
      <w:r>
        <w:rPr>
          <w:b/>
          <w:bCs/>
          <w:sz w:val="18"/>
          <w:szCs w:val="18"/>
        </w:rPr>
        <w:t>）</w:t>
      </w:r>
      <w:r>
        <w:rPr>
          <w:b/>
          <w:bCs/>
          <w:sz w:val="18"/>
          <w:szCs w:val="18"/>
        </w:rPr>
        <w:t xml:space="preserve"> </w:t>
      </w:r>
      <w:r>
        <w:rPr>
          <w:b/>
          <w:bCs/>
          <w:sz w:val="18"/>
          <w:szCs w:val="18"/>
        </w:rPr>
        <w:t>公司开展套期业务进行风险管理</w:t>
      </w:r>
      <w:bookmarkEnd w:id="424"/>
    </w:p>
    <w:p w:rsidR="00E20B54" w:rsidRDefault="00733C9E">
      <w:pPr>
        <w:spacing w:before="100" w:after="100" w:line="240" w:lineRule="exact"/>
        <w:rPr>
          <w:sz w:val="18"/>
          <w:szCs w:val="18"/>
        </w:rPr>
      </w:pPr>
      <w:r>
        <w:rPr>
          <w:sz w:val="18"/>
          <w:szCs w:val="18"/>
        </w:rPr>
        <w:t>□</w:t>
      </w:r>
      <w:r>
        <w:rPr>
          <w:sz w:val="18"/>
          <w:szCs w:val="18"/>
        </w:rPr>
        <w:t>适用</w:t>
      </w:r>
      <w:r>
        <w:rPr>
          <w:sz w:val="18"/>
          <w:szCs w:val="18"/>
        </w:rPr>
        <w:t xml:space="preserve"> </w:t>
      </w:r>
      <w:r>
        <w:rPr>
          <w:sz w:val="18"/>
          <w:szCs w:val="18"/>
        </w:rPr>
        <w:sym w:font="Wingdings 2" w:char="F052"/>
      </w:r>
      <w:r>
        <w:rPr>
          <w:sz w:val="18"/>
          <w:szCs w:val="18"/>
        </w:rPr>
        <w:t>不适用</w:t>
      </w:r>
    </w:p>
    <w:p w:rsidR="00E20B54" w:rsidRDefault="00733C9E">
      <w:pPr>
        <w:keepNext/>
        <w:keepLines/>
        <w:spacing w:before="300" w:after="300" w:line="280" w:lineRule="exact"/>
        <w:outlineLvl w:val="4"/>
        <w:rPr>
          <w:b/>
          <w:bCs/>
          <w:sz w:val="18"/>
          <w:szCs w:val="18"/>
        </w:rPr>
      </w:pPr>
      <w:bookmarkStart w:id="425" w:name="_Toc989313"/>
      <w:r>
        <w:rPr>
          <w:b/>
          <w:bCs/>
          <w:sz w:val="18"/>
          <w:szCs w:val="18"/>
        </w:rPr>
        <w:t>（</w:t>
      </w:r>
      <w:r>
        <w:rPr>
          <w:b/>
          <w:bCs/>
          <w:sz w:val="18"/>
          <w:szCs w:val="18"/>
        </w:rPr>
        <w:t>2</w:t>
      </w:r>
      <w:r>
        <w:rPr>
          <w:b/>
          <w:bCs/>
          <w:sz w:val="18"/>
          <w:szCs w:val="18"/>
        </w:rPr>
        <w:t>）</w:t>
      </w:r>
      <w:r>
        <w:rPr>
          <w:b/>
          <w:bCs/>
          <w:sz w:val="18"/>
          <w:szCs w:val="18"/>
        </w:rPr>
        <w:t xml:space="preserve"> </w:t>
      </w:r>
      <w:r>
        <w:rPr>
          <w:b/>
          <w:bCs/>
          <w:sz w:val="18"/>
          <w:szCs w:val="18"/>
        </w:rPr>
        <w:t>公司开展符合条件套期业务并应用套期会计</w:t>
      </w:r>
      <w:bookmarkEnd w:id="425"/>
    </w:p>
    <w:p w:rsidR="00E20B54" w:rsidRDefault="00733C9E">
      <w:pPr>
        <w:spacing w:before="40" w:after="40" w:line="240" w:lineRule="exact"/>
        <w:jc w:val="right"/>
        <w:rPr>
          <w:sz w:val="18"/>
          <w:szCs w:val="18"/>
        </w:rPr>
      </w:pPr>
      <w:r>
        <w:rPr>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927"/>
        <w:gridCol w:w="1928"/>
        <w:gridCol w:w="1928"/>
        <w:gridCol w:w="1928"/>
        <w:gridCol w:w="1928"/>
      </w:tblGrid>
      <w:tr w:rsidR="00E20B54">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项目</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与被套期项目以及套期工具相关账面价值</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已确认的被套期项目账面价值中所包含的被套期项目累计公允价值套期调整</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套期有效性和套期无效部分来源</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套期会计对公司的财务报表相关影响</w:t>
            </w:r>
          </w:p>
        </w:tc>
      </w:tr>
      <w:tr w:rsidR="00E20B54">
        <w:trPr>
          <w:trHeight w:val="240"/>
        </w:trPr>
        <w:tc>
          <w:tcPr>
            <w:tcW w:w="9639" w:type="dxa"/>
            <w:gridSpan w:val="5"/>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套期风险类型</w:t>
            </w:r>
          </w:p>
        </w:tc>
      </w:tr>
      <w:tr w:rsidR="00E20B54">
        <w:trPr>
          <w:trHeight w:val="240"/>
        </w:trPr>
        <w:tc>
          <w:tcPr>
            <w:tcW w:w="9639" w:type="dxa"/>
            <w:gridSpan w:val="5"/>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套期类别</w:t>
            </w:r>
          </w:p>
        </w:tc>
      </w:tr>
    </w:tbl>
    <w:p w:rsidR="00E20B54" w:rsidRDefault="00733C9E">
      <w:pPr>
        <w:spacing w:before="100" w:after="100" w:line="240" w:lineRule="exact"/>
        <w:rPr>
          <w:sz w:val="18"/>
          <w:szCs w:val="18"/>
        </w:rPr>
      </w:pPr>
      <w:r>
        <w:rPr>
          <w:sz w:val="18"/>
          <w:szCs w:val="18"/>
        </w:rPr>
        <w:t>其他说明</w:t>
      </w:r>
      <w:r>
        <w:rPr>
          <w:rFonts w:hint="eastAsia"/>
          <w:sz w:val="18"/>
          <w:szCs w:val="18"/>
        </w:rPr>
        <w:t>：无此类</w:t>
      </w:r>
      <w:r w:rsidR="0014654E">
        <w:rPr>
          <w:rFonts w:hint="eastAsia"/>
          <w:sz w:val="18"/>
          <w:szCs w:val="18"/>
        </w:rPr>
        <w:t>业务。</w:t>
      </w:r>
    </w:p>
    <w:p w:rsidR="00E20B54" w:rsidRDefault="00733C9E">
      <w:pPr>
        <w:keepNext/>
        <w:keepLines/>
        <w:spacing w:before="300" w:after="300" w:line="280" w:lineRule="exact"/>
        <w:outlineLvl w:val="3"/>
        <w:rPr>
          <w:b/>
          <w:bCs/>
          <w:sz w:val="18"/>
          <w:szCs w:val="18"/>
        </w:rPr>
      </w:pPr>
      <w:bookmarkStart w:id="426" w:name="_Toc989314"/>
      <w:r>
        <w:rPr>
          <w:b/>
          <w:bCs/>
          <w:sz w:val="18"/>
          <w:szCs w:val="18"/>
        </w:rPr>
        <w:t>（</w:t>
      </w:r>
      <w:r>
        <w:rPr>
          <w:b/>
          <w:bCs/>
          <w:sz w:val="18"/>
          <w:szCs w:val="18"/>
        </w:rPr>
        <w:t>3</w:t>
      </w:r>
      <w:r>
        <w:rPr>
          <w:b/>
          <w:bCs/>
          <w:sz w:val="18"/>
          <w:szCs w:val="18"/>
        </w:rPr>
        <w:t>）</w:t>
      </w:r>
      <w:r>
        <w:rPr>
          <w:b/>
          <w:bCs/>
          <w:sz w:val="18"/>
          <w:szCs w:val="18"/>
        </w:rPr>
        <w:t xml:space="preserve"> </w:t>
      </w:r>
      <w:r>
        <w:rPr>
          <w:b/>
          <w:bCs/>
          <w:sz w:val="18"/>
          <w:szCs w:val="18"/>
        </w:rPr>
        <w:t>公司开展套期业务进行风险管理、预期能实现风险管理目标但未应用套期会计</w:t>
      </w:r>
      <w:bookmarkEnd w:id="426"/>
    </w:p>
    <w:p w:rsidR="00E20B54" w:rsidRDefault="00733C9E">
      <w:pPr>
        <w:spacing w:before="100" w:after="100" w:line="240" w:lineRule="exact"/>
        <w:rPr>
          <w:sz w:val="18"/>
          <w:szCs w:val="18"/>
        </w:rPr>
      </w:pPr>
      <w:r>
        <w:rPr>
          <w:sz w:val="18"/>
          <w:szCs w:val="18"/>
        </w:rPr>
        <w:t>□</w:t>
      </w:r>
      <w:r>
        <w:rPr>
          <w:sz w:val="18"/>
          <w:szCs w:val="18"/>
        </w:rPr>
        <w:t>适用</w:t>
      </w:r>
      <w:r>
        <w:rPr>
          <w:sz w:val="18"/>
          <w:szCs w:val="18"/>
        </w:rPr>
        <w:t xml:space="preserve"> </w:t>
      </w:r>
      <w:r>
        <w:rPr>
          <w:sz w:val="18"/>
          <w:szCs w:val="18"/>
        </w:rPr>
        <w:sym w:font="Wingdings 2" w:char="F052"/>
      </w:r>
      <w:r>
        <w:rPr>
          <w:sz w:val="18"/>
          <w:szCs w:val="18"/>
        </w:rPr>
        <w:t>不适用</w:t>
      </w:r>
    </w:p>
    <w:p w:rsidR="00E20B54" w:rsidRDefault="00733C9E">
      <w:pPr>
        <w:pStyle w:val="3"/>
        <w:spacing w:line="280" w:lineRule="exact"/>
        <w:jc w:val="left"/>
        <w:rPr>
          <w:b/>
          <w:bCs/>
        </w:rPr>
      </w:pPr>
      <w:bookmarkStart w:id="427" w:name="_Toc989315"/>
      <w:r>
        <w:rPr>
          <w:b/>
          <w:bCs/>
        </w:rPr>
        <w:t>3</w:t>
      </w:r>
      <w:r>
        <w:rPr>
          <w:b/>
          <w:bCs/>
        </w:rPr>
        <w:t>、金融资产</w:t>
      </w:r>
      <w:bookmarkEnd w:id="427"/>
    </w:p>
    <w:p w:rsidR="00E20B54" w:rsidRDefault="00733C9E">
      <w:pPr>
        <w:keepNext/>
        <w:keepLines/>
        <w:spacing w:before="300" w:after="300" w:line="280" w:lineRule="exact"/>
        <w:outlineLvl w:val="3"/>
        <w:rPr>
          <w:b/>
          <w:bCs/>
          <w:sz w:val="18"/>
          <w:szCs w:val="18"/>
        </w:rPr>
      </w:pPr>
      <w:bookmarkStart w:id="428" w:name="_Toc989316"/>
      <w:r>
        <w:rPr>
          <w:b/>
          <w:bCs/>
          <w:sz w:val="18"/>
          <w:szCs w:val="18"/>
        </w:rPr>
        <w:t>（</w:t>
      </w:r>
      <w:r>
        <w:rPr>
          <w:b/>
          <w:bCs/>
          <w:sz w:val="18"/>
          <w:szCs w:val="18"/>
        </w:rPr>
        <w:t>1</w:t>
      </w:r>
      <w:r>
        <w:rPr>
          <w:b/>
          <w:bCs/>
          <w:sz w:val="18"/>
          <w:szCs w:val="18"/>
        </w:rPr>
        <w:t>）</w:t>
      </w:r>
      <w:r>
        <w:rPr>
          <w:b/>
          <w:bCs/>
          <w:sz w:val="18"/>
          <w:szCs w:val="18"/>
        </w:rPr>
        <w:t xml:space="preserve"> </w:t>
      </w:r>
      <w:r>
        <w:rPr>
          <w:b/>
          <w:bCs/>
          <w:sz w:val="18"/>
          <w:szCs w:val="18"/>
        </w:rPr>
        <w:t>转移方式分类</w:t>
      </w:r>
      <w:bookmarkEnd w:id="428"/>
    </w:p>
    <w:p w:rsidR="00E20B54" w:rsidRDefault="00733C9E">
      <w:pPr>
        <w:spacing w:before="100" w:after="100" w:line="240" w:lineRule="exact"/>
        <w:rPr>
          <w:sz w:val="18"/>
          <w:szCs w:val="18"/>
        </w:rPr>
      </w:pPr>
      <w:r>
        <w:rPr>
          <w:sz w:val="18"/>
          <w:szCs w:val="18"/>
        </w:rPr>
        <w:t>□</w:t>
      </w:r>
      <w:r>
        <w:rPr>
          <w:sz w:val="18"/>
          <w:szCs w:val="18"/>
        </w:rPr>
        <w:t>适用</w:t>
      </w:r>
      <w:r>
        <w:rPr>
          <w:sz w:val="18"/>
          <w:szCs w:val="18"/>
        </w:rPr>
        <w:t xml:space="preserve"> </w:t>
      </w:r>
      <w:r>
        <w:rPr>
          <w:sz w:val="18"/>
          <w:szCs w:val="18"/>
        </w:rPr>
        <w:sym w:font="Wingdings 2" w:char="F052"/>
      </w:r>
      <w:r>
        <w:rPr>
          <w:sz w:val="18"/>
          <w:szCs w:val="18"/>
        </w:rPr>
        <w:t>不适用</w:t>
      </w:r>
    </w:p>
    <w:p w:rsidR="00E20B54" w:rsidRDefault="00733C9E">
      <w:pPr>
        <w:keepNext/>
        <w:keepLines/>
        <w:spacing w:before="300" w:after="300" w:line="280" w:lineRule="exact"/>
        <w:outlineLvl w:val="3"/>
        <w:rPr>
          <w:b/>
          <w:bCs/>
          <w:sz w:val="18"/>
          <w:szCs w:val="18"/>
        </w:rPr>
      </w:pPr>
      <w:bookmarkStart w:id="429" w:name="_Toc989317"/>
      <w:r>
        <w:rPr>
          <w:b/>
          <w:bCs/>
          <w:sz w:val="18"/>
          <w:szCs w:val="18"/>
        </w:rPr>
        <w:t>（</w:t>
      </w:r>
      <w:r>
        <w:rPr>
          <w:b/>
          <w:bCs/>
          <w:sz w:val="18"/>
          <w:szCs w:val="18"/>
        </w:rPr>
        <w:t>2</w:t>
      </w:r>
      <w:r>
        <w:rPr>
          <w:b/>
          <w:bCs/>
          <w:sz w:val="18"/>
          <w:szCs w:val="18"/>
        </w:rPr>
        <w:t>）</w:t>
      </w:r>
      <w:r>
        <w:rPr>
          <w:b/>
          <w:bCs/>
          <w:sz w:val="18"/>
          <w:szCs w:val="18"/>
        </w:rPr>
        <w:t xml:space="preserve"> </w:t>
      </w:r>
      <w:r>
        <w:rPr>
          <w:b/>
          <w:bCs/>
          <w:sz w:val="18"/>
          <w:szCs w:val="18"/>
        </w:rPr>
        <w:t>因转移而终止确认的金融资产</w:t>
      </w:r>
      <w:bookmarkEnd w:id="429"/>
    </w:p>
    <w:p w:rsidR="00E20B54" w:rsidRDefault="00733C9E">
      <w:pPr>
        <w:spacing w:before="100" w:after="100" w:line="240" w:lineRule="exact"/>
        <w:rPr>
          <w:sz w:val="18"/>
          <w:szCs w:val="18"/>
        </w:rPr>
      </w:pPr>
      <w:r>
        <w:rPr>
          <w:sz w:val="18"/>
          <w:szCs w:val="18"/>
        </w:rPr>
        <w:t>□</w:t>
      </w:r>
      <w:r>
        <w:rPr>
          <w:sz w:val="18"/>
          <w:szCs w:val="18"/>
        </w:rPr>
        <w:t>适用</w:t>
      </w:r>
      <w:r>
        <w:rPr>
          <w:sz w:val="18"/>
          <w:szCs w:val="18"/>
        </w:rPr>
        <w:t xml:space="preserve"> </w:t>
      </w:r>
      <w:r>
        <w:rPr>
          <w:sz w:val="18"/>
          <w:szCs w:val="18"/>
        </w:rPr>
        <w:sym w:font="Wingdings 2" w:char="F052"/>
      </w:r>
      <w:r>
        <w:rPr>
          <w:sz w:val="18"/>
          <w:szCs w:val="18"/>
        </w:rPr>
        <w:t>不适用</w:t>
      </w:r>
    </w:p>
    <w:p w:rsidR="00E20B54" w:rsidRDefault="00733C9E">
      <w:pPr>
        <w:keepNext/>
        <w:keepLines/>
        <w:spacing w:before="300" w:after="300" w:line="280" w:lineRule="exact"/>
        <w:outlineLvl w:val="3"/>
        <w:rPr>
          <w:b/>
          <w:bCs/>
          <w:sz w:val="18"/>
          <w:szCs w:val="18"/>
        </w:rPr>
      </w:pPr>
      <w:bookmarkStart w:id="430" w:name="_Toc989318"/>
      <w:r>
        <w:rPr>
          <w:b/>
          <w:bCs/>
          <w:sz w:val="18"/>
          <w:szCs w:val="18"/>
        </w:rPr>
        <w:t>（</w:t>
      </w:r>
      <w:r>
        <w:rPr>
          <w:b/>
          <w:bCs/>
          <w:sz w:val="18"/>
          <w:szCs w:val="18"/>
        </w:rPr>
        <w:t>3</w:t>
      </w:r>
      <w:r>
        <w:rPr>
          <w:b/>
          <w:bCs/>
          <w:sz w:val="18"/>
          <w:szCs w:val="18"/>
        </w:rPr>
        <w:t>）</w:t>
      </w:r>
      <w:r>
        <w:rPr>
          <w:b/>
          <w:bCs/>
          <w:sz w:val="18"/>
          <w:szCs w:val="18"/>
        </w:rPr>
        <w:t xml:space="preserve"> </w:t>
      </w:r>
      <w:r>
        <w:rPr>
          <w:b/>
          <w:bCs/>
          <w:sz w:val="18"/>
          <w:szCs w:val="18"/>
        </w:rPr>
        <w:t>继续涉入的资产转移金融资产</w:t>
      </w:r>
      <w:bookmarkEnd w:id="430"/>
    </w:p>
    <w:p w:rsidR="00E20B54" w:rsidRDefault="00733C9E">
      <w:pPr>
        <w:spacing w:before="100" w:after="100" w:line="240" w:lineRule="exact"/>
        <w:rPr>
          <w:sz w:val="18"/>
          <w:szCs w:val="18"/>
        </w:rPr>
      </w:pPr>
      <w:r>
        <w:rPr>
          <w:sz w:val="18"/>
          <w:szCs w:val="18"/>
        </w:rPr>
        <w:t>□</w:t>
      </w:r>
      <w:r>
        <w:rPr>
          <w:sz w:val="18"/>
          <w:szCs w:val="18"/>
        </w:rPr>
        <w:t>适用</w:t>
      </w:r>
      <w:r>
        <w:rPr>
          <w:sz w:val="18"/>
          <w:szCs w:val="18"/>
        </w:rPr>
        <w:t xml:space="preserve"> </w:t>
      </w:r>
      <w:r>
        <w:rPr>
          <w:sz w:val="18"/>
          <w:szCs w:val="18"/>
        </w:rPr>
        <w:sym w:font="Wingdings 2" w:char="F052"/>
      </w:r>
      <w:r>
        <w:rPr>
          <w:sz w:val="18"/>
          <w:szCs w:val="18"/>
        </w:rPr>
        <w:t>不适用</w:t>
      </w:r>
    </w:p>
    <w:p w:rsidR="00E20B54" w:rsidRDefault="00733C9E">
      <w:pPr>
        <w:spacing w:before="100" w:after="100" w:line="240" w:lineRule="exact"/>
        <w:rPr>
          <w:sz w:val="18"/>
          <w:szCs w:val="18"/>
        </w:rPr>
      </w:pPr>
      <w:r>
        <w:rPr>
          <w:sz w:val="18"/>
          <w:szCs w:val="18"/>
        </w:rPr>
        <w:t>其他说明</w:t>
      </w:r>
    </w:p>
    <w:p w:rsidR="00E20B54" w:rsidRDefault="00733C9E">
      <w:pPr>
        <w:pStyle w:val="2"/>
        <w:spacing w:before="300" w:after="300" w:line="320" w:lineRule="exact"/>
        <w:rPr>
          <w:b/>
          <w:bCs/>
          <w:sz w:val="24"/>
          <w:szCs w:val="24"/>
        </w:rPr>
      </w:pPr>
      <w:bookmarkStart w:id="431" w:name="_Toc989319"/>
      <w:r>
        <w:rPr>
          <w:b/>
          <w:bCs/>
          <w:sz w:val="24"/>
          <w:szCs w:val="24"/>
        </w:rPr>
        <w:lastRenderedPageBreak/>
        <w:t>十三、公允价值的披露</w:t>
      </w:r>
      <w:bookmarkEnd w:id="431"/>
    </w:p>
    <w:p w:rsidR="00E20B54" w:rsidRDefault="00733C9E">
      <w:pPr>
        <w:pStyle w:val="3"/>
        <w:spacing w:line="280" w:lineRule="exact"/>
        <w:jc w:val="left"/>
        <w:rPr>
          <w:b/>
          <w:bCs/>
        </w:rPr>
      </w:pPr>
      <w:bookmarkStart w:id="432" w:name="_Toc989320"/>
      <w:r>
        <w:rPr>
          <w:b/>
          <w:bCs/>
        </w:rPr>
        <w:t>1</w:t>
      </w:r>
      <w:r>
        <w:rPr>
          <w:b/>
          <w:bCs/>
        </w:rPr>
        <w:t>、以公允价值计量的资产和负债的期末公允价值</w:t>
      </w:r>
      <w:bookmarkEnd w:id="432"/>
    </w:p>
    <w:p w:rsidR="00E20B54" w:rsidRDefault="00733C9E">
      <w:pPr>
        <w:spacing w:before="40" w:after="40" w:line="240" w:lineRule="exact"/>
        <w:jc w:val="right"/>
        <w:rPr>
          <w:sz w:val="18"/>
          <w:szCs w:val="18"/>
        </w:rPr>
      </w:pPr>
      <w:r>
        <w:rPr>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927"/>
        <w:gridCol w:w="1928"/>
        <w:gridCol w:w="1928"/>
        <w:gridCol w:w="1928"/>
        <w:gridCol w:w="1928"/>
      </w:tblGrid>
      <w:tr w:rsidR="00E20B54">
        <w:trPr>
          <w:trHeight w:val="240"/>
        </w:trPr>
        <w:tc>
          <w:tcPr>
            <w:tcW w:w="1928"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项目</w:t>
            </w:r>
          </w:p>
        </w:tc>
        <w:tc>
          <w:tcPr>
            <w:tcW w:w="7711" w:type="dxa"/>
            <w:gridSpan w:val="4"/>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期末公允价值</w:t>
            </w:r>
          </w:p>
        </w:tc>
      </w:tr>
      <w:tr w:rsidR="00E20B54">
        <w:trPr>
          <w:trHeight w:val="240"/>
        </w:trPr>
        <w:tc>
          <w:tcPr>
            <w:tcW w:w="1928"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第一层次公允价值计量</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第二层次公允价值计量</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第三层次公允价值计量</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合计</w:t>
            </w:r>
          </w:p>
        </w:tc>
      </w:tr>
      <w:tr w:rsidR="00E20B54">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一、持续的公允价值计量</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w:t>
            </w:r>
          </w:p>
        </w:tc>
      </w:tr>
      <w:tr w:rsidR="00E20B54">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二、非持续的公允价值计量</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w:t>
            </w:r>
          </w:p>
        </w:tc>
      </w:tr>
      <w:tr w:rsidR="00E20B54" w:rsidTr="0014654E">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9D9D9" w:themeFill="background1" w:themeFillShade="D9"/>
            <w:vAlign w:val="center"/>
          </w:tcPr>
          <w:p w:rsidR="00E20B54" w:rsidRDefault="00733C9E">
            <w:pPr>
              <w:spacing w:line="240" w:lineRule="exact"/>
              <w:rPr>
                <w:sz w:val="18"/>
                <w:szCs w:val="18"/>
              </w:rPr>
            </w:pPr>
            <w:r>
              <w:rPr>
                <w:sz w:val="18"/>
                <w:szCs w:val="18"/>
              </w:rPr>
              <w:t>（一）其他权益工具投资</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4,083,400.00</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4,083,400.00</w:t>
            </w:r>
          </w:p>
        </w:tc>
      </w:tr>
      <w:tr w:rsidR="00E20B54">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非持续以公允价值计量的资产总额</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4,083,400.00</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4,083,400.00</w:t>
            </w:r>
          </w:p>
        </w:tc>
      </w:tr>
    </w:tbl>
    <w:p w:rsidR="00E20B54" w:rsidRDefault="00733C9E">
      <w:pPr>
        <w:pStyle w:val="3"/>
        <w:spacing w:line="280" w:lineRule="exact"/>
        <w:jc w:val="left"/>
        <w:rPr>
          <w:b/>
          <w:bCs/>
        </w:rPr>
      </w:pPr>
      <w:bookmarkStart w:id="433" w:name="_Toc989321"/>
      <w:r>
        <w:rPr>
          <w:b/>
          <w:bCs/>
        </w:rPr>
        <w:t>2</w:t>
      </w:r>
      <w:r>
        <w:rPr>
          <w:b/>
          <w:bCs/>
        </w:rPr>
        <w:t>、持续和非持续第一层次公允价值计量项目市价的确定依据</w:t>
      </w:r>
      <w:bookmarkEnd w:id="433"/>
    </w:p>
    <w:p w:rsidR="00E20B54" w:rsidRDefault="00733C9E">
      <w:pPr>
        <w:pStyle w:val="3"/>
        <w:spacing w:line="280" w:lineRule="exact"/>
        <w:jc w:val="left"/>
        <w:rPr>
          <w:b/>
          <w:bCs/>
        </w:rPr>
      </w:pPr>
      <w:bookmarkStart w:id="434" w:name="_Toc989322"/>
      <w:r>
        <w:rPr>
          <w:b/>
          <w:bCs/>
        </w:rPr>
        <w:t>3</w:t>
      </w:r>
      <w:r>
        <w:rPr>
          <w:b/>
          <w:bCs/>
        </w:rPr>
        <w:t>、持续和非持续第二层次公允价值计量项目，采用的估值技术和重要参数的定性及定量信息</w:t>
      </w:r>
      <w:bookmarkEnd w:id="434"/>
    </w:p>
    <w:p w:rsidR="00E20B54" w:rsidRDefault="00733C9E">
      <w:pPr>
        <w:pStyle w:val="3"/>
        <w:spacing w:line="280" w:lineRule="exact"/>
        <w:jc w:val="left"/>
        <w:rPr>
          <w:b/>
          <w:bCs/>
        </w:rPr>
      </w:pPr>
      <w:bookmarkStart w:id="435" w:name="_Toc989323"/>
      <w:r>
        <w:rPr>
          <w:b/>
          <w:bCs/>
        </w:rPr>
        <w:t>4</w:t>
      </w:r>
      <w:r>
        <w:rPr>
          <w:b/>
          <w:bCs/>
        </w:rPr>
        <w:t>、持续和非持续第三层次公允价值计量项目，采用的估值技术和重要参数的定性及定量信息</w:t>
      </w:r>
      <w:bookmarkEnd w:id="435"/>
    </w:p>
    <w:p w:rsidR="00E20B54" w:rsidRDefault="00733C9E">
      <w:pPr>
        <w:pStyle w:val="a3"/>
        <w:widowControl/>
        <w:spacing w:beforeAutospacing="0" w:afterAutospacing="0" w:line="360" w:lineRule="auto"/>
        <w:ind w:firstLine="420"/>
        <w:jc w:val="both"/>
        <w:rPr>
          <w:sz w:val="21"/>
          <w:szCs w:val="21"/>
        </w:rPr>
      </w:pPr>
      <w:r>
        <w:rPr>
          <w:sz w:val="21"/>
          <w:szCs w:val="21"/>
        </w:rPr>
        <w:t>估值技术和输入值</w:t>
      </w:r>
    </w:p>
    <w:tbl>
      <w:tblPr>
        <w:tblW w:w="5000" w:type="pct"/>
        <w:jc w:val="center"/>
        <w:tblBorders>
          <w:top w:val="none" w:sz="6" w:space="0" w:color="auto"/>
          <w:left w:val="none" w:sz="6" w:space="0" w:color="auto"/>
          <w:bottom w:val="none" w:sz="6" w:space="0" w:color="auto"/>
          <w:right w:val="none" w:sz="6" w:space="0" w:color="auto"/>
          <w:insideH w:val="outset" w:sz="6" w:space="0" w:color="auto"/>
          <w:insideV w:val="outset" w:sz="6" w:space="0" w:color="auto"/>
        </w:tblBorders>
        <w:tblCellMar>
          <w:top w:w="15" w:type="dxa"/>
          <w:left w:w="15" w:type="dxa"/>
          <w:bottom w:w="15" w:type="dxa"/>
          <w:right w:w="15" w:type="dxa"/>
        </w:tblCellMar>
        <w:tblLook w:val="04A0" w:firstRow="1" w:lastRow="0" w:firstColumn="1" w:lastColumn="0" w:noHBand="0" w:noVBand="1"/>
      </w:tblPr>
      <w:tblGrid>
        <w:gridCol w:w="4696"/>
        <w:gridCol w:w="1374"/>
        <w:gridCol w:w="845"/>
        <w:gridCol w:w="1543"/>
        <w:gridCol w:w="1395"/>
      </w:tblGrid>
      <w:tr w:rsidR="00E20B54" w:rsidRPr="0014654E" w:rsidTr="0014654E">
        <w:trPr>
          <w:trHeight w:val="283"/>
          <w:jc w:val="center"/>
        </w:trPr>
        <w:tc>
          <w:tcPr>
            <w:tcW w:w="2383" w:type="pct"/>
            <w:tcBorders>
              <w:top w:val="single" w:sz="8" w:space="0" w:color="auto"/>
              <w:left w:val="single" w:sz="8" w:space="0" w:color="auto"/>
              <w:bottom w:val="single" w:sz="8" w:space="0" w:color="auto"/>
              <w:right w:val="single" w:sz="8" w:space="0" w:color="auto"/>
            </w:tcBorders>
            <w:shd w:val="clear" w:color="auto" w:fill="D9D9D9" w:themeFill="background1" w:themeFillShade="D9"/>
            <w:tcMar>
              <w:top w:w="0" w:type="dxa"/>
              <w:left w:w="108" w:type="dxa"/>
              <w:bottom w:w="0" w:type="dxa"/>
              <w:right w:w="108" w:type="dxa"/>
            </w:tcMar>
            <w:vAlign w:val="center"/>
          </w:tcPr>
          <w:p w:rsidR="00E20B54" w:rsidRPr="0014654E" w:rsidRDefault="00733C9E" w:rsidP="0014654E">
            <w:pPr>
              <w:pStyle w:val="a3"/>
              <w:widowControl/>
              <w:spacing w:beforeAutospacing="0" w:afterAutospacing="0"/>
              <w:jc w:val="center"/>
              <w:rPr>
                <w:sz w:val="18"/>
                <w:szCs w:val="18"/>
              </w:rPr>
            </w:pPr>
            <w:r w:rsidRPr="0014654E">
              <w:rPr>
                <w:rStyle w:val="a4"/>
                <w:color w:val="000000"/>
                <w:sz w:val="18"/>
                <w:szCs w:val="18"/>
              </w:rPr>
              <w:t>项目</w:t>
            </w:r>
          </w:p>
        </w:tc>
        <w:tc>
          <w:tcPr>
            <w:tcW w:w="697" w:type="pct"/>
            <w:tcBorders>
              <w:top w:val="single" w:sz="8" w:space="0" w:color="auto"/>
              <w:left w:val="nil"/>
              <w:bottom w:val="single" w:sz="8" w:space="0" w:color="auto"/>
              <w:right w:val="single" w:sz="8" w:space="0" w:color="auto"/>
            </w:tcBorders>
            <w:shd w:val="clear" w:color="auto" w:fill="D9D9D9" w:themeFill="background1" w:themeFillShade="D9"/>
            <w:tcMar>
              <w:top w:w="0" w:type="dxa"/>
              <w:left w:w="108" w:type="dxa"/>
              <w:bottom w:w="0" w:type="dxa"/>
              <w:right w:w="108" w:type="dxa"/>
            </w:tcMar>
            <w:vAlign w:val="center"/>
          </w:tcPr>
          <w:p w:rsidR="00E20B54" w:rsidRPr="0014654E" w:rsidRDefault="00733C9E" w:rsidP="0014654E">
            <w:pPr>
              <w:pStyle w:val="a3"/>
              <w:widowControl/>
              <w:spacing w:beforeAutospacing="0" w:afterAutospacing="0"/>
              <w:jc w:val="center"/>
              <w:rPr>
                <w:sz w:val="18"/>
                <w:szCs w:val="18"/>
              </w:rPr>
            </w:pPr>
            <w:r w:rsidRPr="0014654E">
              <w:rPr>
                <w:rStyle w:val="a4"/>
                <w:color w:val="000000"/>
                <w:sz w:val="18"/>
                <w:szCs w:val="18"/>
              </w:rPr>
              <w:t>期末公允价值</w:t>
            </w:r>
          </w:p>
        </w:tc>
        <w:tc>
          <w:tcPr>
            <w:tcW w:w="429" w:type="pct"/>
            <w:tcBorders>
              <w:top w:val="single" w:sz="8" w:space="0" w:color="auto"/>
              <w:left w:val="nil"/>
              <w:bottom w:val="single" w:sz="8" w:space="0" w:color="auto"/>
              <w:right w:val="single" w:sz="8" w:space="0" w:color="auto"/>
            </w:tcBorders>
            <w:shd w:val="clear" w:color="auto" w:fill="D9D9D9" w:themeFill="background1" w:themeFillShade="D9"/>
            <w:tcMar>
              <w:top w:w="0" w:type="dxa"/>
              <w:left w:w="108" w:type="dxa"/>
              <w:bottom w:w="0" w:type="dxa"/>
              <w:right w:w="108" w:type="dxa"/>
            </w:tcMar>
            <w:vAlign w:val="center"/>
          </w:tcPr>
          <w:p w:rsidR="00E20B54" w:rsidRPr="0014654E" w:rsidRDefault="00733C9E" w:rsidP="0014654E">
            <w:pPr>
              <w:pStyle w:val="a3"/>
              <w:widowControl/>
              <w:spacing w:beforeAutospacing="0" w:afterAutospacing="0"/>
              <w:jc w:val="center"/>
              <w:rPr>
                <w:sz w:val="18"/>
                <w:szCs w:val="18"/>
              </w:rPr>
            </w:pPr>
            <w:r w:rsidRPr="0014654E">
              <w:rPr>
                <w:rStyle w:val="a4"/>
                <w:color w:val="000000"/>
                <w:sz w:val="18"/>
                <w:szCs w:val="18"/>
              </w:rPr>
              <w:t>估值技术</w:t>
            </w:r>
          </w:p>
        </w:tc>
        <w:tc>
          <w:tcPr>
            <w:tcW w:w="783" w:type="pct"/>
            <w:tcBorders>
              <w:top w:val="single" w:sz="8" w:space="0" w:color="auto"/>
              <w:left w:val="nil"/>
              <w:bottom w:val="single" w:sz="8" w:space="0" w:color="auto"/>
              <w:right w:val="single" w:sz="8" w:space="0" w:color="auto"/>
            </w:tcBorders>
            <w:shd w:val="clear" w:color="auto" w:fill="D9D9D9" w:themeFill="background1" w:themeFillShade="D9"/>
            <w:tcMar>
              <w:top w:w="0" w:type="dxa"/>
              <w:left w:w="108" w:type="dxa"/>
              <w:bottom w:w="0" w:type="dxa"/>
              <w:right w:w="108" w:type="dxa"/>
            </w:tcMar>
            <w:vAlign w:val="center"/>
          </w:tcPr>
          <w:p w:rsidR="00E20B54" w:rsidRPr="0014654E" w:rsidRDefault="00733C9E" w:rsidP="0014654E">
            <w:pPr>
              <w:pStyle w:val="a3"/>
              <w:widowControl/>
              <w:spacing w:beforeAutospacing="0" w:afterAutospacing="0"/>
              <w:jc w:val="center"/>
              <w:rPr>
                <w:sz w:val="18"/>
                <w:szCs w:val="18"/>
              </w:rPr>
            </w:pPr>
            <w:r w:rsidRPr="0014654E">
              <w:rPr>
                <w:rStyle w:val="a4"/>
                <w:color w:val="000000"/>
                <w:sz w:val="18"/>
                <w:szCs w:val="18"/>
              </w:rPr>
              <w:t>重要不可观察输入值</w:t>
            </w:r>
          </w:p>
        </w:tc>
        <w:tc>
          <w:tcPr>
            <w:tcW w:w="708" w:type="pct"/>
            <w:tcBorders>
              <w:top w:val="single" w:sz="8" w:space="0" w:color="auto"/>
              <w:left w:val="nil"/>
              <w:bottom w:val="single" w:sz="8" w:space="0" w:color="auto"/>
              <w:right w:val="single" w:sz="8" w:space="0" w:color="auto"/>
            </w:tcBorders>
            <w:shd w:val="clear" w:color="auto" w:fill="D9D9D9" w:themeFill="background1" w:themeFillShade="D9"/>
            <w:tcMar>
              <w:top w:w="0" w:type="dxa"/>
              <w:left w:w="108" w:type="dxa"/>
              <w:bottom w:w="0" w:type="dxa"/>
              <w:right w:w="108" w:type="dxa"/>
            </w:tcMar>
            <w:vAlign w:val="center"/>
          </w:tcPr>
          <w:p w:rsidR="00E20B54" w:rsidRPr="0014654E" w:rsidRDefault="00733C9E" w:rsidP="0014654E">
            <w:pPr>
              <w:pStyle w:val="a3"/>
              <w:widowControl/>
              <w:spacing w:beforeAutospacing="0" w:afterAutospacing="0"/>
              <w:jc w:val="center"/>
              <w:rPr>
                <w:sz w:val="18"/>
                <w:szCs w:val="18"/>
              </w:rPr>
            </w:pPr>
            <w:r w:rsidRPr="0014654E">
              <w:rPr>
                <w:rStyle w:val="a4"/>
                <w:color w:val="000000"/>
                <w:sz w:val="18"/>
                <w:szCs w:val="18"/>
              </w:rPr>
              <w:t>范围区间</w:t>
            </w:r>
          </w:p>
          <w:p w:rsidR="00E20B54" w:rsidRPr="0014654E" w:rsidRDefault="00733C9E" w:rsidP="0014654E">
            <w:pPr>
              <w:pStyle w:val="a3"/>
              <w:widowControl/>
              <w:spacing w:beforeAutospacing="0" w:afterAutospacing="0"/>
              <w:jc w:val="center"/>
              <w:rPr>
                <w:sz w:val="18"/>
                <w:szCs w:val="18"/>
              </w:rPr>
            </w:pPr>
            <w:r w:rsidRPr="0014654E">
              <w:rPr>
                <w:rStyle w:val="a4"/>
                <w:color w:val="000000"/>
                <w:sz w:val="18"/>
                <w:szCs w:val="18"/>
              </w:rPr>
              <w:t>（加权平均值）</w:t>
            </w:r>
          </w:p>
        </w:tc>
      </w:tr>
      <w:tr w:rsidR="00E20B54" w:rsidRPr="0014654E" w:rsidTr="0014654E">
        <w:trPr>
          <w:trHeight w:val="283"/>
          <w:jc w:val="center"/>
        </w:trPr>
        <w:tc>
          <w:tcPr>
            <w:tcW w:w="2383" w:type="pct"/>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tcPr>
          <w:p w:rsidR="00E20B54" w:rsidRPr="0014654E" w:rsidRDefault="00733C9E" w:rsidP="0014654E">
            <w:pPr>
              <w:pStyle w:val="a3"/>
              <w:widowControl/>
              <w:spacing w:beforeAutospacing="0" w:afterAutospacing="0"/>
              <w:jc w:val="center"/>
              <w:rPr>
                <w:sz w:val="18"/>
                <w:szCs w:val="18"/>
              </w:rPr>
            </w:pPr>
            <w:r w:rsidRPr="0014654E">
              <w:rPr>
                <w:sz w:val="18"/>
                <w:szCs w:val="18"/>
              </w:rPr>
              <w:t>指定为以公允价值计量且其变动计入其他综合收益的金融资产</w:t>
            </w:r>
            <w:r w:rsidRPr="0014654E">
              <w:rPr>
                <w:sz w:val="18"/>
                <w:szCs w:val="18"/>
              </w:rPr>
              <w:t>——</w:t>
            </w:r>
            <w:r w:rsidRPr="0014654E">
              <w:rPr>
                <w:sz w:val="18"/>
                <w:szCs w:val="18"/>
              </w:rPr>
              <w:t>其他权益工具投资</w:t>
            </w:r>
          </w:p>
        </w:tc>
        <w:tc>
          <w:tcPr>
            <w:tcW w:w="697" w:type="pct"/>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E20B54" w:rsidRPr="0014654E" w:rsidRDefault="00733C9E" w:rsidP="0014654E">
            <w:pPr>
              <w:pStyle w:val="a3"/>
              <w:widowControl/>
              <w:spacing w:beforeAutospacing="0" w:afterAutospacing="0"/>
              <w:jc w:val="right"/>
              <w:rPr>
                <w:sz w:val="18"/>
                <w:szCs w:val="18"/>
              </w:rPr>
            </w:pPr>
            <w:r w:rsidRPr="0014654E">
              <w:rPr>
                <w:sz w:val="18"/>
                <w:szCs w:val="18"/>
              </w:rPr>
              <w:t>4,083,400.00</w:t>
            </w:r>
          </w:p>
        </w:tc>
        <w:tc>
          <w:tcPr>
            <w:tcW w:w="429" w:type="pct"/>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E20B54" w:rsidRPr="0014654E" w:rsidRDefault="00733C9E" w:rsidP="0014654E">
            <w:pPr>
              <w:pStyle w:val="a3"/>
              <w:widowControl/>
              <w:spacing w:beforeAutospacing="0" w:afterAutospacing="0"/>
              <w:jc w:val="center"/>
              <w:textAlignment w:val="center"/>
              <w:rPr>
                <w:sz w:val="18"/>
                <w:szCs w:val="18"/>
              </w:rPr>
            </w:pPr>
            <w:r w:rsidRPr="0014654E">
              <w:rPr>
                <w:sz w:val="18"/>
                <w:szCs w:val="18"/>
              </w:rPr>
              <w:t>收益法</w:t>
            </w:r>
          </w:p>
        </w:tc>
        <w:tc>
          <w:tcPr>
            <w:tcW w:w="783" w:type="pct"/>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E20B54" w:rsidRPr="0014654E" w:rsidRDefault="00733C9E" w:rsidP="0014654E">
            <w:pPr>
              <w:pStyle w:val="a3"/>
              <w:widowControl/>
              <w:spacing w:beforeAutospacing="0" w:afterAutospacing="0"/>
              <w:jc w:val="center"/>
              <w:textAlignment w:val="center"/>
              <w:rPr>
                <w:sz w:val="18"/>
                <w:szCs w:val="18"/>
              </w:rPr>
            </w:pPr>
            <w:r w:rsidRPr="0014654E">
              <w:rPr>
                <w:sz w:val="18"/>
                <w:szCs w:val="18"/>
              </w:rPr>
              <w:t>预计未来年度现金流</w:t>
            </w:r>
          </w:p>
        </w:tc>
        <w:tc>
          <w:tcPr>
            <w:tcW w:w="708" w:type="pct"/>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E20B54" w:rsidRPr="0014654E" w:rsidRDefault="00733C9E" w:rsidP="0014654E">
            <w:pPr>
              <w:pStyle w:val="a3"/>
              <w:widowControl/>
              <w:spacing w:beforeAutospacing="0" w:afterAutospacing="0"/>
              <w:jc w:val="center"/>
              <w:textAlignment w:val="center"/>
              <w:rPr>
                <w:sz w:val="18"/>
                <w:szCs w:val="18"/>
              </w:rPr>
            </w:pPr>
            <w:r w:rsidRPr="0014654E">
              <w:rPr>
                <w:sz w:val="18"/>
                <w:szCs w:val="18"/>
              </w:rPr>
              <w:t>税前折现率</w:t>
            </w:r>
            <w:r w:rsidRPr="0014654E">
              <w:rPr>
                <w:sz w:val="18"/>
                <w:szCs w:val="18"/>
              </w:rPr>
              <w:t>13.37%</w:t>
            </w:r>
          </w:p>
        </w:tc>
      </w:tr>
    </w:tbl>
    <w:p w:rsidR="00E20B54" w:rsidRDefault="00733C9E">
      <w:pPr>
        <w:pStyle w:val="3"/>
        <w:spacing w:line="280" w:lineRule="exact"/>
        <w:jc w:val="left"/>
        <w:rPr>
          <w:b/>
          <w:bCs/>
        </w:rPr>
      </w:pPr>
      <w:bookmarkStart w:id="436" w:name="_Toc989324"/>
      <w:r>
        <w:rPr>
          <w:b/>
          <w:bCs/>
        </w:rPr>
        <w:t>5</w:t>
      </w:r>
      <w:r>
        <w:rPr>
          <w:b/>
          <w:bCs/>
        </w:rPr>
        <w:t>、持续的第三层次公允价值计量项目，期初与期末账面价值间的调节信息及不可观察参数敏感性分析</w:t>
      </w:r>
      <w:bookmarkEnd w:id="436"/>
    </w:p>
    <w:p w:rsidR="00E20B54" w:rsidRDefault="00733C9E">
      <w:pPr>
        <w:pStyle w:val="3"/>
        <w:spacing w:line="280" w:lineRule="exact"/>
        <w:jc w:val="left"/>
        <w:rPr>
          <w:b/>
          <w:bCs/>
        </w:rPr>
      </w:pPr>
      <w:bookmarkStart w:id="437" w:name="_Toc989325"/>
      <w:r>
        <w:rPr>
          <w:b/>
          <w:bCs/>
        </w:rPr>
        <w:t>6</w:t>
      </w:r>
      <w:r>
        <w:rPr>
          <w:b/>
          <w:bCs/>
        </w:rPr>
        <w:t>、持续的公允价值计量项目，本期内发生各层级之间转换的，转换的原因及确定转换时点的政策</w:t>
      </w:r>
      <w:bookmarkEnd w:id="437"/>
    </w:p>
    <w:p w:rsidR="00E20B54" w:rsidRDefault="00733C9E">
      <w:pPr>
        <w:pStyle w:val="3"/>
        <w:spacing w:line="280" w:lineRule="exact"/>
        <w:jc w:val="left"/>
        <w:rPr>
          <w:b/>
          <w:bCs/>
        </w:rPr>
      </w:pPr>
      <w:bookmarkStart w:id="438" w:name="_Toc989326"/>
      <w:r>
        <w:rPr>
          <w:b/>
          <w:bCs/>
        </w:rPr>
        <w:t>7</w:t>
      </w:r>
      <w:r>
        <w:rPr>
          <w:b/>
          <w:bCs/>
        </w:rPr>
        <w:t>、本期内发生的估值技术变更及变更原因</w:t>
      </w:r>
      <w:bookmarkEnd w:id="438"/>
    </w:p>
    <w:p w:rsidR="00E20B54" w:rsidRDefault="00733C9E">
      <w:pPr>
        <w:pStyle w:val="3"/>
        <w:spacing w:line="280" w:lineRule="exact"/>
        <w:jc w:val="left"/>
        <w:rPr>
          <w:b/>
          <w:bCs/>
        </w:rPr>
      </w:pPr>
      <w:bookmarkStart w:id="439" w:name="_Toc989327"/>
      <w:r>
        <w:rPr>
          <w:b/>
          <w:bCs/>
        </w:rPr>
        <w:t>8</w:t>
      </w:r>
      <w:r>
        <w:rPr>
          <w:b/>
          <w:bCs/>
        </w:rPr>
        <w:t>、不以公允价值计量的金融资产和金融负债的公允价值情况</w:t>
      </w:r>
      <w:bookmarkEnd w:id="439"/>
    </w:p>
    <w:p w:rsidR="00E20B54" w:rsidRDefault="00733C9E">
      <w:pPr>
        <w:pStyle w:val="3"/>
        <w:spacing w:line="280" w:lineRule="exact"/>
        <w:jc w:val="left"/>
        <w:rPr>
          <w:b/>
          <w:bCs/>
        </w:rPr>
      </w:pPr>
      <w:bookmarkStart w:id="440" w:name="_Toc989328"/>
      <w:r>
        <w:rPr>
          <w:b/>
          <w:bCs/>
        </w:rPr>
        <w:t>9</w:t>
      </w:r>
      <w:r>
        <w:rPr>
          <w:b/>
          <w:bCs/>
        </w:rPr>
        <w:t>、其他</w:t>
      </w:r>
      <w:bookmarkEnd w:id="440"/>
    </w:p>
    <w:p w:rsidR="00E20B54" w:rsidRDefault="00733C9E">
      <w:pPr>
        <w:pStyle w:val="2"/>
        <w:spacing w:before="300" w:after="300" w:line="320" w:lineRule="exact"/>
        <w:rPr>
          <w:b/>
          <w:bCs/>
          <w:sz w:val="24"/>
          <w:szCs w:val="24"/>
        </w:rPr>
      </w:pPr>
      <w:bookmarkStart w:id="441" w:name="_Toc989329"/>
      <w:r>
        <w:rPr>
          <w:b/>
          <w:bCs/>
          <w:sz w:val="24"/>
          <w:szCs w:val="24"/>
        </w:rPr>
        <w:t>十四、关联方及关联交易</w:t>
      </w:r>
      <w:bookmarkEnd w:id="441"/>
    </w:p>
    <w:p w:rsidR="00E20B54" w:rsidRDefault="00733C9E">
      <w:pPr>
        <w:pStyle w:val="3"/>
        <w:spacing w:line="280" w:lineRule="exact"/>
        <w:jc w:val="left"/>
        <w:rPr>
          <w:b/>
          <w:bCs/>
        </w:rPr>
      </w:pPr>
      <w:bookmarkStart w:id="442" w:name="_Toc989330"/>
      <w:r>
        <w:rPr>
          <w:b/>
          <w:bCs/>
        </w:rPr>
        <w:t>1</w:t>
      </w:r>
      <w:r>
        <w:rPr>
          <w:b/>
          <w:bCs/>
        </w:rPr>
        <w:t>、本企业的母公司情况</w:t>
      </w:r>
      <w:bookmarkEnd w:id="442"/>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606"/>
        <w:gridCol w:w="1606"/>
        <w:gridCol w:w="1606"/>
        <w:gridCol w:w="1607"/>
        <w:gridCol w:w="1607"/>
        <w:gridCol w:w="1607"/>
      </w:tblGrid>
      <w:tr w:rsidR="00E20B54">
        <w:trPr>
          <w:trHeight w:val="240"/>
        </w:trPr>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母公司名称</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注册地</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业务性质</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注册资本</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母公司对本企业的持股比例</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母公司对本企业的表决权比例</w:t>
            </w:r>
          </w:p>
        </w:tc>
      </w:tr>
    </w:tbl>
    <w:p w:rsidR="00E20B54" w:rsidRDefault="00733C9E" w:rsidP="0014654E">
      <w:pPr>
        <w:spacing w:before="100" w:after="100" w:line="240" w:lineRule="exact"/>
        <w:rPr>
          <w:sz w:val="18"/>
          <w:szCs w:val="18"/>
        </w:rPr>
      </w:pPr>
      <w:r>
        <w:rPr>
          <w:sz w:val="18"/>
          <w:szCs w:val="18"/>
        </w:rPr>
        <w:t>本企业的母公司情况的说明</w:t>
      </w:r>
      <w:r w:rsidR="0014654E">
        <w:rPr>
          <w:rFonts w:hint="eastAsia"/>
          <w:sz w:val="18"/>
          <w:szCs w:val="18"/>
        </w:rPr>
        <w:t>：</w:t>
      </w:r>
      <w:r>
        <w:rPr>
          <w:sz w:val="18"/>
          <w:szCs w:val="18"/>
        </w:rPr>
        <w:t>本企业最终控制方是林明玲、马学沛。</w:t>
      </w:r>
    </w:p>
    <w:p w:rsidR="00E20B54" w:rsidRDefault="00733C9E">
      <w:pPr>
        <w:spacing w:before="100" w:after="100" w:line="240" w:lineRule="exact"/>
        <w:rPr>
          <w:sz w:val="18"/>
          <w:szCs w:val="18"/>
        </w:rPr>
      </w:pPr>
      <w:r>
        <w:rPr>
          <w:sz w:val="18"/>
          <w:szCs w:val="18"/>
        </w:rPr>
        <w:t>其他说明：</w:t>
      </w:r>
      <w:r w:rsidR="0014654E">
        <w:rPr>
          <w:rFonts w:hint="eastAsia"/>
          <w:sz w:val="18"/>
          <w:szCs w:val="18"/>
        </w:rPr>
        <w:t>无。</w:t>
      </w:r>
    </w:p>
    <w:p w:rsidR="00E20B54" w:rsidRDefault="00733C9E">
      <w:pPr>
        <w:pStyle w:val="3"/>
        <w:spacing w:line="280" w:lineRule="exact"/>
        <w:jc w:val="left"/>
        <w:rPr>
          <w:b/>
          <w:bCs/>
        </w:rPr>
      </w:pPr>
      <w:bookmarkStart w:id="443" w:name="_Toc989331"/>
      <w:r>
        <w:rPr>
          <w:b/>
          <w:bCs/>
        </w:rPr>
        <w:lastRenderedPageBreak/>
        <w:t>2</w:t>
      </w:r>
      <w:r>
        <w:rPr>
          <w:b/>
          <w:bCs/>
        </w:rPr>
        <w:t>、本企业的子公司情况</w:t>
      </w:r>
      <w:bookmarkEnd w:id="443"/>
    </w:p>
    <w:p w:rsidR="00E20B54" w:rsidRDefault="00733C9E">
      <w:pPr>
        <w:spacing w:before="40" w:after="40" w:line="240" w:lineRule="exact"/>
        <w:rPr>
          <w:sz w:val="18"/>
          <w:szCs w:val="18"/>
        </w:rPr>
      </w:pPr>
      <w:r>
        <w:rPr>
          <w:sz w:val="18"/>
          <w:szCs w:val="18"/>
        </w:rPr>
        <w:t>本企业子公司的情况详见附注本节十、在其他主体中的权益。</w:t>
      </w:r>
    </w:p>
    <w:p w:rsidR="00E20B54" w:rsidRDefault="00733C9E">
      <w:pPr>
        <w:pStyle w:val="3"/>
        <w:spacing w:line="280" w:lineRule="exact"/>
        <w:jc w:val="left"/>
        <w:rPr>
          <w:b/>
          <w:bCs/>
        </w:rPr>
      </w:pPr>
      <w:bookmarkStart w:id="444" w:name="_Toc989332"/>
      <w:r>
        <w:rPr>
          <w:b/>
          <w:bCs/>
        </w:rPr>
        <w:t>3</w:t>
      </w:r>
      <w:r>
        <w:rPr>
          <w:b/>
          <w:bCs/>
        </w:rPr>
        <w:t>、本企业合营和联营企业情况</w:t>
      </w:r>
      <w:bookmarkEnd w:id="444"/>
    </w:p>
    <w:p w:rsidR="00E20B54" w:rsidRDefault="00733C9E">
      <w:pPr>
        <w:spacing w:before="40" w:after="40" w:line="240" w:lineRule="exact"/>
        <w:rPr>
          <w:sz w:val="18"/>
          <w:szCs w:val="18"/>
        </w:rPr>
      </w:pPr>
      <w:r>
        <w:rPr>
          <w:sz w:val="18"/>
          <w:szCs w:val="18"/>
        </w:rPr>
        <w:t>本企业重要的合营或联营企业详见附注。</w:t>
      </w:r>
    </w:p>
    <w:p w:rsidR="00E20B54" w:rsidRDefault="00733C9E">
      <w:pPr>
        <w:spacing w:before="100" w:after="100" w:line="240" w:lineRule="exact"/>
        <w:rPr>
          <w:sz w:val="18"/>
          <w:szCs w:val="18"/>
        </w:rPr>
      </w:pPr>
      <w:r>
        <w:rPr>
          <w:sz w:val="18"/>
          <w:szCs w:val="18"/>
        </w:rPr>
        <w:t>本期与本公司发生关联方交易，或前期与本公司发生关联方交易形成余额的其他合营或联营企业情况如下：</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4820"/>
        <w:gridCol w:w="4819"/>
      </w:tblGrid>
      <w:tr w:rsidR="00E20B54">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合营或联营企业名称</w:t>
            </w:r>
          </w:p>
        </w:tc>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与本企业关系</w:t>
            </w:r>
          </w:p>
        </w:tc>
      </w:tr>
    </w:tbl>
    <w:p w:rsidR="00E20B54" w:rsidRDefault="00733C9E" w:rsidP="001B6CD0">
      <w:pPr>
        <w:spacing w:before="100" w:after="100" w:line="240" w:lineRule="exact"/>
        <w:rPr>
          <w:sz w:val="18"/>
          <w:szCs w:val="18"/>
        </w:rPr>
      </w:pPr>
      <w:r>
        <w:rPr>
          <w:sz w:val="18"/>
          <w:szCs w:val="18"/>
        </w:rPr>
        <w:t>其他说明：</w:t>
      </w:r>
      <w:r>
        <w:rPr>
          <w:rFonts w:eastAsia="瀹嬩綋"/>
          <w:color w:val="000000"/>
          <w:sz w:val="18"/>
          <w:szCs w:val="18"/>
          <w:lang w:bidi="ar"/>
        </w:rPr>
        <w:t>本公司无重要的合营和联营企业</w:t>
      </w:r>
    </w:p>
    <w:p w:rsidR="00E20B54" w:rsidRDefault="00733C9E">
      <w:pPr>
        <w:pStyle w:val="3"/>
        <w:spacing w:line="280" w:lineRule="exact"/>
        <w:jc w:val="left"/>
        <w:rPr>
          <w:b/>
          <w:bCs/>
        </w:rPr>
      </w:pPr>
      <w:bookmarkStart w:id="445" w:name="_Toc989333"/>
      <w:r>
        <w:rPr>
          <w:b/>
          <w:bCs/>
        </w:rPr>
        <w:t>4</w:t>
      </w:r>
      <w:r>
        <w:rPr>
          <w:b/>
          <w:bCs/>
        </w:rPr>
        <w:t>、其他关联方情况</w:t>
      </w:r>
      <w:bookmarkEnd w:id="445"/>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4820"/>
        <w:gridCol w:w="4819"/>
      </w:tblGrid>
      <w:tr w:rsidR="00E20B54">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其他关联方名称</w:t>
            </w:r>
          </w:p>
        </w:tc>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其他关联方与本企业关系</w:t>
            </w:r>
          </w:p>
        </w:tc>
      </w:tr>
      <w:tr w:rsidR="00E20B54">
        <w:trPr>
          <w:trHeight w:val="240"/>
        </w:trPr>
        <w:tc>
          <w:tcPr>
            <w:tcW w:w="482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汕头潮阳融和村镇银行股份有限公司</w:t>
            </w:r>
          </w:p>
        </w:tc>
        <w:tc>
          <w:tcPr>
            <w:tcW w:w="482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林明玲持有</w:t>
            </w:r>
            <w:r>
              <w:rPr>
                <w:sz w:val="18"/>
                <w:szCs w:val="18"/>
              </w:rPr>
              <w:t>5%</w:t>
            </w:r>
            <w:r>
              <w:rPr>
                <w:sz w:val="18"/>
                <w:szCs w:val="18"/>
              </w:rPr>
              <w:t>股权的企业</w:t>
            </w:r>
          </w:p>
        </w:tc>
      </w:tr>
      <w:tr w:rsidR="00E20B54">
        <w:trPr>
          <w:trHeight w:val="240"/>
        </w:trPr>
        <w:tc>
          <w:tcPr>
            <w:tcW w:w="482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广东润煌纺织新材料有限公司</w:t>
            </w:r>
          </w:p>
        </w:tc>
        <w:tc>
          <w:tcPr>
            <w:tcW w:w="482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林明玲持有</w:t>
            </w:r>
            <w:r>
              <w:rPr>
                <w:sz w:val="18"/>
                <w:szCs w:val="18"/>
              </w:rPr>
              <w:t>45%</w:t>
            </w:r>
            <w:r>
              <w:rPr>
                <w:sz w:val="18"/>
                <w:szCs w:val="18"/>
              </w:rPr>
              <w:t>股权的企业</w:t>
            </w:r>
          </w:p>
        </w:tc>
      </w:tr>
    </w:tbl>
    <w:p w:rsidR="00E20B54" w:rsidRDefault="00733C9E">
      <w:pPr>
        <w:spacing w:before="100" w:after="100" w:line="240" w:lineRule="exact"/>
        <w:rPr>
          <w:sz w:val="18"/>
          <w:szCs w:val="18"/>
        </w:rPr>
      </w:pPr>
      <w:r>
        <w:rPr>
          <w:sz w:val="18"/>
          <w:szCs w:val="18"/>
        </w:rPr>
        <w:t>其他说明：</w:t>
      </w:r>
    </w:p>
    <w:p w:rsidR="00E20B54" w:rsidRDefault="00733C9E">
      <w:pPr>
        <w:pStyle w:val="3"/>
        <w:spacing w:line="280" w:lineRule="exact"/>
        <w:jc w:val="left"/>
        <w:rPr>
          <w:b/>
          <w:bCs/>
        </w:rPr>
      </w:pPr>
      <w:bookmarkStart w:id="446" w:name="_Toc989334"/>
      <w:r>
        <w:rPr>
          <w:b/>
          <w:bCs/>
        </w:rPr>
        <w:t>5</w:t>
      </w:r>
      <w:r>
        <w:rPr>
          <w:b/>
          <w:bCs/>
        </w:rPr>
        <w:t>、关联交易情况</w:t>
      </w:r>
      <w:bookmarkEnd w:id="446"/>
    </w:p>
    <w:p w:rsidR="00E20B54" w:rsidRDefault="00733C9E">
      <w:pPr>
        <w:keepNext/>
        <w:keepLines/>
        <w:spacing w:before="300" w:after="300" w:line="280" w:lineRule="exact"/>
        <w:outlineLvl w:val="3"/>
        <w:rPr>
          <w:b/>
          <w:bCs/>
          <w:szCs w:val="21"/>
        </w:rPr>
      </w:pPr>
      <w:bookmarkStart w:id="447" w:name="_Toc989335"/>
      <w:r>
        <w:rPr>
          <w:b/>
          <w:bCs/>
          <w:szCs w:val="21"/>
        </w:rPr>
        <w:t>（</w:t>
      </w:r>
      <w:r>
        <w:rPr>
          <w:b/>
          <w:bCs/>
          <w:szCs w:val="21"/>
        </w:rPr>
        <w:t>1</w:t>
      </w:r>
      <w:r>
        <w:rPr>
          <w:b/>
          <w:bCs/>
          <w:szCs w:val="21"/>
        </w:rPr>
        <w:t>）</w:t>
      </w:r>
      <w:r>
        <w:rPr>
          <w:b/>
          <w:bCs/>
          <w:szCs w:val="21"/>
        </w:rPr>
        <w:t xml:space="preserve"> </w:t>
      </w:r>
      <w:r>
        <w:rPr>
          <w:b/>
          <w:bCs/>
          <w:szCs w:val="21"/>
        </w:rPr>
        <w:t>购销商品、提供和接受劳务的关联交易</w:t>
      </w:r>
      <w:bookmarkEnd w:id="447"/>
    </w:p>
    <w:p w:rsidR="00E20B54" w:rsidRDefault="00733C9E">
      <w:pPr>
        <w:spacing w:before="40" w:after="40" w:line="240" w:lineRule="exact"/>
        <w:rPr>
          <w:sz w:val="18"/>
          <w:szCs w:val="18"/>
        </w:rPr>
      </w:pPr>
      <w:r>
        <w:rPr>
          <w:sz w:val="18"/>
          <w:szCs w:val="18"/>
        </w:rPr>
        <w:t>采购商品</w:t>
      </w:r>
      <w:r>
        <w:rPr>
          <w:sz w:val="18"/>
          <w:szCs w:val="18"/>
        </w:rPr>
        <w:t>/</w:t>
      </w:r>
      <w:r>
        <w:rPr>
          <w:sz w:val="18"/>
          <w:szCs w:val="18"/>
        </w:rPr>
        <w:t>接受劳务情况表</w:t>
      </w:r>
    </w:p>
    <w:p w:rsidR="00E20B54" w:rsidRDefault="00733C9E">
      <w:pPr>
        <w:spacing w:before="120" w:after="120" w:line="240" w:lineRule="exact"/>
        <w:jc w:val="right"/>
        <w:rPr>
          <w:sz w:val="18"/>
          <w:szCs w:val="18"/>
        </w:rPr>
      </w:pPr>
      <w:r>
        <w:rPr>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606"/>
        <w:gridCol w:w="1606"/>
        <w:gridCol w:w="1606"/>
        <w:gridCol w:w="1607"/>
        <w:gridCol w:w="1607"/>
        <w:gridCol w:w="1607"/>
      </w:tblGrid>
      <w:tr w:rsidR="00E20B54">
        <w:trPr>
          <w:trHeight w:val="240"/>
        </w:trPr>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关联方</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关联交易内容</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本期发生额</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获批的交易额度</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是否超过交易额度</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上期发生额</w:t>
            </w:r>
          </w:p>
        </w:tc>
      </w:tr>
    </w:tbl>
    <w:p w:rsidR="00E20B54" w:rsidRDefault="00733C9E">
      <w:pPr>
        <w:spacing w:before="40" w:after="40" w:line="240" w:lineRule="exact"/>
        <w:rPr>
          <w:sz w:val="18"/>
          <w:szCs w:val="18"/>
        </w:rPr>
      </w:pPr>
      <w:r>
        <w:rPr>
          <w:sz w:val="18"/>
          <w:szCs w:val="18"/>
        </w:rPr>
        <w:t>出售商品</w:t>
      </w:r>
      <w:r>
        <w:rPr>
          <w:sz w:val="18"/>
          <w:szCs w:val="18"/>
        </w:rPr>
        <w:t>/</w:t>
      </w:r>
      <w:r>
        <w:rPr>
          <w:sz w:val="18"/>
          <w:szCs w:val="18"/>
        </w:rPr>
        <w:t>提供劳务情况表</w:t>
      </w:r>
    </w:p>
    <w:p w:rsidR="00E20B54" w:rsidRDefault="00733C9E">
      <w:pPr>
        <w:spacing w:before="120" w:after="120" w:line="240" w:lineRule="exact"/>
        <w:jc w:val="right"/>
        <w:rPr>
          <w:sz w:val="18"/>
          <w:szCs w:val="18"/>
        </w:rPr>
      </w:pPr>
      <w:r>
        <w:rPr>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2409"/>
        <w:gridCol w:w="2410"/>
        <w:gridCol w:w="2410"/>
        <w:gridCol w:w="2410"/>
      </w:tblGrid>
      <w:tr w:rsidR="00E20B54">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关联方</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关联交易内容</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本期发生额</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上期发生额</w:t>
            </w:r>
          </w:p>
        </w:tc>
      </w:tr>
      <w:tr w:rsidR="00E20B54">
        <w:trPr>
          <w:trHeight w:val="240"/>
        </w:trPr>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汕头潮阳融和村镇银行股份有限公司</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系统集成</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203,160.91</w:t>
            </w:r>
          </w:p>
        </w:tc>
      </w:tr>
    </w:tbl>
    <w:p w:rsidR="00E20B54" w:rsidRDefault="00733C9E">
      <w:pPr>
        <w:spacing w:before="100" w:after="100" w:line="240" w:lineRule="exact"/>
        <w:rPr>
          <w:sz w:val="18"/>
          <w:szCs w:val="18"/>
        </w:rPr>
      </w:pPr>
      <w:r>
        <w:rPr>
          <w:sz w:val="18"/>
          <w:szCs w:val="18"/>
        </w:rPr>
        <w:t>购销商品、提供和接受劳务的关联交易说明</w:t>
      </w:r>
    </w:p>
    <w:p w:rsidR="00E20B54" w:rsidRDefault="00733C9E">
      <w:pPr>
        <w:keepNext/>
        <w:keepLines/>
        <w:spacing w:before="300" w:after="300" w:line="280" w:lineRule="exact"/>
        <w:outlineLvl w:val="3"/>
        <w:rPr>
          <w:b/>
          <w:bCs/>
          <w:szCs w:val="21"/>
        </w:rPr>
      </w:pPr>
      <w:bookmarkStart w:id="448" w:name="_Toc989336"/>
      <w:r>
        <w:rPr>
          <w:b/>
          <w:bCs/>
          <w:szCs w:val="21"/>
        </w:rPr>
        <w:t>（</w:t>
      </w:r>
      <w:r>
        <w:rPr>
          <w:b/>
          <w:bCs/>
          <w:szCs w:val="21"/>
        </w:rPr>
        <w:t>2</w:t>
      </w:r>
      <w:r>
        <w:rPr>
          <w:b/>
          <w:bCs/>
          <w:szCs w:val="21"/>
        </w:rPr>
        <w:t>）</w:t>
      </w:r>
      <w:r>
        <w:rPr>
          <w:b/>
          <w:bCs/>
          <w:szCs w:val="21"/>
        </w:rPr>
        <w:t xml:space="preserve"> </w:t>
      </w:r>
      <w:r>
        <w:rPr>
          <w:b/>
          <w:bCs/>
          <w:szCs w:val="21"/>
        </w:rPr>
        <w:t>关联受托管理</w:t>
      </w:r>
      <w:r>
        <w:rPr>
          <w:b/>
          <w:bCs/>
          <w:szCs w:val="21"/>
        </w:rPr>
        <w:t>/</w:t>
      </w:r>
      <w:r>
        <w:rPr>
          <w:b/>
          <w:bCs/>
          <w:szCs w:val="21"/>
        </w:rPr>
        <w:t>承包及委托管理</w:t>
      </w:r>
      <w:r>
        <w:rPr>
          <w:b/>
          <w:bCs/>
          <w:szCs w:val="21"/>
        </w:rPr>
        <w:t>/</w:t>
      </w:r>
      <w:r>
        <w:rPr>
          <w:b/>
          <w:bCs/>
          <w:szCs w:val="21"/>
        </w:rPr>
        <w:t>出包情况</w:t>
      </w:r>
      <w:bookmarkEnd w:id="448"/>
    </w:p>
    <w:p w:rsidR="00E20B54" w:rsidRDefault="00733C9E">
      <w:pPr>
        <w:spacing w:before="100" w:after="100" w:line="240" w:lineRule="exact"/>
        <w:rPr>
          <w:sz w:val="18"/>
          <w:szCs w:val="18"/>
        </w:rPr>
      </w:pPr>
      <w:r>
        <w:rPr>
          <w:sz w:val="18"/>
          <w:szCs w:val="18"/>
        </w:rPr>
        <w:t>本公司受托管理</w:t>
      </w:r>
      <w:r>
        <w:rPr>
          <w:sz w:val="18"/>
          <w:szCs w:val="18"/>
        </w:rPr>
        <w:t>/</w:t>
      </w:r>
      <w:r>
        <w:rPr>
          <w:sz w:val="18"/>
          <w:szCs w:val="18"/>
        </w:rPr>
        <w:t>承包情况表：</w:t>
      </w:r>
    </w:p>
    <w:p w:rsidR="00E20B54" w:rsidRDefault="00733C9E">
      <w:pPr>
        <w:spacing w:before="120" w:after="120" w:line="240" w:lineRule="exact"/>
        <w:jc w:val="right"/>
        <w:rPr>
          <w:sz w:val="18"/>
          <w:szCs w:val="18"/>
        </w:rPr>
      </w:pPr>
      <w:r>
        <w:rPr>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377"/>
        <w:gridCol w:w="1377"/>
        <w:gridCol w:w="1377"/>
        <w:gridCol w:w="1377"/>
        <w:gridCol w:w="1377"/>
        <w:gridCol w:w="1377"/>
        <w:gridCol w:w="1377"/>
      </w:tblGrid>
      <w:tr w:rsidR="00E20B54">
        <w:trPr>
          <w:trHeight w:val="240"/>
        </w:trPr>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委托方</w:t>
            </w:r>
            <w:r>
              <w:rPr>
                <w:sz w:val="18"/>
                <w:szCs w:val="18"/>
              </w:rPr>
              <w:t>/</w:t>
            </w:r>
            <w:r>
              <w:rPr>
                <w:sz w:val="18"/>
                <w:szCs w:val="18"/>
              </w:rPr>
              <w:t>出包方名称</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受托方</w:t>
            </w:r>
            <w:r>
              <w:rPr>
                <w:sz w:val="18"/>
                <w:szCs w:val="18"/>
              </w:rPr>
              <w:t>/</w:t>
            </w:r>
            <w:r>
              <w:rPr>
                <w:sz w:val="18"/>
                <w:szCs w:val="18"/>
              </w:rPr>
              <w:t>承包方名称</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受托</w:t>
            </w:r>
            <w:r>
              <w:rPr>
                <w:sz w:val="18"/>
                <w:szCs w:val="18"/>
              </w:rPr>
              <w:t>/</w:t>
            </w:r>
            <w:r>
              <w:rPr>
                <w:sz w:val="18"/>
                <w:szCs w:val="18"/>
              </w:rPr>
              <w:t>承包资产类型</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受托</w:t>
            </w:r>
            <w:r>
              <w:rPr>
                <w:sz w:val="18"/>
                <w:szCs w:val="18"/>
              </w:rPr>
              <w:t>/</w:t>
            </w:r>
            <w:r>
              <w:rPr>
                <w:sz w:val="18"/>
                <w:szCs w:val="18"/>
              </w:rPr>
              <w:t>承包起始日</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受托</w:t>
            </w:r>
            <w:r>
              <w:rPr>
                <w:sz w:val="18"/>
                <w:szCs w:val="18"/>
              </w:rPr>
              <w:t>/</w:t>
            </w:r>
            <w:r>
              <w:rPr>
                <w:sz w:val="18"/>
                <w:szCs w:val="18"/>
              </w:rPr>
              <w:t>承包终止日</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托管收益</w:t>
            </w:r>
            <w:r>
              <w:rPr>
                <w:sz w:val="18"/>
                <w:szCs w:val="18"/>
              </w:rPr>
              <w:t>/</w:t>
            </w:r>
            <w:r>
              <w:rPr>
                <w:sz w:val="18"/>
                <w:szCs w:val="18"/>
              </w:rPr>
              <w:t>承包收益定价依据</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本期确认的托管收益</w:t>
            </w:r>
            <w:r>
              <w:rPr>
                <w:sz w:val="18"/>
                <w:szCs w:val="18"/>
              </w:rPr>
              <w:t>/</w:t>
            </w:r>
            <w:r>
              <w:rPr>
                <w:sz w:val="18"/>
                <w:szCs w:val="18"/>
              </w:rPr>
              <w:t>承包收益</w:t>
            </w:r>
          </w:p>
        </w:tc>
      </w:tr>
    </w:tbl>
    <w:p w:rsidR="00E20B54" w:rsidRDefault="00733C9E">
      <w:pPr>
        <w:spacing w:before="100" w:after="100" w:line="240" w:lineRule="exact"/>
        <w:rPr>
          <w:sz w:val="18"/>
          <w:szCs w:val="18"/>
        </w:rPr>
      </w:pPr>
      <w:r>
        <w:rPr>
          <w:sz w:val="18"/>
          <w:szCs w:val="18"/>
        </w:rPr>
        <w:t>关联托管</w:t>
      </w:r>
      <w:r>
        <w:rPr>
          <w:sz w:val="18"/>
          <w:szCs w:val="18"/>
        </w:rPr>
        <w:t>/</w:t>
      </w:r>
      <w:r>
        <w:rPr>
          <w:sz w:val="18"/>
          <w:szCs w:val="18"/>
        </w:rPr>
        <w:t>承包情况说明</w:t>
      </w:r>
    </w:p>
    <w:p w:rsidR="00E20B54" w:rsidRDefault="00733C9E">
      <w:pPr>
        <w:spacing w:before="40" w:after="40" w:line="240" w:lineRule="exact"/>
        <w:rPr>
          <w:sz w:val="18"/>
          <w:szCs w:val="18"/>
        </w:rPr>
      </w:pPr>
      <w:r>
        <w:rPr>
          <w:sz w:val="18"/>
          <w:szCs w:val="18"/>
        </w:rPr>
        <w:t>本公司委托管理</w:t>
      </w:r>
      <w:r>
        <w:rPr>
          <w:sz w:val="18"/>
          <w:szCs w:val="18"/>
        </w:rPr>
        <w:t>/</w:t>
      </w:r>
      <w:r>
        <w:rPr>
          <w:sz w:val="18"/>
          <w:szCs w:val="18"/>
        </w:rPr>
        <w:t>出包情况表：</w:t>
      </w:r>
      <w:r w:rsidR="00C0321F">
        <w:rPr>
          <w:rFonts w:hint="eastAsia"/>
          <w:sz w:val="18"/>
          <w:szCs w:val="18"/>
        </w:rPr>
        <w:t>无</w:t>
      </w:r>
    </w:p>
    <w:p w:rsidR="00E20B54" w:rsidRDefault="00733C9E">
      <w:pPr>
        <w:spacing w:before="120" w:after="120" w:line="240" w:lineRule="exact"/>
        <w:jc w:val="right"/>
        <w:rPr>
          <w:sz w:val="18"/>
          <w:szCs w:val="18"/>
        </w:rPr>
      </w:pPr>
      <w:r>
        <w:rPr>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377"/>
        <w:gridCol w:w="1377"/>
        <w:gridCol w:w="1377"/>
        <w:gridCol w:w="1377"/>
        <w:gridCol w:w="1377"/>
        <w:gridCol w:w="1377"/>
        <w:gridCol w:w="1377"/>
      </w:tblGrid>
      <w:tr w:rsidR="00E20B54">
        <w:trPr>
          <w:trHeight w:val="240"/>
        </w:trPr>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委托方</w:t>
            </w:r>
            <w:r>
              <w:rPr>
                <w:sz w:val="18"/>
                <w:szCs w:val="18"/>
              </w:rPr>
              <w:t>/</w:t>
            </w:r>
            <w:r>
              <w:rPr>
                <w:sz w:val="18"/>
                <w:szCs w:val="18"/>
              </w:rPr>
              <w:t>出包方名称</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受托方</w:t>
            </w:r>
            <w:r>
              <w:rPr>
                <w:sz w:val="18"/>
                <w:szCs w:val="18"/>
              </w:rPr>
              <w:t>/</w:t>
            </w:r>
            <w:r>
              <w:rPr>
                <w:sz w:val="18"/>
                <w:szCs w:val="18"/>
              </w:rPr>
              <w:t>承包方名称</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委托</w:t>
            </w:r>
            <w:r>
              <w:rPr>
                <w:sz w:val="18"/>
                <w:szCs w:val="18"/>
              </w:rPr>
              <w:t>/</w:t>
            </w:r>
            <w:r>
              <w:rPr>
                <w:sz w:val="18"/>
                <w:szCs w:val="18"/>
              </w:rPr>
              <w:t>出包资产类型</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委托</w:t>
            </w:r>
            <w:r>
              <w:rPr>
                <w:sz w:val="18"/>
                <w:szCs w:val="18"/>
              </w:rPr>
              <w:t>/</w:t>
            </w:r>
            <w:r>
              <w:rPr>
                <w:sz w:val="18"/>
                <w:szCs w:val="18"/>
              </w:rPr>
              <w:t>出包起始日</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委托</w:t>
            </w:r>
            <w:r>
              <w:rPr>
                <w:sz w:val="18"/>
                <w:szCs w:val="18"/>
              </w:rPr>
              <w:t>/</w:t>
            </w:r>
            <w:r>
              <w:rPr>
                <w:sz w:val="18"/>
                <w:szCs w:val="18"/>
              </w:rPr>
              <w:t>出包终止日</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托管费</w:t>
            </w:r>
            <w:r>
              <w:rPr>
                <w:sz w:val="18"/>
                <w:szCs w:val="18"/>
              </w:rPr>
              <w:t>/</w:t>
            </w:r>
            <w:r>
              <w:rPr>
                <w:sz w:val="18"/>
                <w:szCs w:val="18"/>
              </w:rPr>
              <w:t>出包费定价依据</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本期确认的托管费</w:t>
            </w:r>
            <w:r>
              <w:rPr>
                <w:sz w:val="18"/>
                <w:szCs w:val="18"/>
              </w:rPr>
              <w:t>/</w:t>
            </w:r>
            <w:r>
              <w:rPr>
                <w:sz w:val="18"/>
                <w:szCs w:val="18"/>
              </w:rPr>
              <w:t>出包费</w:t>
            </w:r>
          </w:p>
        </w:tc>
      </w:tr>
    </w:tbl>
    <w:p w:rsidR="00E20B54" w:rsidRDefault="00733C9E">
      <w:pPr>
        <w:spacing w:before="100" w:after="100" w:line="240" w:lineRule="exact"/>
        <w:rPr>
          <w:sz w:val="18"/>
          <w:szCs w:val="18"/>
        </w:rPr>
      </w:pPr>
      <w:r>
        <w:rPr>
          <w:sz w:val="18"/>
          <w:szCs w:val="18"/>
        </w:rPr>
        <w:lastRenderedPageBreak/>
        <w:t>关联管理</w:t>
      </w:r>
      <w:r>
        <w:rPr>
          <w:sz w:val="18"/>
          <w:szCs w:val="18"/>
        </w:rPr>
        <w:t>/</w:t>
      </w:r>
      <w:r>
        <w:rPr>
          <w:sz w:val="18"/>
          <w:szCs w:val="18"/>
        </w:rPr>
        <w:t>出包情况说明</w:t>
      </w:r>
    </w:p>
    <w:p w:rsidR="00E20B54" w:rsidRDefault="00733C9E">
      <w:pPr>
        <w:keepNext/>
        <w:keepLines/>
        <w:spacing w:before="300" w:after="300" w:line="280" w:lineRule="exact"/>
        <w:outlineLvl w:val="3"/>
        <w:rPr>
          <w:b/>
          <w:bCs/>
          <w:szCs w:val="21"/>
        </w:rPr>
      </w:pPr>
      <w:bookmarkStart w:id="449" w:name="_Toc989337"/>
      <w:r>
        <w:rPr>
          <w:b/>
          <w:bCs/>
          <w:szCs w:val="21"/>
        </w:rPr>
        <w:t>（</w:t>
      </w:r>
      <w:r>
        <w:rPr>
          <w:b/>
          <w:bCs/>
          <w:szCs w:val="21"/>
        </w:rPr>
        <w:t>3</w:t>
      </w:r>
      <w:r>
        <w:rPr>
          <w:b/>
          <w:bCs/>
          <w:szCs w:val="21"/>
        </w:rPr>
        <w:t>）</w:t>
      </w:r>
      <w:r>
        <w:rPr>
          <w:b/>
          <w:bCs/>
          <w:szCs w:val="21"/>
        </w:rPr>
        <w:t xml:space="preserve"> </w:t>
      </w:r>
      <w:r>
        <w:rPr>
          <w:b/>
          <w:bCs/>
          <w:szCs w:val="21"/>
        </w:rPr>
        <w:t>关联租赁情况</w:t>
      </w:r>
      <w:bookmarkEnd w:id="449"/>
    </w:p>
    <w:p w:rsidR="00E20B54" w:rsidRDefault="00733C9E">
      <w:pPr>
        <w:spacing w:before="100" w:after="100" w:line="240" w:lineRule="exact"/>
        <w:rPr>
          <w:sz w:val="18"/>
          <w:szCs w:val="18"/>
        </w:rPr>
      </w:pPr>
      <w:r>
        <w:rPr>
          <w:sz w:val="18"/>
          <w:szCs w:val="18"/>
        </w:rPr>
        <w:t>本公司作为出租方：</w:t>
      </w:r>
    </w:p>
    <w:p w:rsidR="00E20B54" w:rsidRDefault="00733C9E">
      <w:pPr>
        <w:spacing w:before="120" w:after="120" w:line="240" w:lineRule="exact"/>
        <w:jc w:val="right"/>
        <w:rPr>
          <w:sz w:val="18"/>
          <w:szCs w:val="18"/>
        </w:rPr>
      </w:pPr>
      <w:r>
        <w:rPr>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2409"/>
        <w:gridCol w:w="2410"/>
        <w:gridCol w:w="2410"/>
        <w:gridCol w:w="2410"/>
      </w:tblGrid>
      <w:tr w:rsidR="00E20B54">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承租方名称</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租赁资产种类</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本期确认的租赁收入</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上期确认的租赁收入</w:t>
            </w:r>
          </w:p>
        </w:tc>
      </w:tr>
    </w:tbl>
    <w:p w:rsidR="00E20B54" w:rsidRDefault="00733C9E">
      <w:pPr>
        <w:spacing w:before="100" w:after="100" w:line="240" w:lineRule="exact"/>
        <w:rPr>
          <w:sz w:val="18"/>
          <w:szCs w:val="18"/>
        </w:rPr>
      </w:pPr>
      <w:r>
        <w:rPr>
          <w:sz w:val="18"/>
          <w:szCs w:val="18"/>
        </w:rPr>
        <w:t>本公司作为承租方：</w:t>
      </w:r>
    </w:p>
    <w:p w:rsidR="00E20B54" w:rsidRDefault="00733C9E">
      <w:pPr>
        <w:spacing w:before="120" w:after="120" w:line="240" w:lineRule="exact"/>
        <w:jc w:val="right"/>
        <w:rPr>
          <w:sz w:val="18"/>
          <w:szCs w:val="18"/>
        </w:rPr>
      </w:pPr>
      <w:r>
        <w:rPr>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804"/>
        <w:gridCol w:w="804"/>
        <w:gridCol w:w="804"/>
        <w:gridCol w:w="803"/>
        <w:gridCol w:w="803"/>
        <w:gridCol w:w="803"/>
        <w:gridCol w:w="803"/>
        <w:gridCol w:w="803"/>
        <w:gridCol w:w="803"/>
        <w:gridCol w:w="803"/>
        <w:gridCol w:w="803"/>
        <w:gridCol w:w="803"/>
      </w:tblGrid>
      <w:tr w:rsidR="00E20B54">
        <w:trPr>
          <w:trHeight w:val="240"/>
        </w:trPr>
        <w:tc>
          <w:tcPr>
            <w:tcW w:w="803"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出租方名称</w:t>
            </w:r>
          </w:p>
        </w:tc>
        <w:tc>
          <w:tcPr>
            <w:tcW w:w="803"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租赁资产种类</w:t>
            </w:r>
          </w:p>
        </w:tc>
        <w:tc>
          <w:tcPr>
            <w:tcW w:w="1606"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简化处理的短期租赁和低价值资产租赁的租金费用（如适用）</w:t>
            </w:r>
          </w:p>
        </w:tc>
        <w:tc>
          <w:tcPr>
            <w:tcW w:w="1606"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未纳入租赁负债计量的可变租赁付款额（如适用）</w:t>
            </w:r>
          </w:p>
        </w:tc>
        <w:tc>
          <w:tcPr>
            <w:tcW w:w="1606"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支付的租金</w:t>
            </w:r>
          </w:p>
        </w:tc>
        <w:tc>
          <w:tcPr>
            <w:tcW w:w="1606"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承担的租赁负债利息支出</w:t>
            </w:r>
          </w:p>
        </w:tc>
        <w:tc>
          <w:tcPr>
            <w:tcW w:w="1606"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增加的使用权资产</w:t>
            </w:r>
          </w:p>
        </w:tc>
      </w:tr>
      <w:tr w:rsidR="00E20B54">
        <w:trPr>
          <w:trHeight w:val="240"/>
        </w:trPr>
        <w:tc>
          <w:tcPr>
            <w:tcW w:w="803" w:type="dxa"/>
            <w:vMerge/>
            <w:tcBorders>
              <w:top w:val="single" w:sz="2" w:space="0" w:color="auto"/>
              <w:left w:val="single" w:sz="2" w:space="0" w:color="auto"/>
              <w:bottom w:val="single" w:sz="2" w:space="0" w:color="auto"/>
              <w:right w:val="single" w:sz="2" w:space="0" w:color="auto"/>
            </w:tcBorders>
            <w:vAlign w:val="center"/>
          </w:tcPr>
          <w:p w:rsidR="00E20B54" w:rsidRDefault="00E20B54"/>
        </w:tc>
        <w:tc>
          <w:tcPr>
            <w:tcW w:w="803" w:type="dxa"/>
            <w:vMerge/>
            <w:tcBorders>
              <w:top w:val="single" w:sz="2" w:space="0" w:color="auto"/>
              <w:left w:val="single" w:sz="2" w:space="0" w:color="auto"/>
              <w:bottom w:val="single" w:sz="2" w:space="0" w:color="auto"/>
              <w:right w:val="single" w:sz="2" w:space="0" w:color="auto"/>
            </w:tcBorders>
            <w:vAlign w:val="center"/>
          </w:tcPr>
          <w:p w:rsidR="00E20B54" w:rsidRDefault="00E20B54"/>
        </w:tc>
        <w:tc>
          <w:tcPr>
            <w:tcW w:w="80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本期发生额</w:t>
            </w:r>
          </w:p>
        </w:tc>
        <w:tc>
          <w:tcPr>
            <w:tcW w:w="80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上期发生额</w:t>
            </w:r>
          </w:p>
        </w:tc>
        <w:tc>
          <w:tcPr>
            <w:tcW w:w="80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本期发生额</w:t>
            </w:r>
          </w:p>
        </w:tc>
        <w:tc>
          <w:tcPr>
            <w:tcW w:w="80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上期发生额</w:t>
            </w:r>
          </w:p>
        </w:tc>
        <w:tc>
          <w:tcPr>
            <w:tcW w:w="80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本期发生额</w:t>
            </w:r>
          </w:p>
        </w:tc>
        <w:tc>
          <w:tcPr>
            <w:tcW w:w="80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上期发生额</w:t>
            </w:r>
          </w:p>
        </w:tc>
        <w:tc>
          <w:tcPr>
            <w:tcW w:w="80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本期发生额</w:t>
            </w:r>
          </w:p>
        </w:tc>
        <w:tc>
          <w:tcPr>
            <w:tcW w:w="80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上期发生额</w:t>
            </w:r>
          </w:p>
        </w:tc>
        <w:tc>
          <w:tcPr>
            <w:tcW w:w="80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本期发生额</w:t>
            </w:r>
          </w:p>
        </w:tc>
        <w:tc>
          <w:tcPr>
            <w:tcW w:w="80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上期发生额</w:t>
            </w:r>
          </w:p>
        </w:tc>
      </w:tr>
    </w:tbl>
    <w:p w:rsidR="00E20B54" w:rsidRDefault="00733C9E">
      <w:pPr>
        <w:spacing w:before="100" w:after="100" w:line="240" w:lineRule="exact"/>
        <w:rPr>
          <w:sz w:val="18"/>
          <w:szCs w:val="18"/>
        </w:rPr>
      </w:pPr>
      <w:r>
        <w:rPr>
          <w:sz w:val="18"/>
          <w:szCs w:val="18"/>
        </w:rPr>
        <w:t>关联租赁情况说明</w:t>
      </w:r>
    </w:p>
    <w:p w:rsidR="00E20B54" w:rsidRDefault="00733C9E">
      <w:pPr>
        <w:keepNext/>
        <w:keepLines/>
        <w:spacing w:before="300" w:after="300" w:line="280" w:lineRule="exact"/>
        <w:outlineLvl w:val="3"/>
        <w:rPr>
          <w:b/>
          <w:bCs/>
          <w:szCs w:val="21"/>
        </w:rPr>
      </w:pPr>
      <w:bookmarkStart w:id="450" w:name="_Toc989338"/>
      <w:r>
        <w:rPr>
          <w:b/>
          <w:bCs/>
          <w:szCs w:val="21"/>
        </w:rPr>
        <w:t>（</w:t>
      </w:r>
      <w:r>
        <w:rPr>
          <w:b/>
          <w:bCs/>
          <w:szCs w:val="21"/>
        </w:rPr>
        <w:t>4</w:t>
      </w:r>
      <w:r>
        <w:rPr>
          <w:b/>
          <w:bCs/>
          <w:szCs w:val="21"/>
        </w:rPr>
        <w:t>）</w:t>
      </w:r>
      <w:r>
        <w:rPr>
          <w:b/>
          <w:bCs/>
          <w:szCs w:val="21"/>
        </w:rPr>
        <w:t xml:space="preserve"> </w:t>
      </w:r>
      <w:r>
        <w:rPr>
          <w:b/>
          <w:bCs/>
          <w:szCs w:val="21"/>
        </w:rPr>
        <w:t>关联担保情况</w:t>
      </w:r>
      <w:bookmarkEnd w:id="450"/>
    </w:p>
    <w:p w:rsidR="00E20B54" w:rsidRDefault="00733C9E">
      <w:pPr>
        <w:spacing w:before="100" w:after="100" w:line="240" w:lineRule="exact"/>
        <w:rPr>
          <w:sz w:val="18"/>
          <w:szCs w:val="18"/>
        </w:rPr>
      </w:pPr>
      <w:r>
        <w:rPr>
          <w:sz w:val="18"/>
          <w:szCs w:val="18"/>
        </w:rPr>
        <w:t>本公司作为担保方</w:t>
      </w:r>
    </w:p>
    <w:p w:rsidR="00E20B54" w:rsidRDefault="00733C9E">
      <w:pPr>
        <w:spacing w:before="120" w:after="120" w:line="240" w:lineRule="exact"/>
        <w:jc w:val="right"/>
        <w:rPr>
          <w:sz w:val="18"/>
          <w:szCs w:val="18"/>
        </w:rPr>
      </w:pPr>
      <w:r>
        <w:rPr>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927"/>
        <w:gridCol w:w="1928"/>
        <w:gridCol w:w="1928"/>
        <w:gridCol w:w="1928"/>
        <w:gridCol w:w="1928"/>
      </w:tblGrid>
      <w:tr w:rsidR="00E20B54">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被担保方</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担保金额</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担保起始日</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担保到期日</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担保是否已经履行完毕</w:t>
            </w:r>
          </w:p>
        </w:tc>
      </w:tr>
    </w:tbl>
    <w:p w:rsidR="00E20B54" w:rsidRDefault="00733C9E">
      <w:pPr>
        <w:spacing w:before="100" w:after="100" w:line="240" w:lineRule="exact"/>
        <w:rPr>
          <w:sz w:val="18"/>
          <w:szCs w:val="18"/>
        </w:rPr>
      </w:pPr>
      <w:r>
        <w:rPr>
          <w:sz w:val="18"/>
          <w:szCs w:val="18"/>
        </w:rPr>
        <w:t>本公司作为被担保方</w:t>
      </w:r>
    </w:p>
    <w:p w:rsidR="00E20B54" w:rsidRDefault="00733C9E">
      <w:pPr>
        <w:spacing w:before="120" w:after="120" w:line="240" w:lineRule="exact"/>
        <w:jc w:val="right"/>
        <w:rPr>
          <w:sz w:val="18"/>
          <w:szCs w:val="18"/>
        </w:rPr>
      </w:pPr>
      <w:r>
        <w:rPr>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927"/>
        <w:gridCol w:w="1928"/>
        <w:gridCol w:w="1928"/>
        <w:gridCol w:w="1928"/>
        <w:gridCol w:w="1928"/>
      </w:tblGrid>
      <w:tr w:rsidR="00E20B54">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担保方</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担保金额</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担保起始日</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担保到期日</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担保是否已经履行完毕</w:t>
            </w:r>
          </w:p>
        </w:tc>
      </w:tr>
      <w:tr w:rsidR="00E20B54">
        <w:trPr>
          <w:trHeight w:val="240"/>
        </w:trPr>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马学沛、林明玲</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50,000,000.00</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2021</w:t>
            </w:r>
            <w:r>
              <w:rPr>
                <w:sz w:val="18"/>
                <w:szCs w:val="18"/>
              </w:rPr>
              <w:t>年</w:t>
            </w:r>
            <w:r>
              <w:rPr>
                <w:sz w:val="18"/>
                <w:szCs w:val="18"/>
              </w:rPr>
              <w:t>09</w:t>
            </w:r>
            <w:r>
              <w:rPr>
                <w:sz w:val="18"/>
                <w:szCs w:val="18"/>
              </w:rPr>
              <w:t>月</w:t>
            </w:r>
            <w:r>
              <w:rPr>
                <w:sz w:val="18"/>
                <w:szCs w:val="18"/>
              </w:rPr>
              <w:t>01</w:t>
            </w:r>
            <w:r>
              <w:rPr>
                <w:sz w:val="18"/>
                <w:szCs w:val="18"/>
              </w:rPr>
              <w:t>日</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2025</w:t>
            </w:r>
            <w:r>
              <w:rPr>
                <w:sz w:val="18"/>
                <w:szCs w:val="18"/>
              </w:rPr>
              <w:t>年</w:t>
            </w:r>
            <w:r>
              <w:rPr>
                <w:sz w:val="18"/>
                <w:szCs w:val="18"/>
              </w:rPr>
              <w:t>12</w:t>
            </w:r>
            <w:r>
              <w:rPr>
                <w:sz w:val="18"/>
                <w:szCs w:val="18"/>
              </w:rPr>
              <w:t>月</w:t>
            </w:r>
            <w:r>
              <w:rPr>
                <w:sz w:val="18"/>
                <w:szCs w:val="18"/>
              </w:rPr>
              <w:t>31</w:t>
            </w:r>
            <w:r>
              <w:rPr>
                <w:sz w:val="18"/>
                <w:szCs w:val="18"/>
              </w:rPr>
              <w:t>日</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是</w:t>
            </w:r>
          </w:p>
        </w:tc>
      </w:tr>
      <w:tr w:rsidR="00E20B54">
        <w:trPr>
          <w:trHeight w:val="240"/>
        </w:trPr>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马学沛、林明玲</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50,000,000.00</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2022</w:t>
            </w:r>
            <w:r>
              <w:rPr>
                <w:sz w:val="18"/>
                <w:szCs w:val="18"/>
              </w:rPr>
              <w:t>年</w:t>
            </w:r>
            <w:r>
              <w:rPr>
                <w:sz w:val="18"/>
                <w:szCs w:val="18"/>
              </w:rPr>
              <w:t>07</w:t>
            </w:r>
            <w:r>
              <w:rPr>
                <w:sz w:val="18"/>
                <w:szCs w:val="18"/>
              </w:rPr>
              <w:t>月</w:t>
            </w:r>
            <w:r>
              <w:rPr>
                <w:sz w:val="18"/>
                <w:szCs w:val="18"/>
              </w:rPr>
              <w:t>20</w:t>
            </w:r>
            <w:r>
              <w:rPr>
                <w:sz w:val="18"/>
                <w:szCs w:val="18"/>
              </w:rPr>
              <w:t>日</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2025</w:t>
            </w:r>
            <w:r>
              <w:rPr>
                <w:sz w:val="18"/>
                <w:szCs w:val="18"/>
              </w:rPr>
              <w:t>年</w:t>
            </w:r>
            <w:r>
              <w:rPr>
                <w:sz w:val="18"/>
                <w:szCs w:val="18"/>
              </w:rPr>
              <w:t>07</w:t>
            </w:r>
            <w:r>
              <w:rPr>
                <w:sz w:val="18"/>
                <w:szCs w:val="18"/>
              </w:rPr>
              <w:t>月</w:t>
            </w:r>
            <w:r>
              <w:rPr>
                <w:sz w:val="18"/>
                <w:szCs w:val="18"/>
              </w:rPr>
              <w:t>20</w:t>
            </w:r>
            <w:r>
              <w:rPr>
                <w:sz w:val="18"/>
                <w:szCs w:val="18"/>
              </w:rPr>
              <w:t>日</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是</w:t>
            </w:r>
          </w:p>
        </w:tc>
      </w:tr>
      <w:tr w:rsidR="00E20B54">
        <w:trPr>
          <w:trHeight w:val="240"/>
        </w:trPr>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林明玲</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50,000,000.00</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2022</w:t>
            </w:r>
            <w:r>
              <w:rPr>
                <w:sz w:val="18"/>
                <w:szCs w:val="18"/>
              </w:rPr>
              <w:t>年</w:t>
            </w:r>
            <w:r>
              <w:rPr>
                <w:sz w:val="18"/>
                <w:szCs w:val="18"/>
              </w:rPr>
              <w:t>12</w:t>
            </w:r>
            <w:r>
              <w:rPr>
                <w:sz w:val="18"/>
                <w:szCs w:val="18"/>
              </w:rPr>
              <w:t>月</w:t>
            </w:r>
            <w:r>
              <w:rPr>
                <w:sz w:val="18"/>
                <w:szCs w:val="18"/>
              </w:rPr>
              <w:t>16</w:t>
            </w:r>
            <w:r>
              <w:rPr>
                <w:sz w:val="18"/>
                <w:szCs w:val="18"/>
              </w:rPr>
              <w:t>日</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2025</w:t>
            </w:r>
            <w:r>
              <w:rPr>
                <w:sz w:val="18"/>
                <w:szCs w:val="18"/>
              </w:rPr>
              <w:t>年</w:t>
            </w:r>
            <w:r>
              <w:rPr>
                <w:sz w:val="18"/>
                <w:szCs w:val="18"/>
              </w:rPr>
              <w:t>11</w:t>
            </w:r>
            <w:r>
              <w:rPr>
                <w:sz w:val="18"/>
                <w:szCs w:val="18"/>
              </w:rPr>
              <w:t>月</w:t>
            </w:r>
            <w:r>
              <w:rPr>
                <w:sz w:val="18"/>
                <w:szCs w:val="18"/>
              </w:rPr>
              <w:t>22</w:t>
            </w:r>
            <w:r>
              <w:rPr>
                <w:sz w:val="18"/>
                <w:szCs w:val="18"/>
              </w:rPr>
              <w:t>日</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是</w:t>
            </w:r>
          </w:p>
        </w:tc>
      </w:tr>
      <w:tr w:rsidR="00E20B54">
        <w:trPr>
          <w:trHeight w:val="240"/>
        </w:trPr>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马学沛</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50,000,000.00</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2022</w:t>
            </w:r>
            <w:r>
              <w:rPr>
                <w:sz w:val="18"/>
                <w:szCs w:val="18"/>
              </w:rPr>
              <w:t>年</w:t>
            </w:r>
            <w:r>
              <w:rPr>
                <w:sz w:val="18"/>
                <w:szCs w:val="18"/>
              </w:rPr>
              <w:t>12</w:t>
            </w:r>
            <w:r>
              <w:rPr>
                <w:sz w:val="18"/>
                <w:szCs w:val="18"/>
              </w:rPr>
              <w:t>月</w:t>
            </w:r>
            <w:r>
              <w:rPr>
                <w:sz w:val="18"/>
                <w:szCs w:val="18"/>
              </w:rPr>
              <w:t>16</w:t>
            </w:r>
            <w:r>
              <w:rPr>
                <w:sz w:val="18"/>
                <w:szCs w:val="18"/>
              </w:rPr>
              <w:t>日</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2025</w:t>
            </w:r>
            <w:r>
              <w:rPr>
                <w:sz w:val="18"/>
                <w:szCs w:val="18"/>
              </w:rPr>
              <w:t>年</w:t>
            </w:r>
            <w:r>
              <w:rPr>
                <w:sz w:val="18"/>
                <w:szCs w:val="18"/>
              </w:rPr>
              <w:t>11</w:t>
            </w:r>
            <w:r>
              <w:rPr>
                <w:sz w:val="18"/>
                <w:szCs w:val="18"/>
              </w:rPr>
              <w:t>月</w:t>
            </w:r>
            <w:r>
              <w:rPr>
                <w:sz w:val="18"/>
                <w:szCs w:val="18"/>
              </w:rPr>
              <w:t>22</w:t>
            </w:r>
            <w:r>
              <w:rPr>
                <w:sz w:val="18"/>
                <w:szCs w:val="18"/>
              </w:rPr>
              <w:t>日</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是</w:t>
            </w:r>
          </w:p>
        </w:tc>
      </w:tr>
      <w:tr w:rsidR="00E20B54">
        <w:trPr>
          <w:trHeight w:val="240"/>
        </w:trPr>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马学沛、林明玲</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35,000,000.00</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2024</w:t>
            </w:r>
            <w:r>
              <w:rPr>
                <w:sz w:val="18"/>
                <w:szCs w:val="18"/>
              </w:rPr>
              <w:t>年</w:t>
            </w:r>
            <w:r>
              <w:rPr>
                <w:sz w:val="18"/>
                <w:szCs w:val="18"/>
              </w:rPr>
              <w:t>08</w:t>
            </w:r>
            <w:r>
              <w:rPr>
                <w:sz w:val="18"/>
                <w:szCs w:val="18"/>
              </w:rPr>
              <w:t>月</w:t>
            </w:r>
            <w:r>
              <w:rPr>
                <w:sz w:val="18"/>
                <w:szCs w:val="18"/>
              </w:rPr>
              <w:t>07</w:t>
            </w:r>
            <w:r>
              <w:rPr>
                <w:sz w:val="18"/>
                <w:szCs w:val="18"/>
              </w:rPr>
              <w:t>日</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2025</w:t>
            </w:r>
            <w:r>
              <w:rPr>
                <w:sz w:val="18"/>
                <w:szCs w:val="18"/>
              </w:rPr>
              <w:t>年</w:t>
            </w:r>
            <w:r>
              <w:rPr>
                <w:sz w:val="18"/>
                <w:szCs w:val="18"/>
              </w:rPr>
              <w:t>07</w:t>
            </w:r>
            <w:r>
              <w:rPr>
                <w:sz w:val="18"/>
                <w:szCs w:val="18"/>
              </w:rPr>
              <w:t>月</w:t>
            </w:r>
            <w:r>
              <w:rPr>
                <w:sz w:val="18"/>
                <w:szCs w:val="18"/>
              </w:rPr>
              <w:t>09</w:t>
            </w:r>
            <w:r>
              <w:rPr>
                <w:sz w:val="18"/>
                <w:szCs w:val="18"/>
              </w:rPr>
              <w:t>日</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是</w:t>
            </w:r>
          </w:p>
        </w:tc>
      </w:tr>
      <w:tr w:rsidR="00E20B54">
        <w:trPr>
          <w:trHeight w:val="240"/>
        </w:trPr>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林明玲</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2,000,000.00</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2025</w:t>
            </w:r>
            <w:r>
              <w:rPr>
                <w:sz w:val="18"/>
                <w:szCs w:val="18"/>
              </w:rPr>
              <w:t>年</w:t>
            </w:r>
            <w:r>
              <w:rPr>
                <w:sz w:val="18"/>
                <w:szCs w:val="18"/>
              </w:rPr>
              <w:t>03</w:t>
            </w:r>
            <w:r>
              <w:rPr>
                <w:sz w:val="18"/>
                <w:szCs w:val="18"/>
              </w:rPr>
              <w:t>月</w:t>
            </w:r>
            <w:r>
              <w:rPr>
                <w:sz w:val="18"/>
                <w:szCs w:val="18"/>
              </w:rPr>
              <w:t>25</w:t>
            </w:r>
            <w:r>
              <w:rPr>
                <w:sz w:val="18"/>
                <w:szCs w:val="18"/>
              </w:rPr>
              <w:t>日</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2026</w:t>
            </w:r>
            <w:r>
              <w:rPr>
                <w:sz w:val="18"/>
                <w:szCs w:val="18"/>
              </w:rPr>
              <w:t>年</w:t>
            </w:r>
            <w:r>
              <w:rPr>
                <w:sz w:val="18"/>
                <w:szCs w:val="18"/>
              </w:rPr>
              <w:t>03</w:t>
            </w:r>
            <w:r>
              <w:rPr>
                <w:sz w:val="18"/>
                <w:szCs w:val="18"/>
              </w:rPr>
              <w:t>月</w:t>
            </w:r>
            <w:r>
              <w:rPr>
                <w:sz w:val="18"/>
                <w:szCs w:val="18"/>
              </w:rPr>
              <w:t>24</w:t>
            </w:r>
            <w:r>
              <w:rPr>
                <w:sz w:val="18"/>
                <w:szCs w:val="18"/>
              </w:rPr>
              <w:t>日</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否</w:t>
            </w:r>
          </w:p>
        </w:tc>
      </w:tr>
      <w:tr w:rsidR="00E20B54">
        <w:trPr>
          <w:trHeight w:val="240"/>
        </w:trPr>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马学沛</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2,000,000.00</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2025</w:t>
            </w:r>
            <w:r>
              <w:rPr>
                <w:sz w:val="18"/>
                <w:szCs w:val="18"/>
              </w:rPr>
              <w:t>年</w:t>
            </w:r>
            <w:r>
              <w:rPr>
                <w:sz w:val="18"/>
                <w:szCs w:val="18"/>
              </w:rPr>
              <w:t>03</w:t>
            </w:r>
            <w:r>
              <w:rPr>
                <w:sz w:val="18"/>
                <w:szCs w:val="18"/>
              </w:rPr>
              <w:t>月</w:t>
            </w:r>
            <w:r>
              <w:rPr>
                <w:sz w:val="18"/>
                <w:szCs w:val="18"/>
              </w:rPr>
              <w:t>25</w:t>
            </w:r>
            <w:r>
              <w:rPr>
                <w:sz w:val="18"/>
                <w:szCs w:val="18"/>
              </w:rPr>
              <w:t>日</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2026</w:t>
            </w:r>
            <w:r>
              <w:rPr>
                <w:sz w:val="18"/>
                <w:szCs w:val="18"/>
              </w:rPr>
              <w:t>年</w:t>
            </w:r>
            <w:r>
              <w:rPr>
                <w:sz w:val="18"/>
                <w:szCs w:val="18"/>
              </w:rPr>
              <w:t>03</w:t>
            </w:r>
            <w:r>
              <w:rPr>
                <w:sz w:val="18"/>
                <w:szCs w:val="18"/>
              </w:rPr>
              <w:t>月</w:t>
            </w:r>
            <w:r>
              <w:rPr>
                <w:sz w:val="18"/>
                <w:szCs w:val="18"/>
              </w:rPr>
              <w:t>24</w:t>
            </w:r>
            <w:r>
              <w:rPr>
                <w:sz w:val="18"/>
                <w:szCs w:val="18"/>
              </w:rPr>
              <w:t>日</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否</w:t>
            </w:r>
          </w:p>
        </w:tc>
      </w:tr>
      <w:tr w:rsidR="00E20B54">
        <w:trPr>
          <w:trHeight w:val="240"/>
        </w:trPr>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林明玲</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10,000,000.00</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2025</w:t>
            </w:r>
            <w:r>
              <w:rPr>
                <w:sz w:val="18"/>
                <w:szCs w:val="18"/>
              </w:rPr>
              <w:t>年</w:t>
            </w:r>
            <w:r>
              <w:rPr>
                <w:sz w:val="18"/>
                <w:szCs w:val="18"/>
              </w:rPr>
              <w:t>03</w:t>
            </w:r>
            <w:r>
              <w:rPr>
                <w:sz w:val="18"/>
                <w:szCs w:val="18"/>
              </w:rPr>
              <w:t>月</w:t>
            </w:r>
            <w:r>
              <w:rPr>
                <w:sz w:val="18"/>
                <w:szCs w:val="18"/>
              </w:rPr>
              <w:t>27</w:t>
            </w:r>
            <w:r>
              <w:rPr>
                <w:sz w:val="18"/>
                <w:szCs w:val="18"/>
              </w:rPr>
              <w:t>日</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2025</w:t>
            </w:r>
            <w:r>
              <w:rPr>
                <w:sz w:val="18"/>
                <w:szCs w:val="18"/>
              </w:rPr>
              <w:t>年</w:t>
            </w:r>
            <w:r>
              <w:rPr>
                <w:sz w:val="18"/>
                <w:szCs w:val="18"/>
              </w:rPr>
              <w:t>10</w:t>
            </w:r>
            <w:r>
              <w:rPr>
                <w:sz w:val="18"/>
                <w:szCs w:val="18"/>
              </w:rPr>
              <w:t>月</w:t>
            </w:r>
            <w:r>
              <w:rPr>
                <w:sz w:val="18"/>
                <w:szCs w:val="18"/>
              </w:rPr>
              <w:t>01</w:t>
            </w:r>
            <w:r>
              <w:rPr>
                <w:sz w:val="18"/>
                <w:szCs w:val="18"/>
              </w:rPr>
              <w:t>日</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是</w:t>
            </w:r>
          </w:p>
        </w:tc>
      </w:tr>
      <w:tr w:rsidR="00E20B54">
        <w:trPr>
          <w:trHeight w:val="240"/>
        </w:trPr>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马学沛</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10,000,000.00</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2025</w:t>
            </w:r>
            <w:r>
              <w:rPr>
                <w:sz w:val="18"/>
                <w:szCs w:val="18"/>
              </w:rPr>
              <w:t>年</w:t>
            </w:r>
            <w:r>
              <w:rPr>
                <w:sz w:val="18"/>
                <w:szCs w:val="18"/>
              </w:rPr>
              <w:t>03</w:t>
            </w:r>
            <w:r>
              <w:rPr>
                <w:sz w:val="18"/>
                <w:szCs w:val="18"/>
              </w:rPr>
              <w:t>月</w:t>
            </w:r>
            <w:r>
              <w:rPr>
                <w:sz w:val="18"/>
                <w:szCs w:val="18"/>
              </w:rPr>
              <w:t>27</w:t>
            </w:r>
            <w:r>
              <w:rPr>
                <w:sz w:val="18"/>
                <w:szCs w:val="18"/>
              </w:rPr>
              <w:t>日</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2025</w:t>
            </w:r>
            <w:r>
              <w:rPr>
                <w:sz w:val="18"/>
                <w:szCs w:val="18"/>
              </w:rPr>
              <w:t>年</w:t>
            </w:r>
            <w:r>
              <w:rPr>
                <w:sz w:val="18"/>
                <w:szCs w:val="18"/>
              </w:rPr>
              <w:t>10</w:t>
            </w:r>
            <w:r>
              <w:rPr>
                <w:sz w:val="18"/>
                <w:szCs w:val="18"/>
              </w:rPr>
              <w:t>月</w:t>
            </w:r>
            <w:r>
              <w:rPr>
                <w:sz w:val="18"/>
                <w:szCs w:val="18"/>
              </w:rPr>
              <w:t>01</w:t>
            </w:r>
            <w:r>
              <w:rPr>
                <w:sz w:val="18"/>
                <w:szCs w:val="18"/>
              </w:rPr>
              <w:t>日</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是</w:t>
            </w:r>
          </w:p>
        </w:tc>
      </w:tr>
      <w:tr w:rsidR="00E20B54">
        <w:trPr>
          <w:trHeight w:val="240"/>
        </w:trPr>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马学沛、林明玲</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50,000,000.00</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2025</w:t>
            </w:r>
            <w:r>
              <w:rPr>
                <w:sz w:val="18"/>
                <w:szCs w:val="18"/>
              </w:rPr>
              <w:t>年</w:t>
            </w:r>
            <w:r>
              <w:rPr>
                <w:sz w:val="18"/>
                <w:szCs w:val="18"/>
              </w:rPr>
              <w:t>08</w:t>
            </w:r>
            <w:r>
              <w:rPr>
                <w:sz w:val="18"/>
                <w:szCs w:val="18"/>
              </w:rPr>
              <w:t>月</w:t>
            </w:r>
            <w:r>
              <w:rPr>
                <w:sz w:val="18"/>
                <w:szCs w:val="18"/>
              </w:rPr>
              <w:t>12</w:t>
            </w:r>
            <w:r>
              <w:rPr>
                <w:sz w:val="18"/>
                <w:szCs w:val="18"/>
              </w:rPr>
              <w:t>日</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2026</w:t>
            </w:r>
            <w:r>
              <w:rPr>
                <w:sz w:val="18"/>
                <w:szCs w:val="18"/>
              </w:rPr>
              <w:t>年</w:t>
            </w:r>
            <w:r>
              <w:rPr>
                <w:sz w:val="18"/>
                <w:szCs w:val="18"/>
              </w:rPr>
              <w:t>07</w:t>
            </w:r>
            <w:r>
              <w:rPr>
                <w:sz w:val="18"/>
                <w:szCs w:val="18"/>
              </w:rPr>
              <w:t>月</w:t>
            </w:r>
            <w:r>
              <w:rPr>
                <w:sz w:val="18"/>
                <w:szCs w:val="18"/>
              </w:rPr>
              <w:t>09</w:t>
            </w:r>
            <w:r>
              <w:rPr>
                <w:sz w:val="18"/>
                <w:szCs w:val="18"/>
              </w:rPr>
              <w:t>日</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否</w:t>
            </w:r>
          </w:p>
        </w:tc>
      </w:tr>
    </w:tbl>
    <w:p w:rsidR="00E20B54" w:rsidRDefault="00733C9E" w:rsidP="00C0321F">
      <w:pPr>
        <w:spacing w:before="100" w:after="100" w:line="240" w:lineRule="exact"/>
      </w:pPr>
      <w:r>
        <w:rPr>
          <w:sz w:val="18"/>
          <w:szCs w:val="18"/>
        </w:rPr>
        <w:t>关联担保情况说明</w:t>
      </w:r>
      <w:r w:rsidR="00C0321F">
        <w:rPr>
          <w:rFonts w:hint="eastAsia"/>
          <w:sz w:val="18"/>
          <w:szCs w:val="18"/>
        </w:rPr>
        <w:t>：</w:t>
      </w:r>
      <w:r>
        <w:rPr>
          <w:sz w:val="18"/>
          <w:szCs w:val="18"/>
        </w:rPr>
        <w:t>无。</w:t>
      </w:r>
    </w:p>
    <w:p w:rsidR="00E20B54" w:rsidRDefault="00733C9E">
      <w:pPr>
        <w:keepNext/>
        <w:keepLines/>
        <w:spacing w:before="300" w:after="300" w:line="280" w:lineRule="exact"/>
        <w:outlineLvl w:val="3"/>
        <w:rPr>
          <w:b/>
          <w:bCs/>
          <w:szCs w:val="21"/>
        </w:rPr>
      </w:pPr>
      <w:bookmarkStart w:id="451" w:name="_Toc989339"/>
      <w:r>
        <w:rPr>
          <w:b/>
          <w:bCs/>
          <w:szCs w:val="21"/>
        </w:rPr>
        <w:t>（</w:t>
      </w:r>
      <w:r>
        <w:rPr>
          <w:b/>
          <w:bCs/>
          <w:szCs w:val="21"/>
        </w:rPr>
        <w:t>5</w:t>
      </w:r>
      <w:r>
        <w:rPr>
          <w:b/>
          <w:bCs/>
          <w:szCs w:val="21"/>
        </w:rPr>
        <w:t>）</w:t>
      </w:r>
      <w:r>
        <w:rPr>
          <w:b/>
          <w:bCs/>
          <w:szCs w:val="21"/>
        </w:rPr>
        <w:t xml:space="preserve"> </w:t>
      </w:r>
      <w:r>
        <w:rPr>
          <w:b/>
          <w:bCs/>
          <w:szCs w:val="21"/>
        </w:rPr>
        <w:t>关联方资金拆借</w:t>
      </w:r>
      <w:bookmarkEnd w:id="451"/>
    </w:p>
    <w:p w:rsidR="00E20B54" w:rsidRDefault="00733C9E">
      <w:pPr>
        <w:spacing w:before="40" w:after="40" w:line="240" w:lineRule="exact"/>
        <w:jc w:val="right"/>
        <w:rPr>
          <w:sz w:val="18"/>
          <w:szCs w:val="18"/>
        </w:rPr>
      </w:pPr>
      <w:r>
        <w:rPr>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927"/>
        <w:gridCol w:w="1928"/>
        <w:gridCol w:w="1928"/>
        <w:gridCol w:w="1928"/>
        <w:gridCol w:w="1928"/>
      </w:tblGrid>
      <w:tr w:rsidR="00E20B54">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关联方</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拆借金额</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起始日</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到期日</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说明</w:t>
            </w:r>
          </w:p>
        </w:tc>
      </w:tr>
      <w:tr w:rsidR="00E20B54">
        <w:trPr>
          <w:trHeight w:val="240"/>
        </w:trPr>
        <w:tc>
          <w:tcPr>
            <w:tcW w:w="9639" w:type="dxa"/>
            <w:gridSpan w:val="5"/>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拆入</w:t>
            </w:r>
          </w:p>
        </w:tc>
      </w:tr>
      <w:tr w:rsidR="00E20B54">
        <w:trPr>
          <w:trHeight w:val="240"/>
        </w:trPr>
        <w:tc>
          <w:tcPr>
            <w:tcW w:w="9639" w:type="dxa"/>
            <w:gridSpan w:val="5"/>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拆出</w:t>
            </w:r>
          </w:p>
        </w:tc>
      </w:tr>
    </w:tbl>
    <w:p w:rsidR="00E20B54" w:rsidRDefault="00733C9E">
      <w:pPr>
        <w:keepNext/>
        <w:keepLines/>
        <w:spacing w:before="300" w:after="300" w:line="280" w:lineRule="exact"/>
        <w:outlineLvl w:val="3"/>
        <w:rPr>
          <w:b/>
          <w:bCs/>
          <w:szCs w:val="21"/>
        </w:rPr>
      </w:pPr>
      <w:bookmarkStart w:id="452" w:name="_Toc989340"/>
      <w:r>
        <w:rPr>
          <w:b/>
          <w:bCs/>
          <w:szCs w:val="21"/>
        </w:rPr>
        <w:lastRenderedPageBreak/>
        <w:t>（</w:t>
      </w:r>
      <w:r>
        <w:rPr>
          <w:b/>
          <w:bCs/>
          <w:szCs w:val="21"/>
        </w:rPr>
        <w:t>6</w:t>
      </w:r>
      <w:r>
        <w:rPr>
          <w:b/>
          <w:bCs/>
          <w:szCs w:val="21"/>
        </w:rPr>
        <w:t>）</w:t>
      </w:r>
      <w:r>
        <w:rPr>
          <w:b/>
          <w:bCs/>
          <w:szCs w:val="21"/>
        </w:rPr>
        <w:t xml:space="preserve"> </w:t>
      </w:r>
      <w:r>
        <w:rPr>
          <w:b/>
          <w:bCs/>
          <w:szCs w:val="21"/>
        </w:rPr>
        <w:t>关联方资产转让、债务重组情况</w:t>
      </w:r>
      <w:bookmarkEnd w:id="452"/>
    </w:p>
    <w:p w:rsidR="00E20B54" w:rsidRDefault="00733C9E">
      <w:pPr>
        <w:spacing w:before="40" w:after="40" w:line="240" w:lineRule="exact"/>
        <w:jc w:val="right"/>
        <w:rPr>
          <w:sz w:val="18"/>
          <w:szCs w:val="18"/>
        </w:rPr>
      </w:pPr>
      <w:r>
        <w:rPr>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2409"/>
        <w:gridCol w:w="2410"/>
        <w:gridCol w:w="2410"/>
        <w:gridCol w:w="2410"/>
      </w:tblGrid>
      <w:tr w:rsidR="00E20B54">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关联方</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关联交易内容</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本期发生额</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上期发生额</w:t>
            </w:r>
          </w:p>
        </w:tc>
      </w:tr>
    </w:tbl>
    <w:p w:rsidR="00E20B54" w:rsidRDefault="00733C9E">
      <w:pPr>
        <w:keepNext/>
        <w:keepLines/>
        <w:spacing w:before="300" w:after="300" w:line="280" w:lineRule="exact"/>
        <w:outlineLvl w:val="3"/>
        <w:rPr>
          <w:b/>
          <w:bCs/>
          <w:szCs w:val="21"/>
        </w:rPr>
      </w:pPr>
      <w:bookmarkStart w:id="453" w:name="_Toc989341"/>
      <w:r>
        <w:rPr>
          <w:b/>
          <w:bCs/>
          <w:szCs w:val="21"/>
        </w:rPr>
        <w:t>（</w:t>
      </w:r>
      <w:r>
        <w:rPr>
          <w:b/>
          <w:bCs/>
          <w:szCs w:val="21"/>
        </w:rPr>
        <w:t>7</w:t>
      </w:r>
      <w:r>
        <w:rPr>
          <w:b/>
          <w:bCs/>
          <w:szCs w:val="21"/>
        </w:rPr>
        <w:t>）</w:t>
      </w:r>
      <w:r>
        <w:rPr>
          <w:b/>
          <w:bCs/>
          <w:szCs w:val="21"/>
        </w:rPr>
        <w:t xml:space="preserve"> </w:t>
      </w:r>
      <w:r>
        <w:rPr>
          <w:b/>
          <w:bCs/>
          <w:szCs w:val="21"/>
        </w:rPr>
        <w:t>关键管理人员报酬</w:t>
      </w:r>
      <w:bookmarkEnd w:id="453"/>
    </w:p>
    <w:p w:rsidR="00E20B54" w:rsidRDefault="00733C9E">
      <w:pPr>
        <w:spacing w:before="40" w:after="40" w:line="240" w:lineRule="exact"/>
        <w:jc w:val="right"/>
        <w:rPr>
          <w:sz w:val="18"/>
          <w:szCs w:val="18"/>
        </w:rPr>
      </w:pPr>
      <w:r>
        <w:rPr>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项目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本期发生额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上期发生额</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关键管理人员报酬</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3,704,158.40</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3,643,618.89</w:t>
            </w:r>
          </w:p>
        </w:tc>
      </w:tr>
    </w:tbl>
    <w:p w:rsidR="00E20B54" w:rsidRDefault="00733C9E">
      <w:pPr>
        <w:keepNext/>
        <w:keepLines/>
        <w:spacing w:before="300" w:after="300" w:line="280" w:lineRule="exact"/>
        <w:outlineLvl w:val="3"/>
        <w:rPr>
          <w:b/>
          <w:bCs/>
          <w:szCs w:val="21"/>
        </w:rPr>
      </w:pPr>
      <w:bookmarkStart w:id="454" w:name="_Toc989342"/>
      <w:r>
        <w:rPr>
          <w:b/>
          <w:bCs/>
          <w:szCs w:val="21"/>
        </w:rPr>
        <w:t>（</w:t>
      </w:r>
      <w:r>
        <w:rPr>
          <w:b/>
          <w:bCs/>
          <w:szCs w:val="21"/>
        </w:rPr>
        <w:t>8</w:t>
      </w:r>
      <w:r>
        <w:rPr>
          <w:b/>
          <w:bCs/>
          <w:szCs w:val="21"/>
        </w:rPr>
        <w:t>）</w:t>
      </w:r>
      <w:r>
        <w:rPr>
          <w:b/>
          <w:bCs/>
          <w:szCs w:val="21"/>
        </w:rPr>
        <w:t xml:space="preserve"> </w:t>
      </w:r>
      <w:r>
        <w:rPr>
          <w:b/>
          <w:bCs/>
          <w:szCs w:val="21"/>
        </w:rPr>
        <w:t>其他关联交易</w:t>
      </w:r>
      <w:bookmarkEnd w:id="454"/>
    </w:p>
    <w:p w:rsidR="00E20B54" w:rsidRDefault="00733C9E" w:rsidP="00C0321F">
      <w:pPr>
        <w:pStyle w:val="a3"/>
        <w:widowControl/>
        <w:spacing w:beforeLines="50" w:before="156" w:beforeAutospacing="0" w:afterLines="50" w:after="156" w:afterAutospacing="0"/>
        <w:ind w:firstLine="420"/>
        <w:jc w:val="both"/>
        <w:rPr>
          <w:sz w:val="21"/>
          <w:szCs w:val="21"/>
        </w:rPr>
      </w:pPr>
      <w:r>
        <w:rPr>
          <w:sz w:val="21"/>
          <w:szCs w:val="21"/>
        </w:rPr>
        <w:t>汕头潮阳融和村镇银行股份有限公司（以下简称</w:t>
      </w:r>
      <w:r>
        <w:rPr>
          <w:sz w:val="21"/>
          <w:szCs w:val="21"/>
        </w:rPr>
        <w:t>“</w:t>
      </w:r>
      <w:r>
        <w:rPr>
          <w:sz w:val="21"/>
          <w:szCs w:val="21"/>
        </w:rPr>
        <w:t>融和银行</w:t>
      </w:r>
      <w:r>
        <w:rPr>
          <w:sz w:val="21"/>
          <w:szCs w:val="21"/>
        </w:rPr>
        <w:t>”</w:t>
      </w:r>
      <w:r>
        <w:rPr>
          <w:sz w:val="21"/>
          <w:szCs w:val="21"/>
        </w:rPr>
        <w:t>）系经中国银行业监督管理委员会批准成立的金融机构。报告期内，融和银行为本公司提供存款服务，按市场费率标准计算存款利息，属于正常的商业行为。</w:t>
      </w:r>
    </w:p>
    <w:p w:rsidR="00E20B54" w:rsidRDefault="00733C9E" w:rsidP="00C0321F">
      <w:pPr>
        <w:pStyle w:val="a3"/>
        <w:widowControl/>
        <w:spacing w:beforeLines="50" w:before="156" w:beforeAutospacing="0" w:afterLines="50" w:after="156" w:afterAutospacing="0"/>
        <w:ind w:firstLine="420"/>
        <w:jc w:val="both"/>
        <w:rPr>
          <w:sz w:val="21"/>
          <w:szCs w:val="21"/>
        </w:rPr>
      </w:pPr>
      <w:r>
        <w:rPr>
          <w:sz w:val="21"/>
          <w:szCs w:val="21"/>
        </w:rPr>
        <w:t>公司在融和银行的利息收入情况如下：</w:t>
      </w:r>
    </w:p>
    <w:p w:rsidR="00C0321F" w:rsidRDefault="00C0321F" w:rsidP="00C0321F">
      <w:pPr>
        <w:spacing w:before="40" w:after="40" w:line="240" w:lineRule="exact"/>
        <w:jc w:val="right"/>
        <w:rPr>
          <w:sz w:val="18"/>
          <w:szCs w:val="18"/>
        </w:rPr>
      </w:pPr>
      <w:r>
        <w:rPr>
          <w:sz w:val="18"/>
          <w:szCs w:val="18"/>
        </w:rPr>
        <w:t>单位：元</w:t>
      </w:r>
    </w:p>
    <w:tbl>
      <w:tblPr>
        <w:tblW w:w="4872" w:type="pct"/>
        <w:tblBorders>
          <w:top w:val="none" w:sz="6" w:space="0" w:color="auto"/>
          <w:left w:val="none" w:sz="6" w:space="0" w:color="auto"/>
          <w:bottom w:val="none" w:sz="6" w:space="0" w:color="auto"/>
          <w:right w:val="none" w:sz="6" w:space="0" w:color="auto"/>
          <w:insideH w:val="outset" w:sz="6" w:space="0" w:color="auto"/>
          <w:insideV w:val="outset" w:sz="6" w:space="0" w:color="auto"/>
        </w:tblBorders>
        <w:tblCellMar>
          <w:top w:w="15" w:type="dxa"/>
          <w:left w:w="15" w:type="dxa"/>
          <w:bottom w:w="15" w:type="dxa"/>
          <w:right w:w="15" w:type="dxa"/>
        </w:tblCellMar>
        <w:tblLook w:val="04A0" w:firstRow="1" w:lastRow="0" w:firstColumn="1" w:lastColumn="0" w:noHBand="0" w:noVBand="1"/>
      </w:tblPr>
      <w:tblGrid>
        <w:gridCol w:w="3231"/>
        <w:gridCol w:w="3260"/>
        <w:gridCol w:w="3120"/>
      </w:tblGrid>
      <w:tr w:rsidR="00E20B54" w:rsidRPr="00C0321F" w:rsidTr="00C0321F">
        <w:trPr>
          <w:trHeight w:val="170"/>
        </w:trPr>
        <w:tc>
          <w:tcPr>
            <w:tcW w:w="1681" w:type="pct"/>
            <w:tcBorders>
              <w:top w:val="single" w:sz="8" w:space="0" w:color="auto"/>
              <w:left w:val="single" w:sz="8" w:space="0" w:color="auto"/>
              <w:bottom w:val="single" w:sz="8" w:space="0" w:color="auto"/>
              <w:right w:val="single" w:sz="8" w:space="0" w:color="auto"/>
            </w:tcBorders>
            <w:shd w:val="clear" w:color="auto" w:fill="D9D9D9" w:themeFill="background1" w:themeFillShade="D9"/>
            <w:tcMar>
              <w:top w:w="0" w:type="dxa"/>
              <w:left w:w="113" w:type="dxa"/>
              <w:bottom w:w="0" w:type="dxa"/>
              <w:right w:w="113" w:type="dxa"/>
            </w:tcMar>
            <w:vAlign w:val="center"/>
          </w:tcPr>
          <w:p w:rsidR="00E20B54" w:rsidRPr="00C0321F" w:rsidRDefault="00733C9E" w:rsidP="00C0321F">
            <w:pPr>
              <w:pStyle w:val="a3"/>
              <w:widowControl/>
              <w:spacing w:beforeAutospacing="0" w:afterAutospacing="0"/>
              <w:jc w:val="center"/>
              <w:rPr>
                <w:sz w:val="18"/>
                <w:szCs w:val="21"/>
              </w:rPr>
            </w:pPr>
            <w:r w:rsidRPr="00C0321F">
              <w:rPr>
                <w:rStyle w:val="a4"/>
                <w:b w:val="0"/>
                <w:sz w:val="18"/>
                <w:szCs w:val="21"/>
              </w:rPr>
              <w:t>项目</w:t>
            </w:r>
          </w:p>
        </w:tc>
        <w:tc>
          <w:tcPr>
            <w:tcW w:w="1696" w:type="pct"/>
            <w:tcBorders>
              <w:top w:val="single" w:sz="8" w:space="0" w:color="auto"/>
              <w:left w:val="nil"/>
              <w:bottom w:val="single" w:sz="8" w:space="0" w:color="auto"/>
              <w:right w:val="single" w:sz="8" w:space="0" w:color="auto"/>
            </w:tcBorders>
            <w:shd w:val="clear" w:color="auto" w:fill="D9D9D9" w:themeFill="background1" w:themeFillShade="D9"/>
            <w:tcMar>
              <w:top w:w="0" w:type="dxa"/>
              <w:left w:w="113" w:type="dxa"/>
              <w:bottom w:w="0" w:type="dxa"/>
              <w:right w:w="113" w:type="dxa"/>
            </w:tcMar>
            <w:vAlign w:val="center"/>
          </w:tcPr>
          <w:p w:rsidR="00E20B54" w:rsidRPr="00C0321F" w:rsidRDefault="00733C9E" w:rsidP="00C0321F">
            <w:pPr>
              <w:pStyle w:val="a3"/>
              <w:widowControl/>
              <w:spacing w:beforeAutospacing="0" w:afterAutospacing="0"/>
              <w:jc w:val="center"/>
              <w:rPr>
                <w:sz w:val="18"/>
                <w:szCs w:val="21"/>
              </w:rPr>
            </w:pPr>
            <w:r w:rsidRPr="00C0321F">
              <w:rPr>
                <w:rStyle w:val="a4"/>
                <w:b w:val="0"/>
                <w:sz w:val="18"/>
                <w:szCs w:val="21"/>
              </w:rPr>
              <w:t>本期发生额</w:t>
            </w:r>
          </w:p>
        </w:tc>
        <w:tc>
          <w:tcPr>
            <w:tcW w:w="1623" w:type="pct"/>
            <w:tcBorders>
              <w:top w:val="single" w:sz="8" w:space="0" w:color="auto"/>
              <w:left w:val="nil"/>
              <w:bottom w:val="single" w:sz="8" w:space="0" w:color="auto"/>
              <w:right w:val="single" w:sz="8" w:space="0" w:color="auto"/>
            </w:tcBorders>
            <w:shd w:val="clear" w:color="auto" w:fill="D9D9D9" w:themeFill="background1" w:themeFillShade="D9"/>
            <w:tcMar>
              <w:top w:w="0" w:type="dxa"/>
              <w:left w:w="113" w:type="dxa"/>
              <w:bottom w:w="0" w:type="dxa"/>
              <w:right w:w="113" w:type="dxa"/>
            </w:tcMar>
            <w:vAlign w:val="center"/>
          </w:tcPr>
          <w:p w:rsidR="00E20B54" w:rsidRPr="00C0321F" w:rsidRDefault="00733C9E" w:rsidP="00C0321F">
            <w:pPr>
              <w:pStyle w:val="a3"/>
              <w:widowControl/>
              <w:spacing w:beforeAutospacing="0" w:afterAutospacing="0"/>
              <w:jc w:val="center"/>
              <w:rPr>
                <w:sz w:val="18"/>
                <w:szCs w:val="21"/>
              </w:rPr>
            </w:pPr>
            <w:r w:rsidRPr="00C0321F">
              <w:rPr>
                <w:rStyle w:val="a4"/>
                <w:b w:val="0"/>
                <w:sz w:val="18"/>
                <w:szCs w:val="21"/>
              </w:rPr>
              <w:t>上期发生额</w:t>
            </w:r>
          </w:p>
        </w:tc>
      </w:tr>
      <w:tr w:rsidR="00E20B54" w:rsidRPr="00C0321F" w:rsidTr="00C0321F">
        <w:trPr>
          <w:trHeight w:val="170"/>
        </w:trPr>
        <w:tc>
          <w:tcPr>
            <w:tcW w:w="1681" w:type="pct"/>
            <w:tcBorders>
              <w:top w:val="nil"/>
              <w:left w:val="single" w:sz="8" w:space="0" w:color="auto"/>
              <w:bottom w:val="single" w:sz="8" w:space="0" w:color="auto"/>
              <w:right w:val="single" w:sz="8" w:space="0" w:color="auto"/>
            </w:tcBorders>
            <w:shd w:val="clear" w:color="auto" w:fill="auto"/>
            <w:tcMar>
              <w:top w:w="0" w:type="dxa"/>
              <w:left w:w="113" w:type="dxa"/>
              <w:bottom w:w="0" w:type="dxa"/>
              <w:right w:w="113" w:type="dxa"/>
            </w:tcMar>
            <w:vAlign w:val="center"/>
          </w:tcPr>
          <w:p w:rsidR="00E20B54" w:rsidRPr="00C0321F" w:rsidRDefault="00733C9E" w:rsidP="00C0321F">
            <w:pPr>
              <w:pStyle w:val="a3"/>
              <w:widowControl/>
              <w:spacing w:beforeAutospacing="0" w:afterAutospacing="0"/>
              <w:jc w:val="both"/>
              <w:textAlignment w:val="center"/>
              <w:rPr>
                <w:sz w:val="18"/>
                <w:szCs w:val="21"/>
              </w:rPr>
            </w:pPr>
            <w:r w:rsidRPr="00C0321F">
              <w:rPr>
                <w:sz w:val="18"/>
                <w:szCs w:val="21"/>
              </w:rPr>
              <w:t>利息收入</w:t>
            </w:r>
          </w:p>
        </w:tc>
        <w:tc>
          <w:tcPr>
            <w:tcW w:w="1696" w:type="pct"/>
            <w:tcBorders>
              <w:top w:val="nil"/>
              <w:left w:val="nil"/>
              <w:bottom w:val="single" w:sz="8" w:space="0" w:color="auto"/>
              <w:right w:val="single" w:sz="8" w:space="0" w:color="auto"/>
            </w:tcBorders>
            <w:shd w:val="clear" w:color="auto" w:fill="auto"/>
            <w:tcMar>
              <w:top w:w="0" w:type="dxa"/>
              <w:left w:w="113" w:type="dxa"/>
              <w:bottom w:w="0" w:type="dxa"/>
              <w:right w:w="113" w:type="dxa"/>
            </w:tcMar>
            <w:vAlign w:val="center"/>
          </w:tcPr>
          <w:p w:rsidR="00E20B54" w:rsidRPr="00C0321F" w:rsidRDefault="00733C9E" w:rsidP="00C0321F">
            <w:pPr>
              <w:pStyle w:val="a3"/>
              <w:widowControl/>
              <w:spacing w:beforeAutospacing="0" w:afterAutospacing="0"/>
              <w:jc w:val="right"/>
              <w:textAlignment w:val="center"/>
              <w:rPr>
                <w:sz w:val="18"/>
                <w:szCs w:val="21"/>
              </w:rPr>
            </w:pPr>
            <w:r w:rsidRPr="00C0321F">
              <w:rPr>
                <w:sz w:val="18"/>
                <w:szCs w:val="21"/>
              </w:rPr>
              <w:t>225,143.21</w:t>
            </w:r>
          </w:p>
        </w:tc>
        <w:tc>
          <w:tcPr>
            <w:tcW w:w="1623" w:type="pct"/>
            <w:tcBorders>
              <w:top w:val="nil"/>
              <w:left w:val="nil"/>
              <w:bottom w:val="single" w:sz="8" w:space="0" w:color="auto"/>
              <w:right w:val="single" w:sz="8" w:space="0" w:color="auto"/>
            </w:tcBorders>
            <w:shd w:val="clear" w:color="auto" w:fill="auto"/>
            <w:tcMar>
              <w:top w:w="0" w:type="dxa"/>
              <w:left w:w="113" w:type="dxa"/>
              <w:bottom w:w="0" w:type="dxa"/>
              <w:right w:w="113" w:type="dxa"/>
            </w:tcMar>
            <w:vAlign w:val="center"/>
          </w:tcPr>
          <w:p w:rsidR="00E20B54" w:rsidRPr="00C0321F" w:rsidRDefault="00733C9E" w:rsidP="00C0321F">
            <w:pPr>
              <w:pStyle w:val="a3"/>
              <w:widowControl/>
              <w:spacing w:beforeAutospacing="0" w:afterAutospacing="0"/>
              <w:jc w:val="right"/>
              <w:textAlignment w:val="center"/>
              <w:rPr>
                <w:sz w:val="18"/>
                <w:szCs w:val="21"/>
              </w:rPr>
            </w:pPr>
            <w:r w:rsidRPr="00C0321F">
              <w:rPr>
                <w:sz w:val="18"/>
                <w:szCs w:val="21"/>
              </w:rPr>
              <w:t>229,114.39</w:t>
            </w:r>
          </w:p>
        </w:tc>
      </w:tr>
    </w:tbl>
    <w:p w:rsidR="00E20B54" w:rsidRDefault="00733C9E" w:rsidP="00C0321F">
      <w:pPr>
        <w:pStyle w:val="a3"/>
        <w:widowControl/>
        <w:spacing w:beforeLines="50" w:before="156" w:beforeAutospacing="0" w:afterLines="50" w:after="156" w:afterAutospacing="0"/>
        <w:ind w:firstLine="420"/>
        <w:jc w:val="both"/>
        <w:rPr>
          <w:sz w:val="21"/>
          <w:szCs w:val="21"/>
        </w:rPr>
      </w:pPr>
      <w:r>
        <w:rPr>
          <w:sz w:val="21"/>
          <w:szCs w:val="21"/>
        </w:rPr>
        <w:t>公司在融和银行的存款余额情况如下：</w:t>
      </w:r>
    </w:p>
    <w:p w:rsidR="009519F0" w:rsidRDefault="009519F0" w:rsidP="009519F0">
      <w:pPr>
        <w:spacing w:before="40" w:after="40" w:line="240" w:lineRule="exact"/>
        <w:jc w:val="right"/>
        <w:rPr>
          <w:sz w:val="18"/>
          <w:szCs w:val="18"/>
        </w:rPr>
      </w:pPr>
      <w:r>
        <w:rPr>
          <w:sz w:val="18"/>
          <w:szCs w:val="18"/>
        </w:rPr>
        <w:t>单位：元</w:t>
      </w:r>
    </w:p>
    <w:tbl>
      <w:tblPr>
        <w:tblW w:w="9611" w:type="dxa"/>
        <w:tblBorders>
          <w:top w:val="none" w:sz="6" w:space="0" w:color="auto"/>
          <w:left w:val="none" w:sz="6" w:space="0" w:color="auto"/>
          <w:bottom w:val="none" w:sz="6" w:space="0" w:color="auto"/>
          <w:right w:val="none" w:sz="6" w:space="0" w:color="auto"/>
          <w:insideH w:val="outset" w:sz="6" w:space="0" w:color="auto"/>
          <w:insideV w:val="outset" w:sz="6" w:space="0" w:color="auto"/>
        </w:tblBorders>
        <w:tblCellMar>
          <w:top w:w="15" w:type="dxa"/>
          <w:left w:w="15" w:type="dxa"/>
          <w:bottom w:w="15" w:type="dxa"/>
          <w:right w:w="15" w:type="dxa"/>
        </w:tblCellMar>
        <w:tblLook w:val="04A0" w:firstRow="1" w:lastRow="0" w:firstColumn="1" w:lastColumn="0" w:noHBand="0" w:noVBand="1"/>
      </w:tblPr>
      <w:tblGrid>
        <w:gridCol w:w="3276"/>
        <w:gridCol w:w="3216"/>
        <w:gridCol w:w="3119"/>
      </w:tblGrid>
      <w:tr w:rsidR="00E20B54" w:rsidRPr="00C0321F" w:rsidTr="00C0321F">
        <w:trPr>
          <w:trHeight w:val="283"/>
        </w:trPr>
        <w:tc>
          <w:tcPr>
            <w:tcW w:w="3276" w:type="dxa"/>
            <w:tcBorders>
              <w:top w:val="single" w:sz="8" w:space="0" w:color="auto"/>
              <w:left w:val="single" w:sz="8" w:space="0" w:color="auto"/>
              <w:bottom w:val="single" w:sz="8" w:space="0" w:color="auto"/>
              <w:right w:val="single" w:sz="8" w:space="0" w:color="auto"/>
            </w:tcBorders>
            <w:shd w:val="clear" w:color="auto" w:fill="D9D9D9" w:themeFill="background1" w:themeFillShade="D9"/>
            <w:tcMar>
              <w:top w:w="0" w:type="dxa"/>
              <w:left w:w="113" w:type="dxa"/>
              <w:bottom w:w="0" w:type="dxa"/>
              <w:right w:w="113" w:type="dxa"/>
            </w:tcMar>
            <w:vAlign w:val="center"/>
          </w:tcPr>
          <w:p w:rsidR="00E20B54" w:rsidRPr="00C0321F" w:rsidRDefault="00733C9E" w:rsidP="00C0321F">
            <w:pPr>
              <w:pStyle w:val="a3"/>
              <w:widowControl/>
              <w:spacing w:beforeAutospacing="0" w:afterAutospacing="0"/>
              <w:jc w:val="center"/>
              <w:textAlignment w:val="center"/>
              <w:rPr>
                <w:sz w:val="18"/>
                <w:szCs w:val="21"/>
              </w:rPr>
            </w:pPr>
            <w:r w:rsidRPr="00C0321F">
              <w:rPr>
                <w:sz w:val="18"/>
              </w:rPr>
              <w:t>项目</w:t>
            </w:r>
          </w:p>
        </w:tc>
        <w:tc>
          <w:tcPr>
            <w:tcW w:w="3216" w:type="dxa"/>
            <w:tcBorders>
              <w:top w:val="single" w:sz="8" w:space="0" w:color="auto"/>
              <w:left w:val="nil"/>
              <w:bottom w:val="single" w:sz="8" w:space="0" w:color="auto"/>
              <w:right w:val="single" w:sz="8" w:space="0" w:color="auto"/>
            </w:tcBorders>
            <w:shd w:val="clear" w:color="auto" w:fill="D9D9D9" w:themeFill="background1" w:themeFillShade="D9"/>
            <w:tcMar>
              <w:top w:w="0" w:type="dxa"/>
              <w:left w:w="113" w:type="dxa"/>
              <w:bottom w:w="0" w:type="dxa"/>
              <w:right w:w="113" w:type="dxa"/>
            </w:tcMar>
            <w:vAlign w:val="center"/>
          </w:tcPr>
          <w:p w:rsidR="00E20B54" w:rsidRPr="00C0321F" w:rsidRDefault="00733C9E" w:rsidP="00C0321F">
            <w:pPr>
              <w:pStyle w:val="a3"/>
              <w:widowControl/>
              <w:spacing w:beforeAutospacing="0" w:afterAutospacing="0"/>
              <w:jc w:val="center"/>
              <w:textAlignment w:val="center"/>
              <w:rPr>
                <w:sz w:val="18"/>
                <w:szCs w:val="21"/>
              </w:rPr>
            </w:pPr>
            <w:r w:rsidRPr="00C0321F">
              <w:rPr>
                <w:sz w:val="18"/>
              </w:rPr>
              <w:t>本期发生额</w:t>
            </w:r>
          </w:p>
        </w:tc>
        <w:tc>
          <w:tcPr>
            <w:tcW w:w="3119" w:type="dxa"/>
            <w:tcBorders>
              <w:top w:val="single" w:sz="8" w:space="0" w:color="auto"/>
              <w:left w:val="nil"/>
              <w:bottom w:val="single" w:sz="8" w:space="0" w:color="auto"/>
              <w:right w:val="single" w:sz="8" w:space="0" w:color="auto"/>
            </w:tcBorders>
            <w:shd w:val="clear" w:color="auto" w:fill="D9D9D9" w:themeFill="background1" w:themeFillShade="D9"/>
            <w:tcMar>
              <w:top w:w="0" w:type="dxa"/>
              <w:left w:w="113" w:type="dxa"/>
              <w:bottom w:w="0" w:type="dxa"/>
              <w:right w:w="113" w:type="dxa"/>
            </w:tcMar>
            <w:vAlign w:val="center"/>
          </w:tcPr>
          <w:p w:rsidR="00E20B54" w:rsidRPr="00C0321F" w:rsidRDefault="00733C9E" w:rsidP="00C0321F">
            <w:pPr>
              <w:pStyle w:val="a3"/>
              <w:widowControl/>
              <w:spacing w:beforeAutospacing="0" w:afterAutospacing="0"/>
              <w:jc w:val="center"/>
              <w:textAlignment w:val="center"/>
              <w:rPr>
                <w:sz w:val="18"/>
                <w:szCs w:val="21"/>
              </w:rPr>
            </w:pPr>
            <w:r w:rsidRPr="00C0321F">
              <w:rPr>
                <w:sz w:val="18"/>
              </w:rPr>
              <w:t>上期发生额</w:t>
            </w:r>
          </w:p>
        </w:tc>
      </w:tr>
      <w:tr w:rsidR="00E20B54" w:rsidRPr="00C0321F" w:rsidTr="00C0321F">
        <w:trPr>
          <w:trHeight w:val="283"/>
        </w:trPr>
        <w:tc>
          <w:tcPr>
            <w:tcW w:w="3276" w:type="dxa"/>
            <w:tcBorders>
              <w:top w:val="nil"/>
              <w:left w:val="single" w:sz="8" w:space="0" w:color="auto"/>
              <w:bottom w:val="single" w:sz="8" w:space="0" w:color="auto"/>
              <w:right w:val="single" w:sz="8" w:space="0" w:color="auto"/>
            </w:tcBorders>
            <w:shd w:val="clear" w:color="auto" w:fill="auto"/>
            <w:tcMar>
              <w:top w:w="0" w:type="dxa"/>
              <w:left w:w="113" w:type="dxa"/>
              <w:bottom w:w="0" w:type="dxa"/>
              <w:right w:w="113" w:type="dxa"/>
            </w:tcMar>
            <w:vAlign w:val="center"/>
          </w:tcPr>
          <w:p w:rsidR="00E20B54" w:rsidRPr="00C0321F" w:rsidRDefault="00733C9E" w:rsidP="00C0321F">
            <w:pPr>
              <w:pStyle w:val="a3"/>
              <w:widowControl/>
              <w:spacing w:beforeAutospacing="0" w:afterAutospacing="0"/>
              <w:jc w:val="both"/>
              <w:textAlignment w:val="center"/>
              <w:rPr>
                <w:sz w:val="18"/>
                <w:szCs w:val="21"/>
              </w:rPr>
            </w:pPr>
            <w:r w:rsidRPr="00C0321F">
              <w:rPr>
                <w:sz w:val="18"/>
                <w:szCs w:val="21"/>
              </w:rPr>
              <w:t>银行存款</w:t>
            </w:r>
          </w:p>
        </w:tc>
        <w:tc>
          <w:tcPr>
            <w:tcW w:w="3216" w:type="dxa"/>
            <w:tcBorders>
              <w:top w:val="nil"/>
              <w:left w:val="nil"/>
              <w:bottom w:val="single" w:sz="8" w:space="0" w:color="auto"/>
              <w:right w:val="single" w:sz="8" w:space="0" w:color="auto"/>
            </w:tcBorders>
            <w:shd w:val="clear" w:color="auto" w:fill="auto"/>
            <w:tcMar>
              <w:top w:w="0" w:type="dxa"/>
              <w:left w:w="113" w:type="dxa"/>
              <w:bottom w:w="0" w:type="dxa"/>
              <w:right w:w="113" w:type="dxa"/>
            </w:tcMar>
            <w:vAlign w:val="center"/>
          </w:tcPr>
          <w:p w:rsidR="00E20B54" w:rsidRPr="00C0321F" w:rsidRDefault="00733C9E" w:rsidP="00C0321F">
            <w:pPr>
              <w:pStyle w:val="a3"/>
              <w:widowControl/>
              <w:spacing w:beforeAutospacing="0" w:afterAutospacing="0"/>
              <w:jc w:val="right"/>
              <w:textAlignment w:val="center"/>
              <w:rPr>
                <w:sz w:val="18"/>
                <w:szCs w:val="21"/>
              </w:rPr>
            </w:pPr>
            <w:r w:rsidRPr="00C0321F">
              <w:rPr>
                <w:sz w:val="18"/>
                <w:szCs w:val="21"/>
              </w:rPr>
              <w:t>8,705,348.66</w:t>
            </w:r>
          </w:p>
        </w:tc>
        <w:tc>
          <w:tcPr>
            <w:tcW w:w="3119" w:type="dxa"/>
            <w:tcBorders>
              <w:top w:val="nil"/>
              <w:left w:val="nil"/>
              <w:bottom w:val="single" w:sz="8" w:space="0" w:color="auto"/>
              <w:right w:val="single" w:sz="8" w:space="0" w:color="auto"/>
            </w:tcBorders>
            <w:shd w:val="clear" w:color="auto" w:fill="auto"/>
            <w:tcMar>
              <w:top w:w="0" w:type="dxa"/>
              <w:left w:w="113" w:type="dxa"/>
              <w:bottom w:w="0" w:type="dxa"/>
              <w:right w:w="113" w:type="dxa"/>
            </w:tcMar>
            <w:vAlign w:val="center"/>
          </w:tcPr>
          <w:p w:rsidR="00E20B54" w:rsidRPr="00C0321F" w:rsidRDefault="00733C9E" w:rsidP="00C0321F">
            <w:pPr>
              <w:pStyle w:val="a3"/>
              <w:widowControl/>
              <w:spacing w:beforeAutospacing="0" w:afterAutospacing="0"/>
              <w:jc w:val="right"/>
              <w:textAlignment w:val="center"/>
              <w:rPr>
                <w:sz w:val="18"/>
                <w:szCs w:val="21"/>
              </w:rPr>
            </w:pPr>
            <w:r w:rsidRPr="00C0321F">
              <w:rPr>
                <w:sz w:val="18"/>
                <w:szCs w:val="21"/>
              </w:rPr>
              <w:t>25,330,205.45</w:t>
            </w:r>
          </w:p>
        </w:tc>
      </w:tr>
    </w:tbl>
    <w:p w:rsidR="00E20B54" w:rsidRDefault="00733C9E">
      <w:pPr>
        <w:pStyle w:val="3"/>
        <w:spacing w:line="280" w:lineRule="exact"/>
        <w:jc w:val="left"/>
        <w:rPr>
          <w:b/>
          <w:bCs/>
        </w:rPr>
      </w:pPr>
      <w:bookmarkStart w:id="455" w:name="_Toc989343"/>
      <w:r>
        <w:rPr>
          <w:b/>
          <w:bCs/>
        </w:rPr>
        <w:t>6</w:t>
      </w:r>
      <w:r>
        <w:rPr>
          <w:b/>
          <w:bCs/>
        </w:rPr>
        <w:t>、关联方应收应付款项</w:t>
      </w:r>
      <w:bookmarkEnd w:id="455"/>
    </w:p>
    <w:p w:rsidR="00E20B54" w:rsidRDefault="00733C9E">
      <w:pPr>
        <w:keepNext/>
        <w:keepLines/>
        <w:spacing w:before="300" w:after="300" w:line="280" w:lineRule="exact"/>
        <w:outlineLvl w:val="3"/>
        <w:rPr>
          <w:b/>
          <w:bCs/>
          <w:szCs w:val="21"/>
        </w:rPr>
      </w:pPr>
      <w:bookmarkStart w:id="456" w:name="_Toc989344"/>
      <w:r>
        <w:rPr>
          <w:b/>
          <w:bCs/>
          <w:szCs w:val="21"/>
        </w:rPr>
        <w:t>（</w:t>
      </w:r>
      <w:r>
        <w:rPr>
          <w:b/>
          <w:bCs/>
          <w:szCs w:val="21"/>
        </w:rPr>
        <w:t>1</w:t>
      </w:r>
      <w:r>
        <w:rPr>
          <w:b/>
          <w:bCs/>
          <w:szCs w:val="21"/>
        </w:rPr>
        <w:t>）</w:t>
      </w:r>
      <w:r>
        <w:rPr>
          <w:b/>
          <w:bCs/>
          <w:szCs w:val="21"/>
        </w:rPr>
        <w:t xml:space="preserve"> </w:t>
      </w:r>
      <w:r>
        <w:rPr>
          <w:b/>
          <w:bCs/>
          <w:szCs w:val="21"/>
        </w:rPr>
        <w:t>应收项目</w:t>
      </w:r>
      <w:bookmarkEnd w:id="456"/>
    </w:p>
    <w:p w:rsidR="00E20B54" w:rsidRDefault="00733C9E">
      <w:pPr>
        <w:spacing w:before="40" w:after="40" w:line="240" w:lineRule="exact"/>
        <w:jc w:val="right"/>
        <w:rPr>
          <w:sz w:val="18"/>
          <w:szCs w:val="18"/>
        </w:rPr>
      </w:pPr>
      <w:r>
        <w:rPr>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607"/>
        <w:gridCol w:w="1606"/>
        <w:gridCol w:w="1606"/>
        <w:gridCol w:w="1607"/>
        <w:gridCol w:w="1606"/>
        <w:gridCol w:w="1607"/>
      </w:tblGrid>
      <w:tr w:rsidR="00E20B54">
        <w:trPr>
          <w:trHeight w:val="240"/>
        </w:trPr>
        <w:tc>
          <w:tcPr>
            <w:tcW w:w="1606"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项目名称</w:t>
            </w:r>
          </w:p>
        </w:tc>
        <w:tc>
          <w:tcPr>
            <w:tcW w:w="1606"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关联方</w:t>
            </w:r>
          </w:p>
        </w:tc>
        <w:tc>
          <w:tcPr>
            <w:tcW w:w="3213"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期末余额</w:t>
            </w:r>
          </w:p>
        </w:tc>
        <w:tc>
          <w:tcPr>
            <w:tcW w:w="3213"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期初余额</w:t>
            </w:r>
          </w:p>
        </w:tc>
      </w:tr>
      <w:tr w:rsidR="00E20B54">
        <w:trPr>
          <w:trHeight w:val="240"/>
        </w:trPr>
        <w:tc>
          <w:tcPr>
            <w:tcW w:w="1606"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c>
          <w:tcPr>
            <w:tcW w:w="1606"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账面余额</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坏账准备</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账面余额</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坏账准备</w:t>
            </w:r>
          </w:p>
        </w:tc>
      </w:tr>
      <w:tr w:rsidR="00E20B54">
        <w:trPr>
          <w:trHeight w:val="240"/>
        </w:trPr>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其他应收款：</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林明玲</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14,343.86</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717.19</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bl>
    <w:p w:rsidR="00E20B54" w:rsidRDefault="00733C9E">
      <w:pPr>
        <w:keepNext/>
        <w:keepLines/>
        <w:spacing w:before="300" w:after="300" w:line="280" w:lineRule="exact"/>
        <w:outlineLvl w:val="3"/>
        <w:rPr>
          <w:b/>
          <w:bCs/>
          <w:szCs w:val="21"/>
        </w:rPr>
      </w:pPr>
      <w:bookmarkStart w:id="457" w:name="_Toc989345"/>
      <w:r>
        <w:rPr>
          <w:b/>
          <w:bCs/>
          <w:szCs w:val="21"/>
        </w:rPr>
        <w:t>（</w:t>
      </w:r>
      <w:r>
        <w:rPr>
          <w:b/>
          <w:bCs/>
          <w:szCs w:val="21"/>
        </w:rPr>
        <w:t>2</w:t>
      </w:r>
      <w:r>
        <w:rPr>
          <w:b/>
          <w:bCs/>
          <w:szCs w:val="21"/>
        </w:rPr>
        <w:t>）</w:t>
      </w:r>
      <w:r>
        <w:rPr>
          <w:b/>
          <w:bCs/>
          <w:szCs w:val="21"/>
        </w:rPr>
        <w:t xml:space="preserve"> </w:t>
      </w:r>
      <w:r>
        <w:rPr>
          <w:b/>
          <w:bCs/>
          <w:szCs w:val="21"/>
        </w:rPr>
        <w:t>应付项目</w:t>
      </w:r>
      <w:bookmarkEnd w:id="457"/>
    </w:p>
    <w:p w:rsidR="00E20B54" w:rsidRDefault="00733C9E">
      <w:pPr>
        <w:spacing w:before="40" w:after="40" w:line="240" w:lineRule="exact"/>
        <w:jc w:val="right"/>
        <w:rPr>
          <w:sz w:val="18"/>
          <w:szCs w:val="18"/>
        </w:rPr>
      </w:pPr>
      <w:r>
        <w:rPr>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2409"/>
        <w:gridCol w:w="2410"/>
        <w:gridCol w:w="2410"/>
        <w:gridCol w:w="2410"/>
      </w:tblGrid>
      <w:tr w:rsidR="00E20B54">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项目名称</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关联方</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期末账面余额</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期初账面余额</w:t>
            </w:r>
          </w:p>
        </w:tc>
      </w:tr>
      <w:tr w:rsidR="00E20B54">
        <w:trPr>
          <w:trHeight w:val="240"/>
        </w:trPr>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其他应付款：</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林明玲</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7,082,880.00</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9,106,560.00</w:t>
            </w:r>
          </w:p>
        </w:tc>
      </w:tr>
      <w:tr w:rsidR="00E20B54">
        <w:trPr>
          <w:trHeight w:val="240"/>
        </w:trPr>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其他应付款：</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马学沛</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7,082,880.00</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9,106,560.00</w:t>
            </w:r>
          </w:p>
        </w:tc>
      </w:tr>
      <w:tr w:rsidR="00E20B54">
        <w:trPr>
          <w:trHeight w:val="240"/>
        </w:trPr>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合计</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rPr>
                <w:sz w:val="18"/>
                <w:szCs w:val="18"/>
              </w:rPr>
            </w:pP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14,165,760.00</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18,213,120.00</w:t>
            </w:r>
          </w:p>
        </w:tc>
      </w:tr>
    </w:tbl>
    <w:p w:rsidR="00E20B54" w:rsidRDefault="00733C9E">
      <w:pPr>
        <w:pStyle w:val="3"/>
        <w:spacing w:line="280" w:lineRule="exact"/>
        <w:jc w:val="left"/>
        <w:rPr>
          <w:b/>
          <w:bCs/>
        </w:rPr>
      </w:pPr>
      <w:bookmarkStart w:id="458" w:name="_Toc989346"/>
      <w:r>
        <w:rPr>
          <w:b/>
          <w:bCs/>
        </w:rPr>
        <w:t>7</w:t>
      </w:r>
      <w:r>
        <w:rPr>
          <w:b/>
          <w:bCs/>
        </w:rPr>
        <w:t>、关联方承诺</w:t>
      </w:r>
      <w:bookmarkEnd w:id="458"/>
    </w:p>
    <w:p w:rsidR="00E20B54" w:rsidRDefault="00733C9E">
      <w:pPr>
        <w:pStyle w:val="a3"/>
        <w:widowControl/>
      </w:pPr>
      <w:r>
        <w:rPr>
          <w:sz w:val="18"/>
          <w:szCs w:val="18"/>
        </w:rPr>
        <w:t>详见本报告</w:t>
      </w:r>
      <w:r>
        <w:rPr>
          <w:sz w:val="18"/>
          <w:szCs w:val="18"/>
        </w:rPr>
        <w:t xml:space="preserve"> </w:t>
      </w:r>
      <w:r>
        <w:rPr>
          <w:sz w:val="18"/>
          <w:szCs w:val="18"/>
        </w:rPr>
        <w:t>第五节</w:t>
      </w:r>
      <w:r>
        <w:rPr>
          <w:sz w:val="18"/>
          <w:szCs w:val="18"/>
        </w:rPr>
        <w:t xml:space="preserve"> </w:t>
      </w:r>
      <w:r>
        <w:rPr>
          <w:sz w:val="18"/>
          <w:szCs w:val="18"/>
        </w:rPr>
        <w:t>重要事项</w:t>
      </w:r>
      <w:r>
        <w:rPr>
          <w:sz w:val="18"/>
          <w:szCs w:val="18"/>
        </w:rPr>
        <w:t xml:space="preserve"> </w:t>
      </w:r>
      <w:r>
        <w:rPr>
          <w:sz w:val="18"/>
          <w:szCs w:val="18"/>
        </w:rPr>
        <w:t>一、承诺事项履行情况。</w:t>
      </w:r>
    </w:p>
    <w:p w:rsidR="00E20B54" w:rsidRDefault="00733C9E">
      <w:pPr>
        <w:pStyle w:val="3"/>
        <w:spacing w:line="280" w:lineRule="exact"/>
        <w:jc w:val="left"/>
        <w:rPr>
          <w:b/>
          <w:bCs/>
        </w:rPr>
      </w:pPr>
      <w:bookmarkStart w:id="459" w:name="_Toc989347"/>
      <w:r>
        <w:rPr>
          <w:b/>
          <w:bCs/>
        </w:rPr>
        <w:lastRenderedPageBreak/>
        <w:t>8</w:t>
      </w:r>
      <w:r>
        <w:rPr>
          <w:b/>
          <w:bCs/>
        </w:rPr>
        <w:t>、其他</w:t>
      </w:r>
      <w:bookmarkEnd w:id="459"/>
    </w:p>
    <w:p w:rsidR="00E20B54" w:rsidRDefault="00733C9E">
      <w:pPr>
        <w:pStyle w:val="2"/>
        <w:spacing w:before="300" w:after="300" w:line="320" w:lineRule="exact"/>
        <w:rPr>
          <w:b/>
          <w:bCs/>
          <w:sz w:val="24"/>
          <w:szCs w:val="24"/>
        </w:rPr>
      </w:pPr>
      <w:bookmarkStart w:id="460" w:name="_Toc989348"/>
      <w:r>
        <w:rPr>
          <w:b/>
          <w:bCs/>
          <w:sz w:val="24"/>
          <w:szCs w:val="24"/>
        </w:rPr>
        <w:t>十五、股份支付</w:t>
      </w:r>
      <w:bookmarkEnd w:id="460"/>
    </w:p>
    <w:p w:rsidR="00E20B54" w:rsidRDefault="00733C9E">
      <w:pPr>
        <w:pStyle w:val="3"/>
        <w:spacing w:line="280" w:lineRule="exact"/>
        <w:jc w:val="left"/>
        <w:rPr>
          <w:b/>
          <w:bCs/>
        </w:rPr>
      </w:pPr>
      <w:bookmarkStart w:id="461" w:name="_Toc989349"/>
      <w:r>
        <w:rPr>
          <w:b/>
          <w:bCs/>
        </w:rPr>
        <w:t>1</w:t>
      </w:r>
      <w:r>
        <w:rPr>
          <w:b/>
          <w:bCs/>
        </w:rPr>
        <w:t>、股份支付总体情况</w:t>
      </w:r>
      <w:bookmarkEnd w:id="461"/>
    </w:p>
    <w:p w:rsidR="00E20B54" w:rsidRDefault="00733C9E">
      <w:pPr>
        <w:spacing w:before="40" w:after="40" w:line="240" w:lineRule="exact"/>
        <w:rPr>
          <w:sz w:val="18"/>
          <w:szCs w:val="18"/>
        </w:rPr>
      </w:pPr>
      <w:r>
        <w:rPr>
          <w:sz w:val="18"/>
          <w:szCs w:val="18"/>
        </w:rPr>
        <w:sym w:font="Wingdings 2" w:char="F052"/>
      </w:r>
      <w:r>
        <w:rPr>
          <w:sz w:val="18"/>
          <w:szCs w:val="18"/>
        </w:rPr>
        <w:t>适用</w:t>
      </w:r>
      <w:r>
        <w:rPr>
          <w:sz w:val="18"/>
          <w:szCs w:val="18"/>
        </w:rPr>
        <w:t xml:space="preserve"> □</w:t>
      </w:r>
      <w:r>
        <w:rPr>
          <w:sz w:val="18"/>
          <w:szCs w:val="18"/>
        </w:rPr>
        <w:t>不适用</w:t>
      </w:r>
    </w:p>
    <w:p w:rsidR="00E20B54" w:rsidRDefault="00733C9E">
      <w:pPr>
        <w:spacing w:before="120" w:after="120" w:line="240" w:lineRule="exact"/>
        <w:jc w:val="right"/>
        <w:rPr>
          <w:sz w:val="18"/>
          <w:szCs w:val="18"/>
        </w:rPr>
      </w:pPr>
      <w:r>
        <w:rPr>
          <w:sz w:val="18"/>
          <w:szCs w:val="18"/>
        </w:rPr>
        <w:t>单位：元</w:t>
      </w:r>
    </w:p>
    <w:tbl>
      <w:tblPr>
        <w:tblW w:w="5000" w:type="pct"/>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2521"/>
        <w:gridCol w:w="720"/>
        <w:gridCol w:w="721"/>
        <w:gridCol w:w="719"/>
        <w:gridCol w:w="721"/>
        <w:gridCol w:w="719"/>
        <w:gridCol w:w="721"/>
        <w:gridCol w:w="1450"/>
        <w:gridCol w:w="1561"/>
      </w:tblGrid>
      <w:tr w:rsidR="00E20B54" w:rsidTr="009519F0">
        <w:trPr>
          <w:trHeight w:val="240"/>
        </w:trPr>
        <w:tc>
          <w:tcPr>
            <w:tcW w:w="1279" w:type="pct"/>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授予对象类别</w:t>
            </w:r>
          </w:p>
        </w:tc>
        <w:tc>
          <w:tcPr>
            <w:tcW w:w="731" w:type="pct"/>
            <w:gridSpan w:val="2"/>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本期授予</w:t>
            </w:r>
          </w:p>
        </w:tc>
        <w:tc>
          <w:tcPr>
            <w:tcW w:w="731" w:type="pct"/>
            <w:gridSpan w:val="2"/>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本期行权</w:t>
            </w:r>
          </w:p>
        </w:tc>
        <w:tc>
          <w:tcPr>
            <w:tcW w:w="731" w:type="pct"/>
            <w:gridSpan w:val="2"/>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本期解锁</w:t>
            </w:r>
          </w:p>
        </w:tc>
        <w:tc>
          <w:tcPr>
            <w:tcW w:w="1530" w:type="pct"/>
            <w:gridSpan w:val="2"/>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本期失效</w:t>
            </w:r>
          </w:p>
        </w:tc>
      </w:tr>
      <w:tr w:rsidR="00E20B54" w:rsidTr="009519F0">
        <w:trPr>
          <w:trHeight w:val="240"/>
        </w:trPr>
        <w:tc>
          <w:tcPr>
            <w:tcW w:w="1279" w:type="pct"/>
            <w:vMerge/>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c>
          <w:tcPr>
            <w:tcW w:w="365" w:type="pc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数量</w:t>
            </w:r>
          </w:p>
        </w:tc>
        <w:tc>
          <w:tcPr>
            <w:tcW w:w="365" w:type="pc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金额</w:t>
            </w:r>
          </w:p>
        </w:tc>
        <w:tc>
          <w:tcPr>
            <w:tcW w:w="365" w:type="pc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数量</w:t>
            </w:r>
          </w:p>
        </w:tc>
        <w:tc>
          <w:tcPr>
            <w:tcW w:w="365" w:type="pc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金额</w:t>
            </w:r>
          </w:p>
        </w:tc>
        <w:tc>
          <w:tcPr>
            <w:tcW w:w="365" w:type="pc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数量</w:t>
            </w:r>
          </w:p>
        </w:tc>
        <w:tc>
          <w:tcPr>
            <w:tcW w:w="365" w:type="pc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金额</w:t>
            </w:r>
          </w:p>
        </w:tc>
        <w:tc>
          <w:tcPr>
            <w:tcW w:w="736" w:type="pc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数量</w:t>
            </w:r>
          </w:p>
        </w:tc>
        <w:tc>
          <w:tcPr>
            <w:tcW w:w="793" w:type="pc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金额</w:t>
            </w:r>
          </w:p>
        </w:tc>
      </w:tr>
      <w:tr w:rsidR="00E20B54" w:rsidTr="009519F0">
        <w:trPr>
          <w:trHeight w:val="240"/>
        </w:trPr>
        <w:tc>
          <w:tcPr>
            <w:tcW w:w="1279"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董事长、副董事长</w:t>
            </w:r>
          </w:p>
        </w:tc>
        <w:tc>
          <w:tcPr>
            <w:tcW w:w="365"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365"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365"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365"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365"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365"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736"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256,000.00</w:t>
            </w:r>
          </w:p>
        </w:tc>
        <w:tc>
          <w:tcPr>
            <w:tcW w:w="793"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4,072,960.00</w:t>
            </w:r>
          </w:p>
        </w:tc>
      </w:tr>
      <w:tr w:rsidR="00E20B54" w:rsidTr="009519F0">
        <w:trPr>
          <w:trHeight w:val="240"/>
        </w:trPr>
        <w:tc>
          <w:tcPr>
            <w:tcW w:w="1279"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董事、高管及核心员工</w:t>
            </w:r>
          </w:p>
        </w:tc>
        <w:tc>
          <w:tcPr>
            <w:tcW w:w="365"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365"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365"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365"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365"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365"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736"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884,445.00</w:t>
            </w:r>
          </w:p>
        </w:tc>
        <w:tc>
          <w:tcPr>
            <w:tcW w:w="793"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14,071,519.95</w:t>
            </w:r>
          </w:p>
        </w:tc>
      </w:tr>
      <w:tr w:rsidR="00E20B54" w:rsidTr="009519F0">
        <w:trPr>
          <w:trHeight w:val="240"/>
        </w:trPr>
        <w:tc>
          <w:tcPr>
            <w:tcW w:w="1279" w:type="pc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合计</w:t>
            </w:r>
          </w:p>
        </w:tc>
        <w:tc>
          <w:tcPr>
            <w:tcW w:w="365"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365"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365"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365"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365"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365"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736"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1,140,445.00</w:t>
            </w:r>
          </w:p>
        </w:tc>
        <w:tc>
          <w:tcPr>
            <w:tcW w:w="793"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18,144,479.95</w:t>
            </w:r>
          </w:p>
        </w:tc>
      </w:tr>
    </w:tbl>
    <w:p w:rsidR="00E20B54" w:rsidRDefault="00733C9E">
      <w:pPr>
        <w:spacing w:before="100" w:after="100" w:line="240" w:lineRule="exact"/>
        <w:rPr>
          <w:sz w:val="18"/>
          <w:szCs w:val="18"/>
        </w:rPr>
      </w:pPr>
      <w:r>
        <w:rPr>
          <w:sz w:val="18"/>
          <w:szCs w:val="18"/>
        </w:rPr>
        <w:t>期末发行在外的股票期权或其他权益工具</w:t>
      </w:r>
    </w:p>
    <w:p w:rsidR="00E20B54" w:rsidRDefault="00733C9E">
      <w:pPr>
        <w:spacing w:before="100" w:after="100" w:line="240" w:lineRule="exact"/>
        <w:rPr>
          <w:sz w:val="18"/>
          <w:szCs w:val="18"/>
        </w:rPr>
      </w:pPr>
      <w:r>
        <w:rPr>
          <w:sz w:val="18"/>
          <w:szCs w:val="18"/>
        </w:rPr>
        <w:sym w:font="Wingdings 2" w:char="F052"/>
      </w:r>
      <w:r>
        <w:rPr>
          <w:sz w:val="18"/>
          <w:szCs w:val="18"/>
        </w:rPr>
        <w:t>适用</w:t>
      </w:r>
      <w:r>
        <w:rPr>
          <w:sz w:val="18"/>
          <w:szCs w:val="18"/>
        </w:rPr>
        <w:t xml:space="preserve"> □</w:t>
      </w:r>
      <w:r>
        <w:rPr>
          <w:sz w:val="18"/>
          <w:szCs w:val="18"/>
        </w:rPr>
        <w:t>不适用</w:t>
      </w:r>
    </w:p>
    <w:p w:rsidR="00E20B54" w:rsidRDefault="00E20B54">
      <w:pPr>
        <w:spacing w:line="0" w:lineRule="atLeast"/>
      </w:pPr>
    </w:p>
    <w:tbl>
      <w:tblPr>
        <w:tblW w:w="5000" w:type="pct"/>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802"/>
        <w:gridCol w:w="2049"/>
        <w:gridCol w:w="2152"/>
        <w:gridCol w:w="2049"/>
        <w:gridCol w:w="1801"/>
      </w:tblGrid>
      <w:tr w:rsidR="00E20B54" w:rsidTr="009519F0">
        <w:trPr>
          <w:trHeight w:val="240"/>
        </w:trPr>
        <w:tc>
          <w:tcPr>
            <w:tcW w:w="914" w:type="pct"/>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授予对象类别</w:t>
            </w:r>
          </w:p>
        </w:tc>
        <w:tc>
          <w:tcPr>
            <w:tcW w:w="2132" w:type="pct"/>
            <w:gridSpan w:val="2"/>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期末发行在外的股票期权</w:t>
            </w:r>
          </w:p>
        </w:tc>
        <w:tc>
          <w:tcPr>
            <w:tcW w:w="1954" w:type="pct"/>
            <w:gridSpan w:val="2"/>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期末发行在外的其他权益工具</w:t>
            </w:r>
          </w:p>
        </w:tc>
      </w:tr>
      <w:tr w:rsidR="00E20B54" w:rsidTr="009519F0">
        <w:trPr>
          <w:trHeight w:val="240"/>
        </w:trPr>
        <w:tc>
          <w:tcPr>
            <w:tcW w:w="914" w:type="pct"/>
            <w:vMerge/>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c>
          <w:tcPr>
            <w:tcW w:w="1040" w:type="pc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行权价格的范围</w:t>
            </w:r>
          </w:p>
        </w:tc>
        <w:tc>
          <w:tcPr>
            <w:tcW w:w="1092" w:type="pc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合同剩余期限</w:t>
            </w:r>
          </w:p>
        </w:tc>
        <w:tc>
          <w:tcPr>
            <w:tcW w:w="1040" w:type="pc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行权价格的范围</w:t>
            </w:r>
          </w:p>
        </w:tc>
        <w:tc>
          <w:tcPr>
            <w:tcW w:w="914" w:type="pc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合同剩余期限</w:t>
            </w:r>
          </w:p>
        </w:tc>
      </w:tr>
      <w:tr w:rsidR="00E20B54" w:rsidTr="009519F0">
        <w:trPr>
          <w:trHeight w:val="240"/>
        </w:trPr>
        <w:tc>
          <w:tcPr>
            <w:tcW w:w="914"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股票期权</w:t>
            </w:r>
          </w:p>
        </w:tc>
        <w:tc>
          <w:tcPr>
            <w:tcW w:w="1040"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15.81</w:t>
            </w:r>
          </w:p>
        </w:tc>
        <w:tc>
          <w:tcPr>
            <w:tcW w:w="1092"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12</w:t>
            </w:r>
            <w:r>
              <w:rPr>
                <w:sz w:val="18"/>
                <w:szCs w:val="18"/>
              </w:rPr>
              <w:t>个月、</w:t>
            </w:r>
            <w:r>
              <w:rPr>
                <w:sz w:val="18"/>
                <w:szCs w:val="18"/>
              </w:rPr>
              <w:t>21</w:t>
            </w:r>
            <w:r>
              <w:rPr>
                <w:sz w:val="18"/>
                <w:szCs w:val="18"/>
              </w:rPr>
              <w:t>个月</w:t>
            </w:r>
          </w:p>
        </w:tc>
        <w:tc>
          <w:tcPr>
            <w:tcW w:w="1040"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rPr>
                <w:sz w:val="18"/>
                <w:szCs w:val="18"/>
              </w:rPr>
            </w:pPr>
          </w:p>
        </w:tc>
        <w:tc>
          <w:tcPr>
            <w:tcW w:w="914" w:type="pct"/>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rPr>
                <w:sz w:val="18"/>
                <w:szCs w:val="18"/>
              </w:rPr>
            </w:pPr>
          </w:p>
        </w:tc>
      </w:tr>
    </w:tbl>
    <w:p w:rsidR="00E20B54" w:rsidRDefault="00733C9E">
      <w:pPr>
        <w:spacing w:before="100" w:after="100" w:line="240" w:lineRule="exact"/>
        <w:rPr>
          <w:sz w:val="18"/>
          <w:szCs w:val="18"/>
        </w:rPr>
      </w:pPr>
      <w:r>
        <w:rPr>
          <w:sz w:val="18"/>
          <w:szCs w:val="18"/>
        </w:rPr>
        <w:t>其他说明：</w:t>
      </w:r>
      <w:r w:rsidR="009519F0">
        <w:rPr>
          <w:rFonts w:hint="eastAsia"/>
          <w:sz w:val="18"/>
          <w:szCs w:val="18"/>
        </w:rPr>
        <w:t>无。</w:t>
      </w:r>
    </w:p>
    <w:p w:rsidR="00E20B54" w:rsidRDefault="00733C9E">
      <w:pPr>
        <w:pStyle w:val="3"/>
        <w:spacing w:line="280" w:lineRule="exact"/>
        <w:jc w:val="left"/>
        <w:rPr>
          <w:b/>
          <w:bCs/>
        </w:rPr>
      </w:pPr>
      <w:bookmarkStart w:id="462" w:name="_Toc989350"/>
      <w:r>
        <w:rPr>
          <w:b/>
          <w:bCs/>
        </w:rPr>
        <w:t>2</w:t>
      </w:r>
      <w:r>
        <w:rPr>
          <w:b/>
          <w:bCs/>
        </w:rPr>
        <w:t>、以权益结算的股份支付情况</w:t>
      </w:r>
      <w:bookmarkEnd w:id="462"/>
    </w:p>
    <w:p w:rsidR="00E20B54" w:rsidRDefault="00733C9E">
      <w:pPr>
        <w:spacing w:before="40" w:after="40" w:line="240" w:lineRule="exact"/>
        <w:rPr>
          <w:sz w:val="18"/>
          <w:szCs w:val="18"/>
        </w:rPr>
      </w:pPr>
      <w:r>
        <w:rPr>
          <w:sz w:val="18"/>
          <w:szCs w:val="18"/>
        </w:rPr>
        <w:sym w:font="Wingdings 2" w:char="F052"/>
      </w:r>
      <w:r>
        <w:rPr>
          <w:sz w:val="18"/>
          <w:szCs w:val="18"/>
        </w:rPr>
        <w:t>适用</w:t>
      </w:r>
      <w:r>
        <w:rPr>
          <w:sz w:val="18"/>
          <w:szCs w:val="18"/>
        </w:rPr>
        <w:t xml:space="preserve"> □</w:t>
      </w:r>
      <w:r>
        <w:rPr>
          <w:sz w:val="18"/>
          <w:szCs w:val="18"/>
        </w:rPr>
        <w:t>不适用</w:t>
      </w:r>
    </w:p>
    <w:p w:rsidR="00E20B54" w:rsidRDefault="00733C9E">
      <w:pPr>
        <w:spacing w:before="120" w:after="120" w:line="240" w:lineRule="exact"/>
        <w:jc w:val="right"/>
        <w:rPr>
          <w:sz w:val="18"/>
          <w:szCs w:val="18"/>
        </w:rPr>
      </w:pPr>
      <w:r>
        <w:rPr>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4820"/>
        <w:gridCol w:w="4819"/>
      </w:tblGrid>
      <w:tr w:rsidR="00E20B54">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授予日权益工具公允价值的确定方法</w:t>
            </w:r>
          </w:p>
        </w:tc>
        <w:tc>
          <w:tcPr>
            <w:tcW w:w="482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股票期权为</w:t>
            </w:r>
            <w:r>
              <w:rPr>
                <w:sz w:val="18"/>
                <w:szCs w:val="18"/>
              </w:rPr>
              <w:t xml:space="preserve"> BS </w:t>
            </w:r>
            <w:r>
              <w:rPr>
                <w:sz w:val="18"/>
                <w:szCs w:val="18"/>
              </w:rPr>
              <w:t>模型、授予日收盘价与授予价格之间的差额作为限制性股票的公允价值</w:t>
            </w:r>
          </w:p>
        </w:tc>
      </w:tr>
      <w:tr w:rsidR="00E20B54">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授予日权益工具公允价值的重要参数</w:t>
            </w:r>
          </w:p>
        </w:tc>
        <w:tc>
          <w:tcPr>
            <w:tcW w:w="482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历史波动率、无风险收益率、股息率</w:t>
            </w:r>
          </w:p>
        </w:tc>
      </w:tr>
      <w:tr w:rsidR="00E20B54">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可行权权益工具数量的确定依据</w:t>
            </w:r>
          </w:p>
        </w:tc>
        <w:tc>
          <w:tcPr>
            <w:tcW w:w="482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管理层预计未来可行权人员及数量</w:t>
            </w:r>
          </w:p>
        </w:tc>
      </w:tr>
      <w:tr w:rsidR="00E20B54">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本期估计与上期估计有重大差异的原因</w:t>
            </w:r>
          </w:p>
        </w:tc>
        <w:tc>
          <w:tcPr>
            <w:tcW w:w="482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无</w:t>
            </w:r>
          </w:p>
        </w:tc>
      </w:tr>
      <w:tr w:rsidR="00E20B54">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以权益结算的股份支付计入资本公积的累计金额</w:t>
            </w:r>
          </w:p>
        </w:tc>
        <w:tc>
          <w:tcPr>
            <w:tcW w:w="482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26,045,308.65</w:t>
            </w:r>
          </w:p>
        </w:tc>
      </w:tr>
      <w:tr w:rsidR="00E20B54">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本期以权益结算的股份支付确认的费用总额</w:t>
            </w:r>
          </w:p>
        </w:tc>
        <w:tc>
          <w:tcPr>
            <w:tcW w:w="482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11,367,836.90</w:t>
            </w:r>
          </w:p>
        </w:tc>
      </w:tr>
    </w:tbl>
    <w:p w:rsidR="00E20B54" w:rsidRDefault="00733C9E">
      <w:pPr>
        <w:spacing w:before="100" w:after="100" w:line="240" w:lineRule="exact"/>
        <w:rPr>
          <w:sz w:val="18"/>
          <w:szCs w:val="18"/>
        </w:rPr>
      </w:pPr>
      <w:r>
        <w:rPr>
          <w:sz w:val="18"/>
          <w:szCs w:val="18"/>
        </w:rPr>
        <w:t>其他说明：</w:t>
      </w:r>
      <w:r w:rsidR="00E83600">
        <w:rPr>
          <w:rFonts w:hint="eastAsia"/>
          <w:sz w:val="18"/>
          <w:szCs w:val="18"/>
        </w:rPr>
        <w:t>无。</w:t>
      </w:r>
    </w:p>
    <w:p w:rsidR="00E20B54" w:rsidRDefault="00733C9E">
      <w:pPr>
        <w:pStyle w:val="3"/>
        <w:spacing w:line="280" w:lineRule="exact"/>
        <w:jc w:val="left"/>
        <w:rPr>
          <w:b/>
          <w:bCs/>
        </w:rPr>
      </w:pPr>
      <w:bookmarkStart w:id="463" w:name="_Toc989351"/>
      <w:r>
        <w:rPr>
          <w:b/>
          <w:bCs/>
        </w:rPr>
        <w:t>3</w:t>
      </w:r>
      <w:r>
        <w:rPr>
          <w:b/>
          <w:bCs/>
        </w:rPr>
        <w:t>、以现金结算的股份支付情况</w:t>
      </w:r>
      <w:bookmarkEnd w:id="463"/>
    </w:p>
    <w:p w:rsidR="00E20B54" w:rsidRDefault="00733C9E">
      <w:pPr>
        <w:spacing w:before="100" w:after="100" w:line="240" w:lineRule="exact"/>
        <w:rPr>
          <w:sz w:val="18"/>
          <w:szCs w:val="18"/>
        </w:rPr>
      </w:pPr>
      <w:r>
        <w:rPr>
          <w:sz w:val="18"/>
          <w:szCs w:val="18"/>
        </w:rPr>
        <w:t>□</w:t>
      </w:r>
      <w:r>
        <w:rPr>
          <w:sz w:val="18"/>
          <w:szCs w:val="18"/>
        </w:rPr>
        <w:t>适用</w:t>
      </w:r>
      <w:r>
        <w:rPr>
          <w:sz w:val="18"/>
          <w:szCs w:val="18"/>
        </w:rPr>
        <w:t xml:space="preserve"> </w:t>
      </w:r>
      <w:r>
        <w:rPr>
          <w:sz w:val="18"/>
          <w:szCs w:val="18"/>
        </w:rPr>
        <w:sym w:font="Wingdings 2" w:char="F052"/>
      </w:r>
      <w:r>
        <w:rPr>
          <w:sz w:val="18"/>
          <w:szCs w:val="18"/>
        </w:rPr>
        <w:t>不适用</w:t>
      </w:r>
    </w:p>
    <w:p w:rsidR="00E20B54" w:rsidRDefault="00733C9E">
      <w:pPr>
        <w:pStyle w:val="3"/>
        <w:spacing w:line="280" w:lineRule="exact"/>
        <w:jc w:val="left"/>
        <w:rPr>
          <w:b/>
          <w:bCs/>
        </w:rPr>
      </w:pPr>
      <w:bookmarkStart w:id="464" w:name="_Toc989352"/>
      <w:r>
        <w:rPr>
          <w:b/>
          <w:bCs/>
        </w:rPr>
        <w:t>4</w:t>
      </w:r>
      <w:r>
        <w:rPr>
          <w:b/>
          <w:bCs/>
        </w:rPr>
        <w:t>、本期股份支付费用</w:t>
      </w:r>
      <w:bookmarkEnd w:id="464"/>
    </w:p>
    <w:p w:rsidR="00E20B54" w:rsidRDefault="00733C9E">
      <w:pPr>
        <w:spacing w:before="100" w:after="100" w:line="240" w:lineRule="exact"/>
        <w:rPr>
          <w:sz w:val="18"/>
          <w:szCs w:val="18"/>
        </w:rPr>
      </w:pPr>
      <w:r>
        <w:rPr>
          <w:sz w:val="18"/>
          <w:szCs w:val="18"/>
        </w:rPr>
        <w:sym w:font="Wingdings 2" w:char="F052"/>
      </w:r>
      <w:r>
        <w:rPr>
          <w:sz w:val="18"/>
          <w:szCs w:val="18"/>
        </w:rPr>
        <w:t>适用</w:t>
      </w:r>
      <w:r>
        <w:rPr>
          <w:sz w:val="18"/>
          <w:szCs w:val="18"/>
        </w:rPr>
        <w:t xml:space="preserve"> □</w:t>
      </w:r>
      <w:r>
        <w:rPr>
          <w:sz w:val="18"/>
          <w:szCs w:val="18"/>
        </w:rPr>
        <w:t>不适用</w:t>
      </w:r>
    </w:p>
    <w:p w:rsidR="00E20B54" w:rsidRDefault="00733C9E">
      <w:pPr>
        <w:spacing w:before="120" w:after="120" w:line="240" w:lineRule="exact"/>
        <w:jc w:val="right"/>
        <w:rPr>
          <w:sz w:val="18"/>
          <w:szCs w:val="18"/>
        </w:rPr>
      </w:pPr>
      <w:r>
        <w:rPr>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授予对象类别</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以权益结算的股份支付费用</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以现金结算的股份支付费用</w:t>
            </w:r>
          </w:p>
        </w:tc>
      </w:tr>
      <w:tr w:rsidR="00E20B54" w:rsidTr="000B0C8B">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9D9D9" w:themeFill="background1" w:themeFillShade="D9"/>
            <w:vAlign w:val="center"/>
          </w:tcPr>
          <w:p w:rsidR="00E20B54" w:rsidRDefault="00733C9E">
            <w:pPr>
              <w:spacing w:line="240" w:lineRule="exact"/>
              <w:rPr>
                <w:sz w:val="18"/>
                <w:szCs w:val="18"/>
              </w:rPr>
            </w:pPr>
            <w:r>
              <w:rPr>
                <w:sz w:val="18"/>
                <w:szCs w:val="18"/>
              </w:rPr>
              <w:t>高管及核心员工</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11,367,836.90</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合计</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11,367,836.90</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bl>
    <w:p w:rsidR="00E20B54" w:rsidRDefault="00733C9E">
      <w:pPr>
        <w:spacing w:before="100" w:after="100" w:line="240" w:lineRule="exact"/>
        <w:rPr>
          <w:sz w:val="18"/>
          <w:szCs w:val="18"/>
        </w:rPr>
      </w:pPr>
      <w:r>
        <w:rPr>
          <w:sz w:val="18"/>
          <w:szCs w:val="18"/>
        </w:rPr>
        <w:lastRenderedPageBreak/>
        <w:t>其他说明：</w:t>
      </w:r>
      <w:r w:rsidR="00F10ED6">
        <w:rPr>
          <w:rFonts w:hint="eastAsia"/>
          <w:sz w:val="18"/>
          <w:szCs w:val="18"/>
        </w:rPr>
        <w:t>无。</w:t>
      </w:r>
    </w:p>
    <w:p w:rsidR="00E20B54" w:rsidRDefault="00733C9E">
      <w:pPr>
        <w:pStyle w:val="3"/>
        <w:spacing w:line="280" w:lineRule="exact"/>
        <w:jc w:val="left"/>
        <w:rPr>
          <w:b/>
          <w:bCs/>
        </w:rPr>
      </w:pPr>
      <w:bookmarkStart w:id="465" w:name="_Toc989353"/>
      <w:r>
        <w:rPr>
          <w:b/>
          <w:bCs/>
        </w:rPr>
        <w:t>5</w:t>
      </w:r>
      <w:r>
        <w:rPr>
          <w:b/>
          <w:bCs/>
        </w:rPr>
        <w:t>、股份支付的修改、终止情况</w:t>
      </w:r>
      <w:bookmarkEnd w:id="465"/>
    </w:p>
    <w:p w:rsidR="00E20B54" w:rsidRDefault="00733C9E">
      <w:pPr>
        <w:pStyle w:val="a3"/>
        <w:widowControl/>
      </w:pPr>
      <w:r>
        <w:rPr>
          <w:sz w:val="18"/>
          <w:szCs w:val="18"/>
        </w:rPr>
        <w:t>无</w:t>
      </w:r>
    </w:p>
    <w:p w:rsidR="00E20B54" w:rsidRDefault="00733C9E">
      <w:pPr>
        <w:pStyle w:val="3"/>
        <w:spacing w:line="280" w:lineRule="exact"/>
        <w:jc w:val="left"/>
        <w:rPr>
          <w:b/>
          <w:bCs/>
        </w:rPr>
      </w:pPr>
      <w:bookmarkStart w:id="466" w:name="_Toc989354"/>
      <w:r>
        <w:rPr>
          <w:b/>
          <w:bCs/>
        </w:rPr>
        <w:t>6</w:t>
      </w:r>
      <w:r>
        <w:rPr>
          <w:b/>
          <w:bCs/>
        </w:rPr>
        <w:t>、其他</w:t>
      </w:r>
      <w:r>
        <w:rPr>
          <w:b/>
          <w:bCs/>
        </w:rPr>
        <w:t xml:space="preserve"> </w:t>
      </w:r>
      <w:bookmarkEnd w:id="466"/>
    </w:p>
    <w:p w:rsidR="00E20B54" w:rsidRDefault="00733C9E">
      <w:pPr>
        <w:pStyle w:val="2"/>
        <w:spacing w:before="300" w:after="300" w:line="320" w:lineRule="exact"/>
        <w:rPr>
          <w:b/>
          <w:bCs/>
          <w:sz w:val="24"/>
          <w:szCs w:val="24"/>
        </w:rPr>
      </w:pPr>
      <w:bookmarkStart w:id="467" w:name="_Toc989355"/>
      <w:r>
        <w:rPr>
          <w:b/>
          <w:bCs/>
          <w:sz w:val="24"/>
          <w:szCs w:val="24"/>
        </w:rPr>
        <w:t>十六、承诺及或有事项</w:t>
      </w:r>
      <w:bookmarkEnd w:id="467"/>
    </w:p>
    <w:p w:rsidR="00E20B54" w:rsidRDefault="00733C9E">
      <w:pPr>
        <w:pStyle w:val="3"/>
        <w:spacing w:line="280" w:lineRule="exact"/>
        <w:jc w:val="left"/>
        <w:rPr>
          <w:b/>
          <w:bCs/>
        </w:rPr>
      </w:pPr>
      <w:bookmarkStart w:id="468" w:name="_Toc989356"/>
      <w:r>
        <w:rPr>
          <w:b/>
          <w:bCs/>
        </w:rPr>
        <w:t>1</w:t>
      </w:r>
      <w:r>
        <w:rPr>
          <w:b/>
          <w:bCs/>
        </w:rPr>
        <w:t>、重要承诺事项</w:t>
      </w:r>
      <w:bookmarkEnd w:id="468"/>
    </w:p>
    <w:p w:rsidR="00E20B54" w:rsidRDefault="00733C9E">
      <w:pPr>
        <w:spacing w:before="100" w:after="100" w:line="240" w:lineRule="exact"/>
        <w:rPr>
          <w:sz w:val="18"/>
          <w:szCs w:val="18"/>
        </w:rPr>
      </w:pPr>
      <w:r>
        <w:rPr>
          <w:sz w:val="18"/>
          <w:szCs w:val="18"/>
        </w:rPr>
        <w:t>资产负债表日存在的重要承诺</w:t>
      </w:r>
    </w:p>
    <w:p w:rsidR="00E20B54" w:rsidRDefault="00733C9E">
      <w:pPr>
        <w:pStyle w:val="a3"/>
        <w:widowControl/>
        <w:spacing w:beforeAutospacing="0" w:afterAutospacing="0" w:line="360" w:lineRule="auto"/>
        <w:ind w:firstLine="420"/>
        <w:jc w:val="both"/>
        <w:rPr>
          <w:sz w:val="21"/>
          <w:szCs w:val="21"/>
        </w:rPr>
      </w:pPr>
      <w:r>
        <w:rPr>
          <w:sz w:val="21"/>
          <w:szCs w:val="21"/>
        </w:rPr>
        <w:t>资产负债表日不存在对外重要承诺事项。</w:t>
      </w:r>
    </w:p>
    <w:p w:rsidR="00E20B54" w:rsidRDefault="00733C9E">
      <w:pPr>
        <w:pStyle w:val="3"/>
        <w:spacing w:line="280" w:lineRule="exact"/>
        <w:jc w:val="left"/>
        <w:rPr>
          <w:b/>
          <w:bCs/>
        </w:rPr>
      </w:pPr>
      <w:bookmarkStart w:id="469" w:name="_Toc989357"/>
      <w:r>
        <w:rPr>
          <w:b/>
          <w:bCs/>
        </w:rPr>
        <w:t>2</w:t>
      </w:r>
      <w:r>
        <w:rPr>
          <w:b/>
          <w:bCs/>
        </w:rPr>
        <w:t>、或有事项</w:t>
      </w:r>
      <w:bookmarkEnd w:id="469"/>
    </w:p>
    <w:p w:rsidR="00E20B54" w:rsidRDefault="00733C9E">
      <w:pPr>
        <w:keepNext/>
        <w:keepLines/>
        <w:spacing w:before="300" w:after="300" w:line="280" w:lineRule="exact"/>
        <w:outlineLvl w:val="3"/>
        <w:rPr>
          <w:b/>
          <w:bCs/>
          <w:szCs w:val="21"/>
        </w:rPr>
      </w:pPr>
      <w:bookmarkStart w:id="470" w:name="_Toc989358"/>
      <w:r>
        <w:rPr>
          <w:b/>
          <w:bCs/>
          <w:szCs w:val="21"/>
        </w:rPr>
        <w:t>（</w:t>
      </w:r>
      <w:r>
        <w:rPr>
          <w:b/>
          <w:bCs/>
          <w:szCs w:val="21"/>
        </w:rPr>
        <w:t>1</w:t>
      </w:r>
      <w:r>
        <w:rPr>
          <w:b/>
          <w:bCs/>
          <w:szCs w:val="21"/>
        </w:rPr>
        <w:t>）</w:t>
      </w:r>
      <w:r>
        <w:rPr>
          <w:b/>
          <w:bCs/>
          <w:szCs w:val="21"/>
        </w:rPr>
        <w:t xml:space="preserve"> </w:t>
      </w:r>
      <w:r>
        <w:rPr>
          <w:b/>
          <w:bCs/>
          <w:szCs w:val="21"/>
        </w:rPr>
        <w:t>资产负债表日存在的重要或有事项</w:t>
      </w:r>
      <w:bookmarkEnd w:id="470"/>
    </w:p>
    <w:p w:rsidR="00E20B54" w:rsidRDefault="00733C9E">
      <w:pPr>
        <w:pStyle w:val="a3"/>
        <w:widowControl/>
        <w:spacing w:beforeAutospacing="0" w:afterAutospacing="0" w:line="360" w:lineRule="auto"/>
        <w:ind w:firstLine="420"/>
        <w:jc w:val="both"/>
        <w:rPr>
          <w:sz w:val="21"/>
          <w:szCs w:val="21"/>
        </w:rPr>
      </w:pPr>
      <w:r>
        <w:rPr>
          <w:sz w:val="21"/>
          <w:szCs w:val="21"/>
        </w:rPr>
        <w:t>截至</w:t>
      </w:r>
      <w:r>
        <w:rPr>
          <w:sz w:val="21"/>
          <w:szCs w:val="21"/>
        </w:rPr>
        <w:t>2025</w:t>
      </w:r>
      <w:r>
        <w:rPr>
          <w:sz w:val="21"/>
          <w:szCs w:val="21"/>
        </w:rPr>
        <w:t>年</w:t>
      </w:r>
      <w:r>
        <w:rPr>
          <w:sz w:val="21"/>
          <w:szCs w:val="21"/>
        </w:rPr>
        <w:t>12</w:t>
      </w:r>
      <w:r>
        <w:rPr>
          <w:sz w:val="21"/>
          <w:szCs w:val="21"/>
        </w:rPr>
        <w:t>月</w:t>
      </w:r>
      <w:r>
        <w:rPr>
          <w:sz w:val="21"/>
          <w:szCs w:val="21"/>
        </w:rPr>
        <w:t>31</w:t>
      </w:r>
      <w:r>
        <w:rPr>
          <w:sz w:val="21"/>
          <w:szCs w:val="21"/>
        </w:rPr>
        <w:t>日，本公司无需要披露的重大或有事项。</w:t>
      </w:r>
    </w:p>
    <w:p w:rsidR="00E20B54" w:rsidRDefault="00733C9E">
      <w:pPr>
        <w:keepNext/>
        <w:keepLines/>
        <w:spacing w:before="300" w:after="300" w:line="280" w:lineRule="exact"/>
        <w:outlineLvl w:val="3"/>
        <w:rPr>
          <w:b/>
          <w:bCs/>
          <w:szCs w:val="21"/>
        </w:rPr>
      </w:pPr>
      <w:bookmarkStart w:id="471" w:name="_Toc989359"/>
      <w:r>
        <w:rPr>
          <w:b/>
          <w:bCs/>
          <w:szCs w:val="21"/>
        </w:rPr>
        <w:t>（</w:t>
      </w:r>
      <w:r>
        <w:rPr>
          <w:b/>
          <w:bCs/>
          <w:szCs w:val="21"/>
        </w:rPr>
        <w:t>2</w:t>
      </w:r>
      <w:r>
        <w:rPr>
          <w:b/>
          <w:bCs/>
          <w:szCs w:val="21"/>
        </w:rPr>
        <w:t>）</w:t>
      </w:r>
      <w:r>
        <w:rPr>
          <w:b/>
          <w:bCs/>
          <w:szCs w:val="21"/>
        </w:rPr>
        <w:t xml:space="preserve"> </w:t>
      </w:r>
      <w:r>
        <w:rPr>
          <w:b/>
          <w:bCs/>
          <w:szCs w:val="21"/>
        </w:rPr>
        <w:t>公司没有需要披露的重要或有事项，也应予以说明</w:t>
      </w:r>
      <w:bookmarkEnd w:id="471"/>
    </w:p>
    <w:p w:rsidR="00E20B54" w:rsidRDefault="00733C9E">
      <w:pPr>
        <w:spacing w:before="40" w:after="40" w:line="240" w:lineRule="exact"/>
        <w:rPr>
          <w:sz w:val="18"/>
          <w:szCs w:val="18"/>
        </w:rPr>
      </w:pPr>
      <w:r>
        <w:rPr>
          <w:sz w:val="18"/>
          <w:szCs w:val="18"/>
        </w:rPr>
        <w:t>公司不存在需要披露的重要或有事项。</w:t>
      </w:r>
    </w:p>
    <w:p w:rsidR="00E20B54" w:rsidRDefault="00733C9E">
      <w:pPr>
        <w:pStyle w:val="3"/>
        <w:spacing w:line="280" w:lineRule="exact"/>
        <w:jc w:val="left"/>
        <w:rPr>
          <w:b/>
          <w:bCs/>
        </w:rPr>
      </w:pPr>
      <w:bookmarkStart w:id="472" w:name="_Toc989360"/>
      <w:r>
        <w:rPr>
          <w:b/>
          <w:bCs/>
        </w:rPr>
        <w:t>3</w:t>
      </w:r>
      <w:r>
        <w:rPr>
          <w:b/>
          <w:bCs/>
        </w:rPr>
        <w:t>、其他</w:t>
      </w:r>
      <w:bookmarkEnd w:id="472"/>
    </w:p>
    <w:p w:rsidR="00E20B54" w:rsidRDefault="00733C9E">
      <w:pPr>
        <w:pStyle w:val="2"/>
        <w:spacing w:before="300" w:after="300" w:line="320" w:lineRule="exact"/>
        <w:rPr>
          <w:b/>
          <w:bCs/>
          <w:sz w:val="24"/>
          <w:szCs w:val="24"/>
        </w:rPr>
      </w:pPr>
      <w:bookmarkStart w:id="473" w:name="_Toc989361"/>
      <w:r>
        <w:rPr>
          <w:b/>
          <w:bCs/>
          <w:sz w:val="24"/>
          <w:szCs w:val="24"/>
        </w:rPr>
        <w:t>十七、资产负债表日后事项</w:t>
      </w:r>
      <w:bookmarkEnd w:id="473"/>
    </w:p>
    <w:p w:rsidR="00E20B54" w:rsidRDefault="00733C9E">
      <w:pPr>
        <w:pStyle w:val="3"/>
        <w:spacing w:line="280" w:lineRule="exact"/>
        <w:jc w:val="left"/>
        <w:rPr>
          <w:b/>
          <w:bCs/>
        </w:rPr>
      </w:pPr>
      <w:bookmarkStart w:id="474" w:name="_Toc989362"/>
      <w:r>
        <w:rPr>
          <w:b/>
          <w:bCs/>
        </w:rPr>
        <w:t>1</w:t>
      </w:r>
      <w:r>
        <w:rPr>
          <w:b/>
          <w:bCs/>
        </w:rPr>
        <w:t>、重要的非调整事项</w:t>
      </w:r>
      <w:bookmarkEnd w:id="474"/>
    </w:p>
    <w:p w:rsidR="00E20B54" w:rsidRDefault="00733C9E">
      <w:pPr>
        <w:spacing w:before="40" w:after="40" w:line="240" w:lineRule="exact"/>
        <w:jc w:val="right"/>
        <w:rPr>
          <w:sz w:val="18"/>
          <w:szCs w:val="18"/>
        </w:rPr>
      </w:pPr>
      <w:r>
        <w:rPr>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2409"/>
        <w:gridCol w:w="2410"/>
        <w:gridCol w:w="2410"/>
        <w:gridCol w:w="2410"/>
      </w:tblGrid>
      <w:tr w:rsidR="00E20B54">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项目</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内容</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对财务状况和经营成果的影响数</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无法估计影响数的原因</w:t>
            </w:r>
          </w:p>
        </w:tc>
      </w:tr>
    </w:tbl>
    <w:p w:rsidR="00E20B54" w:rsidRDefault="00733C9E">
      <w:pPr>
        <w:pStyle w:val="3"/>
        <w:spacing w:line="280" w:lineRule="exact"/>
        <w:jc w:val="left"/>
        <w:rPr>
          <w:b/>
          <w:bCs/>
        </w:rPr>
      </w:pPr>
      <w:bookmarkStart w:id="475" w:name="_Toc989363"/>
      <w:r>
        <w:rPr>
          <w:b/>
          <w:bCs/>
        </w:rPr>
        <w:t>2</w:t>
      </w:r>
      <w:r>
        <w:rPr>
          <w:b/>
          <w:bCs/>
        </w:rPr>
        <w:t>、利润分配情况</w:t>
      </w:r>
      <w:bookmarkEnd w:id="475"/>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4820"/>
        <w:gridCol w:w="4819"/>
      </w:tblGrid>
      <w:tr w:rsidR="00E20B54">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拟分配每</w:t>
            </w:r>
            <w:r>
              <w:rPr>
                <w:sz w:val="18"/>
                <w:szCs w:val="18"/>
              </w:rPr>
              <w:t>10</w:t>
            </w:r>
            <w:r>
              <w:rPr>
                <w:sz w:val="18"/>
                <w:szCs w:val="18"/>
              </w:rPr>
              <w:t>股派息数（元）</w:t>
            </w:r>
          </w:p>
        </w:tc>
        <w:tc>
          <w:tcPr>
            <w:tcW w:w="482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0.5</w:t>
            </w:r>
          </w:p>
        </w:tc>
      </w:tr>
      <w:tr w:rsidR="00E20B54">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拟分配每</w:t>
            </w:r>
            <w:r>
              <w:rPr>
                <w:sz w:val="18"/>
                <w:szCs w:val="18"/>
              </w:rPr>
              <w:t>10</w:t>
            </w:r>
            <w:r>
              <w:rPr>
                <w:sz w:val="18"/>
                <w:szCs w:val="18"/>
              </w:rPr>
              <w:t>股分红股（股）</w:t>
            </w:r>
          </w:p>
        </w:tc>
        <w:tc>
          <w:tcPr>
            <w:tcW w:w="482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w:t>
            </w:r>
          </w:p>
        </w:tc>
      </w:tr>
      <w:tr w:rsidR="00E20B54">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拟分配每</w:t>
            </w:r>
            <w:r>
              <w:rPr>
                <w:sz w:val="18"/>
                <w:szCs w:val="18"/>
              </w:rPr>
              <w:t>10</w:t>
            </w:r>
            <w:r>
              <w:rPr>
                <w:sz w:val="18"/>
                <w:szCs w:val="18"/>
              </w:rPr>
              <w:t>股转增数（股）</w:t>
            </w:r>
          </w:p>
        </w:tc>
        <w:tc>
          <w:tcPr>
            <w:tcW w:w="482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w:t>
            </w:r>
          </w:p>
        </w:tc>
      </w:tr>
      <w:tr w:rsidR="00E20B54">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经审议批准宣告发放的每</w:t>
            </w:r>
            <w:r>
              <w:rPr>
                <w:sz w:val="18"/>
                <w:szCs w:val="18"/>
              </w:rPr>
              <w:t>10</w:t>
            </w:r>
            <w:r>
              <w:rPr>
                <w:sz w:val="18"/>
                <w:szCs w:val="18"/>
              </w:rPr>
              <w:t>股派息数（元）</w:t>
            </w:r>
          </w:p>
        </w:tc>
        <w:tc>
          <w:tcPr>
            <w:tcW w:w="482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0.5</w:t>
            </w:r>
          </w:p>
        </w:tc>
      </w:tr>
      <w:tr w:rsidR="00E20B54">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经审议批准宣告发放的每</w:t>
            </w:r>
            <w:r>
              <w:rPr>
                <w:sz w:val="18"/>
                <w:szCs w:val="18"/>
              </w:rPr>
              <w:t>10</w:t>
            </w:r>
            <w:r>
              <w:rPr>
                <w:sz w:val="18"/>
                <w:szCs w:val="18"/>
              </w:rPr>
              <w:t>股分红股（股）</w:t>
            </w:r>
          </w:p>
        </w:tc>
        <w:tc>
          <w:tcPr>
            <w:tcW w:w="482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w:t>
            </w:r>
          </w:p>
        </w:tc>
      </w:tr>
      <w:tr w:rsidR="00E20B54">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经审议批准宣告发放的每</w:t>
            </w:r>
            <w:r>
              <w:rPr>
                <w:sz w:val="18"/>
                <w:szCs w:val="18"/>
              </w:rPr>
              <w:t>10</w:t>
            </w:r>
            <w:r>
              <w:rPr>
                <w:sz w:val="18"/>
                <w:szCs w:val="18"/>
              </w:rPr>
              <w:t>股转增数（股）</w:t>
            </w:r>
          </w:p>
        </w:tc>
        <w:tc>
          <w:tcPr>
            <w:tcW w:w="482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w:t>
            </w:r>
          </w:p>
        </w:tc>
      </w:tr>
      <w:tr w:rsidR="00E20B54">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利润分配方案</w:t>
            </w:r>
          </w:p>
        </w:tc>
        <w:tc>
          <w:tcPr>
            <w:tcW w:w="482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2025</w:t>
            </w:r>
            <w:r>
              <w:rPr>
                <w:sz w:val="18"/>
                <w:szCs w:val="18"/>
              </w:rPr>
              <w:t>年度以</w:t>
            </w:r>
            <w:r>
              <w:rPr>
                <w:sz w:val="18"/>
                <w:szCs w:val="18"/>
              </w:rPr>
              <w:t>2025</w:t>
            </w:r>
            <w:r>
              <w:rPr>
                <w:sz w:val="18"/>
                <w:szCs w:val="18"/>
              </w:rPr>
              <w:t>年</w:t>
            </w:r>
            <w:r>
              <w:rPr>
                <w:sz w:val="18"/>
                <w:szCs w:val="18"/>
              </w:rPr>
              <w:t>12</w:t>
            </w:r>
            <w:r>
              <w:rPr>
                <w:sz w:val="18"/>
                <w:szCs w:val="18"/>
              </w:rPr>
              <w:t>月</w:t>
            </w:r>
            <w:r>
              <w:rPr>
                <w:sz w:val="18"/>
                <w:szCs w:val="18"/>
              </w:rPr>
              <w:t>31</w:t>
            </w:r>
            <w:r>
              <w:rPr>
                <w:sz w:val="18"/>
                <w:szCs w:val="18"/>
              </w:rPr>
              <w:t>日的总股本扣除回购账户所持有股份后的</w:t>
            </w:r>
            <w:r>
              <w:rPr>
                <w:sz w:val="18"/>
                <w:szCs w:val="18"/>
              </w:rPr>
              <w:t>65,628,660</w:t>
            </w:r>
            <w:r>
              <w:rPr>
                <w:sz w:val="18"/>
                <w:szCs w:val="18"/>
              </w:rPr>
              <w:t>股为基数，每</w:t>
            </w:r>
            <w:r>
              <w:rPr>
                <w:sz w:val="18"/>
                <w:szCs w:val="18"/>
              </w:rPr>
              <w:t>10</w:t>
            </w:r>
            <w:r>
              <w:rPr>
                <w:sz w:val="18"/>
                <w:szCs w:val="18"/>
              </w:rPr>
              <w:t>股派发现金</w:t>
            </w:r>
            <w:r>
              <w:rPr>
                <w:sz w:val="18"/>
                <w:szCs w:val="18"/>
              </w:rPr>
              <w:t>0.5</w:t>
            </w:r>
            <w:r>
              <w:rPr>
                <w:sz w:val="18"/>
                <w:szCs w:val="18"/>
              </w:rPr>
              <w:t>元，以资本公积金每</w:t>
            </w:r>
            <w:r>
              <w:rPr>
                <w:sz w:val="18"/>
                <w:szCs w:val="18"/>
              </w:rPr>
              <w:t>10</w:t>
            </w:r>
            <w:r>
              <w:rPr>
                <w:sz w:val="18"/>
                <w:szCs w:val="18"/>
              </w:rPr>
              <w:t>股转增</w:t>
            </w:r>
            <w:r>
              <w:rPr>
                <w:sz w:val="18"/>
                <w:szCs w:val="18"/>
              </w:rPr>
              <w:t>4</w:t>
            </w:r>
            <w:r>
              <w:rPr>
                <w:sz w:val="18"/>
                <w:szCs w:val="18"/>
              </w:rPr>
              <w:t>股，不送红股。本次预计</w:t>
            </w:r>
            <w:r>
              <w:rPr>
                <w:sz w:val="18"/>
                <w:szCs w:val="18"/>
              </w:rPr>
              <w:lastRenderedPageBreak/>
              <w:t>现金分红总额</w:t>
            </w:r>
            <w:r>
              <w:rPr>
                <w:sz w:val="18"/>
                <w:szCs w:val="18"/>
              </w:rPr>
              <w:t>3,281,433.00</w:t>
            </w:r>
            <w:r>
              <w:rPr>
                <w:sz w:val="18"/>
                <w:szCs w:val="18"/>
              </w:rPr>
              <w:t>元（含税）；资本公积金转增后，公司总股本将由</w:t>
            </w:r>
            <w:r>
              <w:rPr>
                <w:sz w:val="18"/>
                <w:szCs w:val="18"/>
              </w:rPr>
              <w:t>66,852,800</w:t>
            </w:r>
            <w:r>
              <w:rPr>
                <w:sz w:val="18"/>
                <w:szCs w:val="18"/>
              </w:rPr>
              <w:t>股增加至</w:t>
            </w:r>
            <w:r>
              <w:rPr>
                <w:sz w:val="18"/>
                <w:szCs w:val="18"/>
              </w:rPr>
              <w:t>93,104,264</w:t>
            </w:r>
            <w:r>
              <w:rPr>
                <w:sz w:val="18"/>
                <w:szCs w:val="18"/>
              </w:rPr>
              <w:t>股。本方案尚需提交股东会审议通过后方可实施。</w:t>
            </w:r>
          </w:p>
        </w:tc>
      </w:tr>
    </w:tbl>
    <w:p w:rsidR="00E20B54" w:rsidRDefault="00733C9E" w:rsidP="00F10ED6">
      <w:pPr>
        <w:pStyle w:val="3"/>
        <w:spacing w:beforeLines="50" w:before="156" w:afterLines="50" w:after="156" w:line="240" w:lineRule="auto"/>
        <w:jc w:val="left"/>
        <w:rPr>
          <w:b/>
          <w:bCs/>
        </w:rPr>
      </w:pPr>
      <w:bookmarkStart w:id="476" w:name="_Toc989364"/>
      <w:r>
        <w:rPr>
          <w:b/>
          <w:bCs/>
        </w:rPr>
        <w:lastRenderedPageBreak/>
        <w:t>3</w:t>
      </w:r>
      <w:r>
        <w:rPr>
          <w:b/>
          <w:bCs/>
        </w:rPr>
        <w:t>、销售退回</w:t>
      </w:r>
      <w:bookmarkEnd w:id="476"/>
    </w:p>
    <w:p w:rsidR="00E20B54" w:rsidRDefault="00733C9E" w:rsidP="00F10ED6">
      <w:pPr>
        <w:pStyle w:val="3"/>
        <w:spacing w:beforeLines="50" w:before="156" w:afterLines="50" w:after="156" w:line="240" w:lineRule="auto"/>
        <w:jc w:val="left"/>
        <w:rPr>
          <w:b/>
          <w:bCs/>
        </w:rPr>
      </w:pPr>
      <w:bookmarkStart w:id="477" w:name="_Toc989365"/>
      <w:r>
        <w:rPr>
          <w:b/>
          <w:bCs/>
        </w:rPr>
        <w:t>4</w:t>
      </w:r>
      <w:r>
        <w:rPr>
          <w:b/>
          <w:bCs/>
        </w:rPr>
        <w:t>、其他资产负债表日后事项说明</w:t>
      </w:r>
      <w:bookmarkEnd w:id="477"/>
    </w:p>
    <w:p w:rsidR="00E20B54" w:rsidRDefault="00F10ED6" w:rsidP="00F10ED6">
      <w:pPr>
        <w:pStyle w:val="a3"/>
        <w:widowControl/>
        <w:spacing w:beforeLines="50" w:before="156" w:beforeAutospacing="0" w:afterLines="50" w:after="156" w:afterAutospacing="0"/>
        <w:ind w:firstLine="420"/>
        <w:jc w:val="both"/>
        <w:rPr>
          <w:sz w:val="21"/>
          <w:szCs w:val="21"/>
        </w:rPr>
      </w:pPr>
      <w:r>
        <w:rPr>
          <w:rStyle w:val="a4"/>
          <w:rFonts w:hint="eastAsia"/>
          <w:sz w:val="21"/>
          <w:szCs w:val="21"/>
        </w:rPr>
        <w:t>①</w:t>
      </w:r>
      <w:r w:rsidR="00733C9E">
        <w:rPr>
          <w:rStyle w:val="a4"/>
          <w:sz w:val="21"/>
          <w:szCs w:val="21"/>
        </w:rPr>
        <w:t>重大资产重组</w:t>
      </w:r>
    </w:p>
    <w:p w:rsidR="00E20B54" w:rsidRDefault="00733C9E" w:rsidP="00F10ED6">
      <w:pPr>
        <w:pStyle w:val="a3"/>
        <w:widowControl/>
        <w:spacing w:beforeLines="50" w:before="156" w:beforeAutospacing="0" w:afterLines="50" w:after="156" w:afterAutospacing="0"/>
        <w:ind w:firstLine="420"/>
        <w:jc w:val="both"/>
        <w:rPr>
          <w:sz w:val="21"/>
          <w:szCs w:val="21"/>
        </w:rPr>
      </w:pPr>
      <w:r>
        <w:rPr>
          <w:sz w:val="21"/>
          <w:szCs w:val="21"/>
        </w:rPr>
        <w:t>本报告期内，</w:t>
      </w:r>
      <w:r>
        <w:rPr>
          <w:color w:val="000000"/>
          <w:sz w:val="21"/>
          <w:szCs w:val="21"/>
        </w:rPr>
        <w:t>公司筹划并实施通过发行股份及支付现金的方式购买广东星云开物科技股份有限公司</w:t>
      </w:r>
      <w:r>
        <w:rPr>
          <w:color w:val="000000"/>
          <w:sz w:val="21"/>
          <w:szCs w:val="21"/>
        </w:rPr>
        <w:t>98.5632%</w:t>
      </w:r>
      <w:r>
        <w:rPr>
          <w:color w:val="000000"/>
          <w:sz w:val="21"/>
          <w:szCs w:val="21"/>
        </w:rPr>
        <w:t>股权，并向实际控制人之一马学沛先生发行股份募集配套资金不超过</w:t>
      </w:r>
      <w:r>
        <w:rPr>
          <w:color w:val="000000"/>
          <w:sz w:val="21"/>
          <w:szCs w:val="21"/>
        </w:rPr>
        <w:t>1.55</w:t>
      </w:r>
      <w:r>
        <w:rPr>
          <w:color w:val="000000"/>
          <w:sz w:val="21"/>
          <w:szCs w:val="21"/>
        </w:rPr>
        <w:t>亿元</w:t>
      </w:r>
      <w:r>
        <w:rPr>
          <w:sz w:val="21"/>
          <w:szCs w:val="21"/>
        </w:rPr>
        <w:t>。</w:t>
      </w:r>
      <w:r>
        <w:rPr>
          <w:color w:val="000000"/>
          <w:sz w:val="21"/>
          <w:szCs w:val="21"/>
        </w:rPr>
        <w:t>根据《上市公司重大资产重组管理办法》相关规定，本次交易构成重大资产重组，不构成关联交易，不构成重组上市。</w:t>
      </w:r>
    </w:p>
    <w:p w:rsidR="00E20B54" w:rsidRDefault="00733C9E" w:rsidP="00F10ED6">
      <w:pPr>
        <w:pStyle w:val="a3"/>
        <w:widowControl/>
        <w:spacing w:beforeLines="50" w:before="156" w:beforeAutospacing="0" w:afterLines="50" w:after="156" w:afterAutospacing="0"/>
        <w:ind w:firstLine="420"/>
        <w:jc w:val="both"/>
        <w:rPr>
          <w:sz w:val="21"/>
          <w:szCs w:val="21"/>
        </w:rPr>
      </w:pPr>
      <w:r>
        <w:rPr>
          <w:sz w:val="21"/>
          <w:szCs w:val="21"/>
        </w:rPr>
        <w:t>公司于</w:t>
      </w:r>
      <w:r>
        <w:rPr>
          <w:sz w:val="21"/>
          <w:szCs w:val="21"/>
        </w:rPr>
        <w:t>2025</w:t>
      </w:r>
      <w:r>
        <w:rPr>
          <w:sz w:val="21"/>
          <w:szCs w:val="21"/>
        </w:rPr>
        <w:t>年</w:t>
      </w:r>
      <w:r>
        <w:rPr>
          <w:sz w:val="21"/>
          <w:szCs w:val="21"/>
        </w:rPr>
        <w:t>12</w:t>
      </w:r>
      <w:r>
        <w:rPr>
          <w:sz w:val="21"/>
          <w:szCs w:val="21"/>
        </w:rPr>
        <w:t>月收到深圳证券交易所出具的《关于广东天亿马信息产业股份有限公司发行股份及支付现金购买资产并募集配套资金申请的审核问询函》（审核函〔</w:t>
      </w:r>
      <w:r>
        <w:rPr>
          <w:sz w:val="21"/>
          <w:szCs w:val="21"/>
        </w:rPr>
        <w:t>2025</w:t>
      </w:r>
      <w:r>
        <w:rPr>
          <w:sz w:val="21"/>
          <w:szCs w:val="21"/>
        </w:rPr>
        <w:t>〕</w:t>
      </w:r>
      <w:r>
        <w:rPr>
          <w:sz w:val="21"/>
          <w:szCs w:val="21"/>
        </w:rPr>
        <w:t xml:space="preserve">030021 </w:t>
      </w:r>
      <w:r>
        <w:rPr>
          <w:sz w:val="21"/>
          <w:szCs w:val="21"/>
        </w:rPr>
        <w:t>号），并于</w:t>
      </w:r>
      <w:r>
        <w:rPr>
          <w:sz w:val="21"/>
          <w:szCs w:val="21"/>
        </w:rPr>
        <w:t>2026</w:t>
      </w:r>
      <w:r>
        <w:rPr>
          <w:sz w:val="21"/>
          <w:szCs w:val="21"/>
        </w:rPr>
        <w:t>年</w:t>
      </w:r>
      <w:r>
        <w:rPr>
          <w:sz w:val="21"/>
          <w:szCs w:val="21"/>
        </w:rPr>
        <w:t>1</w:t>
      </w:r>
      <w:r>
        <w:rPr>
          <w:sz w:val="21"/>
          <w:szCs w:val="21"/>
        </w:rPr>
        <w:t>月</w:t>
      </w:r>
      <w:r>
        <w:rPr>
          <w:sz w:val="21"/>
          <w:szCs w:val="21"/>
        </w:rPr>
        <w:t>27</w:t>
      </w:r>
      <w:r>
        <w:rPr>
          <w:sz w:val="21"/>
          <w:szCs w:val="21"/>
        </w:rPr>
        <w:t>日予以回复并披露。</w:t>
      </w:r>
    </w:p>
    <w:p w:rsidR="00E20B54" w:rsidRDefault="00733C9E" w:rsidP="00F10ED6">
      <w:pPr>
        <w:pStyle w:val="a3"/>
        <w:widowControl/>
        <w:spacing w:beforeLines="50" w:before="156" w:beforeAutospacing="0" w:afterLines="50" w:after="156" w:afterAutospacing="0"/>
        <w:ind w:firstLine="420"/>
        <w:jc w:val="both"/>
        <w:rPr>
          <w:sz w:val="21"/>
          <w:szCs w:val="21"/>
        </w:rPr>
      </w:pPr>
      <w:r>
        <w:rPr>
          <w:sz w:val="21"/>
          <w:szCs w:val="21"/>
        </w:rPr>
        <w:t>本次交易尚需深圳证券交易所审核通过以及中国证券监督管理委员会同意注册后方可实施。本次交易能否取得相关部门的审核或注册，以及最终取得审核或注册的时间均存在不确定性。截至本报告出具之日，该项目尚在推进中。</w:t>
      </w:r>
    </w:p>
    <w:p w:rsidR="00E20B54" w:rsidRDefault="00F10ED6" w:rsidP="00F10ED6">
      <w:pPr>
        <w:pStyle w:val="a3"/>
        <w:widowControl/>
        <w:spacing w:beforeLines="50" w:before="156" w:beforeAutospacing="0" w:afterLines="50" w:after="156" w:afterAutospacing="0"/>
        <w:ind w:firstLine="420"/>
        <w:jc w:val="both"/>
        <w:rPr>
          <w:sz w:val="21"/>
          <w:szCs w:val="21"/>
        </w:rPr>
      </w:pPr>
      <w:r>
        <w:rPr>
          <w:rStyle w:val="a4"/>
          <w:rFonts w:hint="eastAsia"/>
          <w:sz w:val="21"/>
          <w:szCs w:val="21"/>
        </w:rPr>
        <w:t>②</w:t>
      </w:r>
      <w:r w:rsidR="00733C9E">
        <w:rPr>
          <w:rStyle w:val="a4"/>
          <w:sz w:val="21"/>
          <w:szCs w:val="21"/>
        </w:rPr>
        <w:t>利润分配</w:t>
      </w:r>
    </w:p>
    <w:p w:rsidR="00E20B54" w:rsidRDefault="00733C9E" w:rsidP="00F10ED6">
      <w:pPr>
        <w:pStyle w:val="a3"/>
        <w:widowControl/>
        <w:spacing w:beforeLines="50" w:before="156" w:beforeAutospacing="0" w:afterLines="50" w:after="156" w:afterAutospacing="0"/>
        <w:ind w:firstLine="420"/>
        <w:jc w:val="both"/>
        <w:rPr>
          <w:sz w:val="21"/>
          <w:szCs w:val="21"/>
        </w:rPr>
      </w:pPr>
      <w:r>
        <w:rPr>
          <w:sz w:val="21"/>
          <w:szCs w:val="21"/>
        </w:rPr>
        <w:t>公司于</w:t>
      </w:r>
      <w:r>
        <w:rPr>
          <w:sz w:val="21"/>
          <w:szCs w:val="21"/>
        </w:rPr>
        <w:t>2026</w:t>
      </w:r>
      <w:r>
        <w:rPr>
          <w:sz w:val="21"/>
          <w:szCs w:val="21"/>
        </w:rPr>
        <w:t>年</w:t>
      </w:r>
      <w:r>
        <w:rPr>
          <w:sz w:val="21"/>
          <w:szCs w:val="21"/>
        </w:rPr>
        <w:t>3</w:t>
      </w:r>
      <w:r>
        <w:rPr>
          <w:sz w:val="21"/>
          <w:szCs w:val="21"/>
        </w:rPr>
        <w:t>月</w:t>
      </w:r>
      <w:r>
        <w:rPr>
          <w:sz w:val="21"/>
          <w:szCs w:val="21"/>
        </w:rPr>
        <w:t>30</w:t>
      </w:r>
      <w:r>
        <w:rPr>
          <w:sz w:val="21"/>
          <w:szCs w:val="21"/>
        </w:rPr>
        <w:t>日召开第四届董事会第五次会议，审议通过了《关于</w:t>
      </w:r>
      <w:r>
        <w:rPr>
          <w:sz w:val="21"/>
          <w:szCs w:val="21"/>
        </w:rPr>
        <w:t>2025</w:t>
      </w:r>
      <w:r>
        <w:rPr>
          <w:sz w:val="21"/>
          <w:szCs w:val="21"/>
        </w:rPr>
        <w:t>年度利润分配预案的议案》，以</w:t>
      </w:r>
      <w:r>
        <w:rPr>
          <w:sz w:val="21"/>
          <w:szCs w:val="21"/>
        </w:rPr>
        <w:t>2025</w:t>
      </w:r>
      <w:r>
        <w:rPr>
          <w:sz w:val="21"/>
          <w:szCs w:val="21"/>
        </w:rPr>
        <w:t>年</w:t>
      </w:r>
      <w:r>
        <w:rPr>
          <w:sz w:val="21"/>
          <w:szCs w:val="21"/>
        </w:rPr>
        <w:t>12</w:t>
      </w:r>
      <w:r>
        <w:rPr>
          <w:sz w:val="21"/>
          <w:szCs w:val="21"/>
        </w:rPr>
        <w:t>月</w:t>
      </w:r>
      <w:r>
        <w:rPr>
          <w:sz w:val="21"/>
          <w:szCs w:val="21"/>
        </w:rPr>
        <w:t>31</w:t>
      </w:r>
      <w:r>
        <w:rPr>
          <w:sz w:val="21"/>
          <w:szCs w:val="21"/>
        </w:rPr>
        <w:t>日的总股本扣除回购账户所持有股份后的</w:t>
      </w:r>
      <w:r>
        <w:rPr>
          <w:sz w:val="21"/>
          <w:szCs w:val="21"/>
        </w:rPr>
        <w:t>65,628,660</w:t>
      </w:r>
      <w:r>
        <w:rPr>
          <w:sz w:val="21"/>
          <w:szCs w:val="21"/>
        </w:rPr>
        <w:t>股为基数，每</w:t>
      </w:r>
      <w:r>
        <w:rPr>
          <w:sz w:val="21"/>
          <w:szCs w:val="21"/>
        </w:rPr>
        <w:t>10</w:t>
      </w:r>
      <w:r>
        <w:rPr>
          <w:sz w:val="21"/>
          <w:szCs w:val="21"/>
        </w:rPr>
        <w:t>股派发现金</w:t>
      </w:r>
      <w:r>
        <w:rPr>
          <w:sz w:val="21"/>
          <w:szCs w:val="21"/>
        </w:rPr>
        <w:t>0.5</w:t>
      </w:r>
      <w:r>
        <w:rPr>
          <w:sz w:val="21"/>
          <w:szCs w:val="21"/>
        </w:rPr>
        <w:t>元，以资本公积金每</w:t>
      </w:r>
      <w:r>
        <w:rPr>
          <w:sz w:val="21"/>
          <w:szCs w:val="21"/>
        </w:rPr>
        <w:t>10</w:t>
      </w:r>
      <w:r>
        <w:rPr>
          <w:sz w:val="21"/>
          <w:szCs w:val="21"/>
        </w:rPr>
        <w:t>股转增</w:t>
      </w:r>
      <w:r>
        <w:rPr>
          <w:sz w:val="21"/>
          <w:szCs w:val="21"/>
        </w:rPr>
        <w:t>4</w:t>
      </w:r>
      <w:r>
        <w:rPr>
          <w:sz w:val="21"/>
          <w:szCs w:val="21"/>
        </w:rPr>
        <w:t>股，不送红股。本次预计现金分红总额</w:t>
      </w:r>
      <w:r>
        <w:rPr>
          <w:sz w:val="21"/>
          <w:szCs w:val="21"/>
        </w:rPr>
        <w:t>3,281,433.00</w:t>
      </w:r>
      <w:r>
        <w:rPr>
          <w:sz w:val="21"/>
          <w:szCs w:val="21"/>
        </w:rPr>
        <w:t>元（含税）；资本公积金转增后，公司总股本将由</w:t>
      </w:r>
      <w:r>
        <w:rPr>
          <w:sz w:val="21"/>
          <w:szCs w:val="21"/>
        </w:rPr>
        <w:t>66,852,800</w:t>
      </w:r>
      <w:r>
        <w:rPr>
          <w:sz w:val="21"/>
          <w:szCs w:val="21"/>
        </w:rPr>
        <w:t>股增加至</w:t>
      </w:r>
      <w:r>
        <w:rPr>
          <w:sz w:val="21"/>
          <w:szCs w:val="21"/>
        </w:rPr>
        <w:t>93,104,264</w:t>
      </w:r>
      <w:r>
        <w:rPr>
          <w:sz w:val="21"/>
          <w:szCs w:val="21"/>
        </w:rPr>
        <w:t>股。若在利润分配方案公告后至实施前，公司出现股权激励行权、股份回购等股本总额发生变动情形时，将按照</w:t>
      </w:r>
      <w:r>
        <w:rPr>
          <w:sz w:val="21"/>
          <w:szCs w:val="21"/>
        </w:rPr>
        <w:t>“</w:t>
      </w:r>
      <w:r>
        <w:rPr>
          <w:sz w:val="21"/>
          <w:szCs w:val="21"/>
        </w:rPr>
        <w:t>现金分红总额、资本公积金转增股本总额固定不变</w:t>
      </w:r>
      <w:r>
        <w:rPr>
          <w:sz w:val="21"/>
          <w:szCs w:val="21"/>
        </w:rPr>
        <w:t>”</w:t>
      </w:r>
      <w:r>
        <w:rPr>
          <w:sz w:val="21"/>
          <w:szCs w:val="21"/>
        </w:rPr>
        <w:t>的原则对分配比例进行调整。</w:t>
      </w:r>
      <w:r>
        <w:rPr>
          <w:color w:val="000000"/>
          <w:sz w:val="21"/>
          <w:szCs w:val="21"/>
        </w:rPr>
        <w:t>本议案尚需提交股东会审议通过后方可实施。</w:t>
      </w:r>
    </w:p>
    <w:p w:rsidR="00E20B54" w:rsidRDefault="00F10ED6" w:rsidP="00F10ED6">
      <w:pPr>
        <w:pStyle w:val="a3"/>
        <w:widowControl/>
        <w:spacing w:beforeLines="50" w:before="156" w:beforeAutospacing="0" w:afterLines="50" w:after="156" w:afterAutospacing="0"/>
        <w:ind w:firstLine="420"/>
        <w:jc w:val="both"/>
        <w:rPr>
          <w:sz w:val="21"/>
          <w:szCs w:val="21"/>
        </w:rPr>
      </w:pPr>
      <w:r>
        <w:rPr>
          <w:rStyle w:val="a4"/>
          <w:rFonts w:hint="eastAsia"/>
          <w:sz w:val="21"/>
          <w:szCs w:val="21"/>
        </w:rPr>
        <w:t>③</w:t>
      </w:r>
      <w:r w:rsidR="00733C9E">
        <w:rPr>
          <w:rStyle w:val="a4"/>
          <w:sz w:val="21"/>
          <w:szCs w:val="21"/>
        </w:rPr>
        <w:t>子公司申请金融机构综合授信额度并由公司为其提供担保</w:t>
      </w:r>
    </w:p>
    <w:p w:rsidR="00E20B54" w:rsidRDefault="00733C9E" w:rsidP="00F10ED6">
      <w:pPr>
        <w:pStyle w:val="a3"/>
        <w:widowControl/>
        <w:spacing w:beforeLines="50" w:before="156" w:beforeAutospacing="0" w:afterLines="50" w:after="156" w:afterAutospacing="0"/>
        <w:ind w:firstLine="420"/>
        <w:jc w:val="both"/>
        <w:rPr>
          <w:sz w:val="21"/>
          <w:szCs w:val="21"/>
        </w:rPr>
      </w:pPr>
      <w:r>
        <w:rPr>
          <w:sz w:val="21"/>
          <w:szCs w:val="21"/>
        </w:rPr>
        <w:t>公司于</w:t>
      </w:r>
      <w:r>
        <w:rPr>
          <w:sz w:val="21"/>
          <w:szCs w:val="21"/>
        </w:rPr>
        <w:t>2026</w:t>
      </w:r>
      <w:r>
        <w:rPr>
          <w:sz w:val="21"/>
          <w:szCs w:val="21"/>
        </w:rPr>
        <w:t>年</w:t>
      </w:r>
      <w:r>
        <w:rPr>
          <w:sz w:val="21"/>
          <w:szCs w:val="21"/>
        </w:rPr>
        <w:t>3</w:t>
      </w:r>
      <w:r>
        <w:rPr>
          <w:sz w:val="21"/>
          <w:szCs w:val="21"/>
        </w:rPr>
        <w:t>月</w:t>
      </w:r>
      <w:r>
        <w:rPr>
          <w:sz w:val="21"/>
          <w:szCs w:val="21"/>
        </w:rPr>
        <w:t>30</w:t>
      </w:r>
      <w:r>
        <w:rPr>
          <w:sz w:val="21"/>
          <w:szCs w:val="21"/>
        </w:rPr>
        <w:t>日召开第四届董事会第五次会议，审议通过了《关于子公司申请综合授信额度并由公司为其提供担保的议案》</w:t>
      </w:r>
    </w:p>
    <w:p w:rsidR="00E20B54" w:rsidRDefault="00733C9E" w:rsidP="00F10ED6">
      <w:pPr>
        <w:pStyle w:val="a3"/>
        <w:widowControl/>
        <w:spacing w:beforeLines="50" w:before="156" w:beforeAutospacing="0" w:afterLines="50" w:after="156" w:afterAutospacing="0"/>
        <w:ind w:firstLine="420"/>
        <w:jc w:val="both"/>
        <w:rPr>
          <w:sz w:val="21"/>
          <w:szCs w:val="21"/>
        </w:rPr>
      </w:pPr>
      <w:r>
        <w:rPr>
          <w:sz w:val="21"/>
          <w:szCs w:val="21"/>
        </w:rPr>
        <w:t>为满足日常生产经营和项目建设的资金需求，公司子公司深圳市互联精英信息技术有限公司、天亿马信息技术有限公司、广东天亿马信息科技有限公司、上海天亿马人工智能科技有限公司、天亿马（香港）信息产业有限公司、广东翼启数据产业有限公司拟向银行等金融机构申请总额度不超过</w:t>
      </w:r>
      <w:r w:rsidR="00C87B7C">
        <w:rPr>
          <w:rFonts w:hint="eastAsia"/>
          <w:sz w:val="21"/>
          <w:szCs w:val="21"/>
        </w:rPr>
        <w:t>4</w:t>
      </w:r>
      <w:r>
        <w:rPr>
          <w:sz w:val="21"/>
          <w:szCs w:val="21"/>
        </w:rPr>
        <w:t>0,000</w:t>
      </w:r>
      <w:r>
        <w:rPr>
          <w:sz w:val="21"/>
          <w:szCs w:val="21"/>
        </w:rPr>
        <w:t>万元的融资额度，并由公司为实际贷款提供担保。综合授信额度主要用于办理流动资金贷款、固定资产贷款，开立银行承兑汇票、信用证等业务品种，具体业务品种、授信额度和期限以各家金融机构最终核定为准。在符合法律、行政法规及相关规定的前提下，在</w:t>
      </w:r>
      <w:r>
        <w:rPr>
          <w:sz w:val="21"/>
          <w:szCs w:val="21"/>
        </w:rPr>
        <w:t>2025</w:t>
      </w:r>
      <w:r>
        <w:rPr>
          <w:sz w:val="21"/>
          <w:szCs w:val="21"/>
        </w:rPr>
        <w:t>年年度股东会审议通过的额度范围内及其有效期内，公司并表范围内主体及未来授权期内新设立或纳入的子公司间担保额度可以进行调剂。该事项自股东会审议通过后至次年年度股东会召开前有效。本议案经股东会批准后方可实施。</w:t>
      </w:r>
    </w:p>
    <w:p w:rsidR="00E20B54" w:rsidRDefault="00F10ED6" w:rsidP="00F10ED6">
      <w:pPr>
        <w:pStyle w:val="a3"/>
        <w:widowControl/>
        <w:spacing w:beforeLines="50" w:before="156" w:beforeAutospacing="0" w:afterLines="50" w:after="156" w:afterAutospacing="0"/>
        <w:ind w:firstLine="420"/>
        <w:jc w:val="both"/>
        <w:rPr>
          <w:sz w:val="21"/>
          <w:szCs w:val="21"/>
        </w:rPr>
      </w:pPr>
      <w:r>
        <w:rPr>
          <w:rStyle w:val="a4"/>
          <w:rFonts w:hint="eastAsia"/>
          <w:sz w:val="21"/>
          <w:szCs w:val="21"/>
        </w:rPr>
        <w:t>④</w:t>
      </w:r>
      <w:r w:rsidR="00733C9E">
        <w:rPr>
          <w:rStyle w:val="a4"/>
          <w:sz w:val="21"/>
          <w:szCs w:val="21"/>
        </w:rPr>
        <w:t>设立子公司</w:t>
      </w:r>
    </w:p>
    <w:p w:rsidR="00E20B54" w:rsidRDefault="00733C9E" w:rsidP="00F10ED6">
      <w:pPr>
        <w:pStyle w:val="a3"/>
        <w:widowControl/>
        <w:spacing w:beforeLines="50" w:before="156" w:beforeAutospacing="0" w:afterLines="50" w:after="156" w:afterAutospacing="0"/>
        <w:ind w:firstLine="420"/>
        <w:jc w:val="both"/>
        <w:rPr>
          <w:sz w:val="21"/>
          <w:szCs w:val="21"/>
        </w:rPr>
      </w:pPr>
      <w:r>
        <w:rPr>
          <w:sz w:val="21"/>
          <w:szCs w:val="21"/>
        </w:rPr>
        <w:t>根据公司落</w:t>
      </w:r>
      <w:r w:rsidRPr="00C169DD">
        <w:rPr>
          <w:rFonts w:asciiTheme="minorEastAsia" w:eastAsiaTheme="minorEastAsia" w:hAnsiTheme="minorEastAsia"/>
          <w:sz w:val="21"/>
          <w:szCs w:val="21"/>
        </w:rPr>
        <w:t>实“人工智能+”行动</w:t>
      </w:r>
      <w:r>
        <w:rPr>
          <w:sz w:val="21"/>
          <w:szCs w:val="21"/>
        </w:rPr>
        <w:t>战略规划，公司投资设立了控股子公司上海天亿马人工智能科技有限公司，重点布局算力芯片、算力设备、人工智能应用研发项目，聚焦人工智能技术在各行业的场景</w:t>
      </w:r>
      <w:r>
        <w:rPr>
          <w:sz w:val="21"/>
          <w:szCs w:val="21"/>
        </w:rPr>
        <w:lastRenderedPageBreak/>
        <w:t>落地，强化核心技术研发。上海天亿马人工智能科技有限公司注册地为上海市，注册额</w:t>
      </w:r>
      <w:r>
        <w:rPr>
          <w:sz w:val="21"/>
          <w:szCs w:val="21"/>
        </w:rPr>
        <w:t>2,000</w:t>
      </w:r>
      <w:r>
        <w:rPr>
          <w:sz w:val="21"/>
          <w:szCs w:val="21"/>
        </w:rPr>
        <w:t>万元，公司出资</w:t>
      </w:r>
      <w:r>
        <w:rPr>
          <w:sz w:val="21"/>
          <w:szCs w:val="21"/>
        </w:rPr>
        <w:t>1,020</w:t>
      </w:r>
      <w:r>
        <w:rPr>
          <w:sz w:val="21"/>
          <w:szCs w:val="21"/>
        </w:rPr>
        <w:t>万元，占比</w:t>
      </w:r>
      <w:r>
        <w:rPr>
          <w:sz w:val="21"/>
          <w:szCs w:val="21"/>
        </w:rPr>
        <w:t>51%</w:t>
      </w:r>
      <w:r>
        <w:rPr>
          <w:sz w:val="21"/>
          <w:szCs w:val="21"/>
        </w:rPr>
        <w:t>。</w:t>
      </w:r>
    </w:p>
    <w:p w:rsidR="00E20B54" w:rsidRDefault="00733C9E">
      <w:pPr>
        <w:pStyle w:val="2"/>
        <w:spacing w:before="300" w:after="300" w:line="320" w:lineRule="exact"/>
        <w:rPr>
          <w:b/>
          <w:bCs/>
          <w:sz w:val="24"/>
          <w:szCs w:val="24"/>
        </w:rPr>
      </w:pPr>
      <w:bookmarkStart w:id="478" w:name="_Toc989366"/>
      <w:r>
        <w:rPr>
          <w:b/>
          <w:bCs/>
          <w:sz w:val="24"/>
          <w:szCs w:val="24"/>
        </w:rPr>
        <w:t>十八、其他重要事项</w:t>
      </w:r>
      <w:bookmarkEnd w:id="478"/>
    </w:p>
    <w:p w:rsidR="00E20B54" w:rsidRDefault="00733C9E">
      <w:pPr>
        <w:pStyle w:val="3"/>
        <w:spacing w:line="280" w:lineRule="exact"/>
        <w:jc w:val="left"/>
        <w:rPr>
          <w:b/>
          <w:bCs/>
        </w:rPr>
      </w:pPr>
      <w:bookmarkStart w:id="479" w:name="_Toc989367"/>
      <w:r>
        <w:rPr>
          <w:b/>
          <w:bCs/>
        </w:rPr>
        <w:t>1</w:t>
      </w:r>
      <w:r>
        <w:rPr>
          <w:b/>
          <w:bCs/>
        </w:rPr>
        <w:t>、前期会计差错更正</w:t>
      </w:r>
      <w:bookmarkEnd w:id="479"/>
    </w:p>
    <w:p w:rsidR="00E20B54" w:rsidRDefault="00733C9E">
      <w:pPr>
        <w:keepNext/>
        <w:keepLines/>
        <w:spacing w:before="300" w:after="300" w:line="280" w:lineRule="exact"/>
        <w:outlineLvl w:val="3"/>
        <w:rPr>
          <w:b/>
          <w:bCs/>
          <w:szCs w:val="21"/>
        </w:rPr>
      </w:pPr>
      <w:bookmarkStart w:id="480" w:name="_Toc989368"/>
      <w:r>
        <w:rPr>
          <w:b/>
          <w:bCs/>
          <w:szCs w:val="21"/>
        </w:rPr>
        <w:t>（</w:t>
      </w:r>
      <w:r>
        <w:rPr>
          <w:b/>
          <w:bCs/>
          <w:szCs w:val="21"/>
        </w:rPr>
        <w:t>1</w:t>
      </w:r>
      <w:r>
        <w:rPr>
          <w:b/>
          <w:bCs/>
          <w:szCs w:val="21"/>
        </w:rPr>
        <w:t>）</w:t>
      </w:r>
      <w:r>
        <w:rPr>
          <w:b/>
          <w:bCs/>
          <w:szCs w:val="21"/>
        </w:rPr>
        <w:t xml:space="preserve"> </w:t>
      </w:r>
      <w:r>
        <w:rPr>
          <w:b/>
          <w:bCs/>
          <w:szCs w:val="21"/>
        </w:rPr>
        <w:t>追溯重述法</w:t>
      </w:r>
      <w:bookmarkEnd w:id="480"/>
    </w:p>
    <w:p w:rsidR="00E20B54" w:rsidRDefault="00733C9E">
      <w:pPr>
        <w:spacing w:before="40" w:after="40" w:line="240" w:lineRule="exact"/>
        <w:jc w:val="right"/>
        <w:rPr>
          <w:sz w:val="18"/>
          <w:szCs w:val="18"/>
        </w:rPr>
      </w:pPr>
      <w:r>
        <w:rPr>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2409"/>
        <w:gridCol w:w="2410"/>
        <w:gridCol w:w="2410"/>
        <w:gridCol w:w="2410"/>
      </w:tblGrid>
      <w:tr w:rsidR="00E20B54">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会计差错更正的内容</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处理程序</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受影响的各个比较期间报表项目名称</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累积影响数</w:t>
            </w:r>
          </w:p>
        </w:tc>
      </w:tr>
    </w:tbl>
    <w:p w:rsidR="00E20B54" w:rsidRDefault="00733C9E">
      <w:pPr>
        <w:keepNext/>
        <w:keepLines/>
        <w:spacing w:before="300" w:after="300" w:line="280" w:lineRule="exact"/>
        <w:outlineLvl w:val="3"/>
        <w:rPr>
          <w:b/>
          <w:bCs/>
          <w:szCs w:val="21"/>
        </w:rPr>
      </w:pPr>
      <w:bookmarkStart w:id="481" w:name="_Toc989369"/>
      <w:r>
        <w:rPr>
          <w:b/>
          <w:bCs/>
          <w:szCs w:val="21"/>
        </w:rPr>
        <w:t>（</w:t>
      </w:r>
      <w:r>
        <w:rPr>
          <w:b/>
          <w:bCs/>
          <w:szCs w:val="21"/>
        </w:rPr>
        <w:t>2</w:t>
      </w:r>
      <w:r>
        <w:rPr>
          <w:b/>
          <w:bCs/>
          <w:szCs w:val="21"/>
        </w:rPr>
        <w:t>）</w:t>
      </w:r>
      <w:r>
        <w:rPr>
          <w:b/>
          <w:bCs/>
          <w:szCs w:val="21"/>
        </w:rPr>
        <w:t xml:space="preserve"> </w:t>
      </w:r>
      <w:r>
        <w:rPr>
          <w:b/>
          <w:bCs/>
          <w:szCs w:val="21"/>
        </w:rPr>
        <w:t>未来适用法</w:t>
      </w:r>
      <w:bookmarkEnd w:id="481"/>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4786"/>
        <w:gridCol w:w="2410"/>
        <w:gridCol w:w="2443"/>
      </w:tblGrid>
      <w:tr w:rsidR="00E20B54" w:rsidTr="00C36250">
        <w:trPr>
          <w:trHeight w:val="240"/>
        </w:trPr>
        <w:tc>
          <w:tcPr>
            <w:tcW w:w="478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会计差错更正的内容</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批准程序</w:t>
            </w:r>
          </w:p>
        </w:tc>
        <w:tc>
          <w:tcPr>
            <w:tcW w:w="244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采用未来适用法的原因</w:t>
            </w:r>
          </w:p>
        </w:tc>
      </w:tr>
    </w:tbl>
    <w:p w:rsidR="00E20B54" w:rsidRDefault="00733C9E">
      <w:pPr>
        <w:pStyle w:val="3"/>
        <w:spacing w:line="280" w:lineRule="exact"/>
        <w:jc w:val="left"/>
        <w:rPr>
          <w:b/>
          <w:bCs/>
        </w:rPr>
      </w:pPr>
      <w:bookmarkStart w:id="482" w:name="_Toc989370"/>
      <w:r>
        <w:rPr>
          <w:b/>
          <w:bCs/>
        </w:rPr>
        <w:t>2</w:t>
      </w:r>
      <w:r>
        <w:rPr>
          <w:b/>
          <w:bCs/>
        </w:rPr>
        <w:t>、债务重组</w:t>
      </w:r>
      <w:bookmarkEnd w:id="482"/>
    </w:p>
    <w:tbl>
      <w:tblPr>
        <w:tblW w:w="5000" w:type="pct"/>
        <w:tblCellMar>
          <w:left w:w="0" w:type="dxa"/>
          <w:right w:w="0" w:type="dxa"/>
        </w:tblCellMar>
        <w:tblLook w:val="04A0" w:firstRow="1" w:lastRow="0" w:firstColumn="1" w:lastColumn="0" w:noHBand="0" w:noVBand="1"/>
      </w:tblPr>
      <w:tblGrid>
        <w:gridCol w:w="1008"/>
        <w:gridCol w:w="1275"/>
        <w:gridCol w:w="2411"/>
        <w:gridCol w:w="2411"/>
        <w:gridCol w:w="2562"/>
      </w:tblGrid>
      <w:tr w:rsidR="00C36250" w:rsidRPr="00C36250" w:rsidTr="00C36250">
        <w:trPr>
          <w:trHeight w:val="765"/>
          <w:tblHeader/>
        </w:trPr>
        <w:tc>
          <w:tcPr>
            <w:tcW w:w="521" w:type="pct"/>
            <w:tcBorders>
              <w:top w:val="single" w:sz="4" w:space="0" w:color="000000"/>
              <w:left w:val="single" w:sz="4" w:space="0" w:color="000000"/>
              <w:bottom w:val="single" w:sz="4" w:space="0" w:color="000000"/>
              <w:right w:val="single" w:sz="4" w:space="0" w:color="000000"/>
            </w:tcBorders>
            <w:shd w:val="clear" w:color="auto" w:fill="D9D9D9" w:themeFill="background1" w:themeFillShade="D9"/>
            <w:tcMar>
              <w:top w:w="15" w:type="dxa"/>
              <w:left w:w="15" w:type="dxa"/>
              <w:right w:w="15" w:type="dxa"/>
            </w:tcMar>
            <w:vAlign w:val="center"/>
          </w:tcPr>
          <w:p w:rsidR="00E20B54" w:rsidRPr="00C36250" w:rsidRDefault="00733C9E">
            <w:pPr>
              <w:widowControl/>
              <w:jc w:val="center"/>
              <w:textAlignment w:val="center"/>
              <w:rPr>
                <w:b/>
                <w:bCs/>
                <w:color w:val="000000"/>
                <w:sz w:val="18"/>
                <w:szCs w:val="18"/>
              </w:rPr>
            </w:pPr>
            <w:r w:rsidRPr="00C36250">
              <w:rPr>
                <w:b/>
                <w:bCs/>
                <w:color w:val="000000"/>
                <w:sz w:val="18"/>
                <w:szCs w:val="18"/>
                <w:lang w:bidi="ar"/>
              </w:rPr>
              <w:t>项目</w:t>
            </w:r>
          </w:p>
        </w:tc>
        <w:tc>
          <w:tcPr>
            <w:tcW w:w="659" w:type="pct"/>
            <w:tcBorders>
              <w:top w:val="single" w:sz="4" w:space="0" w:color="000000"/>
              <w:left w:val="single" w:sz="4" w:space="0" w:color="000000"/>
              <w:bottom w:val="single" w:sz="4" w:space="0" w:color="000000"/>
              <w:right w:val="single" w:sz="4" w:space="0" w:color="000000"/>
            </w:tcBorders>
            <w:shd w:val="clear" w:color="auto" w:fill="D9D9D9" w:themeFill="background1" w:themeFillShade="D9"/>
            <w:tcMar>
              <w:top w:w="15" w:type="dxa"/>
              <w:left w:w="15" w:type="dxa"/>
              <w:right w:w="15" w:type="dxa"/>
            </w:tcMar>
            <w:vAlign w:val="center"/>
          </w:tcPr>
          <w:p w:rsidR="00E20B54" w:rsidRPr="00C36250" w:rsidRDefault="00733C9E">
            <w:pPr>
              <w:widowControl/>
              <w:jc w:val="center"/>
              <w:textAlignment w:val="center"/>
              <w:rPr>
                <w:b/>
                <w:bCs/>
                <w:color w:val="000000"/>
                <w:sz w:val="18"/>
                <w:szCs w:val="18"/>
              </w:rPr>
            </w:pPr>
            <w:r w:rsidRPr="00C36250">
              <w:rPr>
                <w:b/>
                <w:bCs/>
                <w:color w:val="000000"/>
                <w:sz w:val="18"/>
                <w:szCs w:val="18"/>
                <w:lang w:bidi="ar"/>
              </w:rPr>
              <w:t>债务重组方</w:t>
            </w:r>
          </w:p>
        </w:tc>
        <w:tc>
          <w:tcPr>
            <w:tcW w:w="1247" w:type="pct"/>
            <w:tcBorders>
              <w:top w:val="single" w:sz="4" w:space="0" w:color="000000"/>
              <w:left w:val="single" w:sz="4" w:space="0" w:color="000000"/>
              <w:bottom w:val="single" w:sz="4" w:space="0" w:color="000000"/>
              <w:right w:val="single" w:sz="4" w:space="0" w:color="000000"/>
            </w:tcBorders>
            <w:shd w:val="clear" w:color="auto" w:fill="D9D9D9" w:themeFill="background1" w:themeFillShade="D9"/>
            <w:tcMar>
              <w:top w:w="15" w:type="dxa"/>
              <w:left w:w="15" w:type="dxa"/>
              <w:right w:w="15" w:type="dxa"/>
            </w:tcMar>
            <w:vAlign w:val="center"/>
          </w:tcPr>
          <w:p w:rsidR="00E20B54" w:rsidRPr="00C36250" w:rsidRDefault="00733C9E">
            <w:pPr>
              <w:widowControl/>
              <w:jc w:val="center"/>
              <w:textAlignment w:val="center"/>
              <w:rPr>
                <w:b/>
                <w:bCs/>
                <w:color w:val="000000"/>
                <w:sz w:val="18"/>
                <w:szCs w:val="18"/>
              </w:rPr>
            </w:pPr>
            <w:r w:rsidRPr="00C36250">
              <w:rPr>
                <w:b/>
                <w:bCs/>
                <w:color w:val="000000"/>
                <w:sz w:val="18"/>
                <w:szCs w:val="18"/>
                <w:lang w:bidi="ar"/>
              </w:rPr>
              <w:t>原重组债权债务账面价</w:t>
            </w:r>
          </w:p>
        </w:tc>
        <w:tc>
          <w:tcPr>
            <w:tcW w:w="1247" w:type="pct"/>
            <w:tcBorders>
              <w:top w:val="single" w:sz="4" w:space="0" w:color="000000"/>
              <w:left w:val="single" w:sz="4" w:space="0" w:color="000000"/>
              <w:bottom w:val="single" w:sz="4" w:space="0" w:color="000000"/>
              <w:right w:val="single" w:sz="4" w:space="0" w:color="000000"/>
            </w:tcBorders>
            <w:shd w:val="clear" w:color="auto" w:fill="D9D9D9" w:themeFill="background1" w:themeFillShade="D9"/>
            <w:tcMar>
              <w:top w:w="15" w:type="dxa"/>
              <w:left w:w="15" w:type="dxa"/>
              <w:right w:w="15" w:type="dxa"/>
            </w:tcMar>
            <w:vAlign w:val="center"/>
          </w:tcPr>
          <w:p w:rsidR="00E20B54" w:rsidRPr="00C36250" w:rsidRDefault="00733C9E">
            <w:pPr>
              <w:widowControl/>
              <w:jc w:val="center"/>
              <w:textAlignment w:val="center"/>
              <w:rPr>
                <w:b/>
                <w:bCs/>
                <w:color w:val="000000"/>
                <w:sz w:val="18"/>
                <w:szCs w:val="18"/>
              </w:rPr>
            </w:pPr>
            <w:r w:rsidRPr="00C36250">
              <w:rPr>
                <w:b/>
                <w:bCs/>
                <w:color w:val="000000"/>
                <w:sz w:val="18"/>
                <w:szCs w:val="18"/>
                <w:lang w:bidi="ar"/>
              </w:rPr>
              <w:t>确认的债务重组利得</w:t>
            </w:r>
            <w:r w:rsidRPr="00C36250">
              <w:rPr>
                <w:b/>
                <w:bCs/>
                <w:color w:val="000000"/>
                <w:sz w:val="18"/>
                <w:szCs w:val="18"/>
                <w:lang w:bidi="ar"/>
              </w:rPr>
              <w:t>/</w:t>
            </w:r>
            <w:r w:rsidR="00C61107">
              <w:rPr>
                <w:rFonts w:hint="eastAsia"/>
                <w:b/>
                <w:bCs/>
                <w:color w:val="000000"/>
                <w:sz w:val="18"/>
                <w:szCs w:val="18"/>
                <w:lang w:bidi="ar"/>
              </w:rPr>
              <w:t>损失</w:t>
            </w:r>
          </w:p>
        </w:tc>
        <w:tc>
          <w:tcPr>
            <w:tcW w:w="1325" w:type="pct"/>
            <w:tcBorders>
              <w:top w:val="single" w:sz="4" w:space="0" w:color="000000"/>
              <w:left w:val="single" w:sz="4" w:space="0" w:color="000000"/>
              <w:bottom w:val="single" w:sz="4" w:space="0" w:color="000000"/>
              <w:right w:val="single" w:sz="4" w:space="0" w:color="000000"/>
            </w:tcBorders>
            <w:shd w:val="clear" w:color="auto" w:fill="D9D9D9" w:themeFill="background1" w:themeFillShade="D9"/>
            <w:tcMar>
              <w:top w:w="15" w:type="dxa"/>
              <w:left w:w="15" w:type="dxa"/>
              <w:right w:w="15" w:type="dxa"/>
            </w:tcMar>
            <w:vAlign w:val="center"/>
          </w:tcPr>
          <w:p w:rsidR="00E20B54" w:rsidRPr="00C36250" w:rsidRDefault="00733C9E">
            <w:pPr>
              <w:widowControl/>
              <w:jc w:val="center"/>
              <w:textAlignment w:val="center"/>
              <w:rPr>
                <w:b/>
                <w:bCs/>
                <w:color w:val="000000"/>
                <w:sz w:val="18"/>
                <w:szCs w:val="18"/>
              </w:rPr>
            </w:pPr>
            <w:r w:rsidRPr="00C36250">
              <w:rPr>
                <w:b/>
                <w:bCs/>
                <w:color w:val="000000"/>
                <w:sz w:val="18"/>
                <w:szCs w:val="18"/>
                <w:lang w:bidi="ar"/>
              </w:rPr>
              <w:t>债务重组中公允价值的确定方法和依</w:t>
            </w:r>
          </w:p>
        </w:tc>
      </w:tr>
      <w:tr w:rsidR="00C36250" w:rsidRPr="00C36250" w:rsidTr="00C36250">
        <w:trPr>
          <w:trHeight w:val="271"/>
        </w:trPr>
        <w:tc>
          <w:tcPr>
            <w:tcW w:w="521"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20B54" w:rsidRPr="00C36250" w:rsidRDefault="00733C9E">
            <w:pPr>
              <w:widowControl/>
              <w:jc w:val="center"/>
              <w:textAlignment w:val="center"/>
              <w:rPr>
                <w:color w:val="000000"/>
                <w:sz w:val="18"/>
                <w:szCs w:val="18"/>
              </w:rPr>
            </w:pPr>
            <w:r w:rsidRPr="00C36250">
              <w:rPr>
                <w:color w:val="000000"/>
                <w:sz w:val="18"/>
                <w:szCs w:val="18"/>
                <w:lang w:bidi="ar"/>
              </w:rPr>
              <w:t>客户</w:t>
            </w:r>
            <w:r w:rsidRPr="00C36250">
              <w:rPr>
                <w:color w:val="000000"/>
                <w:sz w:val="18"/>
                <w:szCs w:val="18"/>
                <w:lang w:bidi="ar"/>
              </w:rPr>
              <w:t>a</w:t>
            </w:r>
          </w:p>
        </w:tc>
        <w:tc>
          <w:tcPr>
            <w:tcW w:w="659"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20B54" w:rsidRPr="00C36250" w:rsidRDefault="00733C9E">
            <w:pPr>
              <w:widowControl/>
              <w:jc w:val="center"/>
              <w:textAlignment w:val="center"/>
              <w:rPr>
                <w:color w:val="000000"/>
                <w:sz w:val="18"/>
                <w:szCs w:val="18"/>
              </w:rPr>
            </w:pPr>
            <w:r w:rsidRPr="00C36250">
              <w:rPr>
                <w:color w:val="000000"/>
                <w:sz w:val="18"/>
                <w:szCs w:val="18"/>
                <w:lang w:bidi="ar"/>
              </w:rPr>
              <w:t>调整债务本金</w:t>
            </w:r>
          </w:p>
        </w:tc>
        <w:tc>
          <w:tcPr>
            <w:tcW w:w="124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20B54" w:rsidRPr="00C36250" w:rsidRDefault="00733C9E">
            <w:pPr>
              <w:widowControl/>
              <w:jc w:val="right"/>
              <w:textAlignment w:val="center"/>
              <w:rPr>
                <w:color w:val="000000"/>
                <w:sz w:val="18"/>
                <w:szCs w:val="18"/>
              </w:rPr>
            </w:pPr>
            <w:r w:rsidRPr="00C36250">
              <w:rPr>
                <w:color w:val="000000"/>
                <w:sz w:val="18"/>
                <w:szCs w:val="18"/>
                <w:lang w:bidi="ar"/>
              </w:rPr>
              <w:t>732,600.00</w:t>
            </w:r>
          </w:p>
        </w:tc>
        <w:tc>
          <w:tcPr>
            <w:tcW w:w="124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20B54" w:rsidRPr="00C36250" w:rsidRDefault="00E20B54">
            <w:pPr>
              <w:widowControl/>
              <w:jc w:val="right"/>
              <w:textAlignment w:val="center"/>
              <w:rPr>
                <w:color w:val="000000"/>
                <w:sz w:val="18"/>
                <w:szCs w:val="18"/>
              </w:rPr>
            </w:pPr>
          </w:p>
        </w:tc>
        <w:tc>
          <w:tcPr>
            <w:tcW w:w="1325"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20B54" w:rsidRPr="00C36250" w:rsidRDefault="00733C9E">
            <w:pPr>
              <w:widowControl/>
              <w:jc w:val="center"/>
              <w:textAlignment w:val="center"/>
              <w:rPr>
                <w:color w:val="000000"/>
                <w:sz w:val="18"/>
                <w:szCs w:val="18"/>
              </w:rPr>
            </w:pPr>
            <w:r w:rsidRPr="00C36250">
              <w:rPr>
                <w:color w:val="000000"/>
                <w:sz w:val="18"/>
                <w:szCs w:val="18"/>
                <w:lang w:bidi="ar"/>
              </w:rPr>
              <w:t>双方协商确认</w:t>
            </w:r>
          </w:p>
        </w:tc>
      </w:tr>
      <w:tr w:rsidR="00C36250" w:rsidRPr="00C36250" w:rsidTr="00C36250">
        <w:trPr>
          <w:trHeight w:val="271"/>
        </w:trPr>
        <w:tc>
          <w:tcPr>
            <w:tcW w:w="521"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20B54" w:rsidRPr="00C36250" w:rsidRDefault="00733C9E">
            <w:pPr>
              <w:widowControl/>
              <w:jc w:val="center"/>
              <w:textAlignment w:val="center"/>
              <w:rPr>
                <w:color w:val="000000"/>
                <w:sz w:val="18"/>
                <w:szCs w:val="18"/>
              </w:rPr>
            </w:pPr>
            <w:r w:rsidRPr="00C36250">
              <w:rPr>
                <w:color w:val="000000"/>
                <w:sz w:val="18"/>
                <w:szCs w:val="18"/>
                <w:lang w:bidi="ar"/>
              </w:rPr>
              <w:t>客户</w:t>
            </w:r>
            <w:r w:rsidRPr="00C36250">
              <w:rPr>
                <w:color w:val="000000"/>
                <w:sz w:val="18"/>
                <w:szCs w:val="18"/>
                <w:lang w:bidi="ar"/>
              </w:rPr>
              <w:t>b</w:t>
            </w:r>
          </w:p>
        </w:tc>
        <w:tc>
          <w:tcPr>
            <w:tcW w:w="659"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20B54" w:rsidRPr="00C36250" w:rsidRDefault="00E20B54">
            <w:pPr>
              <w:jc w:val="center"/>
              <w:rPr>
                <w:color w:val="000000"/>
                <w:sz w:val="18"/>
                <w:szCs w:val="18"/>
              </w:rPr>
            </w:pPr>
          </w:p>
        </w:tc>
        <w:tc>
          <w:tcPr>
            <w:tcW w:w="124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20B54" w:rsidRPr="00C36250" w:rsidRDefault="00733C9E">
            <w:pPr>
              <w:widowControl/>
              <w:jc w:val="right"/>
              <w:textAlignment w:val="center"/>
              <w:rPr>
                <w:color w:val="000000"/>
                <w:sz w:val="18"/>
                <w:szCs w:val="18"/>
              </w:rPr>
            </w:pPr>
            <w:r w:rsidRPr="00C36250">
              <w:rPr>
                <w:color w:val="000000"/>
                <w:sz w:val="18"/>
                <w:szCs w:val="18"/>
                <w:lang w:bidi="ar"/>
              </w:rPr>
              <w:t>500,000.00</w:t>
            </w:r>
          </w:p>
        </w:tc>
        <w:tc>
          <w:tcPr>
            <w:tcW w:w="124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20B54" w:rsidRPr="00C36250" w:rsidRDefault="00733C9E">
            <w:pPr>
              <w:widowControl/>
              <w:jc w:val="right"/>
              <w:textAlignment w:val="center"/>
              <w:rPr>
                <w:color w:val="000000"/>
                <w:sz w:val="18"/>
                <w:szCs w:val="18"/>
              </w:rPr>
            </w:pPr>
            <w:r w:rsidRPr="00C36250">
              <w:rPr>
                <w:color w:val="000000"/>
                <w:sz w:val="18"/>
                <w:szCs w:val="18"/>
                <w:lang w:bidi="ar"/>
              </w:rPr>
              <w:t>450,000.00</w:t>
            </w:r>
          </w:p>
        </w:tc>
        <w:tc>
          <w:tcPr>
            <w:tcW w:w="1325"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20B54" w:rsidRPr="00C36250" w:rsidRDefault="00E20B54">
            <w:pPr>
              <w:jc w:val="center"/>
              <w:rPr>
                <w:color w:val="000000"/>
                <w:sz w:val="18"/>
                <w:szCs w:val="18"/>
              </w:rPr>
            </w:pPr>
          </w:p>
        </w:tc>
      </w:tr>
      <w:tr w:rsidR="00C36250" w:rsidRPr="00C36250" w:rsidTr="00C36250">
        <w:trPr>
          <w:trHeight w:val="271"/>
        </w:trPr>
        <w:tc>
          <w:tcPr>
            <w:tcW w:w="521"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20B54" w:rsidRPr="00C36250" w:rsidRDefault="00733C9E">
            <w:pPr>
              <w:widowControl/>
              <w:jc w:val="center"/>
              <w:textAlignment w:val="center"/>
              <w:rPr>
                <w:color w:val="000000"/>
                <w:sz w:val="18"/>
                <w:szCs w:val="18"/>
              </w:rPr>
            </w:pPr>
            <w:r w:rsidRPr="00C36250">
              <w:rPr>
                <w:color w:val="000000"/>
                <w:sz w:val="18"/>
                <w:szCs w:val="18"/>
                <w:lang w:bidi="ar"/>
              </w:rPr>
              <w:t>客户</w:t>
            </w:r>
            <w:r w:rsidRPr="00C36250">
              <w:rPr>
                <w:color w:val="000000"/>
                <w:sz w:val="18"/>
                <w:szCs w:val="18"/>
                <w:lang w:bidi="ar"/>
              </w:rPr>
              <w:t>c</w:t>
            </w:r>
          </w:p>
        </w:tc>
        <w:tc>
          <w:tcPr>
            <w:tcW w:w="659"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20B54" w:rsidRPr="00C36250" w:rsidRDefault="00E20B54">
            <w:pPr>
              <w:jc w:val="center"/>
              <w:rPr>
                <w:color w:val="000000"/>
                <w:sz w:val="18"/>
                <w:szCs w:val="18"/>
              </w:rPr>
            </w:pPr>
          </w:p>
        </w:tc>
        <w:tc>
          <w:tcPr>
            <w:tcW w:w="124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20B54" w:rsidRPr="00C36250" w:rsidRDefault="00733C9E">
            <w:pPr>
              <w:widowControl/>
              <w:jc w:val="right"/>
              <w:textAlignment w:val="center"/>
              <w:rPr>
                <w:color w:val="000000"/>
                <w:sz w:val="18"/>
                <w:szCs w:val="18"/>
              </w:rPr>
            </w:pPr>
            <w:r w:rsidRPr="00C36250">
              <w:rPr>
                <w:color w:val="000000"/>
                <w:sz w:val="18"/>
                <w:szCs w:val="18"/>
                <w:lang w:bidi="ar"/>
              </w:rPr>
              <w:t>4,311,096.33</w:t>
            </w:r>
          </w:p>
        </w:tc>
        <w:tc>
          <w:tcPr>
            <w:tcW w:w="124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20B54" w:rsidRPr="00C36250" w:rsidRDefault="00733C9E">
            <w:pPr>
              <w:widowControl/>
              <w:jc w:val="right"/>
              <w:textAlignment w:val="center"/>
              <w:rPr>
                <w:color w:val="000000"/>
                <w:sz w:val="18"/>
                <w:szCs w:val="18"/>
              </w:rPr>
            </w:pPr>
            <w:r w:rsidRPr="00C36250">
              <w:rPr>
                <w:color w:val="000000"/>
                <w:sz w:val="18"/>
                <w:szCs w:val="18"/>
                <w:lang w:bidi="ar"/>
              </w:rPr>
              <w:t>1,274,731.70</w:t>
            </w:r>
          </w:p>
        </w:tc>
        <w:tc>
          <w:tcPr>
            <w:tcW w:w="1325"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20B54" w:rsidRPr="00C36250" w:rsidRDefault="00E20B54">
            <w:pPr>
              <w:jc w:val="center"/>
              <w:rPr>
                <w:color w:val="000000"/>
                <w:sz w:val="18"/>
                <w:szCs w:val="18"/>
              </w:rPr>
            </w:pPr>
          </w:p>
        </w:tc>
      </w:tr>
      <w:tr w:rsidR="00C36250" w:rsidRPr="00C36250" w:rsidTr="00C36250">
        <w:trPr>
          <w:trHeight w:val="271"/>
        </w:trPr>
        <w:tc>
          <w:tcPr>
            <w:tcW w:w="521"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20B54" w:rsidRPr="00C36250" w:rsidRDefault="00733C9E">
            <w:pPr>
              <w:widowControl/>
              <w:jc w:val="center"/>
              <w:textAlignment w:val="center"/>
              <w:rPr>
                <w:color w:val="000000"/>
                <w:sz w:val="18"/>
                <w:szCs w:val="18"/>
              </w:rPr>
            </w:pPr>
            <w:r w:rsidRPr="00C36250">
              <w:rPr>
                <w:color w:val="000000"/>
                <w:sz w:val="18"/>
                <w:szCs w:val="18"/>
                <w:lang w:bidi="ar"/>
              </w:rPr>
              <w:t>客户</w:t>
            </w:r>
            <w:r w:rsidRPr="00C36250">
              <w:rPr>
                <w:color w:val="000000"/>
                <w:sz w:val="18"/>
                <w:szCs w:val="18"/>
                <w:lang w:bidi="ar"/>
              </w:rPr>
              <w:t>d</w:t>
            </w:r>
          </w:p>
        </w:tc>
        <w:tc>
          <w:tcPr>
            <w:tcW w:w="659"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20B54" w:rsidRPr="00C36250" w:rsidRDefault="00E20B54">
            <w:pPr>
              <w:jc w:val="center"/>
              <w:rPr>
                <w:color w:val="000000"/>
                <w:sz w:val="18"/>
                <w:szCs w:val="18"/>
              </w:rPr>
            </w:pPr>
          </w:p>
        </w:tc>
        <w:tc>
          <w:tcPr>
            <w:tcW w:w="124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20B54" w:rsidRPr="00C36250" w:rsidRDefault="00733C9E">
            <w:pPr>
              <w:widowControl/>
              <w:jc w:val="right"/>
              <w:textAlignment w:val="center"/>
              <w:rPr>
                <w:color w:val="000000"/>
                <w:sz w:val="18"/>
                <w:szCs w:val="18"/>
              </w:rPr>
            </w:pPr>
            <w:r w:rsidRPr="00C36250">
              <w:rPr>
                <w:color w:val="000000"/>
                <w:sz w:val="18"/>
                <w:szCs w:val="18"/>
                <w:lang w:bidi="ar"/>
              </w:rPr>
              <w:t>67,000.00</w:t>
            </w:r>
          </w:p>
        </w:tc>
        <w:tc>
          <w:tcPr>
            <w:tcW w:w="124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20B54" w:rsidRPr="00C36250" w:rsidRDefault="00733C9E">
            <w:pPr>
              <w:widowControl/>
              <w:jc w:val="right"/>
              <w:textAlignment w:val="center"/>
              <w:rPr>
                <w:color w:val="000000"/>
                <w:sz w:val="18"/>
                <w:szCs w:val="18"/>
              </w:rPr>
            </w:pPr>
            <w:r w:rsidRPr="00C36250">
              <w:rPr>
                <w:color w:val="000000"/>
                <w:sz w:val="18"/>
                <w:szCs w:val="18"/>
                <w:lang w:bidi="ar"/>
              </w:rPr>
              <w:t>26,800.00</w:t>
            </w:r>
          </w:p>
        </w:tc>
        <w:tc>
          <w:tcPr>
            <w:tcW w:w="1325"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20B54" w:rsidRPr="00C36250" w:rsidRDefault="00E20B54">
            <w:pPr>
              <w:jc w:val="center"/>
              <w:rPr>
                <w:color w:val="000000"/>
                <w:sz w:val="18"/>
                <w:szCs w:val="18"/>
              </w:rPr>
            </w:pPr>
          </w:p>
        </w:tc>
      </w:tr>
      <w:tr w:rsidR="00C36250" w:rsidRPr="00C36250" w:rsidTr="00C36250">
        <w:trPr>
          <w:trHeight w:val="271"/>
        </w:trPr>
        <w:tc>
          <w:tcPr>
            <w:tcW w:w="521"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20B54" w:rsidRPr="00C36250" w:rsidRDefault="00733C9E">
            <w:pPr>
              <w:widowControl/>
              <w:jc w:val="center"/>
              <w:textAlignment w:val="center"/>
              <w:rPr>
                <w:color w:val="000000"/>
                <w:sz w:val="18"/>
                <w:szCs w:val="18"/>
              </w:rPr>
            </w:pPr>
            <w:r w:rsidRPr="00C36250">
              <w:rPr>
                <w:color w:val="000000"/>
                <w:sz w:val="18"/>
                <w:szCs w:val="18"/>
                <w:lang w:bidi="ar"/>
              </w:rPr>
              <w:t>客户</w:t>
            </w:r>
            <w:r w:rsidRPr="00C36250">
              <w:rPr>
                <w:color w:val="000000"/>
                <w:sz w:val="18"/>
                <w:szCs w:val="18"/>
                <w:lang w:bidi="ar"/>
              </w:rPr>
              <w:t>e</w:t>
            </w:r>
          </w:p>
        </w:tc>
        <w:tc>
          <w:tcPr>
            <w:tcW w:w="659"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20B54" w:rsidRPr="00C36250" w:rsidRDefault="00E20B54">
            <w:pPr>
              <w:jc w:val="center"/>
              <w:rPr>
                <w:color w:val="000000"/>
                <w:sz w:val="18"/>
                <w:szCs w:val="18"/>
              </w:rPr>
            </w:pPr>
          </w:p>
        </w:tc>
        <w:tc>
          <w:tcPr>
            <w:tcW w:w="124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20B54" w:rsidRPr="00C36250" w:rsidRDefault="00733C9E">
            <w:pPr>
              <w:widowControl/>
              <w:jc w:val="right"/>
              <w:textAlignment w:val="center"/>
              <w:rPr>
                <w:color w:val="000000"/>
                <w:sz w:val="18"/>
                <w:szCs w:val="18"/>
              </w:rPr>
            </w:pPr>
            <w:r w:rsidRPr="00C36250">
              <w:rPr>
                <w:color w:val="000000"/>
                <w:sz w:val="18"/>
                <w:szCs w:val="18"/>
                <w:lang w:bidi="ar"/>
              </w:rPr>
              <w:t>644,100.00</w:t>
            </w:r>
          </w:p>
        </w:tc>
        <w:tc>
          <w:tcPr>
            <w:tcW w:w="124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20B54" w:rsidRPr="00C36250" w:rsidRDefault="00733C9E">
            <w:pPr>
              <w:widowControl/>
              <w:jc w:val="right"/>
              <w:textAlignment w:val="center"/>
              <w:rPr>
                <w:color w:val="000000"/>
                <w:sz w:val="18"/>
                <w:szCs w:val="18"/>
              </w:rPr>
            </w:pPr>
            <w:r w:rsidRPr="00C36250">
              <w:rPr>
                <w:color w:val="000000"/>
                <w:sz w:val="18"/>
                <w:szCs w:val="18"/>
                <w:lang w:bidi="ar"/>
              </w:rPr>
              <w:t>161,025.00</w:t>
            </w:r>
          </w:p>
        </w:tc>
        <w:tc>
          <w:tcPr>
            <w:tcW w:w="1325"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20B54" w:rsidRPr="00C36250" w:rsidRDefault="00E20B54">
            <w:pPr>
              <w:jc w:val="center"/>
              <w:rPr>
                <w:color w:val="000000"/>
                <w:sz w:val="18"/>
                <w:szCs w:val="18"/>
              </w:rPr>
            </w:pPr>
          </w:p>
        </w:tc>
      </w:tr>
      <w:tr w:rsidR="00C36250" w:rsidRPr="00C36250" w:rsidTr="00C36250">
        <w:trPr>
          <w:trHeight w:val="271"/>
        </w:trPr>
        <w:tc>
          <w:tcPr>
            <w:tcW w:w="521"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20B54" w:rsidRPr="00C36250" w:rsidRDefault="00733C9E">
            <w:pPr>
              <w:widowControl/>
              <w:jc w:val="center"/>
              <w:textAlignment w:val="center"/>
              <w:rPr>
                <w:color w:val="000000"/>
                <w:sz w:val="18"/>
                <w:szCs w:val="18"/>
              </w:rPr>
            </w:pPr>
            <w:r w:rsidRPr="00C36250">
              <w:rPr>
                <w:color w:val="000000"/>
                <w:sz w:val="18"/>
                <w:szCs w:val="18"/>
                <w:lang w:bidi="ar"/>
              </w:rPr>
              <w:t>客户</w:t>
            </w:r>
            <w:r w:rsidRPr="00C36250">
              <w:rPr>
                <w:color w:val="000000"/>
                <w:sz w:val="18"/>
                <w:szCs w:val="18"/>
                <w:lang w:bidi="ar"/>
              </w:rPr>
              <w:t>f</w:t>
            </w:r>
          </w:p>
        </w:tc>
        <w:tc>
          <w:tcPr>
            <w:tcW w:w="659"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20B54" w:rsidRPr="00C36250" w:rsidRDefault="00E20B54">
            <w:pPr>
              <w:jc w:val="center"/>
              <w:rPr>
                <w:color w:val="000000"/>
                <w:sz w:val="18"/>
                <w:szCs w:val="18"/>
              </w:rPr>
            </w:pPr>
          </w:p>
        </w:tc>
        <w:tc>
          <w:tcPr>
            <w:tcW w:w="124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20B54" w:rsidRPr="00C36250" w:rsidRDefault="00733C9E">
            <w:pPr>
              <w:widowControl/>
              <w:jc w:val="right"/>
              <w:textAlignment w:val="center"/>
              <w:rPr>
                <w:color w:val="000000"/>
                <w:sz w:val="18"/>
                <w:szCs w:val="18"/>
              </w:rPr>
            </w:pPr>
            <w:r w:rsidRPr="00C36250">
              <w:rPr>
                <w:color w:val="000000"/>
                <w:sz w:val="18"/>
                <w:szCs w:val="18"/>
                <w:lang w:bidi="ar"/>
              </w:rPr>
              <w:t>421,886.30</w:t>
            </w:r>
          </w:p>
        </w:tc>
        <w:tc>
          <w:tcPr>
            <w:tcW w:w="124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20B54" w:rsidRPr="00C36250" w:rsidRDefault="00733C9E">
            <w:pPr>
              <w:widowControl/>
              <w:jc w:val="right"/>
              <w:textAlignment w:val="center"/>
              <w:rPr>
                <w:color w:val="000000"/>
                <w:sz w:val="18"/>
                <w:szCs w:val="18"/>
              </w:rPr>
            </w:pPr>
            <w:r w:rsidRPr="00C36250">
              <w:rPr>
                <w:color w:val="000000"/>
                <w:sz w:val="18"/>
                <w:szCs w:val="18"/>
                <w:lang w:bidi="ar"/>
              </w:rPr>
              <w:t>316,414.72</w:t>
            </w:r>
          </w:p>
        </w:tc>
        <w:tc>
          <w:tcPr>
            <w:tcW w:w="1325"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20B54" w:rsidRPr="00C36250" w:rsidRDefault="00E20B54">
            <w:pPr>
              <w:jc w:val="center"/>
              <w:rPr>
                <w:color w:val="000000"/>
                <w:sz w:val="18"/>
                <w:szCs w:val="18"/>
              </w:rPr>
            </w:pPr>
          </w:p>
        </w:tc>
      </w:tr>
      <w:tr w:rsidR="00C36250" w:rsidRPr="00C36250" w:rsidTr="00C36250">
        <w:trPr>
          <w:trHeight w:val="271"/>
        </w:trPr>
        <w:tc>
          <w:tcPr>
            <w:tcW w:w="521"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20B54" w:rsidRPr="00C36250" w:rsidRDefault="00733C9E">
            <w:pPr>
              <w:widowControl/>
              <w:jc w:val="center"/>
              <w:textAlignment w:val="center"/>
              <w:rPr>
                <w:color w:val="000000"/>
                <w:sz w:val="18"/>
                <w:szCs w:val="18"/>
              </w:rPr>
            </w:pPr>
            <w:r w:rsidRPr="00C36250">
              <w:rPr>
                <w:color w:val="000000"/>
                <w:sz w:val="18"/>
                <w:szCs w:val="18"/>
                <w:lang w:bidi="ar"/>
              </w:rPr>
              <w:t>客户</w:t>
            </w:r>
            <w:r w:rsidRPr="00C36250">
              <w:rPr>
                <w:color w:val="000000"/>
                <w:sz w:val="18"/>
                <w:szCs w:val="18"/>
                <w:lang w:bidi="ar"/>
              </w:rPr>
              <w:t>g</w:t>
            </w:r>
          </w:p>
        </w:tc>
        <w:tc>
          <w:tcPr>
            <w:tcW w:w="659"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20B54" w:rsidRPr="00C36250" w:rsidRDefault="00E20B54">
            <w:pPr>
              <w:jc w:val="center"/>
              <w:rPr>
                <w:color w:val="000000"/>
                <w:sz w:val="18"/>
                <w:szCs w:val="18"/>
              </w:rPr>
            </w:pPr>
          </w:p>
        </w:tc>
        <w:tc>
          <w:tcPr>
            <w:tcW w:w="124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20B54" w:rsidRPr="00C36250" w:rsidRDefault="00733C9E">
            <w:pPr>
              <w:widowControl/>
              <w:jc w:val="right"/>
              <w:textAlignment w:val="center"/>
              <w:rPr>
                <w:color w:val="000000"/>
                <w:sz w:val="18"/>
                <w:szCs w:val="18"/>
              </w:rPr>
            </w:pPr>
            <w:r w:rsidRPr="00C36250">
              <w:rPr>
                <w:color w:val="000000"/>
                <w:sz w:val="18"/>
                <w:szCs w:val="18"/>
                <w:lang w:bidi="ar"/>
              </w:rPr>
              <w:t>6,908,117.99</w:t>
            </w:r>
          </w:p>
        </w:tc>
        <w:tc>
          <w:tcPr>
            <w:tcW w:w="124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20B54" w:rsidRPr="00C36250" w:rsidRDefault="00733C9E">
            <w:pPr>
              <w:widowControl/>
              <w:jc w:val="right"/>
              <w:textAlignment w:val="center"/>
              <w:rPr>
                <w:color w:val="000000"/>
                <w:sz w:val="18"/>
                <w:szCs w:val="18"/>
              </w:rPr>
            </w:pPr>
            <w:r w:rsidRPr="00C36250">
              <w:rPr>
                <w:color w:val="000000"/>
                <w:sz w:val="18"/>
                <w:szCs w:val="18"/>
                <w:lang w:bidi="ar"/>
              </w:rPr>
              <w:t>-203,820.00</w:t>
            </w:r>
          </w:p>
        </w:tc>
        <w:tc>
          <w:tcPr>
            <w:tcW w:w="1325"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20B54" w:rsidRPr="00C36250" w:rsidRDefault="00E20B54">
            <w:pPr>
              <w:jc w:val="center"/>
              <w:rPr>
                <w:color w:val="000000"/>
                <w:sz w:val="18"/>
                <w:szCs w:val="18"/>
              </w:rPr>
            </w:pPr>
          </w:p>
        </w:tc>
      </w:tr>
      <w:tr w:rsidR="00C36250" w:rsidRPr="00C36250" w:rsidTr="00C36250">
        <w:trPr>
          <w:trHeight w:val="271"/>
        </w:trPr>
        <w:tc>
          <w:tcPr>
            <w:tcW w:w="521"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20B54" w:rsidRPr="00C36250" w:rsidRDefault="00733C9E">
            <w:pPr>
              <w:widowControl/>
              <w:jc w:val="center"/>
              <w:textAlignment w:val="center"/>
              <w:rPr>
                <w:color w:val="000000"/>
                <w:sz w:val="18"/>
                <w:szCs w:val="18"/>
              </w:rPr>
            </w:pPr>
            <w:r w:rsidRPr="00C36250">
              <w:rPr>
                <w:color w:val="000000"/>
                <w:sz w:val="18"/>
                <w:szCs w:val="18"/>
                <w:lang w:bidi="ar"/>
              </w:rPr>
              <w:t>客户</w:t>
            </w:r>
            <w:r w:rsidRPr="00C36250">
              <w:rPr>
                <w:color w:val="000000"/>
                <w:sz w:val="18"/>
                <w:szCs w:val="18"/>
                <w:lang w:bidi="ar"/>
              </w:rPr>
              <w:t>h</w:t>
            </w:r>
          </w:p>
        </w:tc>
        <w:tc>
          <w:tcPr>
            <w:tcW w:w="659"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20B54" w:rsidRPr="00C36250" w:rsidRDefault="00E20B54">
            <w:pPr>
              <w:jc w:val="center"/>
              <w:rPr>
                <w:color w:val="000000"/>
                <w:sz w:val="18"/>
                <w:szCs w:val="18"/>
              </w:rPr>
            </w:pPr>
          </w:p>
        </w:tc>
        <w:tc>
          <w:tcPr>
            <w:tcW w:w="124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20B54" w:rsidRPr="00C36250" w:rsidRDefault="00733C9E">
            <w:pPr>
              <w:widowControl/>
              <w:jc w:val="right"/>
              <w:textAlignment w:val="center"/>
              <w:rPr>
                <w:color w:val="000000"/>
                <w:sz w:val="18"/>
                <w:szCs w:val="18"/>
              </w:rPr>
            </w:pPr>
            <w:r w:rsidRPr="00C36250">
              <w:rPr>
                <w:color w:val="000000"/>
                <w:sz w:val="18"/>
                <w:szCs w:val="18"/>
                <w:lang w:bidi="ar"/>
              </w:rPr>
              <w:t>2,371,301.22</w:t>
            </w:r>
          </w:p>
        </w:tc>
        <w:tc>
          <w:tcPr>
            <w:tcW w:w="124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20B54" w:rsidRPr="00C36250" w:rsidRDefault="00733C9E">
            <w:pPr>
              <w:widowControl/>
              <w:jc w:val="right"/>
              <w:textAlignment w:val="center"/>
              <w:rPr>
                <w:color w:val="000000"/>
                <w:sz w:val="18"/>
                <w:szCs w:val="18"/>
              </w:rPr>
            </w:pPr>
            <w:r w:rsidRPr="00C36250">
              <w:rPr>
                <w:color w:val="000000"/>
                <w:sz w:val="18"/>
                <w:szCs w:val="18"/>
                <w:lang w:bidi="ar"/>
              </w:rPr>
              <w:t>1,659,910.85</w:t>
            </w:r>
          </w:p>
        </w:tc>
        <w:tc>
          <w:tcPr>
            <w:tcW w:w="1325"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20B54" w:rsidRPr="00C36250" w:rsidRDefault="00E20B54">
            <w:pPr>
              <w:jc w:val="center"/>
              <w:rPr>
                <w:color w:val="000000"/>
                <w:sz w:val="18"/>
                <w:szCs w:val="18"/>
              </w:rPr>
            </w:pPr>
          </w:p>
        </w:tc>
      </w:tr>
      <w:tr w:rsidR="00C36250" w:rsidRPr="00C36250" w:rsidTr="00C36250">
        <w:trPr>
          <w:trHeight w:val="271"/>
        </w:trPr>
        <w:tc>
          <w:tcPr>
            <w:tcW w:w="521"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20B54" w:rsidRPr="00C36250" w:rsidRDefault="00733C9E">
            <w:pPr>
              <w:widowControl/>
              <w:jc w:val="center"/>
              <w:textAlignment w:val="center"/>
              <w:rPr>
                <w:color w:val="000000"/>
                <w:sz w:val="18"/>
                <w:szCs w:val="18"/>
              </w:rPr>
            </w:pPr>
            <w:r w:rsidRPr="00C36250">
              <w:rPr>
                <w:color w:val="000000"/>
                <w:sz w:val="18"/>
                <w:szCs w:val="18"/>
                <w:lang w:bidi="ar"/>
              </w:rPr>
              <w:t>客户</w:t>
            </w:r>
            <w:r w:rsidRPr="00C36250">
              <w:rPr>
                <w:color w:val="000000"/>
                <w:sz w:val="18"/>
                <w:szCs w:val="18"/>
                <w:lang w:bidi="ar"/>
              </w:rPr>
              <w:t>i</w:t>
            </w:r>
          </w:p>
        </w:tc>
        <w:tc>
          <w:tcPr>
            <w:tcW w:w="659"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20B54" w:rsidRPr="00C36250" w:rsidRDefault="00E20B54">
            <w:pPr>
              <w:jc w:val="center"/>
              <w:rPr>
                <w:color w:val="000000"/>
                <w:sz w:val="18"/>
                <w:szCs w:val="18"/>
              </w:rPr>
            </w:pPr>
          </w:p>
        </w:tc>
        <w:tc>
          <w:tcPr>
            <w:tcW w:w="124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20B54" w:rsidRPr="00C36250" w:rsidRDefault="00733C9E">
            <w:pPr>
              <w:widowControl/>
              <w:jc w:val="right"/>
              <w:textAlignment w:val="center"/>
              <w:rPr>
                <w:color w:val="000000"/>
                <w:sz w:val="18"/>
                <w:szCs w:val="18"/>
              </w:rPr>
            </w:pPr>
            <w:r w:rsidRPr="00C36250">
              <w:rPr>
                <w:color w:val="000000"/>
                <w:sz w:val="18"/>
                <w:szCs w:val="18"/>
                <w:lang w:bidi="ar"/>
              </w:rPr>
              <w:t>3,771,997.04</w:t>
            </w:r>
          </w:p>
        </w:tc>
        <w:tc>
          <w:tcPr>
            <w:tcW w:w="124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20B54" w:rsidRPr="00C36250" w:rsidRDefault="00733C9E">
            <w:pPr>
              <w:widowControl/>
              <w:jc w:val="right"/>
              <w:textAlignment w:val="center"/>
              <w:rPr>
                <w:color w:val="000000"/>
                <w:sz w:val="18"/>
                <w:szCs w:val="18"/>
              </w:rPr>
            </w:pPr>
            <w:r w:rsidRPr="00C36250">
              <w:rPr>
                <w:color w:val="000000"/>
                <w:sz w:val="18"/>
                <w:szCs w:val="18"/>
                <w:lang w:bidi="ar"/>
              </w:rPr>
              <w:t>2,247,198.22</w:t>
            </w:r>
          </w:p>
        </w:tc>
        <w:tc>
          <w:tcPr>
            <w:tcW w:w="1325"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20B54" w:rsidRPr="00C36250" w:rsidRDefault="00E20B54">
            <w:pPr>
              <w:jc w:val="center"/>
              <w:rPr>
                <w:color w:val="000000"/>
                <w:sz w:val="18"/>
                <w:szCs w:val="18"/>
              </w:rPr>
            </w:pPr>
          </w:p>
        </w:tc>
      </w:tr>
      <w:tr w:rsidR="00C36250" w:rsidRPr="00C36250" w:rsidTr="00C36250">
        <w:trPr>
          <w:trHeight w:val="271"/>
        </w:trPr>
        <w:tc>
          <w:tcPr>
            <w:tcW w:w="521"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20B54" w:rsidRPr="00C36250" w:rsidRDefault="00733C9E">
            <w:pPr>
              <w:widowControl/>
              <w:jc w:val="center"/>
              <w:textAlignment w:val="center"/>
              <w:rPr>
                <w:color w:val="000000"/>
                <w:sz w:val="18"/>
                <w:szCs w:val="18"/>
              </w:rPr>
            </w:pPr>
            <w:r w:rsidRPr="00C36250">
              <w:rPr>
                <w:color w:val="000000"/>
                <w:sz w:val="18"/>
                <w:szCs w:val="18"/>
                <w:lang w:bidi="ar"/>
              </w:rPr>
              <w:t>客户</w:t>
            </w:r>
            <w:r w:rsidRPr="00C36250">
              <w:rPr>
                <w:color w:val="000000"/>
                <w:sz w:val="18"/>
                <w:szCs w:val="18"/>
                <w:lang w:bidi="ar"/>
              </w:rPr>
              <w:t>j</w:t>
            </w:r>
          </w:p>
        </w:tc>
        <w:tc>
          <w:tcPr>
            <w:tcW w:w="659"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20B54" w:rsidRPr="00C36250" w:rsidRDefault="00E20B54">
            <w:pPr>
              <w:jc w:val="center"/>
              <w:rPr>
                <w:color w:val="000000"/>
                <w:sz w:val="18"/>
                <w:szCs w:val="18"/>
              </w:rPr>
            </w:pPr>
          </w:p>
        </w:tc>
        <w:tc>
          <w:tcPr>
            <w:tcW w:w="124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20B54" w:rsidRPr="00C36250" w:rsidRDefault="00733C9E">
            <w:pPr>
              <w:widowControl/>
              <w:jc w:val="right"/>
              <w:textAlignment w:val="center"/>
              <w:rPr>
                <w:color w:val="000000"/>
                <w:sz w:val="18"/>
                <w:szCs w:val="18"/>
              </w:rPr>
            </w:pPr>
            <w:r w:rsidRPr="00C36250">
              <w:rPr>
                <w:color w:val="000000"/>
                <w:sz w:val="18"/>
                <w:szCs w:val="18"/>
                <w:lang w:bidi="ar"/>
              </w:rPr>
              <w:t>456,149.14</w:t>
            </w:r>
          </w:p>
        </w:tc>
        <w:tc>
          <w:tcPr>
            <w:tcW w:w="124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20B54" w:rsidRPr="00C36250" w:rsidRDefault="00733C9E">
            <w:pPr>
              <w:widowControl/>
              <w:jc w:val="right"/>
              <w:textAlignment w:val="center"/>
              <w:rPr>
                <w:color w:val="000000"/>
                <w:sz w:val="18"/>
                <w:szCs w:val="18"/>
              </w:rPr>
            </w:pPr>
            <w:r w:rsidRPr="00C36250">
              <w:rPr>
                <w:color w:val="000000"/>
                <w:sz w:val="18"/>
                <w:szCs w:val="18"/>
                <w:lang w:bidi="ar"/>
              </w:rPr>
              <w:t>-29,028.40</w:t>
            </w:r>
          </w:p>
        </w:tc>
        <w:tc>
          <w:tcPr>
            <w:tcW w:w="1325"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20B54" w:rsidRPr="00C36250" w:rsidRDefault="00E20B54">
            <w:pPr>
              <w:jc w:val="center"/>
              <w:rPr>
                <w:color w:val="000000"/>
                <w:sz w:val="18"/>
                <w:szCs w:val="18"/>
              </w:rPr>
            </w:pPr>
          </w:p>
        </w:tc>
      </w:tr>
      <w:tr w:rsidR="00C36250" w:rsidRPr="00C36250" w:rsidTr="00C36250">
        <w:trPr>
          <w:trHeight w:val="271"/>
        </w:trPr>
        <w:tc>
          <w:tcPr>
            <w:tcW w:w="521"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20B54" w:rsidRPr="00C36250" w:rsidRDefault="00733C9E">
            <w:pPr>
              <w:widowControl/>
              <w:jc w:val="center"/>
              <w:textAlignment w:val="center"/>
              <w:rPr>
                <w:color w:val="000000"/>
                <w:sz w:val="18"/>
                <w:szCs w:val="18"/>
              </w:rPr>
            </w:pPr>
            <w:r w:rsidRPr="00C36250">
              <w:rPr>
                <w:color w:val="000000"/>
                <w:sz w:val="18"/>
                <w:szCs w:val="18"/>
                <w:lang w:bidi="ar"/>
              </w:rPr>
              <w:t>客户</w:t>
            </w:r>
            <w:r w:rsidRPr="00C36250">
              <w:rPr>
                <w:color w:val="000000"/>
                <w:sz w:val="18"/>
                <w:szCs w:val="18"/>
                <w:lang w:bidi="ar"/>
              </w:rPr>
              <w:t>k</w:t>
            </w:r>
          </w:p>
        </w:tc>
        <w:tc>
          <w:tcPr>
            <w:tcW w:w="659"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20B54" w:rsidRPr="00C36250" w:rsidRDefault="00E20B54">
            <w:pPr>
              <w:jc w:val="center"/>
              <w:rPr>
                <w:color w:val="000000"/>
                <w:sz w:val="18"/>
                <w:szCs w:val="18"/>
              </w:rPr>
            </w:pPr>
          </w:p>
        </w:tc>
        <w:tc>
          <w:tcPr>
            <w:tcW w:w="124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20B54" w:rsidRPr="00C36250" w:rsidRDefault="00733C9E">
            <w:pPr>
              <w:widowControl/>
              <w:jc w:val="right"/>
              <w:textAlignment w:val="center"/>
              <w:rPr>
                <w:color w:val="000000"/>
                <w:sz w:val="18"/>
                <w:szCs w:val="18"/>
              </w:rPr>
            </w:pPr>
            <w:r w:rsidRPr="00C36250">
              <w:rPr>
                <w:color w:val="000000"/>
                <w:sz w:val="18"/>
                <w:szCs w:val="18"/>
                <w:lang w:bidi="ar"/>
              </w:rPr>
              <w:t>308,000.00</w:t>
            </w:r>
          </w:p>
        </w:tc>
        <w:tc>
          <w:tcPr>
            <w:tcW w:w="124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20B54" w:rsidRPr="00C36250" w:rsidRDefault="00733C9E">
            <w:pPr>
              <w:widowControl/>
              <w:jc w:val="right"/>
              <w:textAlignment w:val="center"/>
              <w:rPr>
                <w:color w:val="000000"/>
                <w:sz w:val="18"/>
                <w:szCs w:val="18"/>
              </w:rPr>
            </w:pPr>
            <w:r w:rsidRPr="00C36250">
              <w:rPr>
                <w:color w:val="000000"/>
                <w:sz w:val="18"/>
                <w:szCs w:val="18"/>
                <w:lang w:bidi="ar"/>
              </w:rPr>
              <w:t>-19,600.00</w:t>
            </w:r>
          </w:p>
        </w:tc>
        <w:tc>
          <w:tcPr>
            <w:tcW w:w="1325"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20B54" w:rsidRPr="00C36250" w:rsidRDefault="00E20B54">
            <w:pPr>
              <w:jc w:val="center"/>
              <w:rPr>
                <w:color w:val="000000"/>
                <w:sz w:val="18"/>
                <w:szCs w:val="18"/>
              </w:rPr>
            </w:pPr>
          </w:p>
        </w:tc>
      </w:tr>
      <w:tr w:rsidR="00C36250" w:rsidRPr="00C36250" w:rsidTr="00C36250">
        <w:trPr>
          <w:trHeight w:val="271"/>
        </w:trPr>
        <w:tc>
          <w:tcPr>
            <w:tcW w:w="521"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20B54" w:rsidRPr="00C36250" w:rsidRDefault="00733C9E">
            <w:pPr>
              <w:widowControl/>
              <w:jc w:val="center"/>
              <w:textAlignment w:val="center"/>
              <w:rPr>
                <w:color w:val="000000"/>
                <w:sz w:val="18"/>
                <w:szCs w:val="18"/>
              </w:rPr>
            </w:pPr>
            <w:r w:rsidRPr="00C36250">
              <w:rPr>
                <w:color w:val="000000"/>
                <w:sz w:val="18"/>
                <w:szCs w:val="18"/>
                <w:lang w:bidi="ar"/>
              </w:rPr>
              <w:t>客户</w:t>
            </w:r>
            <w:r w:rsidRPr="00C36250">
              <w:rPr>
                <w:color w:val="000000"/>
                <w:sz w:val="18"/>
                <w:szCs w:val="18"/>
                <w:lang w:bidi="ar"/>
              </w:rPr>
              <w:t>l</w:t>
            </w:r>
          </w:p>
        </w:tc>
        <w:tc>
          <w:tcPr>
            <w:tcW w:w="659"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20B54" w:rsidRPr="00C36250" w:rsidRDefault="00E20B54">
            <w:pPr>
              <w:jc w:val="center"/>
              <w:rPr>
                <w:color w:val="000000"/>
                <w:sz w:val="18"/>
                <w:szCs w:val="18"/>
              </w:rPr>
            </w:pPr>
          </w:p>
        </w:tc>
        <w:tc>
          <w:tcPr>
            <w:tcW w:w="124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20B54" w:rsidRPr="00C36250" w:rsidRDefault="00733C9E">
            <w:pPr>
              <w:widowControl/>
              <w:jc w:val="right"/>
              <w:textAlignment w:val="center"/>
              <w:rPr>
                <w:color w:val="000000"/>
                <w:sz w:val="18"/>
                <w:szCs w:val="18"/>
              </w:rPr>
            </w:pPr>
            <w:r w:rsidRPr="00C36250">
              <w:rPr>
                <w:color w:val="000000"/>
                <w:sz w:val="18"/>
                <w:szCs w:val="18"/>
                <w:lang w:bidi="ar"/>
              </w:rPr>
              <w:t>107,880.08</w:t>
            </w:r>
          </w:p>
        </w:tc>
        <w:tc>
          <w:tcPr>
            <w:tcW w:w="124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20B54" w:rsidRPr="00C36250" w:rsidRDefault="00733C9E">
            <w:pPr>
              <w:widowControl/>
              <w:jc w:val="right"/>
              <w:textAlignment w:val="center"/>
              <w:rPr>
                <w:color w:val="000000"/>
                <w:sz w:val="18"/>
                <w:szCs w:val="18"/>
              </w:rPr>
            </w:pPr>
            <w:r w:rsidRPr="00C36250">
              <w:rPr>
                <w:color w:val="000000"/>
                <w:sz w:val="18"/>
                <w:szCs w:val="18"/>
                <w:lang w:bidi="ar"/>
              </w:rPr>
              <w:t>-6,865.10</w:t>
            </w:r>
          </w:p>
        </w:tc>
        <w:tc>
          <w:tcPr>
            <w:tcW w:w="1325"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20B54" w:rsidRPr="00C36250" w:rsidRDefault="00E20B54">
            <w:pPr>
              <w:jc w:val="center"/>
              <w:rPr>
                <w:color w:val="000000"/>
                <w:sz w:val="18"/>
                <w:szCs w:val="18"/>
              </w:rPr>
            </w:pPr>
          </w:p>
        </w:tc>
      </w:tr>
      <w:tr w:rsidR="00C36250" w:rsidRPr="00C36250" w:rsidTr="00C36250">
        <w:trPr>
          <w:trHeight w:val="271"/>
        </w:trPr>
        <w:tc>
          <w:tcPr>
            <w:tcW w:w="521"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20B54" w:rsidRPr="00C36250" w:rsidRDefault="00733C9E">
            <w:pPr>
              <w:widowControl/>
              <w:jc w:val="center"/>
              <w:textAlignment w:val="center"/>
              <w:rPr>
                <w:color w:val="000000"/>
                <w:sz w:val="18"/>
                <w:szCs w:val="18"/>
              </w:rPr>
            </w:pPr>
            <w:r w:rsidRPr="00C36250">
              <w:rPr>
                <w:color w:val="000000"/>
                <w:sz w:val="18"/>
                <w:szCs w:val="18"/>
                <w:lang w:bidi="ar"/>
              </w:rPr>
              <w:t>客户</w:t>
            </w:r>
            <w:r w:rsidRPr="00C36250">
              <w:rPr>
                <w:color w:val="000000"/>
                <w:sz w:val="18"/>
                <w:szCs w:val="18"/>
                <w:lang w:bidi="ar"/>
              </w:rPr>
              <w:t>m</w:t>
            </w:r>
          </w:p>
        </w:tc>
        <w:tc>
          <w:tcPr>
            <w:tcW w:w="659"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20B54" w:rsidRPr="00C36250" w:rsidRDefault="00E20B54">
            <w:pPr>
              <w:jc w:val="center"/>
              <w:rPr>
                <w:color w:val="000000"/>
                <w:sz w:val="18"/>
                <w:szCs w:val="18"/>
              </w:rPr>
            </w:pPr>
          </w:p>
        </w:tc>
        <w:tc>
          <w:tcPr>
            <w:tcW w:w="124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20B54" w:rsidRPr="00C36250" w:rsidRDefault="00733C9E">
            <w:pPr>
              <w:widowControl/>
              <w:jc w:val="right"/>
              <w:textAlignment w:val="center"/>
              <w:rPr>
                <w:color w:val="000000"/>
                <w:sz w:val="18"/>
                <w:szCs w:val="18"/>
              </w:rPr>
            </w:pPr>
            <w:r w:rsidRPr="00C36250">
              <w:rPr>
                <w:color w:val="000000"/>
                <w:sz w:val="18"/>
                <w:szCs w:val="18"/>
                <w:lang w:bidi="ar"/>
              </w:rPr>
              <w:t>185,104.15</w:t>
            </w:r>
          </w:p>
        </w:tc>
        <w:tc>
          <w:tcPr>
            <w:tcW w:w="124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20B54" w:rsidRPr="00C36250" w:rsidRDefault="00733C9E">
            <w:pPr>
              <w:widowControl/>
              <w:jc w:val="right"/>
              <w:textAlignment w:val="center"/>
              <w:rPr>
                <w:color w:val="000000"/>
                <w:sz w:val="18"/>
                <w:szCs w:val="18"/>
              </w:rPr>
            </w:pPr>
            <w:r w:rsidRPr="00C36250">
              <w:rPr>
                <w:color w:val="000000"/>
                <w:sz w:val="18"/>
                <w:szCs w:val="18"/>
                <w:lang w:bidi="ar"/>
              </w:rPr>
              <w:t>-15,144.88</w:t>
            </w:r>
          </w:p>
        </w:tc>
        <w:tc>
          <w:tcPr>
            <w:tcW w:w="1325"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20B54" w:rsidRPr="00C36250" w:rsidRDefault="00E20B54">
            <w:pPr>
              <w:jc w:val="center"/>
              <w:rPr>
                <w:color w:val="000000"/>
                <w:sz w:val="18"/>
                <w:szCs w:val="18"/>
              </w:rPr>
            </w:pPr>
          </w:p>
        </w:tc>
      </w:tr>
      <w:tr w:rsidR="00C36250" w:rsidRPr="00C36250" w:rsidTr="00C36250">
        <w:trPr>
          <w:trHeight w:val="271"/>
        </w:trPr>
        <w:tc>
          <w:tcPr>
            <w:tcW w:w="521"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20B54" w:rsidRPr="00C36250" w:rsidRDefault="00733C9E">
            <w:pPr>
              <w:widowControl/>
              <w:jc w:val="center"/>
              <w:textAlignment w:val="center"/>
              <w:rPr>
                <w:color w:val="000000"/>
                <w:sz w:val="18"/>
                <w:szCs w:val="18"/>
              </w:rPr>
            </w:pPr>
            <w:r w:rsidRPr="00C36250">
              <w:rPr>
                <w:color w:val="000000"/>
                <w:sz w:val="18"/>
                <w:szCs w:val="18"/>
                <w:lang w:bidi="ar"/>
              </w:rPr>
              <w:t>客户</w:t>
            </w:r>
            <w:r w:rsidRPr="00C36250">
              <w:rPr>
                <w:color w:val="000000"/>
                <w:sz w:val="18"/>
                <w:szCs w:val="18"/>
                <w:lang w:bidi="ar"/>
              </w:rPr>
              <w:t>n</w:t>
            </w:r>
          </w:p>
        </w:tc>
        <w:tc>
          <w:tcPr>
            <w:tcW w:w="659"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20B54" w:rsidRPr="00C36250" w:rsidRDefault="00E20B54">
            <w:pPr>
              <w:jc w:val="center"/>
              <w:rPr>
                <w:color w:val="000000"/>
                <w:sz w:val="18"/>
                <w:szCs w:val="18"/>
              </w:rPr>
            </w:pPr>
          </w:p>
        </w:tc>
        <w:tc>
          <w:tcPr>
            <w:tcW w:w="124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20B54" w:rsidRPr="00C36250" w:rsidRDefault="00733C9E">
            <w:pPr>
              <w:widowControl/>
              <w:jc w:val="right"/>
              <w:textAlignment w:val="center"/>
              <w:rPr>
                <w:color w:val="000000"/>
                <w:sz w:val="18"/>
                <w:szCs w:val="18"/>
              </w:rPr>
            </w:pPr>
            <w:r w:rsidRPr="00C36250">
              <w:rPr>
                <w:color w:val="000000"/>
                <w:sz w:val="18"/>
                <w:szCs w:val="18"/>
                <w:lang w:bidi="ar"/>
              </w:rPr>
              <w:t>123,388.65</w:t>
            </w:r>
          </w:p>
        </w:tc>
        <w:tc>
          <w:tcPr>
            <w:tcW w:w="124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20B54" w:rsidRPr="00C36250" w:rsidRDefault="00733C9E">
            <w:pPr>
              <w:widowControl/>
              <w:jc w:val="right"/>
              <w:textAlignment w:val="center"/>
              <w:rPr>
                <w:color w:val="000000"/>
                <w:sz w:val="18"/>
                <w:szCs w:val="18"/>
              </w:rPr>
            </w:pPr>
            <w:r w:rsidRPr="00C36250">
              <w:rPr>
                <w:color w:val="000000"/>
                <w:sz w:val="18"/>
                <w:szCs w:val="18"/>
                <w:lang w:bidi="ar"/>
              </w:rPr>
              <w:t>-7,852.00</w:t>
            </w:r>
          </w:p>
        </w:tc>
        <w:tc>
          <w:tcPr>
            <w:tcW w:w="1325"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20B54" w:rsidRPr="00C36250" w:rsidRDefault="00E20B54">
            <w:pPr>
              <w:jc w:val="center"/>
              <w:rPr>
                <w:color w:val="000000"/>
                <w:sz w:val="18"/>
                <w:szCs w:val="18"/>
              </w:rPr>
            </w:pPr>
          </w:p>
        </w:tc>
      </w:tr>
      <w:tr w:rsidR="00C36250" w:rsidRPr="00C36250" w:rsidTr="00C36250">
        <w:trPr>
          <w:trHeight w:val="271"/>
        </w:trPr>
        <w:tc>
          <w:tcPr>
            <w:tcW w:w="521"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20B54" w:rsidRPr="00C36250" w:rsidRDefault="00733C9E">
            <w:pPr>
              <w:widowControl/>
              <w:jc w:val="center"/>
              <w:textAlignment w:val="center"/>
              <w:rPr>
                <w:color w:val="000000"/>
                <w:sz w:val="18"/>
                <w:szCs w:val="18"/>
              </w:rPr>
            </w:pPr>
            <w:r w:rsidRPr="00C36250">
              <w:rPr>
                <w:color w:val="000000"/>
                <w:sz w:val="18"/>
                <w:szCs w:val="18"/>
                <w:lang w:bidi="ar"/>
              </w:rPr>
              <w:t>客户</w:t>
            </w:r>
            <w:r w:rsidRPr="00C36250">
              <w:rPr>
                <w:color w:val="000000"/>
                <w:sz w:val="18"/>
                <w:szCs w:val="18"/>
                <w:lang w:bidi="ar"/>
              </w:rPr>
              <w:t>o</w:t>
            </w:r>
          </w:p>
        </w:tc>
        <w:tc>
          <w:tcPr>
            <w:tcW w:w="659"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20B54" w:rsidRPr="00C36250" w:rsidRDefault="00E20B54">
            <w:pPr>
              <w:jc w:val="center"/>
              <w:rPr>
                <w:color w:val="000000"/>
                <w:sz w:val="18"/>
                <w:szCs w:val="18"/>
              </w:rPr>
            </w:pPr>
          </w:p>
        </w:tc>
        <w:tc>
          <w:tcPr>
            <w:tcW w:w="124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20B54" w:rsidRPr="00C36250" w:rsidRDefault="00733C9E">
            <w:pPr>
              <w:widowControl/>
              <w:jc w:val="right"/>
              <w:textAlignment w:val="center"/>
              <w:rPr>
                <w:color w:val="000000"/>
                <w:sz w:val="18"/>
                <w:szCs w:val="18"/>
              </w:rPr>
            </w:pPr>
            <w:r w:rsidRPr="00C36250">
              <w:rPr>
                <w:color w:val="000000"/>
                <w:sz w:val="18"/>
                <w:szCs w:val="18"/>
                <w:lang w:bidi="ar"/>
              </w:rPr>
              <w:t>92,637.93</w:t>
            </w:r>
          </w:p>
        </w:tc>
        <w:tc>
          <w:tcPr>
            <w:tcW w:w="124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20B54" w:rsidRPr="00C36250" w:rsidRDefault="00733C9E">
            <w:pPr>
              <w:widowControl/>
              <w:jc w:val="right"/>
              <w:textAlignment w:val="center"/>
              <w:rPr>
                <w:color w:val="000000"/>
                <w:sz w:val="18"/>
                <w:szCs w:val="18"/>
              </w:rPr>
            </w:pPr>
            <w:r w:rsidRPr="00C36250">
              <w:rPr>
                <w:color w:val="000000"/>
                <w:sz w:val="18"/>
                <w:szCs w:val="18"/>
                <w:lang w:bidi="ar"/>
              </w:rPr>
              <w:t>-5,895.14</w:t>
            </w:r>
          </w:p>
        </w:tc>
        <w:tc>
          <w:tcPr>
            <w:tcW w:w="1325"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20B54" w:rsidRPr="00C36250" w:rsidRDefault="00E20B54">
            <w:pPr>
              <w:jc w:val="center"/>
              <w:rPr>
                <w:color w:val="000000"/>
                <w:sz w:val="18"/>
                <w:szCs w:val="18"/>
              </w:rPr>
            </w:pPr>
          </w:p>
        </w:tc>
      </w:tr>
      <w:tr w:rsidR="00C36250" w:rsidRPr="00C36250" w:rsidTr="00C36250">
        <w:trPr>
          <w:trHeight w:val="271"/>
        </w:trPr>
        <w:tc>
          <w:tcPr>
            <w:tcW w:w="521"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20B54" w:rsidRPr="00C36250" w:rsidRDefault="00733C9E">
            <w:pPr>
              <w:widowControl/>
              <w:jc w:val="center"/>
              <w:textAlignment w:val="center"/>
              <w:rPr>
                <w:color w:val="000000"/>
                <w:sz w:val="18"/>
                <w:szCs w:val="18"/>
              </w:rPr>
            </w:pPr>
            <w:r w:rsidRPr="00C36250">
              <w:rPr>
                <w:color w:val="000000"/>
                <w:sz w:val="18"/>
                <w:szCs w:val="18"/>
                <w:lang w:bidi="ar"/>
              </w:rPr>
              <w:t>客户</w:t>
            </w:r>
            <w:r w:rsidRPr="00C36250">
              <w:rPr>
                <w:color w:val="000000"/>
                <w:sz w:val="18"/>
                <w:szCs w:val="18"/>
                <w:lang w:bidi="ar"/>
              </w:rPr>
              <w:t>p</w:t>
            </w:r>
          </w:p>
        </w:tc>
        <w:tc>
          <w:tcPr>
            <w:tcW w:w="659"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20B54" w:rsidRPr="00C36250" w:rsidRDefault="00E20B54">
            <w:pPr>
              <w:jc w:val="center"/>
              <w:rPr>
                <w:color w:val="000000"/>
                <w:sz w:val="18"/>
                <w:szCs w:val="18"/>
              </w:rPr>
            </w:pPr>
          </w:p>
        </w:tc>
        <w:tc>
          <w:tcPr>
            <w:tcW w:w="124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20B54" w:rsidRPr="00C36250" w:rsidRDefault="00733C9E">
            <w:pPr>
              <w:widowControl/>
              <w:jc w:val="right"/>
              <w:textAlignment w:val="center"/>
              <w:rPr>
                <w:color w:val="000000"/>
                <w:sz w:val="18"/>
                <w:szCs w:val="18"/>
              </w:rPr>
            </w:pPr>
            <w:r w:rsidRPr="00C36250">
              <w:rPr>
                <w:color w:val="000000"/>
                <w:sz w:val="18"/>
                <w:szCs w:val="18"/>
                <w:lang w:bidi="ar"/>
              </w:rPr>
              <w:t>307,800.00</w:t>
            </w:r>
          </w:p>
        </w:tc>
        <w:tc>
          <w:tcPr>
            <w:tcW w:w="124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20B54" w:rsidRPr="00C36250" w:rsidRDefault="00733C9E">
            <w:pPr>
              <w:widowControl/>
              <w:jc w:val="right"/>
              <w:textAlignment w:val="center"/>
              <w:rPr>
                <w:color w:val="000000"/>
                <w:sz w:val="18"/>
                <w:szCs w:val="18"/>
              </w:rPr>
            </w:pPr>
            <w:r w:rsidRPr="00C36250">
              <w:rPr>
                <w:color w:val="000000"/>
                <w:sz w:val="18"/>
                <w:szCs w:val="18"/>
                <w:lang w:bidi="ar"/>
              </w:rPr>
              <w:t>-19,600.00</w:t>
            </w:r>
          </w:p>
        </w:tc>
        <w:tc>
          <w:tcPr>
            <w:tcW w:w="1325"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20B54" w:rsidRPr="00C36250" w:rsidRDefault="00E20B54">
            <w:pPr>
              <w:jc w:val="center"/>
              <w:rPr>
                <w:color w:val="000000"/>
                <w:sz w:val="18"/>
                <w:szCs w:val="18"/>
              </w:rPr>
            </w:pPr>
          </w:p>
        </w:tc>
      </w:tr>
      <w:tr w:rsidR="00C36250" w:rsidRPr="00C36250" w:rsidTr="00C36250">
        <w:trPr>
          <w:trHeight w:val="271"/>
        </w:trPr>
        <w:tc>
          <w:tcPr>
            <w:tcW w:w="521"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20B54" w:rsidRPr="00C36250" w:rsidRDefault="00733C9E">
            <w:pPr>
              <w:widowControl/>
              <w:jc w:val="center"/>
              <w:textAlignment w:val="center"/>
              <w:rPr>
                <w:color w:val="000000"/>
                <w:sz w:val="18"/>
                <w:szCs w:val="18"/>
              </w:rPr>
            </w:pPr>
            <w:r w:rsidRPr="00C36250">
              <w:rPr>
                <w:color w:val="000000"/>
                <w:sz w:val="18"/>
                <w:szCs w:val="18"/>
                <w:lang w:bidi="ar"/>
              </w:rPr>
              <w:t>客户</w:t>
            </w:r>
            <w:r w:rsidRPr="00C36250">
              <w:rPr>
                <w:color w:val="000000"/>
                <w:sz w:val="18"/>
                <w:szCs w:val="18"/>
                <w:lang w:bidi="ar"/>
              </w:rPr>
              <w:t>q</w:t>
            </w:r>
          </w:p>
        </w:tc>
        <w:tc>
          <w:tcPr>
            <w:tcW w:w="659"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20B54" w:rsidRPr="00C36250" w:rsidRDefault="00E20B54">
            <w:pPr>
              <w:jc w:val="center"/>
              <w:rPr>
                <w:color w:val="000000"/>
                <w:sz w:val="18"/>
                <w:szCs w:val="18"/>
              </w:rPr>
            </w:pPr>
          </w:p>
        </w:tc>
        <w:tc>
          <w:tcPr>
            <w:tcW w:w="124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20B54" w:rsidRPr="00C36250" w:rsidRDefault="00733C9E">
            <w:pPr>
              <w:widowControl/>
              <w:jc w:val="right"/>
              <w:textAlignment w:val="center"/>
              <w:rPr>
                <w:color w:val="000000"/>
                <w:sz w:val="18"/>
                <w:szCs w:val="18"/>
              </w:rPr>
            </w:pPr>
            <w:r w:rsidRPr="00C36250">
              <w:rPr>
                <w:color w:val="000000"/>
                <w:sz w:val="18"/>
                <w:szCs w:val="18"/>
                <w:lang w:bidi="ar"/>
              </w:rPr>
              <w:t>76,980.45</w:t>
            </w:r>
          </w:p>
        </w:tc>
        <w:tc>
          <w:tcPr>
            <w:tcW w:w="124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20B54" w:rsidRPr="00C36250" w:rsidRDefault="00733C9E">
            <w:pPr>
              <w:widowControl/>
              <w:jc w:val="right"/>
              <w:textAlignment w:val="center"/>
              <w:rPr>
                <w:color w:val="000000"/>
                <w:sz w:val="18"/>
                <w:szCs w:val="18"/>
              </w:rPr>
            </w:pPr>
            <w:r w:rsidRPr="00C36250">
              <w:rPr>
                <w:color w:val="000000"/>
                <w:sz w:val="18"/>
                <w:szCs w:val="18"/>
                <w:lang w:bidi="ar"/>
              </w:rPr>
              <w:t>-4,904.17</w:t>
            </w:r>
          </w:p>
        </w:tc>
        <w:tc>
          <w:tcPr>
            <w:tcW w:w="1325"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20B54" w:rsidRPr="00C36250" w:rsidRDefault="00E20B54">
            <w:pPr>
              <w:jc w:val="center"/>
              <w:rPr>
                <w:color w:val="000000"/>
                <w:sz w:val="18"/>
                <w:szCs w:val="18"/>
              </w:rPr>
            </w:pPr>
          </w:p>
        </w:tc>
      </w:tr>
      <w:tr w:rsidR="00C36250" w:rsidRPr="00C36250" w:rsidTr="00C36250">
        <w:trPr>
          <w:trHeight w:val="271"/>
        </w:trPr>
        <w:tc>
          <w:tcPr>
            <w:tcW w:w="521"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20B54" w:rsidRPr="00C36250" w:rsidRDefault="00733C9E">
            <w:pPr>
              <w:widowControl/>
              <w:jc w:val="center"/>
              <w:textAlignment w:val="center"/>
              <w:rPr>
                <w:color w:val="000000"/>
                <w:sz w:val="18"/>
                <w:szCs w:val="18"/>
              </w:rPr>
            </w:pPr>
            <w:r w:rsidRPr="00C36250">
              <w:rPr>
                <w:color w:val="000000"/>
                <w:sz w:val="18"/>
                <w:szCs w:val="18"/>
                <w:lang w:bidi="ar"/>
              </w:rPr>
              <w:t>客户</w:t>
            </w:r>
            <w:r w:rsidRPr="00C36250">
              <w:rPr>
                <w:color w:val="000000"/>
                <w:sz w:val="18"/>
                <w:szCs w:val="18"/>
                <w:lang w:bidi="ar"/>
              </w:rPr>
              <w:t>r</w:t>
            </w:r>
          </w:p>
        </w:tc>
        <w:tc>
          <w:tcPr>
            <w:tcW w:w="659"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20B54" w:rsidRPr="00C36250" w:rsidRDefault="00E20B54">
            <w:pPr>
              <w:jc w:val="center"/>
              <w:rPr>
                <w:color w:val="000000"/>
                <w:sz w:val="18"/>
                <w:szCs w:val="18"/>
              </w:rPr>
            </w:pPr>
          </w:p>
        </w:tc>
        <w:tc>
          <w:tcPr>
            <w:tcW w:w="124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20B54" w:rsidRPr="00C36250" w:rsidRDefault="00733C9E">
            <w:pPr>
              <w:widowControl/>
              <w:jc w:val="right"/>
              <w:textAlignment w:val="center"/>
              <w:rPr>
                <w:color w:val="000000"/>
                <w:sz w:val="18"/>
                <w:szCs w:val="18"/>
              </w:rPr>
            </w:pPr>
            <w:r w:rsidRPr="00C36250">
              <w:rPr>
                <w:color w:val="000000"/>
                <w:sz w:val="18"/>
                <w:szCs w:val="18"/>
                <w:lang w:bidi="ar"/>
              </w:rPr>
              <w:t>77,308.21</w:t>
            </w:r>
          </w:p>
        </w:tc>
        <w:tc>
          <w:tcPr>
            <w:tcW w:w="124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20B54" w:rsidRPr="00C36250" w:rsidRDefault="00733C9E">
            <w:pPr>
              <w:widowControl/>
              <w:jc w:val="right"/>
              <w:textAlignment w:val="center"/>
              <w:rPr>
                <w:color w:val="000000"/>
                <w:sz w:val="18"/>
                <w:szCs w:val="18"/>
              </w:rPr>
            </w:pPr>
            <w:r w:rsidRPr="00C36250">
              <w:rPr>
                <w:color w:val="000000"/>
                <w:sz w:val="18"/>
                <w:szCs w:val="18"/>
                <w:lang w:bidi="ar"/>
              </w:rPr>
              <w:t>-4,919.75</w:t>
            </w:r>
          </w:p>
        </w:tc>
        <w:tc>
          <w:tcPr>
            <w:tcW w:w="1325"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20B54" w:rsidRPr="00C36250" w:rsidRDefault="00E20B54">
            <w:pPr>
              <w:jc w:val="center"/>
              <w:rPr>
                <w:color w:val="000000"/>
                <w:sz w:val="18"/>
                <w:szCs w:val="18"/>
              </w:rPr>
            </w:pPr>
          </w:p>
        </w:tc>
      </w:tr>
      <w:tr w:rsidR="00C36250" w:rsidRPr="00C36250" w:rsidTr="00C36250">
        <w:trPr>
          <w:trHeight w:val="271"/>
        </w:trPr>
        <w:tc>
          <w:tcPr>
            <w:tcW w:w="521"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20B54" w:rsidRPr="00C36250" w:rsidRDefault="00733C9E">
            <w:pPr>
              <w:widowControl/>
              <w:jc w:val="center"/>
              <w:textAlignment w:val="center"/>
              <w:rPr>
                <w:color w:val="000000"/>
                <w:sz w:val="18"/>
                <w:szCs w:val="18"/>
              </w:rPr>
            </w:pPr>
            <w:r w:rsidRPr="00C36250">
              <w:rPr>
                <w:color w:val="000000"/>
                <w:sz w:val="18"/>
                <w:szCs w:val="18"/>
                <w:lang w:bidi="ar"/>
              </w:rPr>
              <w:t>客户</w:t>
            </w:r>
            <w:r w:rsidRPr="00C36250">
              <w:rPr>
                <w:color w:val="000000"/>
                <w:sz w:val="18"/>
                <w:szCs w:val="18"/>
                <w:lang w:bidi="ar"/>
              </w:rPr>
              <w:t>s</w:t>
            </w:r>
          </w:p>
        </w:tc>
        <w:tc>
          <w:tcPr>
            <w:tcW w:w="659"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20B54" w:rsidRPr="00C36250" w:rsidRDefault="00E20B54">
            <w:pPr>
              <w:jc w:val="center"/>
              <w:rPr>
                <w:color w:val="000000"/>
                <w:sz w:val="18"/>
                <w:szCs w:val="18"/>
              </w:rPr>
            </w:pPr>
          </w:p>
        </w:tc>
        <w:tc>
          <w:tcPr>
            <w:tcW w:w="124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20B54" w:rsidRPr="00C36250" w:rsidRDefault="00733C9E">
            <w:pPr>
              <w:widowControl/>
              <w:jc w:val="right"/>
              <w:textAlignment w:val="center"/>
              <w:rPr>
                <w:color w:val="000000"/>
                <w:sz w:val="18"/>
                <w:szCs w:val="18"/>
              </w:rPr>
            </w:pPr>
            <w:r w:rsidRPr="00C36250">
              <w:rPr>
                <w:color w:val="000000"/>
                <w:sz w:val="18"/>
                <w:szCs w:val="18"/>
                <w:lang w:bidi="ar"/>
              </w:rPr>
              <w:t>118,308.19</w:t>
            </w:r>
          </w:p>
        </w:tc>
        <w:tc>
          <w:tcPr>
            <w:tcW w:w="124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20B54" w:rsidRPr="00C36250" w:rsidRDefault="00733C9E">
            <w:pPr>
              <w:widowControl/>
              <w:jc w:val="right"/>
              <w:textAlignment w:val="center"/>
              <w:rPr>
                <w:color w:val="000000"/>
                <w:sz w:val="18"/>
                <w:szCs w:val="18"/>
              </w:rPr>
            </w:pPr>
            <w:r w:rsidRPr="00C36250">
              <w:rPr>
                <w:color w:val="000000"/>
                <w:sz w:val="18"/>
                <w:szCs w:val="18"/>
                <w:lang w:bidi="ar"/>
              </w:rPr>
              <w:t>-9,679.76</w:t>
            </w:r>
          </w:p>
        </w:tc>
        <w:tc>
          <w:tcPr>
            <w:tcW w:w="1325"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20B54" w:rsidRPr="00C36250" w:rsidRDefault="00E20B54">
            <w:pPr>
              <w:jc w:val="center"/>
              <w:rPr>
                <w:color w:val="000000"/>
                <w:sz w:val="18"/>
                <w:szCs w:val="18"/>
              </w:rPr>
            </w:pPr>
          </w:p>
        </w:tc>
      </w:tr>
      <w:tr w:rsidR="00C36250" w:rsidRPr="00C36250" w:rsidTr="00C36250">
        <w:trPr>
          <w:trHeight w:val="271"/>
        </w:trPr>
        <w:tc>
          <w:tcPr>
            <w:tcW w:w="521"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20B54" w:rsidRPr="00C36250" w:rsidRDefault="00733C9E">
            <w:pPr>
              <w:widowControl/>
              <w:jc w:val="center"/>
              <w:textAlignment w:val="center"/>
              <w:rPr>
                <w:color w:val="000000"/>
                <w:sz w:val="18"/>
                <w:szCs w:val="18"/>
              </w:rPr>
            </w:pPr>
            <w:r w:rsidRPr="00C36250">
              <w:rPr>
                <w:color w:val="000000"/>
                <w:sz w:val="18"/>
                <w:szCs w:val="18"/>
                <w:lang w:bidi="ar"/>
              </w:rPr>
              <w:t>客户</w:t>
            </w:r>
            <w:r w:rsidRPr="00C36250">
              <w:rPr>
                <w:color w:val="000000"/>
                <w:sz w:val="18"/>
                <w:szCs w:val="18"/>
                <w:lang w:bidi="ar"/>
              </w:rPr>
              <w:t>t</w:t>
            </w:r>
          </w:p>
        </w:tc>
        <w:tc>
          <w:tcPr>
            <w:tcW w:w="659"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20B54" w:rsidRPr="00C36250" w:rsidRDefault="00E20B54">
            <w:pPr>
              <w:jc w:val="center"/>
              <w:rPr>
                <w:color w:val="000000"/>
                <w:sz w:val="18"/>
                <w:szCs w:val="18"/>
              </w:rPr>
            </w:pPr>
          </w:p>
        </w:tc>
        <w:tc>
          <w:tcPr>
            <w:tcW w:w="124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20B54" w:rsidRPr="00C36250" w:rsidRDefault="00733C9E">
            <w:pPr>
              <w:widowControl/>
              <w:jc w:val="right"/>
              <w:textAlignment w:val="center"/>
              <w:rPr>
                <w:color w:val="000000"/>
                <w:sz w:val="18"/>
                <w:szCs w:val="18"/>
              </w:rPr>
            </w:pPr>
            <w:r w:rsidRPr="00C36250">
              <w:rPr>
                <w:color w:val="000000"/>
                <w:sz w:val="18"/>
                <w:szCs w:val="18"/>
                <w:lang w:bidi="ar"/>
              </w:rPr>
              <w:t>339,301.80</w:t>
            </w:r>
          </w:p>
        </w:tc>
        <w:tc>
          <w:tcPr>
            <w:tcW w:w="124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20B54" w:rsidRPr="00C36250" w:rsidRDefault="00733C9E">
            <w:pPr>
              <w:widowControl/>
              <w:jc w:val="right"/>
              <w:textAlignment w:val="center"/>
              <w:rPr>
                <w:color w:val="000000"/>
                <w:sz w:val="18"/>
                <w:szCs w:val="18"/>
              </w:rPr>
            </w:pPr>
            <w:r w:rsidRPr="00C36250">
              <w:rPr>
                <w:color w:val="000000"/>
                <w:sz w:val="18"/>
                <w:szCs w:val="18"/>
                <w:lang w:bidi="ar"/>
              </w:rPr>
              <w:t>33,930.18</w:t>
            </w:r>
          </w:p>
        </w:tc>
        <w:tc>
          <w:tcPr>
            <w:tcW w:w="1325"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20B54" w:rsidRPr="00C36250" w:rsidRDefault="00E20B54">
            <w:pPr>
              <w:jc w:val="center"/>
              <w:rPr>
                <w:color w:val="000000"/>
                <w:sz w:val="18"/>
                <w:szCs w:val="18"/>
              </w:rPr>
            </w:pPr>
          </w:p>
        </w:tc>
      </w:tr>
      <w:tr w:rsidR="00C36250" w:rsidRPr="00C36250" w:rsidTr="00C36250">
        <w:trPr>
          <w:trHeight w:val="271"/>
        </w:trPr>
        <w:tc>
          <w:tcPr>
            <w:tcW w:w="521"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20B54" w:rsidRPr="00C36250" w:rsidRDefault="00733C9E">
            <w:pPr>
              <w:widowControl/>
              <w:jc w:val="center"/>
              <w:textAlignment w:val="center"/>
              <w:rPr>
                <w:color w:val="000000"/>
                <w:sz w:val="18"/>
                <w:szCs w:val="18"/>
              </w:rPr>
            </w:pPr>
            <w:r w:rsidRPr="00C36250">
              <w:rPr>
                <w:color w:val="000000"/>
                <w:sz w:val="18"/>
                <w:szCs w:val="18"/>
                <w:lang w:bidi="ar"/>
              </w:rPr>
              <w:t>客户</w:t>
            </w:r>
            <w:r w:rsidRPr="00C36250">
              <w:rPr>
                <w:color w:val="000000"/>
                <w:sz w:val="18"/>
                <w:szCs w:val="18"/>
                <w:lang w:bidi="ar"/>
              </w:rPr>
              <w:t>u</w:t>
            </w:r>
          </w:p>
        </w:tc>
        <w:tc>
          <w:tcPr>
            <w:tcW w:w="659"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20B54" w:rsidRPr="00C36250" w:rsidRDefault="00E20B54">
            <w:pPr>
              <w:jc w:val="center"/>
              <w:rPr>
                <w:color w:val="000000"/>
                <w:sz w:val="18"/>
                <w:szCs w:val="18"/>
              </w:rPr>
            </w:pPr>
          </w:p>
        </w:tc>
        <w:tc>
          <w:tcPr>
            <w:tcW w:w="124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20B54" w:rsidRPr="00C36250" w:rsidRDefault="00733C9E">
            <w:pPr>
              <w:widowControl/>
              <w:jc w:val="right"/>
              <w:textAlignment w:val="center"/>
              <w:rPr>
                <w:color w:val="000000"/>
                <w:sz w:val="18"/>
                <w:szCs w:val="18"/>
              </w:rPr>
            </w:pPr>
            <w:r w:rsidRPr="00C36250">
              <w:rPr>
                <w:color w:val="000000"/>
                <w:sz w:val="18"/>
                <w:szCs w:val="18"/>
                <w:lang w:bidi="ar"/>
              </w:rPr>
              <w:t>386,087.87</w:t>
            </w:r>
          </w:p>
        </w:tc>
        <w:tc>
          <w:tcPr>
            <w:tcW w:w="124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20B54" w:rsidRPr="00C36250" w:rsidRDefault="00733C9E">
            <w:pPr>
              <w:widowControl/>
              <w:jc w:val="right"/>
              <w:textAlignment w:val="center"/>
              <w:rPr>
                <w:color w:val="000000"/>
                <w:sz w:val="18"/>
                <w:szCs w:val="18"/>
              </w:rPr>
            </w:pPr>
            <w:r w:rsidRPr="00C36250">
              <w:rPr>
                <w:color w:val="000000"/>
                <w:sz w:val="18"/>
                <w:szCs w:val="18"/>
                <w:lang w:bidi="ar"/>
              </w:rPr>
              <w:t>-31,589.01</w:t>
            </w:r>
          </w:p>
        </w:tc>
        <w:tc>
          <w:tcPr>
            <w:tcW w:w="1325"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20B54" w:rsidRPr="00C36250" w:rsidRDefault="00E20B54">
            <w:pPr>
              <w:jc w:val="center"/>
              <w:rPr>
                <w:color w:val="000000"/>
                <w:sz w:val="18"/>
                <w:szCs w:val="18"/>
              </w:rPr>
            </w:pPr>
          </w:p>
        </w:tc>
      </w:tr>
      <w:tr w:rsidR="00C36250" w:rsidRPr="00C36250" w:rsidTr="00C36250">
        <w:trPr>
          <w:trHeight w:val="271"/>
        </w:trPr>
        <w:tc>
          <w:tcPr>
            <w:tcW w:w="521"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20B54" w:rsidRPr="00C36250" w:rsidRDefault="00733C9E">
            <w:pPr>
              <w:widowControl/>
              <w:jc w:val="center"/>
              <w:textAlignment w:val="center"/>
              <w:rPr>
                <w:color w:val="000000"/>
                <w:sz w:val="18"/>
                <w:szCs w:val="18"/>
              </w:rPr>
            </w:pPr>
            <w:r w:rsidRPr="00C36250">
              <w:rPr>
                <w:color w:val="000000"/>
                <w:sz w:val="18"/>
                <w:szCs w:val="18"/>
                <w:lang w:bidi="ar"/>
              </w:rPr>
              <w:t>客户</w:t>
            </w:r>
            <w:r w:rsidRPr="00C36250">
              <w:rPr>
                <w:color w:val="000000"/>
                <w:sz w:val="18"/>
                <w:szCs w:val="18"/>
                <w:lang w:bidi="ar"/>
              </w:rPr>
              <w:t>v</w:t>
            </w:r>
          </w:p>
        </w:tc>
        <w:tc>
          <w:tcPr>
            <w:tcW w:w="659"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20B54" w:rsidRPr="00C36250" w:rsidRDefault="00E20B54">
            <w:pPr>
              <w:jc w:val="center"/>
              <w:rPr>
                <w:color w:val="000000"/>
                <w:sz w:val="18"/>
                <w:szCs w:val="18"/>
              </w:rPr>
            </w:pPr>
          </w:p>
        </w:tc>
        <w:tc>
          <w:tcPr>
            <w:tcW w:w="124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20B54" w:rsidRPr="00C36250" w:rsidRDefault="00733C9E">
            <w:pPr>
              <w:widowControl/>
              <w:jc w:val="right"/>
              <w:textAlignment w:val="center"/>
              <w:rPr>
                <w:color w:val="000000"/>
                <w:sz w:val="18"/>
                <w:szCs w:val="18"/>
              </w:rPr>
            </w:pPr>
            <w:r w:rsidRPr="00C36250">
              <w:rPr>
                <w:color w:val="000000"/>
                <w:sz w:val="18"/>
                <w:szCs w:val="18"/>
                <w:lang w:bidi="ar"/>
              </w:rPr>
              <w:t>387,388.64</w:t>
            </w:r>
          </w:p>
        </w:tc>
        <w:tc>
          <w:tcPr>
            <w:tcW w:w="124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20B54" w:rsidRPr="00C36250" w:rsidRDefault="00733C9E">
            <w:pPr>
              <w:widowControl/>
              <w:jc w:val="right"/>
              <w:textAlignment w:val="center"/>
              <w:rPr>
                <w:color w:val="000000"/>
                <w:sz w:val="18"/>
                <w:szCs w:val="18"/>
              </w:rPr>
            </w:pPr>
            <w:r w:rsidRPr="00C36250">
              <w:rPr>
                <w:color w:val="000000"/>
                <w:sz w:val="18"/>
                <w:szCs w:val="18"/>
                <w:lang w:bidi="ar"/>
              </w:rPr>
              <w:t>-31,695.43</w:t>
            </w:r>
          </w:p>
        </w:tc>
        <w:tc>
          <w:tcPr>
            <w:tcW w:w="1325"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20B54" w:rsidRPr="00C36250" w:rsidRDefault="00E20B54">
            <w:pPr>
              <w:jc w:val="center"/>
              <w:rPr>
                <w:color w:val="000000"/>
                <w:sz w:val="18"/>
                <w:szCs w:val="18"/>
              </w:rPr>
            </w:pPr>
          </w:p>
        </w:tc>
      </w:tr>
      <w:tr w:rsidR="00C36250" w:rsidRPr="00C36250" w:rsidTr="00C36250">
        <w:trPr>
          <w:trHeight w:val="271"/>
        </w:trPr>
        <w:tc>
          <w:tcPr>
            <w:tcW w:w="521"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20B54" w:rsidRPr="00C36250" w:rsidRDefault="00733C9E">
            <w:pPr>
              <w:widowControl/>
              <w:jc w:val="center"/>
              <w:textAlignment w:val="center"/>
              <w:rPr>
                <w:color w:val="000000"/>
                <w:sz w:val="18"/>
                <w:szCs w:val="18"/>
              </w:rPr>
            </w:pPr>
            <w:r w:rsidRPr="00C36250">
              <w:rPr>
                <w:color w:val="000000"/>
                <w:sz w:val="18"/>
                <w:szCs w:val="18"/>
                <w:lang w:bidi="ar"/>
              </w:rPr>
              <w:t>客户</w:t>
            </w:r>
            <w:r w:rsidRPr="00C36250">
              <w:rPr>
                <w:color w:val="000000"/>
                <w:sz w:val="18"/>
                <w:szCs w:val="18"/>
                <w:lang w:bidi="ar"/>
              </w:rPr>
              <w:t>w</w:t>
            </w:r>
          </w:p>
        </w:tc>
        <w:tc>
          <w:tcPr>
            <w:tcW w:w="659"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20B54" w:rsidRPr="00C36250" w:rsidRDefault="00E20B54">
            <w:pPr>
              <w:jc w:val="center"/>
              <w:rPr>
                <w:color w:val="000000"/>
                <w:sz w:val="18"/>
                <w:szCs w:val="18"/>
              </w:rPr>
            </w:pPr>
          </w:p>
        </w:tc>
        <w:tc>
          <w:tcPr>
            <w:tcW w:w="124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20B54" w:rsidRPr="00C36250" w:rsidRDefault="00733C9E">
            <w:pPr>
              <w:widowControl/>
              <w:jc w:val="right"/>
              <w:textAlignment w:val="center"/>
              <w:rPr>
                <w:color w:val="000000"/>
                <w:sz w:val="18"/>
                <w:szCs w:val="18"/>
              </w:rPr>
            </w:pPr>
            <w:r w:rsidRPr="00C36250">
              <w:rPr>
                <w:color w:val="000000"/>
                <w:sz w:val="18"/>
                <w:szCs w:val="18"/>
                <w:lang w:bidi="ar"/>
              </w:rPr>
              <w:t>148,849.00</w:t>
            </w:r>
          </w:p>
        </w:tc>
        <w:tc>
          <w:tcPr>
            <w:tcW w:w="124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20B54" w:rsidRPr="00C36250" w:rsidRDefault="00733C9E">
            <w:pPr>
              <w:widowControl/>
              <w:jc w:val="right"/>
              <w:textAlignment w:val="center"/>
              <w:rPr>
                <w:color w:val="000000"/>
                <w:sz w:val="18"/>
                <w:szCs w:val="18"/>
              </w:rPr>
            </w:pPr>
            <w:r w:rsidRPr="00C36250">
              <w:rPr>
                <w:color w:val="000000"/>
                <w:sz w:val="18"/>
                <w:szCs w:val="18"/>
                <w:lang w:bidi="ar"/>
              </w:rPr>
              <w:t>14,884.90</w:t>
            </w:r>
          </w:p>
        </w:tc>
        <w:tc>
          <w:tcPr>
            <w:tcW w:w="1325"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20B54" w:rsidRPr="00C36250" w:rsidRDefault="00E20B54">
            <w:pPr>
              <w:jc w:val="center"/>
              <w:rPr>
                <w:color w:val="000000"/>
                <w:sz w:val="18"/>
                <w:szCs w:val="18"/>
              </w:rPr>
            </w:pPr>
          </w:p>
        </w:tc>
      </w:tr>
      <w:tr w:rsidR="00C36250" w:rsidRPr="00C36250" w:rsidTr="00C36250">
        <w:trPr>
          <w:trHeight w:val="271"/>
        </w:trPr>
        <w:tc>
          <w:tcPr>
            <w:tcW w:w="521"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20B54" w:rsidRPr="00C36250" w:rsidRDefault="00733C9E">
            <w:pPr>
              <w:widowControl/>
              <w:jc w:val="center"/>
              <w:textAlignment w:val="center"/>
              <w:rPr>
                <w:b/>
                <w:bCs/>
                <w:color w:val="000000"/>
                <w:sz w:val="18"/>
                <w:szCs w:val="18"/>
              </w:rPr>
            </w:pPr>
            <w:r w:rsidRPr="00C36250">
              <w:rPr>
                <w:b/>
                <w:bCs/>
                <w:color w:val="000000"/>
                <w:sz w:val="18"/>
                <w:szCs w:val="18"/>
                <w:lang w:bidi="ar"/>
              </w:rPr>
              <w:t>合计</w:t>
            </w:r>
          </w:p>
        </w:tc>
        <w:tc>
          <w:tcPr>
            <w:tcW w:w="659"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20B54" w:rsidRPr="00C36250" w:rsidRDefault="00E20B54">
            <w:pPr>
              <w:widowControl/>
              <w:textAlignment w:val="center"/>
              <w:rPr>
                <w:b/>
                <w:bCs/>
                <w:color w:val="000000"/>
                <w:sz w:val="18"/>
                <w:szCs w:val="18"/>
              </w:rPr>
            </w:pPr>
          </w:p>
        </w:tc>
        <w:tc>
          <w:tcPr>
            <w:tcW w:w="124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20B54" w:rsidRPr="00C36250" w:rsidRDefault="00733C9E">
            <w:pPr>
              <w:widowControl/>
              <w:jc w:val="right"/>
              <w:textAlignment w:val="center"/>
              <w:rPr>
                <w:b/>
                <w:bCs/>
                <w:color w:val="000000"/>
                <w:sz w:val="18"/>
                <w:szCs w:val="18"/>
              </w:rPr>
            </w:pPr>
            <w:r w:rsidRPr="00C36250">
              <w:rPr>
                <w:b/>
                <w:bCs/>
                <w:color w:val="000000"/>
                <w:sz w:val="18"/>
                <w:szCs w:val="18"/>
                <w:lang w:bidi="ar"/>
              </w:rPr>
              <w:t>22,843,282.99</w:t>
            </w:r>
          </w:p>
        </w:tc>
        <w:tc>
          <w:tcPr>
            <w:tcW w:w="1247"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20B54" w:rsidRPr="00C36250" w:rsidRDefault="00733C9E">
            <w:pPr>
              <w:widowControl/>
              <w:jc w:val="right"/>
              <w:textAlignment w:val="center"/>
              <w:rPr>
                <w:b/>
                <w:bCs/>
                <w:color w:val="000000"/>
                <w:sz w:val="18"/>
                <w:szCs w:val="18"/>
              </w:rPr>
            </w:pPr>
            <w:r w:rsidRPr="00C36250">
              <w:rPr>
                <w:b/>
                <w:bCs/>
                <w:color w:val="000000"/>
                <w:sz w:val="18"/>
                <w:szCs w:val="18"/>
                <w:lang w:bidi="ar"/>
              </w:rPr>
              <w:t>5,794,301.93</w:t>
            </w:r>
          </w:p>
        </w:tc>
        <w:tc>
          <w:tcPr>
            <w:tcW w:w="1325"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E20B54" w:rsidRPr="00C36250" w:rsidRDefault="00733C9E">
            <w:pPr>
              <w:widowControl/>
              <w:textAlignment w:val="center"/>
              <w:rPr>
                <w:color w:val="000000"/>
                <w:sz w:val="18"/>
                <w:szCs w:val="18"/>
              </w:rPr>
            </w:pPr>
            <w:r w:rsidRPr="00C36250">
              <w:rPr>
                <w:color w:val="000000"/>
                <w:sz w:val="18"/>
                <w:szCs w:val="18"/>
                <w:lang w:bidi="ar"/>
              </w:rPr>
              <w:t> </w:t>
            </w:r>
          </w:p>
        </w:tc>
      </w:tr>
    </w:tbl>
    <w:p w:rsidR="00E20B54" w:rsidRDefault="00733C9E">
      <w:pPr>
        <w:pStyle w:val="3"/>
        <w:spacing w:line="280" w:lineRule="exact"/>
        <w:jc w:val="left"/>
        <w:rPr>
          <w:b/>
          <w:bCs/>
        </w:rPr>
      </w:pPr>
      <w:bookmarkStart w:id="483" w:name="_Toc989371"/>
      <w:r>
        <w:rPr>
          <w:b/>
          <w:bCs/>
        </w:rPr>
        <w:lastRenderedPageBreak/>
        <w:t>3</w:t>
      </w:r>
      <w:r>
        <w:rPr>
          <w:b/>
          <w:bCs/>
        </w:rPr>
        <w:t>、资产置换</w:t>
      </w:r>
      <w:bookmarkEnd w:id="483"/>
    </w:p>
    <w:p w:rsidR="00E20B54" w:rsidRDefault="00733C9E">
      <w:pPr>
        <w:keepNext/>
        <w:keepLines/>
        <w:spacing w:before="300" w:after="300" w:line="280" w:lineRule="exact"/>
        <w:outlineLvl w:val="3"/>
        <w:rPr>
          <w:b/>
          <w:bCs/>
          <w:szCs w:val="21"/>
        </w:rPr>
      </w:pPr>
      <w:bookmarkStart w:id="484" w:name="_Toc989372"/>
      <w:r>
        <w:rPr>
          <w:b/>
          <w:bCs/>
          <w:szCs w:val="21"/>
        </w:rPr>
        <w:t>（</w:t>
      </w:r>
      <w:r>
        <w:rPr>
          <w:b/>
          <w:bCs/>
          <w:szCs w:val="21"/>
        </w:rPr>
        <w:t>1</w:t>
      </w:r>
      <w:r>
        <w:rPr>
          <w:b/>
          <w:bCs/>
          <w:szCs w:val="21"/>
        </w:rPr>
        <w:t>）</w:t>
      </w:r>
      <w:r>
        <w:rPr>
          <w:b/>
          <w:bCs/>
          <w:szCs w:val="21"/>
        </w:rPr>
        <w:t xml:space="preserve"> </w:t>
      </w:r>
      <w:r>
        <w:rPr>
          <w:b/>
          <w:bCs/>
          <w:szCs w:val="21"/>
        </w:rPr>
        <w:t>非货币性资产交换</w:t>
      </w:r>
      <w:bookmarkEnd w:id="484"/>
    </w:p>
    <w:p w:rsidR="00E20B54" w:rsidRDefault="00733C9E">
      <w:pPr>
        <w:keepNext/>
        <w:keepLines/>
        <w:spacing w:before="300" w:after="300" w:line="280" w:lineRule="exact"/>
        <w:outlineLvl w:val="3"/>
        <w:rPr>
          <w:b/>
          <w:bCs/>
          <w:szCs w:val="21"/>
        </w:rPr>
      </w:pPr>
      <w:bookmarkStart w:id="485" w:name="_Toc989373"/>
      <w:r>
        <w:rPr>
          <w:b/>
          <w:bCs/>
          <w:szCs w:val="21"/>
        </w:rPr>
        <w:t>（</w:t>
      </w:r>
      <w:r>
        <w:rPr>
          <w:b/>
          <w:bCs/>
          <w:szCs w:val="21"/>
        </w:rPr>
        <w:t>2</w:t>
      </w:r>
      <w:r>
        <w:rPr>
          <w:b/>
          <w:bCs/>
          <w:szCs w:val="21"/>
        </w:rPr>
        <w:t>）</w:t>
      </w:r>
      <w:r>
        <w:rPr>
          <w:b/>
          <w:bCs/>
          <w:szCs w:val="21"/>
        </w:rPr>
        <w:t xml:space="preserve"> </w:t>
      </w:r>
      <w:r>
        <w:rPr>
          <w:b/>
          <w:bCs/>
          <w:szCs w:val="21"/>
        </w:rPr>
        <w:t>其他资产置换</w:t>
      </w:r>
      <w:bookmarkEnd w:id="485"/>
    </w:p>
    <w:p w:rsidR="00E20B54" w:rsidRDefault="00733C9E">
      <w:pPr>
        <w:pStyle w:val="3"/>
        <w:spacing w:line="280" w:lineRule="exact"/>
        <w:jc w:val="left"/>
        <w:rPr>
          <w:b/>
          <w:bCs/>
        </w:rPr>
      </w:pPr>
      <w:bookmarkStart w:id="486" w:name="_Toc989374"/>
      <w:r>
        <w:rPr>
          <w:b/>
          <w:bCs/>
        </w:rPr>
        <w:t>4</w:t>
      </w:r>
      <w:r>
        <w:rPr>
          <w:b/>
          <w:bCs/>
        </w:rPr>
        <w:t>、年金计划</w:t>
      </w:r>
      <w:bookmarkEnd w:id="486"/>
    </w:p>
    <w:p w:rsidR="00E20B54" w:rsidRDefault="00733C9E">
      <w:pPr>
        <w:pStyle w:val="3"/>
        <w:spacing w:line="280" w:lineRule="exact"/>
        <w:jc w:val="left"/>
        <w:rPr>
          <w:b/>
          <w:bCs/>
        </w:rPr>
      </w:pPr>
      <w:bookmarkStart w:id="487" w:name="_Toc989375"/>
      <w:r>
        <w:rPr>
          <w:b/>
          <w:bCs/>
        </w:rPr>
        <w:t>5</w:t>
      </w:r>
      <w:r>
        <w:rPr>
          <w:b/>
          <w:bCs/>
        </w:rPr>
        <w:t>、终止经营</w:t>
      </w:r>
      <w:bookmarkEnd w:id="487"/>
    </w:p>
    <w:p w:rsidR="00E20B54" w:rsidRDefault="00733C9E">
      <w:pPr>
        <w:spacing w:before="40" w:after="40" w:line="240" w:lineRule="exact"/>
        <w:jc w:val="right"/>
        <w:rPr>
          <w:sz w:val="18"/>
          <w:szCs w:val="18"/>
        </w:rPr>
      </w:pPr>
      <w:r>
        <w:rPr>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377"/>
        <w:gridCol w:w="1377"/>
        <w:gridCol w:w="1377"/>
        <w:gridCol w:w="1377"/>
        <w:gridCol w:w="1377"/>
        <w:gridCol w:w="1377"/>
        <w:gridCol w:w="1377"/>
      </w:tblGrid>
      <w:tr w:rsidR="00E20B54">
        <w:trPr>
          <w:trHeight w:val="240"/>
        </w:trPr>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项目</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收入</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费用</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利润总额</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所得税费用</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净利润</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归属于母公司所有者的终止经营利润</w:t>
            </w:r>
          </w:p>
        </w:tc>
      </w:tr>
    </w:tbl>
    <w:p w:rsidR="00E20B54" w:rsidRDefault="00733C9E">
      <w:pPr>
        <w:spacing w:before="100" w:after="100" w:line="240" w:lineRule="exact"/>
        <w:rPr>
          <w:sz w:val="18"/>
          <w:szCs w:val="18"/>
        </w:rPr>
      </w:pPr>
      <w:r>
        <w:rPr>
          <w:sz w:val="18"/>
          <w:szCs w:val="18"/>
        </w:rPr>
        <w:t>其他说明：</w:t>
      </w:r>
      <w:r w:rsidR="00C36250">
        <w:rPr>
          <w:rFonts w:hint="eastAsia"/>
          <w:sz w:val="18"/>
          <w:szCs w:val="18"/>
        </w:rPr>
        <w:t>无。</w:t>
      </w:r>
    </w:p>
    <w:p w:rsidR="00E20B54" w:rsidRDefault="00733C9E">
      <w:pPr>
        <w:pStyle w:val="3"/>
        <w:spacing w:line="280" w:lineRule="exact"/>
        <w:jc w:val="left"/>
        <w:rPr>
          <w:b/>
          <w:bCs/>
        </w:rPr>
      </w:pPr>
      <w:bookmarkStart w:id="488" w:name="_Toc989376"/>
      <w:r>
        <w:rPr>
          <w:b/>
          <w:bCs/>
        </w:rPr>
        <w:t>6</w:t>
      </w:r>
      <w:r>
        <w:rPr>
          <w:b/>
          <w:bCs/>
        </w:rPr>
        <w:t>、分部信息</w:t>
      </w:r>
      <w:bookmarkEnd w:id="488"/>
    </w:p>
    <w:p w:rsidR="00E20B54" w:rsidRDefault="00733C9E">
      <w:pPr>
        <w:keepNext/>
        <w:keepLines/>
        <w:spacing w:before="300" w:after="300" w:line="280" w:lineRule="exact"/>
        <w:outlineLvl w:val="3"/>
        <w:rPr>
          <w:b/>
          <w:bCs/>
          <w:szCs w:val="21"/>
        </w:rPr>
      </w:pPr>
      <w:bookmarkStart w:id="489" w:name="_Toc989377"/>
      <w:r>
        <w:rPr>
          <w:b/>
          <w:bCs/>
          <w:szCs w:val="21"/>
        </w:rPr>
        <w:t>（</w:t>
      </w:r>
      <w:r>
        <w:rPr>
          <w:b/>
          <w:bCs/>
          <w:szCs w:val="21"/>
        </w:rPr>
        <w:t>1</w:t>
      </w:r>
      <w:r>
        <w:rPr>
          <w:b/>
          <w:bCs/>
          <w:szCs w:val="21"/>
        </w:rPr>
        <w:t>）</w:t>
      </w:r>
      <w:r>
        <w:rPr>
          <w:b/>
          <w:bCs/>
          <w:szCs w:val="21"/>
        </w:rPr>
        <w:t xml:space="preserve"> </w:t>
      </w:r>
      <w:r>
        <w:rPr>
          <w:b/>
          <w:bCs/>
          <w:szCs w:val="21"/>
        </w:rPr>
        <w:t>报告分部的确定依据与会计政策</w:t>
      </w:r>
      <w:bookmarkEnd w:id="489"/>
    </w:p>
    <w:p w:rsidR="00E20B54" w:rsidRDefault="00733C9E">
      <w:pPr>
        <w:keepNext/>
        <w:keepLines/>
        <w:spacing w:before="300" w:after="300" w:line="280" w:lineRule="exact"/>
        <w:outlineLvl w:val="3"/>
        <w:rPr>
          <w:b/>
          <w:bCs/>
          <w:szCs w:val="21"/>
        </w:rPr>
      </w:pPr>
      <w:bookmarkStart w:id="490" w:name="_Toc989378"/>
      <w:r>
        <w:rPr>
          <w:b/>
          <w:bCs/>
          <w:szCs w:val="21"/>
        </w:rPr>
        <w:t>（</w:t>
      </w:r>
      <w:r>
        <w:rPr>
          <w:b/>
          <w:bCs/>
          <w:szCs w:val="21"/>
        </w:rPr>
        <w:t>2</w:t>
      </w:r>
      <w:r>
        <w:rPr>
          <w:b/>
          <w:bCs/>
          <w:szCs w:val="21"/>
        </w:rPr>
        <w:t>）</w:t>
      </w:r>
      <w:r>
        <w:rPr>
          <w:b/>
          <w:bCs/>
          <w:szCs w:val="21"/>
        </w:rPr>
        <w:t xml:space="preserve"> </w:t>
      </w:r>
      <w:r>
        <w:rPr>
          <w:b/>
          <w:bCs/>
          <w:szCs w:val="21"/>
        </w:rPr>
        <w:t>报告分部的财务信息</w:t>
      </w:r>
      <w:bookmarkEnd w:id="490"/>
    </w:p>
    <w:p w:rsidR="00E20B54" w:rsidRDefault="00733C9E">
      <w:pPr>
        <w:keepNext/>
        <w:keepLines/>
        <w:spacing w:before="300" w:after="300" w:line="280" w:lineRule="exact"/>
        <w:outlineLvl w:val="3"/>
        <w:rPr>
          <w:b/>
          <w:bCs/>
          <w:szCs w:val="21"/>
        </w:rPr>
      </w:pPr>
      <w:bookmarkStart w:id="491" w:name="_Toc989379"/>
      <w:r>
        <w:rPr>
          <w:b/>
          <w:bCs/>
          <w:szCs w:val="21"/>
        </w:rPr>
        <w:t>（</w:t>
      </w:r>
      <w:r>
        <w:rPr>
          <w:b/>
          <w:bCs/>
          <w:szCs w:val="21"/>
        </w:rPr>
        <w:t>3</w:t>
      </w:r>
      <w:r>
        <w:rPr>
          <w:b/>
          <w:bCs/>
          <w:szCs w:val="21"/>
        </w:rPr>
        <w:t>）</w:t>
      </w:r>
      <w:r>
        <w:rPr>
          <w:b/>
          <w:bCs/>
          <w:szCs w:val="21"/>
        </w:rPr>
        <w:t xml:space="preserve"> </w:t>
      </w:r>
      <w:r>
        <w:rPr>
          <w:b/>
          <w:bCs/>
          <w:szCs w:val="21"/>
        </w:rPr>
        <w:t>公司无报告分部的，或者不能披露各报告分部的资产总额和负债总额的，应说明原因</w:t>
      </w:r>
      <w:bookmarkEnd w:id="491"/>
    </w:p>
    <w:p w:rsidR="00E4298E" w:rsidRPr="00E4298E" w:rsidRDefault="00E4298E" w:rsidP="00E4298E">
      <w:pPr>
        <w:pStyle w:val="a3"/>
        <w:widowControl/>
        <w:spacing w:beforeLines="50" w:before="156" w:beforeAutospacing="0" w:afterLines="50" w:after="156" w:afterAutospacing="0"/>
        <w:ind w:firstLine="420"/>
        <w:jc w:val="both"/>
        <w:rPr>
          <w:sz w:val="21"/>
          <w:szCs w:val="21"/>
        </w:rPr>
      </w:pPr>
      <w:r w:rsidRPr="00E4298E">
        <w:rPr>
          <w:rFonts w:hint="eastAsia"/>
          <w:sz w:val="21"/>
          <w:szCs w:val="21"/>
        </w:rPr>
        <w:t>公司无报告分部。</w:t>
      </w:r>
    </w:p>
    <w:p w:rsidR="00E20B54" w:rsidRDefault="00733C9E">
      <w:pPr>
        <w:keepNext/>
        <w:keepLines/>
        <w:spacing w:before="300" w:after="300" w:line="280" w:lineRule="exact"/>
        <w:outlineLvl w:val="3"/>
        <w:rPr>
          <w:b/>
          <w:bCs/>
          <w:szCs w:val="21"/>
        </w:rPr>
      </w:pPr>
      <w:bookmarkStart w:id="492" w:name="_Toc989380"/>
      <w:r>
        <w:rPr>
          <w:b/>
          <w:bCs/>
          <w:szCs w:val="21"/>
        </w:rPr>
        <w:t>（</w:t>
      </w:r>
      <w:r>
        <w:rPr>
          <w:b/>
          <w:bCs/>
          <w:szCs w:val="21"/>
        </w:rPr>
        <w:t>4</w:t>
      </w:r>
      <w:r>
        <w:rPr>
          <w:b/>
          <w:bCs/>
          <w:szCs w:val="21"/>
        </w:rPr>
        <w:t>）</w:t>
      </w:r>
      <w:r>
        <w:rPr>
          <w:b/>
          <w:bCs/>
          <w:szCs w:val="21"/>
        </w:rPr>
        <w:t xml:space="preserve"> </w:t>
      </w:r>
      <w:r>
        <w:rPr>
          <w:b/>
          <w:bCs/>
          <w:szCs w:val="21"/>
        </w:rPr>
        <w:t>其他说明</w:t>
      </w:r>
      <w:bookmarkEnd w:id="492"/>
    </w:p>
    <w:p w:rsidR="00E20B54" w:rsidRDefault="00733C9E">
      <w:pPr>
        <w:pStyle w:val="3"/>
        <w:spacing w:line="280" w:lineRule="exact"/>
        <w:jc w:val="left"/>
        <w:rPr>
          <w:b/>
          <w:bCs/>
        </w:rPr>
      </w:pPr>
      <w:bookmarkStart w:id="493" w:name="_Toc989381"/>
      <w:r>
        <w:rPr>
          <w:b/>
          <w:bCs/>
        </w:rPr>
        <w:t>7</w:t>
      </w:r>
      <w:r>
        <w:rPr>
          <w:b/>
          <w:bCs/>
        </w:rPr>
        <w:t>、其他对投资者决策有影响的重要交易和事项</w:t>
      </w:r>
      <w:bookmarkEnd w:id="493"/>
    </w:p>
    <w:p w:rsidR="00E20B54" w:rsidRDefault="00733C9E">
      <w:pPr>
        <w:pStyle w:val="3"/>
        <w:spacing w:line="280" w:lineRule="exact"/>
        <w:jc w:val="left"/>
        <w:rPr>
          <w:b/>
          <w:bCs/>
        </w:rPr>
      </w:pPr>
      <w:bookmarkStart w:id="494" w:name="_Toc989382"/>
      <w:r>
        <w:rPr>
          <w:b/>
          <w:bCs/>
        </w:rPr>
        <w:t>8</w:t>
      </w:r>
      <w:r>
        <w:rPr>
          <w:b/>
          <w:bCs/>
        </w:rPr>
        <w:t>、其他</w:t>
      </w:r>
      <w:bookmarkEnd w:id="494"/>
    </w:p>
    <w:p w:rsidR="00E20B54" w:rsidRDefault="00733C9E">
      <w:pPr>
        <w:pStyle w:val="2"/>
        <w:spacing w:before="300" w:after="300" w:line="320" w:lineRule="exact"/>
        <w:rPr>
          <w:b/>
          <w:bCs/>
          <w:sz w:val="24"/>
          <w:szCs w:val="24"/>
        </w:rPr>
      </w:pPr>
      <w:bookmarkStart w:id="495" w:name="_Toc989383"/>
      <w:r>
        <w:rPr>
          <w:b/>
          <w:bCs/>
          <w:sz w:val="24"/>
          <w:szCs w:val="24"/>
        </w:rPr>
        <w:t>十九、母公司财务报表主要项目注释</w:t>
      </w:r>
      <w:bookmarkEnd w:id="495"/>
    </w:p>
    <w:p w:rsidR="00E20B54" w:rsidRDefault="00733C9E">
      <w:pPr>
        <w:pStyle w:val="3"/>
        <w:spacing w:line="280" w:lineRule="exact"/>
        <w:jc w:val="left"/>
        <w:rPr>
          <w:b/>
          <w:bCs/>
        </w:rPr>
      </w:pPr>
      <w:bookmarkStart w:id="496" w:name="_Toc989384"/>
      <w:r>
        <w:rPr>
          <w:b/>
          <w:bCs/>
        </w:rPr>
        <w:t>1</w:t>
      </w:r>
      <w:r>
        <w:rPr>
          <w:b/>
          <w:bCs/>
        </w:rPr>
        <w:t>、应收账款</w:t>
      </w:r>
      <w:bookmarkEnd w:id="496"/>
    </w:p>
    <w:p w:rsidR="00E20B54" w:rsidRDefault="00733C9E">
      <w:pPr>
        <w:keepNext/>
        <w:keepLines/>
        <w:spacing w:before="300" w:after="300" w:line="280" w:lineRule="exact"/>
        <w:outlineLvl w:val="3"/>
        <w:rPr>
          <w:b/>
          <w:bCs/>
          <w:szCs w:val="21"/>
        </w:rPr>
      </w:pPr>
      <w:bookmarkStart w:id="497" w:name="_Toc989385"/>
      <w:r>
        <w:rPr>
          <w:b/>
          <w:bCs/>
          <w:szCs w:val="21"/>
        </w:rPr>
        <w:t>（</w:t>
      </w:r>
      <w:r>
        <w:rPr>
          <w:b/>
          <w:bCs/>
          <w:szCs w:val="21"/>
        </w:rPr>
        <w:t>1</w:t>
      </w:r>
      <w:r>
        <w:rPr>
          <w:b/>
          <w:bCs/>
          <w:szCs w:val="21"/>
        </w:rPr>
        <w:t>）</w:t>
      </w:r>
      <w:r>
        <w:rPr>
          <w:b/>
          <w:bCs/>
          <w:szCs w:val="21"/>
        </w:rPr>
        <w:t xml:space="preserve"> </w:t>
      </w:r>
      <w:r>
        <w:rPr>
          <w:b/>
          <w:bCs/>
          <w:szCs w:val="21"/>
        </w:rPr>
        <w:t>按账龄披露</w:t>
      </w:r>
      <w:bookmarkEnd w:id="497"/>
    </w:p>
    <w:p w:rsidR="00E20B54" w:rsidRDefault="00733C9E">
      <w:pPr>
        <w:spacing w:before="40" w:after="40" w:line="240" w:lineRule="exact"/>
        <w:jc w:val="right"/>
        <w:rPr>
          <w:sz w:val="18"/>
          <w:szCs w:val="18"/>
        </w:rPr>
      </w:pPr>
      <w:r>
        <w:rPr>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E20B54" w:rsidTr="00E4298E">
        <w:trPr>
          <w:trHeight w:val="240"/>
          <w:tblHeader/>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账龄</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期末账面余额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期初账面余额</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1</w:t>
            </w:r>
            <w:r>
              <w:rPr>
                <w:sz w:val="18"/>
                <w:szCs w:val="18"/>
              </w:rPr>
              <w:t>年以内（含</w:t>
            </w:r>
            <w:r>
              <w:rPr>
                <w:sz w:val="18"/>
                <w:szCs w:val="18"/>
              </w:rPr>
              <w:t>1</w:t>
            </w:r>
            <w:r>
              <w:rPr>
                <w:sz w:val="18"/>
                <w:szCs w:val="18"/>
              </w:rPr>
              <w:t>年）</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106,998,350.18</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59,253,785.19</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1</w:t>
            </w:r>
            <w:r>
              <w:rPr>
                <w:sz w:val="18"/>
                <w:szCs w:val="18"/>
              </w:rPr>
              <w:t>至</w:t>
            </w:r>
            <w:r>
              <w:rPr>
                <w:sz w:val="18"/>
                <w:szCs w:val="18"/>
              </w:rPr>
              <w:t>2</w:t>
            </w:r>
            <w:r>
              <w:rPr>
                <w:sz w:val="18"/>
                <w:szCs w:val="18"/>
              </w:rPr>
              <w:t>年</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20,173,525.08</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69,777,749.52</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2</w:t>
            </w:r>
            <w:r>
              <w:rPr>
                <w:sz w:val="18"/>
                <w:szCs w:val="18"/>
              </w:rPr>
              <w:t>至</w:t>
            </w:r>
            <w:r>
              <w:rPr>
                <w:sz w:val="18"/>
                <w:szCs w:val="18"/>
              </w:rPr>
              <w:t>3</w:t>
            </w:r>
            <w:r>
              <w:rPr>
                <w:sz w:val="18"/>
                <w:szCs w:val="18"/>
              </w:rPr>
              <w:t>年</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58,234,833.17</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69,001,133.84</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3</w:t>
            </w:r>
            <w:r>
              <w:rPr>
                <w:sz w:val="18"/>
                <w:szCs w:val="18"/>
              </w:rPr>
              <w:t>年以上</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100,816,398.62</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78,236,137.58</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200" w:firstLine="360"/>
              <w:rPr>
                <w:sz w:val="18"/>
                <w:szCs w:val="18"/>
              </w:rPr>
            </w:pPr>
            <w:r>
              <w:rPr>
                <w:sz w:val="18"/>
                <w:szCs w:val="18"/>
              </w:rPr>
              <w:t>3</w:t>
            </w:r>
            <w:r>
              <w:rPr>
                <w:sz w:val="18"/>
                <w:szCs w:val="18"/>
              </w:rPr>
              <w:t>至</w:t>
            </w:r>
            <w:r>
              <w:rPr>
                <w:sz w:val="18"/>
                <w:szCs w:val="18"/>
              </w:rPr>
              <w:t>4</w:t>
            </w:r>
            <w:r>
              <w:rPr>
                <w:sz w:val="18"/>
                <w:szCs w:val="18"/>
              </w:rPr>
              <w:t>年</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55,193,895.56</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49,092,078.09</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200" w:firstLine="360"/>
              <w:rPr>
                <w:sz w:val="18"/>
                <w:szCs w:val="18"/>
              </w:rPr>
            </w:pPr>
            <w:r>
              <w:rPr>
                <w:sz w:val="18"/>
                <w:szCs w:val="18"/>
              </w:rPr>
              <w:t>4</w:t>
            </w:r>
            <w:r>
              <w:rPr>
                <w:sz w:val="18"/>
                <w:szCs w:val="18"/>
              </w:rPr>
              <w:t>至</w:t>
            </w:r>
            <w:r>
              <w:rPr>
                <w:sz w:val="18"/>
                <w:szCs w:val="18"/>
              </w:rPr>
              <w:t>5</w:t>
            </w:r>
            <w:r>
              <w:rPr>
                <w:sz w:val="18"/>
                <w:szCs w:val="18"/>
              </w:rPr>
              <w:t>年</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28,417,125.84</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14,059,954.48</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200" w:firstLine="360"/>
              <w:rPr>
                <w:sz w:val="18"/>
                <w:szCs w:val="18"/>
              </w:rPr>
            </w:pPr>
            <w:r>
              <w:rPr>
                <w:sz w:val="18"/>
                <w:szCs w:val="18"/>
              </w:rPr>
              <w:lastRenderedPageBreak/>
              <w:t>5</w:t>
            </w:r>
            <w:r>
              <w:rPr>
                <w:sz w:val="18"/>
                <w:szCs w:val="18"/>
              </w:rPr>
              <w:t>年以上</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17,205,377.22</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15,084,105.01</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合计</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286,223,107.05</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276,268,806.13</w:t>
            </w:r>
          </w:p>
        </w:tc>
      </w:tr>
    </w:tbl>
    <w:p w:rsidR="00E20B54" w:rsidRDefault="00733C9E">
      <w:pPr>
        <w:keepNext/>
        <w:keepLines/>
        <w:spacing w:before="300" w:after="300" w:line="280" w:lineRule="exact"/>
        <w:outlineLvl w:val="3"/>
        <w:rPr>
          <w:b/>
          <w:bCs/>
          <w:szCs w:val="21"/>
        </w:rPr>
      </w:pPr>
      <w:bookmarkStart w:id="498" w:name="_Toc989386"/>
      <w:r>
        <w:rPr>
          <w:b/>
          <w:bCs/>
          <w:szCs w:val="21"/>
        </w:rPr>
        <w:t>（</w:t>
      </w:r>
      <w:r>
        <w:rPr>
          <w:b/>
          <w:bCs/>
          <w:szCs w:val="21"/>
        </w:rPr>
        <w:t>2</w:t>
      </w:r>
      <w:r>
        <w:rPr>
          <w:b/>
          <w:bCs/>
          <w:szCs w:val="21"/>
        </w:rPr>
        <w:t>）</w:t>
      </w:r>
      <w:r>
        <w:rPr>
          <w:b/>
          <w:bCs/>
          <w:szCs w:val="21"/>
        </w:rPr>
        <w:t xml:space="preserve"> </w:t>
      </w:r>
      <w:r>
        <w:rPr>
          <w:b/>
          <w:bCs/>
          <w:szCs w:val="21"/>
        </w:rPr>
        <w:t>按坏账计提方法分类披露</w:t>
      </w:r>
      <w:bookmarkEnd w:id="498"/>
    </w:p>
    <w:p w:rsidR="00E20B54" w:rsidRDefault="00733C9E">
      <w:pPr>
        <w:spacing w:before="40" w:after="40" w:line="240" w:lineRule="exact"/>
        <w:jc w:val="right"/>
        <w:rPr>
          <w:sz w:val="18"/>
          <w:szCs w:val="18"/>
        </w:rPr>
      </w:pPr>
      <w:r>
        <w:rPr>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875"/>
        <w:gridCol w:w="876"/>
        <w:gridCol w:w="877"/>
        <w:gridCol w:w="876"/>
        <w:gridCol w:w="877"/>
        <w:gridCol w:w="876"/>
        <w:gridCol w:w="876"/>
        <w:gridCol w:w="877"/>
        <w:gridCol w:w="876"/>
        <w:gridCol w:w="877"/>
        <w:gridCol w:w="876"/>
      </w:tblGrid>
      <w:tr w:rsidR="00E20B54">
        <w:trPr>
          <w:trHeight w:val="240"/>
        </w:trPr>
        <w:tc>
          <w:tcPr>
            <w:tcW w:w="876"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类别</w:t>
            </w:r>
          </w:p>
        </w:tc>
        <w:tc>
          <w:tcPr>
            <w:tcW w:w="4381" w:type="dxa"/>
            <w:gridSpan w:val="5"/>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期末余额</w:t>
            </w:r>
          </w:p>
        </w:tc>
        <w:tc>
          <w:tcPr>
            <w:tcW w:w="4381" w:type="dxa"/>
            <w:gridSpan w:val="5"/>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期初余额</w:t>
            </w:r>
          </w:p>
        </w:tc>
      </w:tr>
      <w:tr w:rsidR="00E20B54">
        <w:trPr>
          <w:trHeight w:val="240"/>
        </w:trPr>
        <w:tc>
          <w:tcPr>
            <w:tcW w:w="876"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c>
          <w:tcPr>
            <w:tcW w:w="1753"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账面余额</w:t>
            </w:r>
          </w:p>
        </w:tc>
        <w:tc>
          <w:tcPr>
            <w:tcW w:w="1753"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坏账准备</w:t>
            </w:r>
          </w:p>
        </w:tc>
        <w:tc>
          <w:tcPr>
            <w:tcW w:w="876"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账面价值</w:t>
            </w:r>
          </w:p>
        </w:tc>
        <w:tc>
          <w:tcPr>
            <w:tcW w:w="1753"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账面余额</w:t>
            </w:r>
          </w:p>
        </w:tc>
        <w:tc>
          <w:tcPr>
            <w:tcW w:w="1753"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坏账准备</w:t>
            </w:r>
          </w:p>
        </w:tc>
        <w:tc>
          <w:tcPr>
            <w:tcW w:w="876"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账面价值</w:t>
            </w:r>
          </w:p>
        </w:tc>
      </w:tr>
      <w:tr w:rsidR="00E20B54">
        <w:trPr>
          <w:trHeight w:val="240"/>
        </w:trPr>
        <w:tc>
          <w:tcPr>
            <w:tcW w:w="876"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金额</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比例</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金额</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计提比例</w:t>
            </w:r>
          </w:p>
        </w:tc>
        <w:tc>
          <w:tcPr>
            <w:tcW w:w="876"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金额</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比例</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金额</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计提比例</w:t>
            </w:r>
          </w:p>
        </w:tc>
        <w:tc>
          <w:tcPr>
            <w:tcW w:w="876"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r>
      <w:tr w:rsidR="00E20B54">
        <w:trPr>
          <w:trHeight w:val="240"/>
        </w:trPr>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按单项计提坏账准备的应收账款</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21,611,785.02</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7.55%</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21,611,785.02</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26,110,571.26</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9.45%</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26,110,571.26</w:t>
            </w:r>
          </w:p>
        </w:tc>
      </w:tr>
      <w:tr w:rsidR="00E20B54">
        <w:trPr>
          <w:trHeight w:val="240"/>
        </w:trPr>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100" w:firstLine="180"/>
              <w:rPr>
                <w:sz w:val="18"/>
                <w:szCs w:val="18"/>
              </w:rPr>
            </w:pPr>
            <w:r>
              <w:rPr>
                <w:sz w:val="18"/>
                <w:szCs w:val="18"/>
              </w:rPr>
              <w:t>其中：</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r>
      <w:tr w:rsidR="00E20B54">
        <w:trPr>
          <w:trHeight w:val="240"/>
        </w:trPr>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按组合计提坏账准备的应收账款</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264,611,322.03</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92.45%</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84,984,090.66</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32.12%</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179,627,231.37</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250,158,234.87</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90.55%</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71,089,166.30</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28.42%</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179,069,068.57</w:t>
            </w:r>
          </w:p>
        </w:tc>
      </w:tr>
      <w:tr w:rsidR="00E20B54">
        <w:trPr>
          <w:trHeight w:val="240"/>
        </w:trPr>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100" w:firstLine="180"/>
              <w:rPr>
                <w:sz w:val="18"/>
                <w:szCs w:val="18"/>
              </w:rPr>
            </w:pPr>
            <w:r>
              <w:rPr>
                <w:sz w:val="18"/>
                <w:szCs w:val="18"/>
              </w:rPr>
              <w:t>其中：</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r>
      <w:tr w:rsidR="00E20B54" w:rsidTr="00E4298E">
        <w:trPr>
          <w:trHeight w:val="240"/>
        </w:trPr>
        <w:tc>
          <w:tcPr>
            <w:tcW w:w="876" w:type="dxa"/>
            <w:tcBorders>
              <w:top w:val="single" w:sz="2" w:space="0" w:color="auto"/>
              <w:left w:val="single" w:sz="2" w:space="0" w:color="auto"/>
              <w:bottom w:val="single" w:sz="2" w:space="0" w:color="auto"/>
              <w:right w:val="single" w:sz="2" w:space="0" w:color="auto"/>
            </w:tcBorders>
            <w:shd w:val="clear" w:color="auto" w:fill="D9D9D9" w:themeFill="background1" w:themeFillShade="D9"/>
            <w:vAlign w:val="center"/>
          </w:tcPr>
          <w:p w:rsidR="00E20B54" w:rsidRDefault="00733C9E">
            <w:pPr>
              <w:spacing w:line="240" w:lineRule="exact"/>
              <w:rPr>
                <w:sz w:val="18"/>
                <w:szCs w:val="18"/>
              </w:rPr>
            </w:pPr>
            <w:r>
              <w:rPr>
                <w:sz w:val="18"/>
                <w:szCs w:val="18"/>
              </w:rPr>
              <w:t>组合</w:t>
            </w:r>
            <w:r>
              <w:rPr>
                <w:sz w:val="18"/>
                <w:szCs w:val="18"/>
              </w:rPr>
              <w:t>1</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33,484,318.22</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11.70%</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10,299,433.64</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30.76%</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23,184,884.58</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57,673,208.52</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20.88%</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20,633,442.36</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35.78%</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37,039,766.16</w:t>
            </w:r>
          </w:p>
        </w:tc>
      </w:tr>
      <w:tr w:rsidR="00E20B54" w:rsidTr="00E4298E">
        <w:trPr>
          <w:trHeight w:val="240"/>
        </w:trPr>
        <w:tc>
          <w:tcPr>
            <w:tcW w:w="876" w:type="dxa"/>
            <w:tcBorders>
              <w:top w:val="single" w:sz="2" w:space="0" w:color="auto"/>
              <w:left w:val="single" w:sz="2" w:space="0" w:color="auto"/>
              <w:bottom w:val="single" w:sz="2" w:space="0" w:color="auto"/>
              <w:right w:val="single" w:sz="2" w:space="0" w:color="auto"/>
            </w:tcBorders>
            <w:shd w:val="clear" w:color="auto" w:fill="D9D9D9" w:themeFill="background1" w:themeFillShade="D9"/>
            <w:vAlign w:val="center"/>
          </w:tcPr>
          <w:p w:rsidR="00E20B54" w:rsidRDefault="00733C9E">
            <w:pPr>
              <w:spacing w:line="240" w:lineRule="exact"/>
              <w:rPr>
                <w:sz w:val="18"/>
                <w:szCs w:val="18"/>
              </w:rPr>
            </w:pPr>
            <w:r>
              <w:rPr>
                <w:sz w:val="18"/>
                <w:szCs w:val="18"/>
              </w:rPr>
              <w:t>组合</w:t>
            </w:r>
            <w:r>
              <w:rPr>
                <w:sz w:val="18"/>
                <w:szCs w:val="18"/>
              </w:rPr>
              <w:t>2</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231,127,003.81</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80.75%</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74,684,657.02</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32.31%</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156,442,346.79</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192,485,026.35</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69.67%</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50,455,723.94</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26.21%</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142,029,302.41</w:t>
            </w:r>
          </w:p>
        </w:tc>
      </w:tr>
      <w:tr w:rsidR="00E20B54">
        <w:trPr>
          <w:trHeight w:val="240"/>
        </w:trPr>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合计</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286,223,107.05</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100.00%</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84,984,090.66</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29.69%</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201,239,016.39</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276,268,806.13</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100.00%</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71,089,166.30</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28.42%</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205,179,639.83</w:t>
            </w:r>
          </w:p>
        </w:tc>
      </w:tr>
    </w:tbl>
    <w:p w:rsidR="00E20B54" w:rsidRDefault="00733C9E">
      <w:pPr>
        <w:spacing w:line="240" w:lineRule="exact"/>
        <w:rPr>
          <w:sz w:val="18"/>
          <w:szCs w:val="18"/>
        </w:rPr>
      </w:pPr>
      <w:r>
        <w:rPr>
          <w:sz w:val="18"/>
          <w:szCs w:val="18"/>
        </w:rPr>
        <w:t>按单项计提坏账准备：组合</w:t>
      </w:r>
      <w:r>
        <w:rPr>
          <w:sz w:val="18"/>
          <w:szCs w:val="18"/>
        </w:rPr>
        <w:t>1</w:t>
      </w:r>
    </w:p>
    <w:p w:rsidR="00E20B54" w:rsidRDefault="00733C9E">
      <w:pPr>
        <w:spacing w:before="40" w:after="40" w:line="240" w:lineRule="exact"/>
        <w:jc w:val="right"/>
        <w:rPr>
          <w:sz w:val="18"/>
          <w:szCs w:val="18"/>
        </w:rPr>
      </w:pPr>
      <w:r>
        <w:rPr>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377"/>
        <w:gridCol w:w="1377"/>
        <w:gridCol w:w="1377"/>
        <w:gridCol w:w="1377"/>
        <w:gridCol w:w="1377"/>
        <w:gridCol w:w="1377"/>
        <w:gridCol w:w="1377"/>
      </w:tblGrid>
      <w:tr w:rsidR="00E20B54">
        <w:trPr>
          <w:trHeight w:val="240"/>
        </w:trPr>
        <w:tc>
          <w:tcPr>
            <w:tcW w:w="1377"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名称</w:t>
            </w:r>
          </w:p>
        </w:tc>
        <w:tc>
          <w:tcPr>
            <w:tcW w:w="2754"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期初余额</w:t>
            </w:r>
          </w:p>
        </w:tc>
        <w:tc>
          <w:tcPr>
            <w:tcW w:w="5508" w:type="dxa"/>
            <w:gridSpan w:val="4"/>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期末余额</w:t>
            </w:r>
          </w:p>
        </w:tc>
      </w:tr>
      <w:tr w:rsidR="00E20B54">
        <w:trPr>
          <w:trHeight w:val="240"/>
        </w:trPr>
        <w:tc>
          <w:tcPr>
            <w:tcW w:w="1377"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账面余额</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坏账准备</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账面余额</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坏账准备</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计提比例</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计提理由</w:t>
            </w:r>
          </w:p>
        </w:tc>
      </w:tr>
      <w:tr w:rsidR="00E20B54">
        <w:trPr>
          <w:trHeight w:val="240"/>
        </w:trPr>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天亿马信息技术有限公司</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19,267,262.02</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14,488,004.11</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合并范围内子公司</w:t>
            </w:r>
          </w:p>
        </w:tc>
      </w:tr>
      <w:tr w:rsidR="00E20B54">
        <w:trPr>
          <w:trHeight w:val="240"/>
        </w:trPr>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广东天亿马信息科技有限公司</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6,000,000.00</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6,004,850.00</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合并范围内子公司</w:t>
            </w:r>
          </w:p>
        </w:tc>
      </w:tr>
      <w:tr w:rsidR="00E20B54">
        <w:trPr>
          <w:trHeight w:val="240"/>
        </w:trPr>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深圳市互联精英信息技术有限公司</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843,309.24</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843,309.24</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合并范围内子公司</w:t>
            </w:r>
          </w:p>
        </w:tc>
      </w:tr>
      <w:tr w:rsidR="00E20B54">
        <w:trPr>
          <w:trHeight w:val="240"/>
        </w:trPr>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天亿马（香港）信息产业有限公司</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182,121.67</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合并范围内子公司</w:t>
            </w:r>
          </w:p>
        </w:tc>
      </w:tr>
      <w:tr w:rsidR="00E20B54">
        <w:trPr>
          <w:trHeight w:val="240"/>
        </w:trPr>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广东翼启计算机软件开发有限公司</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93,500.00</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合并范围内子公司</w:t>
            </w:r>
          </w:p>
        </w:tc>
      </w:tr>
      <w:tr w:rsidR="00E20B54">
        <w:trPr>
          <w:trHeight w:val="240"/>
        </w:trPr>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合计</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26,110,571.26</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21,611,785.02</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r>
    </w:tbl>
    <w:p w:rsidR="00E20B54" w:rsidRDefault="00733C9E">
      <w:pPr>
        <w:spacing w:line="240" w:lineRule="exact"/>
        <w:rPr>
          <w:sz w:val="18"/>
          <w:szCs w:val="18"/>
        </w:rPr>
      </w:pPr>
      <w:r>
        <w:rPr>
          <w:sz w:val="18"/>
          <w:szCs w:val="18"/>
        </w:rPr>
        <w:t>按组合计提坏账准备：组合</w:t>
      </w:r>
      <w:r>
        <w:rPr>
          <w:sz w:val="18"/>
          <w:szCs w:val="18"/>
        </w:rPr>
        <w:t>1</w:t>
      </w:r>
    </w:p>
    <w:p w:rsidR="00E20B54" w:rsidRDefault="00733C9E">
      <w:pPr>
        <w:spacing w:before="40" w:after="40" w:line="240" w:lineRule="exact"/>
        <w:jc w:val="right"/>
        <w:rPr>
          <w:sz w:val="18"/>
          <w:szCs w:val="18"/>
        </w:rPr>
      </w:pPr>
      <w:r>
        <w:rPr>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2409"/>
        <w:gridCol w:w="2410"/>
        <w:gridCol w:w="2410"/>
        <w:gridCol w:w="2410"/>
      </w:tblGrid>
      <w:tr w:rsidR="00E20B54">
        <w:trPr>
          <w:trHeight w:val="240"/>
        </w:trPr>
        <w:tc>
          <w:tcPr>
            <w:tcW w:w="2410"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lastRenderedPageBreak/>
              <w:t>名称</w:t>
            </w:r>
          </w:p>
        </w:tc>
        <w:tc>
          <w:tcPr>
            <w:tcW w:w="7229" w:type="dxa"/>
            <w:gridSpan w:val="3"/>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期末余额</w:t>
            </w:r>
          </w:p>
        </w:tc>
      </w:tr>
      <w:tr w:rsidR="00E20B54">
        <w:trPr>
          <w:trHeight w:val="240"/>
        </w:trPr>
        <w:tc>
          <w:tcPr>
            <w:tcW w:w="2410"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账面余额</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坏账准备</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计提比例</w:t>
            </w:r>
          </w:p>
        </w:tc>
      </w:tr>
      <w:tr w:rsidR="00E20B54">
        <w:trPr>
          <w:trHeight w:val="240"/>
        </w:trPr>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1</w:t>
            </w:r>
            <w:r>
              <w:rPr>
                <w:sz w:val="18"/>
                <w:szCs w:val="18"/>
              </w:rPr>
              <w:t>年以内</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12,548,006.49</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627,400.32</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5.00%</w:t>
            </w:r>
          </w:p>
        </w:tc>
      </w:tr>
      <w:tr w:rsidR="00E20B54">
        <w:trPr>
          <w:trHeight w:val="240"/>
        </w:trPr>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1</w:t>
            </w:r>
            <w:r>
              <w:rPr>
                <w:sz w:val="18"/>
                <w:szCs w:val="18"/>
              </w:rPr>
              <w:t>至</w:t>
            </w:r>
            <w:r>
              <w:rPr>
                <w:sz w:val="18"/>
                <w:szCs w:val="18"/>
              </w:rPr>
              <w:t>2</w:t>
            </w:r>
            <w:r>
              <w:rPr>
                <w:sz w:val="18"/>
                <w:szCs w:val="18"/>
              </w:rPr>
              <w:t>年</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5,127,281.88</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512,728.19</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10.00%</w:t>
            </w:r>
          </w:p>
        </w:tc>
      </w:tr>
      <w:tr w:rsidR="00E20B54">
        <w:trPr>
          <w:trHeight w:val="240"/>
        </w:trPr>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2</w:t>
            </w:r>
            <w:r>
              <w:rPr>
                <w:sz w:val="18"/>
                <w:szCs w:val="18"/>
              </w:rPr>
              <w:t>至</w:t>
            </w:r>
            <w:r>
              <w:rPr>
                <w:sz w:val="18"/>
                <w:szCs w:val="18"/>
              </w:rPr>
              <w:t>3</w:t>
            </w:r>
            <w:r>
              <w:rPr>
                <w:sz w:val="18"/>
                <w:szCs w:val="18"/>
              </w:rPr>
              <w:t>年</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4,264,652.84</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1,279,395.85</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30.00%</w:t>
            </w:r>
          </w:p>
        </w:tc>
      </w:tr>
      <w:tr w:rsidR="00E20B54">
        <w:trPr>
          <w:trHeight w:val="240"/>
        </w:trPr>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3</w:t>
            </w:r>
            <w:r>
              <w:rPr>
                <w:sz w:val="18"/>
                <w:szCs w:val="18"/>
              </w:rPr>
              <w:t>至</w:t>
            </w:r>
            <w:r>
              <w:rPr>
                <w:sz w:val="18"/>
                <w:szCs w:val="18"/>
              </w:rPr>
              <w:t>4</w:t>
            </w:r>
            <w:r>
              <w:rPr>
                <w:sz w:val="18"/>
                <w:szCs w:val="18"/>
              </w:rPr>
              <w:t>年</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6,269,278.98</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3,134,639.49</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50.00%</w:t>
            </w:r>
          </w:p>
        </w:tc>
      </w:tr>
      <w:tr w:rsidR="00E20B54">
        <w:trPr>
          <w:trHeight w:val="240"/>
        </w:trPr>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4</w:t>
            </w:r>
            <w:r>
              <w:rPr>
                <w:sz w:val="18"/>
                <w:szCs w:val="18"/>
              </w:rPr>
              <w:t>至</w:t>
            </w:r>
            <w:r>
              <w:rPr>
                <w:sz w:val="18"/>
                <w:szCs w:val="18"/>
              </w:rPr>
              <w:t>5</w:t>
            </w:r>
            <w:r>
              <w:rPr>
                <w:sz w:val="18"/>
                <w:szCs w:val="18"/>
              </w:rPr>
              <w:t>年</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2,649,141.21</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2,119,312.97</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80.00%</w:t>
            </w:r>
          </w:p>
        </w:tc>
      </w:tr>
      <w:tr w:rsidR="00E20B54">
        <w:trPr>
          <w:trHeight w:val="240"/>
        </w:trPr>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5</w:t>
            </w:r>
            <w:r>
              <w:rPr>
                <w:sz w:val="18"/>
                <w:szCs w:val="18"/>
              </w:rPr>
              <w:t>年以上</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2,625,956.82</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2,625,956.82</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100.00%</w:t>
            </w:r>
          </w:p>
        </w:tc>
      </w:tr>
      <w:tr w:rsidR="00E20B54">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合计</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33,484,318.22</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10,299,433.64</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r>
    </w:tbl>
    <w:p w:rsidR="00E20B54" w:rsidRDefault="00733C9E" w:rsidP="00E4298E">
      <w:pPr>
        <w:spacing w:before="100" w:after="100" w:line="240" w:lineRule="exact"/>
      </w:pPr>
      <w:r>
        <w:rPr>
          <w:sz w:val="18"/>
          <w:szCs w:val="18"/>
        </w:rPr>
        <w:t>确定该组合依据的说明：</w:t>
      </w:r>
      <w:r>
        <w:rPr>
          <w:color w:val="000000"/>
          <w:sz w:val="18"/>
          <w:szCs w:val="18"/>
        </w:rPr>
        <w:t>确定应收账款组合的依据详见本节五、</w:t>
      </w:r>
      <w:r>
        <w:rPr>
          <w:color w:val="000000"/>
          <w:sz w:val="18"/>
          <w:szCs w:val="18"/>
        </w:rPr>
        <w:t>13</w:t>
      </w:r>
      <w:r>
        <w:rPr>
          <w:color w:val="000000"/>
          <w:sz w:val="18"/>
          <w:szCs w:val="18"/>
        </w:rPr>
        <w:t>。</w:t>
      </w:r>
    </w:p>
    <w:p w:rsidR="00E20B54" w:rsidRDefault="00733C9E">
      <w:pPr>
        <w:spacing w:line="240" w:lineRule="exact"/>
        <w:rPr>
          <w:sz w:val="18"/>
          <w:szCs w:val="18"/>
        </w:rPr>
      </w:pPr>
      <w:r>
        <w:rPr>
          <w:sz w:val="18"/>
          <w:szCs w:val="18"/>
        </w:rPr>
        <w:t>按组合计提坏账准备：组合</w:t>
      </w:r>
      <w:r>
        <w:rPr>
          <w:sz w:val="18"/>
          <w:szCs w:val="18"/>
        </w:rPr>
        <w:t>2</w:t>
      </w:r>
    </w:p>
    <w:p w:rsidR="00E20B54" w:rsidRDefault="00733C9E">
      <w:pPr>
        <w:spacing w:before="40" w:after="40" w:line="240" w:lineRule="exact"/>
        <w:jc w:val="right"/>
        <w:rPr>
          <w:sz w:val="18"/>
          <w:szCs w:val="18"/>
        </w:rPr>
      </w:pPr>
      <w:r>
        <w:rPr>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2409"/>
        <w:gridCol w:w="2410"/>
        <w:gridCol w:w="2410"/>
        <w:gridCol w:w="2410"/>
      </w:tblGrid>
      <w:tr w:rsidR="00E20B54">
        <w:trPr>
          <w:trHeight w:val="240"/>
        </w:trPr>
        <w:tc>
          <w:tcPr>
            <w:tcW w:w="2410"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名称</w:t>
            </w:r>
          </w:p>
        </w:tc>
        <w:tc>
          <w:tcPr>
            <w:tcW w:w="7229" w:type="dxa"/>
            <w:gridSpan w:val="3"/>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期末余额</w:t>
            </w:r>
          </w:p>
        </w:tc>
      </w:tr>
      <w:tr w:rsidR="00E20B54">
        <w:trPr>
          <w:trHeight w:val="240"/>
        </w:trPr>
        <w:tc>
          <w:tcPr>
            <w:tcW w:w="2410"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账面余额</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坏账准备</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计提比例</w:t>
            </w:r>
          </w:p>
        </w:tc>
      </w:tr>
      <w:tr w:rsidR="00E20B54">
        <w:trPr>
          <w:trHeight w:val="240"/>
        </w:trPr>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1</w:t>
            </w:r>
            <w:r>
              <w:rPr>
                <w:sz w:val="18"/>
                <w:szCs w:val="18"/>
              </w:rPr>
              <w:t>年以内</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94,157,001.75</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4,707,850.09</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5.00%</w:t>
            </w:r>
          </w:p>
        </w:tc>
      </w:tr>
      <w:tr w:rsidR="00E20B54">
        <w:trPr>
          <w:trHeight w:val="240"/>
        </w:trPr>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1</w:t>
            </w:r>
            <w:r>
              <w:rPr>
                <w:sz w:val="18"/>
                <w:szCs w:val="18"/>
              </w:rPr>
              <w:t>至</w:t>
            </w:r>
            <w:r>
              <w:rPr>
                <w:sz w:val="18"/>
                <w:szCs w:val="18"/>
              </w:rPr>
              <w:t>2</w:t>
            </w:r>
            <w:r>
              <w:rPr>
                <w:sz w:val="18"/>
                <w:szCs w:val="18"/>
              </w:rPr>
              <w:t>年</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14,790,739.66</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1,479,073.97</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10.00%</w:t>
            </w:r>
          </w:p>
        </w:tc>
      </w:tr>
      <w:tr w:rsidR="00E20B54">
        <w:trPr>
          <w:trHeight w:val="240"/>
        </w:trPr>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2</w:t>
            </w:r>
            <w:r>
              <w:rPr>
                <w:sz w:val="18"/>
                <w:szCs w:val="18"/>
              </w:rPr>
              <w:t>至</w:t>
            </w:r>
            <w:r>
              <w:rPr>
                <w:sz w:val="18"/>
                <w:szCs w:val="18"/>
              </w:rPr>
              <w:t>3</w:t>
            </w:r>
            <w:r>
              <w:rPr>
                <w:sz w:val="18"/>
                <w:szCs w:val="18"/>
              </w:rPr>
              <w:t>年</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48,622,318.79</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14,586,695.64</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30.00%</w:t>
            </w:r>
          </w:p>
        </w:tc>
      </w:tr>
      <w:tr w:rsidR="00E20B54">
        <w:trPr>
          <w:trHeight w:val="240"/>
        </w:trPr>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3</w:t>
            </w:r>
            <w:r>
              <w:rPr>
                <w:sz w:val="18"/>
                <w:szCs w:val="18"/>
              </w:rPr>
              <w:t>至</w:t>
            </w:r>
            <w:r>
              <w:rPr>
                <w:sz w:val="18"/>
                <w:szCs w:val="18"/>
              </w:rPr>
              <w:t>4</w:t>
            </w:r>
            <w:r>
              <w:rPr>
                <w:sz w:val="18"/>
                <w:szCs w:val="18"/>
              </w:rPr>
              <w:t>年</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39,291,812.58</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19,645,906.29</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50.00%</w:t>
            </w:r>
          </w:p>
        </w:tc>
      </w:tr>
      <w:tr w:rsidR="00E20B54">
        <w:trPr>
          <w:trHeight w:val="240"/>
        </w:trPr>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4</w:t>
            </w:r>
            <w:r>
              <w:rPr>
                <w:sz w:val="18"/>
                <w:szCs w:val="18"/>
              </w:rPr>
              <w:t>至</w:t>
            </w:r>
            <w:r>
              <w:rPr>
                <w:sz w:val="18"/>
                <w:szCs w:val="18"/>
              </w:rPr>
              <w:t>5</w:t>
            </w:r>
            <w:r>
              <w:rPr>
                <w:sz w:val="18"/>
                <w:szCs w:val="18"/>
              </w:rPr>
              <w:t>年</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25,767,984.63</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25,767,984.63</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100.00%</w:t>
            </w:r>
          </w:p>
        </w:tc>
      </w:tr>
      <w:tr w:rsidR="00E20B54">
        <w:trPr>
          <w:trHeight w:val="240"/>
        </w:trPr>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5</w:t>
            </w:r>
            <w:r>
              <w:rPr>
                <w:sz w:val="18"/>
                <w:szCs w:val="18"/>
              </w:rPr>
              <w:t>年以上</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8,497,146.40</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8,497,146.40</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100.00%</w:t>
            </w:r>
          </w:p>
        </w:tc>
      </w:tr>
      <w:tr w:rsidR="00E20B54">
        <w:trPr>
          <w:trHeight w:val="240"/>
        </w:trPr>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合计</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231,127,003.81</w:t>
            </w:r>
          </w:p>
        </w:tc>
        <w:tc>
          <w:tcPr>
            <w:tcW w:w="241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74,684,657.02</w:t>
            </w:r>
          </w:p>
        </w:tc>
        <w:tc>
          <w:tcPr>
            <w:tcW w:w="241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r>
    </w:tbl>
    <w:p w:rsidR="00E20B54" w:rsidRDefault="00733C9E" w:rsidP="00E4298E">
      <w:pPr>
        <w:spacing w:before="100" w:after="100" w:line="240" w:lineRule="exact"/>
      </w:pPr>
      <w:r>
        <w:rPr>
          <w:sz w:val="18"/>
          <w:szCs w:val="18"/>
        </w:rPr>
        <w:t>确定该组合依据的说明：</w:t>
      </w:r>
      <w:r>
        <w:rPr>
          <w:color w:val="000000"/>
          <w:sz w:val="18"/>
          <w:szCs w:val="18"/>
        </w:rPr>
        <w:t>确定应收账款组合的依据详见本节五、</w:t>
      </w:r>
      <w:r>
        <w:rPr>
          <w:color w:val="000000"/>
          <w:sz w:val="18"/>
          <w:szCs w:val="18"/>
        </w:rPr>
        <w:t>13</w:t>
      </w:r>
      <w:r>
        <w:rPr>
          <w:color w:val="000000"/>
          <w:sz w:val="18"/>
          <w:szCs w:val="18"/>
        </w:rPr>
        <w:t>。</w:t>
      </w:r>
    </w:p>
    <w:p w:rsidR="00E20B54" w:rsidRDefault="00733C9E">
      <w:pPr>
        <w:spacing w:before="100" w:after="100" w:line="240" w:lineRule="exact"/>
        <w:rPr>
          <w:sz w:val="18"/>
          <w:szCs w:val="18"/>
        </w:rPr>
      </w:pPr>
      <w:r>
        <w:rPr>
          <w:sz w:val="18"/>
          <w:szCs w:val="18"/>
        </w:rPr>
        <w:t>如是按照预期信用损失一般模型计提应收账款坏账准备：</w:t>
      </w:r>
    </w:p>
    <w:p w:rsidR="00E20B54" w:rsidRDefault="00733C9E">
      <w:pPr>
        <w:spacing w:before="100" w:after="100" w:line="240" w:lineRule="exact"/>
        <w:rPr>
          <w:sz w:val="18"/>
          <w:szCs w:val="18"/>
        </w:rPr>
      </w:pPr>
      <w:r>
        <w:rPr>
          <w:sz w:val="18"/>
          <w:szCs w:val="18"/>
        </w:rPr>
        <w:t>□</w:t>
      </w:r>
      <w:r>
        <w:rPr>
          <w:sz w:val="18"/>
          <w:szCs w:val="18"/>
        </w:rPr>
        <w:t>适用</w:t>
      </w:r>
      <w:r>
        <w:rPr>
          <w:sz w:val="18"/>
          <w:szCs w:val="18"/>
        </w:rPr>
        <w:t xml:space="preserve"> </w:t>
      </w:r>
      <w:r>
        <w:rPr>
          <w:sz w:val="18"/>
          <w:szCs w:val="18"/>
        </w:rPr>
        <w:sym w:font="Wingdings 2" w:char="F052"/>
      </w:r>
      <w:r>
        <w:rPr>
          <w:sz w:val="18"/>
          <w:szCs w:val="18"/>
        </w:rPr>
        <w:t>不适用</w:t>
      </w:r>
    </w:p>
    <w:p w:rsidR="00E20B54" w:rsidRDefault="00733C9E">
      <w:pPr>
        <w:keepNext/>
        <w:keepLines/>
        <w:spacing w:before="300" w:after="300" w:line="280" w:lineRule="exact"/>
        <w:outlineLvl w:val="3"/>
        <w:rPr>
          <w:b/>
          <w:bCs/>
          <w:szCs w:val="21"/>
        </w:rPr>
      </w:pPr>
      <w:bookmarkStart w:id="499" w:name="_Toc989387"/>
      <w:r>
        <w:rPr>
          <w:b/>
          <w:bCs/>
          <w:szCs w:val="21"/>
        </w:rPr>
        <w:t>（</w:t>
      </w:r>
      <w:r>
        <w:rPr>
          <w:b/>
          <w:bCs/>
          <w:szCs w:val="21"/>
        </w:rPr>
        <w:t>3</w:t>
      </w:r>
      <w:r>
        <w:rPr>
          <w:b/>
          <w:bCs/>
          <w:szCs w:val="21"/>
        </w:rPr>
        <w:t>）</w:t>
      </w:r>
      <w:r>
        <w:rPr>
          <w:b/>
          <w:bCs/>
          <w:szCs w:val="21"/>
        </w:rPr>
        <w:t xml:space="preserve"> </w:t>
      </w:r>
      <w:r>
        <w:rPr>
          <w:b/>
          <w:bCs/>
          <w:szCs w:val="21"/>
        </w:rPr>
        <w:t>本期计提、收回或转回的坏账准备情况</w:t>
      </w:r>
      <w:bookmarkEnd w:id="499"/>
    </w:p>
    <w:p w:rsidR="00E20B54" w:rsidRDefault="00733C9E">
      <w:pPr>
        <w:spacing w:line="240" w:lineRule="exact"/>
        <w:rPr>
          <w:sz w:val="18"/>
          <w:szCs w:val="18"/>
        </w:rPr>
      </w:pPr>
      <w:r>
        <w:rPr>
          <w:sz w:val="18"/>
          <w:szCs w:val="18"/>
        </w:rPr>
        <w:t>本期计提坏账准备情况：</w:t>
      </w:r>
    </w:p>
    <w:p w:rsidR="00E20B54" w:rsidRDefault="00733C9E">
      <w:pPr>
        <w:spacing w:before="40" w:after="40" w:line="240" w:lineRule="exact"/>
        <w:jc w:val="right"/>
        <w:rPr>
          <w:sz w:val="18"/>
          <w:szCs w:val="18"/>
        </w:rPr>
      </w:pPr>
      <w:r>
        <w:rPr>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377"/>
        <w:gridCol w:w="1377"/>
        <w:gridCol w:w="1377"/>
        <w:gridCol w:w="1377"/>
        <w:gridCol w:w="1377"/>
        <w:gridCol w:w="1377"/>
        <w:gridCol w:w="1377"/>
      </w:tblGrid>
      <w:tr w:rsidR="00E20B54">
        <w:trPr>
          <w:trHeight w:val="240"/>
        </w:trPr>
        <w:tc>
          <w:tcPr>
            <w:tcW w:w="1377"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类别</w:t>
            </w:r>
          </w:p>
        </w:tc>
        <w:tc>
          <w:tcPr>
            <w:tcW w:w="1377"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期初余额</w:t>
            </w:r>
          </w:p>
        </w:tc>
        <w:tc>
          <w:tcPr>
            <w:tcW w:w="5508" w:type="dxa"/>
            <w:gridSpan w:val="4"/>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本期变动金额</w:t>
            </w:r>
          </w:p>
        </w:tc>
        <w:tc>
          <w:tcPr>
            <w:tcW w:w="1377"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期末余额</w:t>
            </w:r>
          </w:p>
        </w:tc>
      </w:tr>
      <w:tr w:rsidR="00E20B54">
        <w:trPr>
          <w:trHeight w:val="240"/>
        </w:trPr>
        <w:tc>
          <w:tcPr>
            <w:tcW w:w="1377"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c>
          <w:tcPr>
            <w:tcW w:w="1377"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计提</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收回或转回</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核销</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其他</w:t>
            </w:r>
          </w:p>
        </w:tc>
        <w:tc>
          <w:tcPr>
            <w:tcW w:w="1377"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r>
      <w:tr w:rsidR="00E20B54" w:rsidTr="00E4298E">
        <w:trPr>
          <w:trHeight w:val="240"/>
        </w:trPr>
        <w:tc>
          <w:tcPr>
            <w:tcW w:w="1377" w:type="dxa"/>
            <w:tcBorders>
              <w:top w:val="single" w:sz="2" w:space="0" w:color="auto"/>
              <w:left w:val="single" w:sz="2" w:space="0" w:color="auto"/>
              <w:bottom w:val="single" w:sz="2" w:space="0" w:color="auto"/>
              <w:right w:val="single" w:sz="2" w:space="0" w:color="auto"/>
            </w:tcBorders>
            <w:shd w:val="clear" w:color="auto" w:fill="D9D9D9" w:themeFill="background1" w:themeFillShade="D9"/>
            <w:vAlign w:val="center"/>
          </w:tcPr>
          <w:p w:rsidR="00E20B54" w:rsidRDefault="00733C9E">
            <w:pPr>
              <w:spacing w:line="240" w:lineRule="exact"/>
              <w:rPr>
                <w:sz w:val="18"/>
                <w:szCs w:val="18"/>
              </w:rPr>
            </w:pPr>
            <w:r>
              <w:rPr>
                <w:sz w:val="18"/>
                <w:szCs w:val="18"/>
              </w:rPr>
              <w:t>账龄组合</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71,089,166.30</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25,521,843.08</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11,626,918.72</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84,984,090.66</w:t>
            </w:r>
          </w:p>
        </w:tc>
      </w:tr>
      <w:tr w:rsidR="00E20B54">
        <w:trPr>
          <w:trHeight w:val="240"/>
        </w:trPr>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合计</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71,089,166.30</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25,521,843.08</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11,626,918.72</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84,984,090.66</w:t>
            </w:r>
          </w:p>
        </w:tc>
      </w:tr>
    </w:tbl>
    <w:p w:rsidR="00E20B54" w:rsidRDefault="00733C9E">
      <w:pPr>
        <w:spacing w:line="240" w:lineRule="exact"/>
        <w:rPr>
          <w:sz w:val="18"/>
          <w:szCs w:val="18"/>
        </w:rPr>
      </w:pPr>
      <w:r>
        <w:rPr>
          <w:sz w:val="18"/>
          <w:szCs w:val="18"/>
        </w:rPr>
        <w:t>其中本期坏账准备收回或转回金额重要的：</w:t>
      </w:r>
    </w:p>
    <w:p w:rsidR="00E20B54" w:rsidRDefault="00733C9E">
      <w:pPr>
        <w:spacing w:before="40" w:after="40" w:line="240" w:lineRule="exact"/>
        <w:jc w:val="right"/>
        <w:rPr>
          <w:sz w:val="18"/>
          <w:szCs w:val="18"/>
        </w:rPr>
      </w:pPr>
      <w:r>
        <w:rPr>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927"/>
        <w:gridCol w:w="1928"/>
        <w:gridCol w:w="1928"/>
        <w:gridCol w:w="1928"/>
        <w:gridCol w:w="1928"/>
      </w:tblGrid>
      <w:tr w:rsidR="00E20B54">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单位名称</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收回或转回金额</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转回原因</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收回方式</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确定原坏账准备计提比例的依据及其合理性</w:t>
            </w:r>
          </w:p>
        </w:tc>
      </w:tr>
    </w:tbl>
    <w:p w:rsidR="00E20B54" w:rsidRDefault="00733C9E">
      <w:pPr>
        <w:keepNext/>
        <w:keepLines/>
        <w:spacing w:before="300" w:after="300" w:line="280" w:lineRule="exact"/>
        <w:outlineLvl w:val="3"/>
        <w:rPr>
          <w:b/>
          <w:bCs/>
          <w:szCs w:val="21"/>
        </w:rPr>
      </w:pPr>
      <w:bookmarkStart w:id="500" w:name="_Toc989388"/>
      <w:r>
        <w:rPr>
          <w:b/>
          <w:bCs/>
          <w:szCs w:val="21"/>
        </w:rPr>
        <w:t>（</w:t>
      </w:r>
      <w:r>
        <w:rPr>
          <w:b/>
          <w:bCs/>
          <w:szCs w:val="21"/>
        </w:rPr>
        <w:t>4</w:t>
      </w:r>
      <w:r>
        <w:rPr>
          <w:b/>
          <w:bCs/>
          <w:szCs w:val="21"/>
        </w:rPr>
        <w:t>）</w:t>
      </w:r>
      <w:r>
        <w:rPr>
          <w:b/>
          <w:bCs/>
          <w:szCs w:val="21"/>
        </w:rPr>
        <w:t xml:space="preserve"> </w:t>
      </w:r>
      <w:r>
        <w:rPr>
          <w:b/>
          <w:bCs/>
          <w:szCs w:val="21"/>
        </w:rPr>
        <w:t>本期实际核销的应收账款情况</w:t>
      </w:r>
      <w:bookmarkEnd w:id="500"/>
    </w:p>
    <w:p w:rsidR="00E20B54" w:rsidRDefault="00733C9E">
      <w:pPr>
        <w:spacing w:before="40" w:after="40" w:line="240" w:lineRule="exact"/>
        <w:jc w:val="right"/>
        <w:rPr>
          <w:sz w:val="18"/>
          <w:szCs w:val="18"/>
        </w:rPr>
      </w:pPr>
      <w:r>
        <w:rPr>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4820"/>
        <w:gridCol w:w="4819"/>
      </w:tblGrid>
      <w:tr w:rsidR="00E20B54">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项目</w:t>
            </w:r>
          </w:p>
        </w:tc>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核销金额</w:t>
            </w:r>
          </w:p>
        </w:tc>
      </w:tr>
      <w:tr w:rsidR="00E20B54">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实际核销的应收账款</w:t>
            </w:r>
          </w:p>
        </w:tc>
        <w:tc>
          <w:tcPr>
            <w:tcW w:w="4820"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19,728,098.88</w:t>
            </w:r>
          </w:p>
        </w:tc>
      </w:tr>
    </w:tbl>
    <w:p w:rsidR="00E20B54" w:rsidRDefault="00733C9E">
      <w:pPr>
        <w:spacing w:line="240" w:lineRule="exact"/>
        <w:rPr>
          <w:sz w:val="18"/>
          <w:szCs w:val="18"/>
        </w:rPr>
      </w:pPr>
      <w:r>
        <w:rPr>
          <w:sz w:val="18"/>
          <w:szCs w:val="18"/>
        </w:rPr>
        <w:t>其中重要的应收账款核销情况：</w:t>
      </w:r>
    </w:p>
    <w:p w:rsidR="00E20B54" w:rsidRDefault="00733C9E">
      <w:pPr>
        <w:spacing w:before="40" w:after="40" w:line="240" w:lineRule="exact"/>
        <w:jc w:val="right"/>
        <w:rPr>
          <w:sz w:val="18"/>
          <w:szCs w:val="18"/>
        </w:rPr>
      </w:pPr>
      <w:r>
        <w:rPr>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606"/>
        <w:gridCol w:w="1606"/>
        <w:gridCol w:w="1606"/>
        <w:gridCol w:w="1607"/>
        <w:gridCol w:w="1607"/>
        <w:gridCol w:w="1607"/>
      </w:tblGrid>
      <w:tr w:rsidR="00E20B54" w:rsidTr="00E4298E">
        <w:trPr>
          <w:trHeight w:val="240"/>
          <w:tblHeader/>
        </w:trPr>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单位名称</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应收账款性质</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核销金额</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核销原因</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履行的核销程序</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款项是否由关联交易产生</w:t>
            </w:r>
          </w:p>
        </w:tc>
      </w:tr>
      <w:tr w:rsidR="00E20B54">
        <w:trPr>
          <w:trHeight w:val="240"/>
        </w:trPr>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lastRenderedPageBreak/>
              <w:t>第一名</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货款</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6,908,117.99</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债务重组</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内部决议</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否</w:t>
            </w:r>
          </w:p>
        </w:tc>
      </w:tr>
      <w:tr w:rsidR="00E20B54">
        <w:trPr>
          <w:trHeight w:val="240"/>
        </w:trPr>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第二名</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货款</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4,311,096.33</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债务重组</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内部决议</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否</w:t>
            </w:r>
          </w:p>
        </w:tc>
      </w:tr>
      <w:tr w:rsidR="00E20B54">
        <w:trPr>
          <w:trHeight w:val="240"/>
        </w:trPr>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第三名</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货款</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3,771,997.04</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债务重组</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内部决议</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否</w:t>
            </w:r>
          </w:p>
        </w:tc>
      </w:tr>
      <w:tr w:rsidR="00E20B54">
        <w:trPr>
          <w:trHeight w:val="240"/>
        </w:trPr>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第四名</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货款</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2,371,301.22</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债务重组</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内部决议</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否</w:t>
            </w:r>
          </w:p>
        </w:tc>
      </w:tr>
      <w:tr w:rsidR="00E20B54">
        <w:trPr>
          <w:trHeight w:val="240"/>
        </w:trPr>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合计</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17,362,512.58</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r>
    </w:tbl>
    <w:p w:rsidR="00E20B54" w:rsidRDefault="00733C9E" w:rsidP="00E4298E">
      <w:pPr>
        <w:spacing w:before="100" w:after="100" w:line="240" w:lineRule="exact"/>
      </w:pPr>
      <w:r>
        <w:rPr>
          <w:sz w:val="18"/>
          <w:szCs w:val="18"/>
        </w:rPr>
        <w:t>应收账款核销说明：本期核销应收账款合计</w:t>
      </w:r>
      <w:r>
        <w:rPr>
          <w:color w:val="333333"/>
          <w:sz w:val="18"/>
          <w:szCs w:val="18"/>
          <w:shd w:val="clear" w:color="auto" w:fill="FFFFFF"/>
        </w:rPr>
        <w:t>19,728,098.88</w:t>
      </w:r>
      <w:r>
        <w:rPr>
          <w:sz w:val="18"/>
          <w:szCs w:val="18"/>
        </w:rPr>
        <w:t>元，上述款项均已按公司会计政策足额计提坏账准备，核销原因受地方化债政策及财政资金统筹安排影响，与部分客户签订债务重组协议。</w:t>
      </w:r>
    </w:p>
    <w:p w:rsidR="00E20B54" w:rsidRDefault="00733C9E">
      <w:pPr>
        <w:keepNext/>
        <w:keepLines/>
        <w:spacing w:before="300" w:after="300" w:line="280" w:lineRule="exact"/>
        <w:outlineLvl w:val="3"/>
        <w:rPr>
          <w:b/>
          <w:bCs/>
          <w:szCs w:val="21"/>
        </w:rPr>
      </w:pPr>
      <w:bookmarkStart w:id="501" w:name="_Toc989389"/>
      <w:r>
        <w:rPr>
          <w:b/>
          <w:bCs/>
          <w:szCs w:val="21"/>
        </w:rPr>
        <w:t>（</w:t>
      </w:r>
      <w:r>
        <w:rPr>
          <w:b/>
          <w:bCs/>
          <w:szCs w:val="21"/>
        </w:rPr>
        <w:t>5</w:t>
      </w:r>
      <w:r>
        <w:rPr>
          <w:b/>
          <w:bCs/>
          <w:szCs w:val="21"/>
        </w:rPr>
        <w:t>）</w:t>
      </w:r>
      <w:r>
        <w:rPr>
          <w:b/>
          <w:bCs/>
          <w:szCs w:val="21"/>
        </w:rPr>
        <w:t xml:space="preserve"> </w:t>
      </w:r>
      <w:r>
        <w:rPr>
          <w:b/>
          <w:bCs/>
          <w:szCs w:val="21"/>
        </w:rPr>
        <w:t>按欠款方归集的期末余额前五名的应收账款和合同资产情况</w:t>
      </w:r>
      <w:bookmarkEnd w:id="501"/>
    </w:p>
    <w:p w:rsidR="00E20B54" w:rsidRDefault="00733C9E">
      <w:pPr>
        <w:spacing w:before="40" w:after="40" w:line="240" w:lineRule="exact"/>
        <w:jc w:val="right"/>
        <w:rPr>
          <w:sz w:val="18"/>
          <w:szCs w:val="18"/>
        </w:rPr>
      </w:pPr>
      <w:r>
        <w:rPr>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606"/>
        <w:gridCol w:w="1606"/>
        <w:gridCol w:w="1606"/>
        <w:gridCol w:w="1607"/>
        <w:gridCol w:w="1607"/>
        <w:gridCol w:w="1607"/>
      </w:tblGrid>
      <w:tr w:rsidR="00E20B54">
        <w:trPr>
          <w:trHeight w:val="240"/>
        </w:trPr>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单位名称</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应收账款期末余额</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合同资产期末余额</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应收账款和合同资产期末余额</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占应收账款和合同资产期末余额合计数的比例</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应收账款坏账准备和合同资产减值准备期末余额</w:t>
            </w:r>
          </w:p>
        </w:tc>
      </w:tr>
      <w:tr w:rsidR="00E20B54">
        <w:trPr>
          <w:trHeight w:val="240"/>
        </w:trPr>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第一名</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59,741,760.75</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627,118.94</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60,368,879.69</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21.01%</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22,942,867.47</w:t>
            </w:r>
          </w:p>
        </w:tc>
      </w:tr>
      <w:tr w:rsidR="00E20B54">
        <w:trPr>
          <w:trHeight w:val="240"/>
        </w:trPr>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第二名</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37,652,736.07</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37,652,736.07</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13.10%</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17,221,903.45</w:t>
            </w:r>
          </w:p>
        </w:tc>
      </w:tr>
      <w:tr w:rsidR="00E20B54">
        <w:trPr>
          <w:trHeight w:val="240"/>
        </w:trPr>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第三名</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25,798,710.72</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25,798,710.72</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8.98%</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6,545,149.22</w:t>
            </w:r>
          </w:p>
        </w:tc>
      </w:tr>
      <w:tr w:rsidR="00E20B54">
        <w:trPr>
          <w:trHeight w:val="240"/>
        </w:trPr>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第四名</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22,599,454.79</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184,449.89</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22,783,904.68</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7.93%</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1,288,111.72</w:t>
            </w:r>
          </w:p>
        </w:tc>
      </w:tr>
      <w:tr w:rsidR="00E20B54">
        <w:trPr>
          <w:trHeight w:val="240"/>
        </w:trPr>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第五名</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15,028,374.90</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15,028,374.90</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5.23%</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2,600,823.40</w:t>
            </w:r>
          </w:p>
        </w:tc>
      </w:tr>
      <w:tr w:rsidR="00E20B54">
        <w:trPr>
          <w:trHeight w:val="240"/>
        </w:trPr>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合计</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160,821,037.23</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811,568.83</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161,632,606.06</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56.25%</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50,598,855.26</w:t>
            </w:r>
          </w:p>
        </w:tc>
      </w:tr>
    </w:tbl>
    <w:p w:rsidR="00E20B54" w:rsidRDefault="00733C9E">
      <w:pPr>
        <w:pStyle w:val="3"/>
        <w:spacing w:line="280" w:lineRule="exact"/>
        <w:jc w:val="left"/>
        <w:rPr>
          <w:b/>
          <w:bCs/>
        </w:rPr>
      </w:pPr>
      <w:bookmarkStart w:id="502" w:name="_Toc989390"/>
      <w:r>
        <w:rPr>
          <w:b/>
          <w:bCs/>
        </w:rPr>
        <w:t>2</w:t>
      </w:r>
      <w:r>
        <w:rPr>
          <w:b/>
          <w:bCs/>
        </w:rPr>
        <w:t>、其他应收款</w:t>
      </w:r>
      <w:bookmarkEnd w:id="502"/>
    </w:p>
    <w:p w:rsidR="00E20B54" w:rsidRDefault="00733C9E">
      <w:pPr>
        <w:spacing w:before="40" w:after="40" w:line="240" w:lineRule="exact"/>
        <w:jc w:val="right"/>
        <w:rPr>
          <w:sz w:val="18"/>
          <w:szCs w:val="18"/>
        </w:rPr>
      </w:pPr>
      <w:r>
        <w:rPr>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项目</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期末余额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期初余额</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应收利息</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0.00</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应收股利</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0.00</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其他应收款</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171,969,692.20</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88,855,492.30</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合计</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171,969,692.20</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88,855,492.30</w:t>
            </w:r>
          </w:p>
        </w:tc>
      </w:tr>
    </w:tbl>
    <w:p w:rsidR="00E20B54" w:rsidRDefault="00733C9E">
      <w:pPr>
        <w:keepNext/>
        <w:keepLines/>
        <w:spacing w:before="300" w:after="300" w:line="280" w:lineRule="exact"/>
        <w:outlineLvl w:val="3"/>
        <w:rPr>
          <w:b/>
          <w:bCs/>
          <w:sz w:val="18"/>
          <w:szCs w:val="18"/>
        </w:rPr>
      </w:pPr>
      <w:bookmarkStart w:id="503" w:name="_Toc989391"/>
      <w:r>
        <w:rPr>
          <w:b/>
          <w:bCs/>
          <w:sz w:val="18"/>
          <w:szCs w:val="18"/>
        </w:rPr>
        <w:t>（</w:t>
      </w:r>
      <w:r>
        <w:rPr>
          <w:b/>
          <w:bCs/>
          <w:sz w:val="18"/>
          <w:szCs w:val="18"/>
        </w:rPr>
        <w:t>1</w:t>
      </w:r>
      <w:r>
        <w:rPr>
          <w:b/>
          <w:bCs/>
          <w:sz w:val="18"/>
          <w:szCs w:val="18"/>
        </w:rPr>
        <w:t>）</w:t>
      </w:r>
      <w:r>
        <w:rPr>
          <w:b/>
          <w:bCs/>
          <w:sz w:val="18"/>
          <w:szCs w:val="18"/>
        </w:rPr>
        <w:t xml:space="preserve"> </w:t>
      </w:r>
      <w:r>
        <w:rPr>
          <w:b/>
          <w:bCs/>
          <w:sz w:val="18"/>
          <w:szCs w:val="18"/>
        </w:rPr>
        <w:t>其他应收款</w:t>
      </w:r>
      <w:bookmarkEnd w:id="503"/>
    </w:p>
    <w:p w:rsidR="00E20B54" w:rsidRDefault="00733C9E">
      <w:pPr>
        <w:keepNext/>
        <w:keepLines/>
        <w:spacing w:before="300" w:after="300" w:line="280" w:lineRule="exact"/>
        <w:outlineLvl w:val="4"/>
        <w:rPr>
          <w:b/>
          <w:bCs/>
          <w:sz w:val="18"/>
          <w:szCs w:val="18"/>
        </w:rPr>
      </w:pPr>
      <w:bookmarkStart w:id="504" w:name="_Toc989392"/>
      <w:r>
        <w:rPr>
          <w:b/>
          <w:bCs/>
          <w:sz w:val="18"/>
          <w:szCs w:val="18"/>
        </w:rPr>
        <w:t>1</w:t>
      </w:r>
      <w:r>
        <w:rPr>
          <w:b/>
          <w:bCs/>
          <w:sz w:val="18"/>
          <w:szCs w:val="18"/>
        </w:rPr>
        <w:t>）</w:t>
      </w:r>
      <w:r>
        <w:rPr>
          <w:b/>
          <w:bCs/>
          <w:sz w:val="18"/>
          <w:szCs w:val="18"/>
        </w:rPr>
        <w:t xml:space="preserve"> </w:t>
      </w:r>
      <w:r>
        <w:rPr>
          <w:b/>
          <w:bCs/>
          <w:sz w:val="18"/>
          <w:szCs w:val="18"/>
        </w:rPr>
        <w:t>其他应收款按款项性质分类情况</w:t>
      </w:r>
      <w:bookmarkEnd w:id="504"/>
    </w:p>
    <w:p w:rsidR="00E20B54" w:rsidRDefault="00733C9E">
      <w:pPr>
        <w:spacing w:before="40" w:after="40" w:line="240" w:lineRule="exact"/>
        <w:jc w:val="right"/>
        <w:rPr>
          <w:sz w:val="18"/>
          <w:szCs w:val="18"/>
        </w:rPr>
      </w:pPr>
      <w:r>
        <w:rPr>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款项性质</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期末账面余额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期初账面余额</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押金保证金</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1,264,367.98</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1,369,865.66</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内部往来</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170,893,529.14</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87,144,705.81</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往来款</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599,444.64</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641,124.25</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代扣代缴社保公积金</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161,283.36</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148,730.87</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备用金</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252,269.54</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449,763.31</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合计</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173,170,894.66</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89,754,189.90</w:t>
            </w:r>
          </w:p>
        </w:tc>
      </w:tr>
    </w:tbl>
    <w:p w:rsidR="00E20B54" w:rsidRDefault="00733C9E">
      <w:pPr>
        <w:keepNext/>
        <w:keepLines/>
        <w:spacing w:before="300" w:after="300" w:line="280" w:lineRule="exact"/>
        <w:outlineLvl w:val="4"/>
        <w:rPr>
          <w:b/>
          <w:bCs/>
          <w:sz w:val="18"/>
          <w:szCs w:val="18"/>
        </w:rPr>
      </w:pPr>
      <w:bookmarkStart w:id="505" w:name="_Toc989393"/>
      <w:r>
        <w:rPr>
          <w:b/>
          <w:bCs/>
          <w:sz w:val="18"/>
          <w:szCs w:val="18"/>
        </w:rPr>
        <w:t>2</w:t>
      </w:r>
      <w:r>
        <w:rPr>
          <w:b/>
          <w:bCs/>
          <w:sz w:val="18"/>
          <w:szCs w:val="18"/>
        </w:rPr>
        <w:t>）</w:t>
      </w:r>
      <w:r>
        <w:rPr>
          <w:b/>
          <w:bCs/>
          <w:sz w:val="18"/>
          <w:szCs w:val="18"/>
        </w:rPr>
        <w:t xml:space="preserve"> </w:t>
      </w:r>
      <w:r>
        <w:rPr>
          <w:b/>
          <w:bCs/>
          <w:sz w:val="18"/>
          <w:szCs w:val="18"/>
        </w:rPr>
        <w:t>按账龄披露</w:t>
      </w:r>
      <w:bookmarkEnd w:id="505"/>
    </w:p>
    <w:p w:rsidR="00E20B54" w:rsidRDefault="00733C9E">
      <w:pPr>
        <w:spacing w:before="40" w:after="40" w:line="240" w:lineRule="exact"/>
        <w:jc w:val="right"/>
        <w:rPr>
          <w:sz w:val="18"/>
          <w:szCs w:val="18"/>
        </w:rPr>
      </w:pPr>
      <w:r>
        <w:rPr>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3213"/>
        <w:gridCol w:w="3213"/>
        <w:gridCol w:w="3213"/>
      </w:tblGrid>
      <w:tr w:rsidR="00E20B54" w:rsidTr="00E4298E">
        <w:trPr>
          <w:trHeight w:val="240"/>
          <w:tblHeader/>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账龄</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期末账面余额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期初账面余额</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lastRenderedPageBreak/>
              <w:t>1</w:t>
            </w:r>
            <w:r>
              <w:rPr>
                <w:sz w:val="18"/>
                <w:szCs w:val="18"/>
              </w:rPr>
              <w:t>年以内（含</w:t>
            </w:r>
            <w:r>
              <w:rPr>
                <w:sz w:val="18"/>
                <w:szCs w:val="18"/>
              </w:rPr>
              <w:t>1</w:t>
            </w:r>
            <w:r>
              <w:rPr>
                <w:sz w:val="18"/>
                <w:szCs w:val="18"/>
              </w:rPr>
              <w:t>年）</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122,529,087.13</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79,318,570.64</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1</w:t>
            </w:r>
            <w:r>
              <w:rPr>
                <w:sz w:val="18"/>
                <w:szCs w:val="18"/>
              </w:rPr>
              <w:t>至</w:t>
            </w:r>
            <w:r>
              <w:rPr>
                <w:sz w:val="18"/>
                <w:szCs w:val="18"/>
              </w:rPr>
              <w:t>2</w:t>
            </w:r>
            <w:r>
              <w:rPr>
                <w:sz w:val="18"/>
                <w:szCs w:val="18"/>
              </w:rPr>
              <w:t>年</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45,993,139.46</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6,985,245.44</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2</w:t>
            </w:r>
            <w:r>
              <w:rPr>
                <w:sz w:val="18"/>
                <w:szCs w:val="18"/>
              </w:rPr>
              <w:t>至</w:t>
            </w:r>
            <w:r>
              <w:rPr>
                <w:sz w:val="18"/>
                <w:szCs w:val="18"/>
              </w:rPr>
              <w:t>3</w:t>
            </w:r>
            <w:r>
              <w:rPr>
                <w:sz w:val="18"/>
                <w:szCs w:val="18"/>
              </w:rPr>
              <w:t>年</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3,103,171.51</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2,277,618.94</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3</w:t>
            </w:r>
            <w:r>
              <w:rPr>
                <w:sz w:val="18"/>
                <w:szCs w:val="18"/>
              </w:rPr>
              <w:t>年以上</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1,545,496.56</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1,172,754.88</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200" w:firstLine="360"/>
              <w:rPr>
                <w:sz w:val="18"/>
                <w:szCs w:val="18"/>
              </w:rPr>
            </w:pPr>
            <w:r>
              <w:rPr>
                <w:sz w:val="18"/>
                <w:szCs w:val="18"/>
              </w:rPr>
              <w:t>3</w:t>
            </w:r>
            <w:r>
              <w:rPr>
                <w:sz w:val="18"/>
                <w:szCs w:val="18"/>
              </w:rPr>
              <w:t>至</w:t>
            </w:r>
            <w:r>
              <w:rPr>
                <w:sz w:val="18"/>
                <w:szCs w:val="18"/>
              </w:rPr>
              <w:t>4</w:t>
            </w:r>
            <w:r>
              <w:rPr>
                <w:sz w:val="18"/>
                <w:szCs w:val="18"/>
              </w:rPr>
              <w:t>年</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522,310.54</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861,673.02</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200" w:firstLine="360"/>
              <w:rPr>
                <w:sz w:val="18"/>
                <w:szCs w:val="18"/>
              </w:rPr>
            </w:pPr>
            <w:r>
              <w:rPr>
                <w:sz w:val="18"/>
                <w:szCs w:val="18"/>
              </w:rPr>
              <w:t>4</w:t>
            </w:r>
            <w:r>
              <w:rPr>
                <w:sz w:val="18"/>
                <w:szCs w:val="18"/>
              </w:rPr>
              <w:t>至</w:t>
            </w:r>
            <w:r>
              <w:rPr>
                <w:sz w:val="18"/>
                <w:szCs w:val="18"/>
              </w:rPr>
              <w:t>5</w:t>
            </w:r>
            <w:r>
              <w:rPr>
                <w:sz w:val="18"/>
                <w:szCs w:val="18"/>
              </w:rPr>
              <w:t>年</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719,876.16</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242,636.86</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200" w:firstLine="360"/>
              <w:rPr>
                <w:sz w:val="18"/>
                <w:szCs w:val="18"/>
              </w:rPr>
            </w:pPr>
            <w:r>
              <w:rPr>
                <w:sz w:val="18"/>
                <w:szCs w:val="18"/>
              </w:rPr>
              <w:t>5</w:t>
            </w:r>
            <w:r>
              <w:rPr>
                <w:sz w:val="18"/>
                <w:szCs w:val="18"/>
              </w:rPr>
              <w:t>年以上</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303,309.86</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68,445.00</w:t>
            </w:r>
          </w:p>
        </w:tc>
      </w:tr>
      <w:tr w:rsidR="00E20B54">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合计</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173,170,894.66</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89,754,189.90</w:t>
            </w:r>
          </w:p>
        </w:tc>
      </w:tr>
    </w:tbl>
    <w:p w:rsidR="00E20B54" w:rsidRDefault="00733C9E">
      <w:pPr>
        <w:keepNext/>
        <w:keepLines/>
        <w:spacing w:before="300" w:after="300" w:line="280" w:lineRule="exact"/>
        <w:outlineLvl w:val="4"/>
        <w:rPr>
          <w:b/>
          <w:bCs/>
          <w:sz w:val="18"/>
          <w:szCs w:val="18"/>
        </w:rPr>
      </w:pPr>
      <w:bookmarkStart w:id="506" w:name="_Toc989394"/>
      <w:r>
        <w:rPr>
          <w:b/>
          <w:bCs/>
          <w:sz w:val="18"/>
          <w:szCs w:val="18"/>
        </w:rPr>
        <w:t>3</w:t>
      </w:r>
      <w:r>
        <w:rPr>
          <w:b/>
          <w:bCs/>
          <w:sz w:val="18"/>
          <w:szCs w:val="18"/>
        </w:rPr>
        <w:t>）</w:t>
      </w:r>
      <w:r>
        <w:rPr>
          <w:b/>
          <w:bCs/>
          <w:sz w:val="18"/>
          <w:szCs w:val="18"/>
        </w:rPr>
        <w:t xml:space="preserve"> </w:t>
      </w:r>
      <w:r>
        <w:rPr>
          <w:b/>
          <w:bCs/>
          <w:sz w:val="18"/>
          <w:szCs w:val="18"/>
        </w:rPr>
        <w:t>按坏账计提方法分类披露</w:t>
      </w:r>
      <w:bookmarkEnd w:id="506"/>
    </w:p>
    <w:p w:rsidR="00E20B54" w:rsidRDefault="00733C9E">
      <w:pPr>
        <w:spacing w:before="40" w:after="40" w:line="240" w:lineRule="exact"/>
        <w:jc w:val="right"/>
        <w:rPr>
          <w:sz w:val="18"/>
          <w:szCs w:val="18"/>
        </w:rPr>
      </w:pPr>
      <w:r>
        <w:rPr>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875"/>
        <w:gridCol w:w="876"/>
        <w:gridCol w:w="877"/>
        <w:gridCol w:w="876"/>
        <w:gridCol w:w="877"/>
        <w:gridCol w:w="876"/>
        <w:gridCol w:w="876"/>
        <w:gridCol w:w="877"/>
        <w:gridCol w:w="876"/>
        <w:gridCol w:w="877"/>
        <w:gridCol w:w="876"/>
      </w:tblGrid>
      <w:tr w:rsidR="00E20B54">
        <w:trPr>
          <w:trHeight w:val="240"/>
        </w:trPr>
        <w:tc>
          <w:tcPr>
            <w:tcW w:w="876"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类别</w:t>
            </w:r>
          </w:p>
        </w:tc>
        <w:tc>
          <w:tcPr>
            <w:tcW w:w="4381" w:type="dxa"/>
            <w:gridSpan w:val="5"/>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期末余额</w:t>
            </w:r>
          </w:p>
        </w:tc>
        <w:tc>
          <w:tcPr>
            <w:tcW w:w="4381" w:type="dxa"/>
            <w:gridSpan w:val="5"/>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期初余额</w:t>
            </w:r>
          </w:p>
        </w:tc>
      </w:tr>
      <w:tr w:rsidR="00E20B54">
        <w:trPr>
          <w:trHeight w:val="240"/>
        </w:trPr>
        <w:tc>
          <w:tcPr>
            <w:tcW w:w="876"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c>
          <w:tcPr>
            <w:tcW w:w="1753"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账面余额</w:t>
            </w:r>
          </w:p>
        </w:tc>
        <w:tc>
          <w:tcPr>
            <w:tcW w:w="1753"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坏账准备</w:t>
            </w:r>
          </w:p>
        </w:tc>
        <w:tc>
          <w:tcPr>
            <w:tcW w:w="876"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账面价值</w:t>
            </w:r>
          </w:p>
        </w:tc>
        <w:tc>
          <w:tcPr>
            <w:tcW w:w="1753"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账面余额</w:t>
            </w:r>
          </w:p>
        </w:tc>
        <w:tc>
          <w:tcPr>
            <w:tcW w:w="1753" w:type="dxa"/>
            <w:gridSpan w:val="2"/>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坏账准备</w:t>
            </w:r>
          </w:p>
        </w:tc>
        <w:tc>
          <w:tcPr>
            <w:tcW w:w="876"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账面价值</w:t>
            </w:r>
          </w:p>
        </w:tc>
      </w:tr>
      <w:tr w:rsidR="00E20B54">
        <w:trPr>
          <w:trHeight w:val="240"/>
        </w:trPr>
        <w:tc>
          <w:tcPr>
            <w:tcW w:w="876"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金额</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比例</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金额</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计提比例</w:t>
            </w:r>
          </w:p>
        </w:tc>
        <w:tc>
          <w:tcPr>
            <w:tcW w:w="876"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金额</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比例</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金额</w:t>
            </w:r>
          </w:p>
        </w:tc>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计提比例</w:t>
            </w:r>
          </w:p>
        </w:tc>
        <w:tc>
          <w:tcPr>
            <w:tcW w:w="876"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r>
      <w:tr w:rsidR="00E20B54">
        <w:trPr>
          <w:trHeight w:val="240"/>
        </w:trPr>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按单项计提坏账准备</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170,893,529.14</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98.68%</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170,893,529.14</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87,144,705.81</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97.09%</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87,144,705.81</w:t>
            </w:r>
          </w:p>
        </w:tc>
      </w:tr>
      <w:tr w:rsidR="00E20B54">
        <w:trPr>
          <w:trHeight w:val="240"/>
        </w:trPr>
        <w:tc>
          <w:tcPr>
            <w:tcW w:w="9639" w:type="dxa"/>
            <w:gridSpan w:val="11"/>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其中：</w:t>
            </w:r>
          </w:p>
        </w:tc>
      </w:tr>
      <w:tr w:rsidR="00E20B54">
        <w:trPr>
          <w:trHeight w:val="240"/>
        </w:trPr>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按组合计提坏账准备</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2,277,365.52</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1.32%</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1,201,202.46</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52.75%</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1,076,163.06</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2,609,484.09</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2.91%</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898,697.60</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34.44%</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1,710,786.49</w:t>
            </w:r>
          </w:p>
        </w:tc>
      </w:tr>
      <w:tr w:rsidR="00E20B54">
        <w:trPr>
          <w:trHeight w:val="240"/>
        </w:trPr>
        <w:tc>
          <w:tcPr>
            <w:tcW w:w="9639" w:type="dxa"/>
            <w:gridSpan w:val="11"/>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其中：</w:t>
            </w:r>
          </w:p>
        </w:tc>
      </w:tr>
      <w:tr w:rsidR="00E20B54">
        <w:trPr>
          <w:trHeight w:val="240"/>
        </w:trPr>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 xml:space="preserve"> </w:t>
            </w:r>
            <w:r>
              <w:rPr>
                <w:sz w:val="18"/>
                <w:szCs w:val="18"/>
              </w:rPr>
              <w:t>组合</w:t>
            </w:r>
            <w:r>
              <w:rPr>
                <w:sz w:val="18"/>
                <w:szCs w:val="18"/>
              </w:rPr>
              <w:t>1</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1,264,367.98</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0.73%</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958,660.21</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75.82%</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305,707.77</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1,369,865.66</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1.53%</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728,663.88</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53.19%</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641,201.78</w:t>
            </w:r>
          </w:p>
        </w:tc>
      </w:tr>
      <w:tr w:rsidR="00E20B54">
        <w:trPr>
          <w:trHeight w:val="240"/>
        </w:trPr>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 xml:space="preserve"> </w:t>
            </w:r>
            <w:r>
              <w:rPr>
                <w:sz w:val="18"/>
                <w:szCs w:val="18"/>
              </w:rPr>
              <w:t>组合</w:t>
            </w:r>
            <w:r>
              <w:rPr>
                <w:sz w:val="18"/>
                <w:szCs w:val="18"/>
              </w:rPr>
              <w:t>2</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413,552.90</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0.24%</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130,915.66</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31.66%</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282,637.24</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598,494.18</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0.67%</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91,683.05</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15.32%</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506,811.13</w:t>
            </w:r>
          </w:p>
        </w:tc>
      </w:tr>
      <w:tr w:rsidR="00E20B54">
        <w:trPr>
          <w:trHeight w:val="240"/>
        </w:trPr>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 xml:space="preserve"> </w:t>
            </w:r>
            <w:r>
              <w:rPr>
                <w:sz w:val="18"/>
                <w:szCs w:val="18"/>
              </w:rPr>
              <w:t>组合</w:t>
            </w:r>
            <w:r>
              <w:rPr>
                <w:sz w:val="18"/>
                <w:szCs w:val="18"/>
              </w:rPr>
              <w:t>3</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599,444.64</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0.35%</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111,626.59</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18.62%</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487,818.05</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641,124.25</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0.71%</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78,350.67</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12.22%</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562,773.58</w:t>
            </w:r>
          </w:p>
        </w:tc>
      </w:tr>
      <w:tr w:rsidR="00E20B54">
        <w:trPr>
          <w:trHeight w:val="240"/>
        </w:trPr>
        <w:tc>
          <w:tcPr>
            <w:tcW w:w="87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合计</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173,170,894.66</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100.00%</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1,201,202.46</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0.69%</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171,969,692.20</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89,754,189.90</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100.00%</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898,697.60</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1.00%</w:t>
            </w:r>
          </w:p>
        </w:tc>
        <w:tc>
          <w:tcPr>
            <w:tcW w:w="87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88,855,492.30</w:t>
            </w:r>
          </w:p>
        </w:tc>
      </w:tr>
    </w:tbl>
    <w:p w:rsidR="00E20B54" w:rsidRDefault="00733C9E">
      <w:pPr>
        <w:spacing w:before="100" w:after="100" w:line="240" w:lineRule="exact"/>
        <w:rPr>
          <w:sz w:val="18"/>
          <w:szCs w:val="18"/>
        </w:rPr>
      </w:pPr>
      <w:r>
        <w:rPr>
          <w:sz w:val="18"/>
          <w:szCs w:val="18"/>
        </w:rPr>
        <w:t>按预期信用损失一般模型计提坏账准备：</w:t>
      </w:r>
    </w:p>
    <w:p w:rsidR="00E20B54" w:rsidRDefault="00733C9E">
      <w:pPr>
        <w:spacing w:before="40" w:after="40" w:line="240" w:lineRule="exact"/>
        <w:jc w:val="right"/>
        <w:rPr>
          <w:sz w:val="18"/>
          <w:szCs w:val="18"/>
        </w:rPr>
      </w:pPr>
      <w:r>
        <w:rPr>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927"/>
        <w:gridCol w:w="1928"/>
        <w:gridCol w:w="1928"/>
        <w:gridCol w:w="1928"/>
        <w:gridCol w:w="1928"/>
      </w:tblGrid>
      <w:tr w:rsidR="00E20B54">
        <w:trPr>
          <w:trHeight w:val="240"/>
        </w:trPr>
        <w:tc>
          <w:tcPr>
            <w:tcW w:w="1928"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坏账准备</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第一阶段</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第二阶段</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第三阶段</w:t>
            </w:r>
          </w:p>
        </w:tc>
        <w:tc>
          <w:tcPr>
            <w:tcW w:w="1928"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合计</w:t>
            </w:r>
          </w:p>
        </w:tc>
      </w:tr>
      <w:tr w:rsidR="00E20B54">
        <w:trPr>
          <w:trHeight w:val="240"/>
        </w:trPr>
        <w:tc>
          <w:tcPr>
            <w:tcW w:w="1928"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未来</w:t>
            </w:r>
            <w:r>
              <w:rPr>
                <w:sz w:val="18"/>
                <w:szCs w:val="18"/>
              </w:rPr>
              <w:t>12</w:t>
            </w:r>
            <w:r>
              <w:rPr>
                <w:sz w:val="18"/>
                <w:szCs w:val="18"/>
              </w:rPr>
              <w:t>个月预期信用损失</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整个存续期预期信用损失</w:t>
            </w:r>
            <w:r>
              <w:rPr>
                <w:sz w:val="18"/>
                <w:szCs w:val="18"/>
              </w:rPr>
              <w:t>(</w:t>
            </w:r>
            <w:r>
              <w:rPr>
                <w:sz w:val="18"/>
                <w:szCs w:val="18"/>
              </w:rPr>
              <w:t>未发生信用减值</w:t>
            </w:r>
            <w:r>
              <w:rPr>
                <w:sz w:val="18"/>
                <w:szCs w:val="18"/>
              </w:rPr>
              <w:t>)</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整个存续期预期信用损失</w:t>
            </w:r>
            <w:r>
              <w:rPr>
                <w:sz w:val="18"/>
                <w:szCs w:val="18"/>
              </w:rPr>
              <w:t>(</w:t>
            </w:r>
            <w:r>
              <w:rPr>
                <w:sz w:val="18"/>
                <w:szCs w:val="18"/>
              </w:rPr>
              <w:t>已发生信用减值</w:t>
            </w:r>
            <w:r>
              <w:rPr>
                <w:sz w:val="18"/>
                <w:szCs w:val="18"/>
              </w:rPr>
              <w:t>)</w:t>
            </w:r>
          </w:p>
        </w:tc>
        <w:tc>
          <w:tcPr>
            <w:tcW w:w="1928"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r>
      <w:tr w:rsidR="00E20B54">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2025</w:t>
            </w:r>
            <w:r>
              <w:rPr>
                <w:sz w:val="18"/>
                <w:szCs w:val="18"/>
              </w:rPr>
              <w:t>年</w:t>
            </w:r>
            <w:r>
              <w:rPr>
                <w:sz w:val="18"/>
                <w:szCs w:val="18"/>
              </w:rPr>
              <w:t>1</w:t>
            </w:r>
            <w:r>
              <w:rPr>
                <w:sz w:val="18"/>
                <w:szCs w:val="18"/>
              </w:rPr>
              <w:t>月</w:t>
            </w:r>
            <w:r>
              <w:rPr>
                <w:sz w:val="18"/>
                <w:szCs w:val="18"/>
              </w:rPr>
              <w:t>1</w:t>
            </w:r>
            <w:r>
              <w:rPr>
                <w:sz w:val="18"/>
                <w:szCs w:val="18"/>
              </w:rPr>
              <w:t>日余额</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898,697.60</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898,697.60</w:t>
            </w:r>
          </w:p>
        </w:tc>
      </w:tr>
      <w:tr w:rsidR="00E20B54">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2025</w:t>
            </w:r>
            <w:r>
              <w:rPr>
                <w:sz w:val="18"/>
                <w:szCs w:val="18"/>
              </w:rPr>
              <w:t>年</w:t>
            </w:r>
            <w:r>
              <w:rPr>
                <w:sz w:val="18"/>
                <w:szCs w:val="18"/>
              </w:rPr>
              <w:t>1</w:t>
            </w:r>
            <w:r>
              <w:rPr>
                <w:sz w:val="18"/>
                <w:szCs w:val="18"/>
              </w:rPr>
              <w:t>月</w:t>
            </w:r>
            <w:r>
              <w:rPr>
                <w:sz w:val="18"/>
                <w:szCs w:val="18"/>
              </w:rPr>
              <w:t>1</w:t>
            </w:r>
            <w:r>
              <w:rPr>
                <w:sz w:val="18"/>
                <w:szCs w:val="18"/>
              </w:rPr>
              <w:t>日余额在本期</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r>
      <w:tr w:rsidR="00E20B54">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本期计提</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302,504.86</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302,504.86</w:t>
            </w:r>
          </w:p>
        </w:tc>
      </w:tr>
      <w:tr w:rsidR="00E20B54">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2025</w:t>
            </w:r>
            <w:r>
              <w:rPr>
                <w:sz w:val="18"/>
                <w:szCs w:val="18"/>
              </w:rPr>
              <w:t>年</w:t>
            </w:r>
            <w:r>
              <w:rPr>
                <w:sz w:val="18"/>
                <w:szCs w:val="18"/>
              </w:rPr>
              <w:t>12</w:t>
            </w:r>
            <w:r>
              <w:rPr>
                <w:sz w:val="18"/>
                <w:szCs w:val="18"/>
              </w:rPr>
              <w:t>月</w:t>
            </w:r>
            <w:r>
              <w:rPr>
                <w:sz w:val="18"/>
                <w:szCs w:val="18"/>
              </w:rPr>
              <w:t>31</w:t>
            </w:r>
            <w:r>
              <w:rPr>
                <w:sz w:val="18"/>
                <w:szCs w:val="18"/>
              </w:rPr>
              <w:t>日余额</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1,201,202.46</w:t>
            </w: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928"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1,201,202.46</w:t>
            </w:r>
          </w:p>
        </w:tc>
      </w:tr>
    </w:tbl>
    <w:p w:rsidR="00E20B54" w:rsidRDefault="00733C9E">
      <w:pPr>
        <w:spacing w:before="100" w:after="100" w:line="240" w:lineRule="exact"/>
        <w:rPr>
          <w:sz w:val="18"/>
          <w:szCs w:val="18"/>
        </w:rPr>
      </w:pPr>
      <w:r>
        <w:rPr>
          <w:sz w:val="18"/>
          <w:szCs w:val="18"/>
        </w:rPr>
        <w:t>各阶段划分依据和坏账准备计提比例</w:t>
      </w:r>
    </w:p>
    <w:p w:rsidR="00E20B54" w:rsidRDefault="00733C9E">
      <w:pPr>
        <w:pStyle w:val="a3"/>
        <w:widowControl/>
      </w:pPr>
      <w:r>
        <w:rPr>
          <w:color w:val="000000"/>
          <w:sz w:val="18"/>
          <w:szCs w:val="18"/>
        </w:rPr>
        <w:lastRenderedPageBreak/>
        <w:t>确定其他应收款的划分依据详见本节五、</w:t>
      </w:r>
      <w:r>
        <w:rPr>
          <w:color w:val="000000"/>
          <w:sz w:val="18"/>
          <w:szCs w:val="18"/>
        </w:rPr>
        <w:t>15</w:t>
      </w:r>
      <w:r>
        <w:rPr>
          <w:color w:val="000000"/>
          <w:sz w:val="18"/>
          <w:szCs w:val="18"/>
        </w:rPr>
        <w:t>。</w:t>
      </w:r>
    </w:p>
    <w:p w:rsidR="00E20B54" w:rsidRDefault="00733C9E">
      <w:pPr>
        <w:spacing w:before="100" w:after="100" w:line="240" w:lineRule="exact"/>
        <w:rPr>
          <w:sz w:val="18"/>
          <w:szCs w:val="18"/>
        </w:rPr>
      </w:pPr>
      <w:r>
        <w:rPr>
          <w:sz w:val="18"/>
          <w:szCs w:val="18"/>
        </w:rPr>
        <w:t>损失准备本期变动金额重大的账面余额变动情况</w:t>
      </w:r>
    </w:p>
    <w:p w:rsidR="00E20B54" w:rsidRDefault="00733C9E">
      <w:pPr>
        <w:spacing w:before="100" w:after="100" w:line="240" w:lineRule="exact"/>
        <w:rPr>
          <w:sz w:val="18"/>
          <w:szCs w:val="18"/>
        </w:rPr>
      </w:pPr>
      <w:r>
        <w:rPr>
          <w:sz w:val="18"/>
          <w:szCs w:val="18"/>
        </w:rPr>
        <w:t>□</w:t>
      </w:r>
      <w:r>
        <w:rPr>
          <w:sz w:val="18"/>
          <w:szCs w:val="18"/>
        </w:rPr>
        <w:t>适用</w:t>
      </w:r>
      <w:r>
        <w:rPr>
          <w:sz w:val="18"/>
          <w:szCs w:val="18"/>
        </w:rPr>
        <w:t xml:space="preserve"> </w:t>
      </w:r>
      <w:r>
        <w:rPr>
          <w:sz w:val="18"/>
          <w:szCs w:val="18"/>
        </w:rPr>
        <w:sym w:font="Wingdings 2" w:char="F052"/>
      </w:r>
      <w:r>
        <w:rPr>
          <w:sz w:val="18"/>
          <w:szCs w:val="18"/>
        </w:rPr>
        <w:t>不适用</w:t>
      </w:r>
    </w:p>
    <w:p w:rsidR="00E20B54" w:rsidRDefault="00733C9E">
      <w:pPr>
        <w:keepNext/>
        <w:keepLines/>
        <w:spacing w:before="300" w:after="300" w:line="280" w:lineRule="exact"/>
        <w:outlineLvl w:val="4"/>
        <w:rPr>
          <w:b/>
          <w:bCs/>
          <w:sz w:val="18"/>
          <w:szCs w:val="18"/>
        </w:rPr>
      </w:pPr>
      <w:bookmarkStart w:id="507" w:name="_Toc989395"/>
      <w:r>
        <w:rPr>
          <w:b/>
          <w:bCs/>
          <w:sz w:val="18"/>
          <w:szCs w:val="18"/>
        </w:rPr>
        <w:t>4</w:t>
      </w:r>
      <w:r>
        <w:rPr>
          <w:b/>
          <w:bCs/>
          <w:sz w:val="18"/>
          <w:szCs w:val="18"/>
        </w:rPr>
        <w:t>）</w:t>
      </w:r>
      <w:r>
        <w:rPr>
          <w:b/>
          <w:bCs/>
          <w:sz w:val="18"/>
          <w:szCs w:val="18"/>
        </w:rPr>
        <w:t xml:space="preserve"> </w:t>
      </w:r>
      <w:r>
        <w:rPr>
          <w:b/>
          <w:bCs/>
          <w:sz w:val="18"/>
          <w:szCs w:val="18"/>
        </w:rPr>
        <w:t>本期计提、收回或转回的坏账准备情况</w:t>
      </w:r>
      <w:bookmarkEnd w:id="507"/>
    </w:p>
    <w:p w:rsidR="00E20B54" w:rsidRDefault="00733C9E">
      <w:pPr>
        <w:spacing w:line="240" w:lineRule="exact"/>
        <w:rPr>
          <w:sz w:val="18"/>
          <w:szCs w:val="18"/>
        </w:rPr>
      </w:pPr>
      <w:r>
        <w:rPr>
          <w:sz w:val="18"/>
          <w:szCs w:val="18"/>
        </w:rPr>
        <w:t>本期计提坏账准备情况：</w:t>
      </w:r>
    </w:p>
    <w:p w:rsidR="00E20B54" w:rsidRDefault="00733C9E">
      <w:pPr>
        <w:spacing w:before="40" w:after="40" w:line="240" w:lineRule="exact"/>
        <w:jc w:val="right"/>
        <w:rPr>
          <w:sz w:val="18"/>
          <w:szCs w:val="18"/>
        </w:rPr>
      </w:pPr>
      <w:r>
        <w:rPr>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377"/>
        <w:gridCol w:w="1377"/>
        <w:gridCol w:w="1377"/>
        <w:gridCol w:w="1377"/>
        <w:gridCol w:w="1377"/>
        <w:gridCol w:w="1377"/>
        <w:gridCol w:w="1377"/>
      </w:tblGrid>
      <w:tr w:rsidR="00E20B54">
        <w:trPr>
          <w:trHeight w:val="240"/>
        </w:trPr>
        <w:tc>
          <w:tcPr>
            <w:tcW w:w="1377"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类别</w:t>
            </w:r>
          </w:p>
        </w:tc>
        <w:tc>
          <w:tcPr>
            <w:tcW w:w="1377"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期初余额</w:t>
            </w:r>
          </w:p>
        </w:tc>
        <w:tc>
          <w:tcPr>
            <w:tcW w:w="5508" w:type="dxa"/>
            <w:gridSpan w:val="4"/>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本期变动金额</w:t>
            </w:r>
          </w:p>
        </w:tc>
        <w:tc>
          <w:tcPr>
            <w:tcW w:w="1377"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期末余额</w:t>
            </w:r>
          </w:p>
        </w:tc>
      </w:tr>
      <w:tr w:rsidR="00E20B54">
        <w:trPr>
          <w:trHeight w:val="240"/>
        </w:trPr>
        <w:tc>
          <w:tcPr>
            <w:tcW w:w="1377"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c>
          <w:tcPr>
            <w:tcW w:w="1377"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计提</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收回或转回</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转销或核销</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其他</w:t>
            </w:r>
          </w:p>
        </w:tc>
        <w:tc>
          <w:tcPr>
            <w:tcW w:w="1377"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r>
      <w:tr w:rsidR="00E20B54" w:rsidTr="00E4298E">
        <w:trPr>
          <w:trHeight w:val="240"/>
        </w:trPr>
        <w:tc>
          <w:tcPr>
            <w:tcW w:w="1377" w:type="dxa"/>
            <w:tcBorders>
              <w:top w:val="single" w:sz="2" w:space="0" w:color="auto"/>
              <w:left w:val="single" w:sz="2" w:space="0" w:color="auto"/>
              <w:bottom w:val="single" w:sz="2" w:space="0" w:color="auto"/>
              <w:right w:val="single" w:sz="2" w:space="0" w:color="auto"/>
            </w:tcBorders>
            <w:shd w:val="clear" w:color="auto" w:fill="D9D9D9" w:themeFill="background1" w:themeFillShade="D9"/>
            <w:vAlign w:val="center"/>
          </w:tcPr>
          <w:p w:rsidR="00E20B54" w:rsidRDefault="00733C9E">
            <w:pPr>
              <w:spacing w:line="240" w:lineRule="exact"/>
              <w:rPr>
                <w:sz w:val="18"/>
                <w:szCs w:val="18"/>
              </w:rPr>
            </w:pPr>
            <w:r>
              <w:rPr>
                <w:sz w:val="18"/>
                <w:szCs w:val="18"/>
              </w:rPr>
              <w:t>账龄组合</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898,697.60</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302,504.86</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1,201,202.46</w:t>
            </w:r>
          </w:p>
        </w:tc>
      </w:tr>
      <w:tr w:rsidR="00E20B54">
        <w:trPr>
          <w:trHeight w:val="240"/>
        </w:trPr>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合计</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898,697.60</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302,504.86</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1,201,202.46</w:t>
            </w:r>
          </w:p>
        </w:tc>
      </w:tr>
    </w:tbl>
    <w:p w:rsidR="00E20B54" w:rsidRDefault="00733C9E">
      <w:pPr>
        <w:spacing w:before="100" w:after="100" w:line="240" w:lineRule="exact"/>
        <w:rPr>
          <w:sz w:val="18"/>
          <w:szCs w:val="18"/>
        </w:rPr>
      </w:pPr>
      <w:r>
        <w:rPr>
          <w:sz w:val="18"/>
          <w:szCs w:val="18"/>
        </w:rPr>
        <w:t>其中本期坏账准备转回或收回金额重要的：</w:t>
      </w:r>
    </w:p>
    <w:p w:rsidR="00E20B54" w:rsidRDefault="00733C9E">
      <w:pPr>
        <w:spacing w:before="40" w:after="40" w:line="240" w:lineRule="exact"/>
        <w:jc w:val="right"/>
        <w:rPr>
          <w:sz w:val="18"/>
          <w:szCs w:val="18"/>
        </w:rPr>
      </w:pPr>
      <w:r>
        <w:rPr>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927"/>
        <w:gridCol w:w="1928"/>
        <w:gridCol w:w="1928"/>
        <w:gridCol w:w="1928"/>
        <w:gridCol w:w="1928"/>
      </w:tblGrid>
      <w:tr w:rsidR="00E20B54">
        <w:trPr>
          <w:trHeight w:val="240"/>
        </w:trPr>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单位名称</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收回或转回金额</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转回原因</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收回方式</w:t>
            </w:r>
          </w:p>
        </w:tc>
        <w:tc>
          <w:tcPr>
            <w:tcW w:w="1928"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确定原坏账准备计提比例的依据及其合理性</w:t>
            </w:r>
          </w:p>
        </w:tc>
      </w:tr>
    </w:tbl>
    <w:p w:rsidR="00E20B54" w:rsidRDefault="00733C9E">
      <w:pPr>
        <w:keepNext/>
        <w:keepLines/>
        <w:spacing w:before="300" w:after="300" w:line="280" w:lineRule="exact"/>
        <w:outlineLvl w:val="4"/>
        <w:rPr>
          <w:b/>
          <w:bCs/>
          <w:sz w:val="18"/>
          <w:szCs w:val="18"/>
        </w:rPr>
      </w:pPr>
      <w:bookmarkStart w:id="508" w:name="_Toc989396"/>
      <w:r>
        <w:rPr>
          <w:b/>
          <w:bCs/>
          <w:sz w:val="18"/>
          <w:szCs w:val="18"/>
        </w:rPr>
        <w:t>5</w:t>
      </w:r>
      <w:r>
        <w:rPr>
          <w:b/>
          <w:bCs/>
          <w:sz w:val="18"/>
          <w:szCs w:val="18"/>
        </w:rPr>
        <w:t>）</w:t>
      </w:r>
      <w:r>
        <w:rPr>
          <w:b/>
          <w:bCs/>
          <w:sz w:val="18"/>
          <w:szCs w:val="18"/>
        </w:rPr>
        <w:t xml:space="preserve"> </w:t>
      </w:r>
      <w:r>
        <w:rPr>
          <w:b/>
          <w:bCs/>
          <w:sz w:val="18"/>
          <w:szCs w:val="18"/>
        </w:rPr>
        <w:t>本期实际核销的其他应收款情况</w:t>
      </w:r>
      <w:bookmarkEnd w:id="508"/>
    </w:p>
    <w:p w:rsidR="00E20B54" w:rsidRDefault="00733C9E">
      <w:pPr>
        <w:spacing w:before="40" w:after="40" w:line="240" w:lineRule="exact"/>
        <w:jc w:val="right"/>
        <w:rPr>
          <w:sz w:val="18"/>
          <w:szCs w:val="18"/>
        </w:rPr>
      </w:pPr>
      <w:r>
        <w:rPr>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4820"/>
        <w:gridCol w:w="4819"/>
      </w:tblGrid>
      <w:tr w:rsidR="00E20B54">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项目</w:t>
            </w:r>
          </w:p>
        </w:tc>
        <w:tc>
          <w:tcPr>
            <w:tcW w:w="4820"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核销金额</w:t>
            </w:r>
          </w:p>
        </w:tc>
      </w:tr>
    </w:tbl>
    <w:p w:rsidR="00E20B54" w:rsidRDefault="00733C9E">
      <w:pPr>
        <w:spacing w:before="100" w:after="100" w:line="240" w:lineRule="exact"/>
        <w:rPr>
          <w:sz w:val="18"/>
          <w:szCs w:val="18"/>
        </w:rPr>
      </w:pPr>
      <w:r>
        <w:rPr>
          <w:sz w:val="18"/>
          <w:szCs w:val="18"/>
        </w:rPr>
        <w:t>其中重要的其他应收款核销情况：</w:t>
      </w:r>
    </w:p>
    <w:p w:rsidR="00E20B54" w:rsidRDefault="00733C9E">
      <w:pPr>
        <w:spacing w:before="40" w:after="40" w:line="240" w:lineRule="exact"/>
        <w:jc w:val="right"/>
        <w:rPr>
          <w:sz w:val="18"/>
          <w:szCs w:val="18"/>
        </w:rPr>
      </w:pPr>
      <w:r>
        <w:rPr>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606"/>
        <w:gridCol w:w="1606"/>
        <w:gridCol w:w="1606"/>
        <w:gridCol w:w="1607"/>
        <w:gridCol w:w="1607"/>
        <w:gridCol w:w="1607"/>
      </w:tblGrid>
      <w:tr w:rsidR="00E20B54">
        <w:trPr>
          <w:trHeight w:val="240"/>
        </w:trPr>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单位名称</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其他应收款性质</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核销金额</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核销原因</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履行的核销程序</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款项是否由关联交易产生</w:t>
            </w:r>
          </w:p>
        </w:tc>
      </w:tr>
    </w:tbl>
    <w:p w:rsidR="00E20B54" w:rsidRDefault="00733C9E">
      <w:pPr>
        <w:spacing w:before="100" w:after="100" w:line="240" w:lineRule="exact"/>
        <w:rPr>
          <w:sz w:val="18"/>
          <w:szCs w:val="18"/>
        </w:rPr>
      </w:pPr>
      <w:r>
        <w:rPr>
          <w:sz w:val="18"/>
          <w:szCs w:val="18"/>
        </w:rPr>
        <w:t>其他应收款核销说明：</w:t>
      </w:r>
    </w:p>
    <w:p w:rsidR="00E20B54" w:rsidRDefault="00733C9E">
      <w:pPr>
        <w:keepNext/>
        <w:keepLines/>
        <w:spacing w:before="300" w:after="300" w:line="280" w:lineRule="exact"/>
        <w:outlineLvl w:val="4"/>
        <w:rPr>
          <w:b/>
          <w:bCs/>
          <w:sz w:val="18"/>
          <w:szCs w:val="18"/>
        </w:rPr>
      </w:pPr>
      <w:bookmarkStart w:id="509" w:name="_Toc989397"/>
      <w:r>
        <w:rPr>
          <w:b/>
          <w:bCs/>
          <w:sz w:val="18"/>
          <w:szCs w:val="18"/>
        </w:rPr>
        <w:t>6</w:t>
      </w:r>
      <w:r>
        <w:rPr>
          <w:b/>
          <w:bCs/>
          <w:sz w:val="18"/>
          <w:szCs w:val="18"/>
        </w:rPr>
        <w:t>）</w:t>
      </w:r>
      <w:r>
        <w:rPr>
          <w:b/>
          <w:bCs/>
          <w:sz w:val="18"/>
          <w:szCs w:val="18"/>
        </w:rPr>
        <w:t xml:space="preserve"> </w:t>
      </w:r>
      <w:r>
        <w:rPr>
          <w:b/>
          <w:bCs/>
          <w:sz w:val="18"/>
          <w:szCs w:val="18"/>
        </w:rPr>
        <w:t>按欠款方归集的期末余额前五名的其他应收款情况</w:t>
      </w:r>
      <w:bookmarkEnd w:id="509"/>
    </w:p>
    <w:p w:rsidR="00E20B54" w:rsidRDefault="00733C9E">
      <w:pPr>
        <w:spacing w:before="40" w:after="40" w:line="240" w:lineRule="exact"/>
        <w:jc w:val="right"/>
        <w:rPr>
          <w:sz w:val="18"/>
          <w:szCs w:val="18"/>
        </w:rPr>
      </w:pPr>
      <w:r>
        <w:rPr>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606"/>
        <w:gridCol w:w="1606"/>
        <w:gridCol w:w="1606"/>
        <w:gridCol w:w="1607"/>
        <w:gridCol w:w="1607"/>
        <w:gridCol w:w="1607"/>
      </w:tblGrid>
      <w:tr w:rsidR="00E20B54">
        <w:trPr>
          <w:trHeight w:val="240"/>
        </w:trPr>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单位名称</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款项的性质</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期末余额</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账龄</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占其他应收款期末余额合计数的比例</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坏账准备期末余额</w:t>
            </w:r>
          </w:p>
        </w:tc>
      </w:tr>
      <w:tr w:rsidR="00E20B54">
        <w:trPr>
          <w:trHeight w:val="240"/>
        </w:trPr>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广东天亿马数字能源有限公司</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往来款</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41,134,601.07</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1</w:t>
            </w:r>
            <w:r>
              <w:rPr>
                <w:sz w:val="18"/>
                <w:szCs w:val="18"/>
              </w:rPr>
              <w:t>年以内至</w:t>
            </w:r>
            <w:r>
              <w:rPr>
                <w:sz w:val="18"/>
                <w:szCs w:val="18"/>
              </w:rPr>
              <w:t>3</w:t>
            </w:r>
            <w:r>
              <w:rPr>
                <w:sz w:val="18"/>
                <w:szCs w:val="18"/>
              </w:rPr>
              <w:t>年</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23.75%</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r w:rsidR="00E20B54">
        <w:trPr>
          <w:trHeight w:val="240"/>
        </w:trPr>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天亿马信息技术有限公司</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往来款</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37,837,388.22</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1</w:t>
            </w:r>
            <w:r>
              <w:rPr>
                <w:sz w:val="18"/>
                <w:szCs w:val="18"/>
              </w:rPr>
              <w:t>年以内</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21.85%</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r w:rsidR="00E20B54">
        <w:trPr>
          <w:trHeight w:val="240"/>
        </w:trPr>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广图粤科（广州）科技有限公司</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往来款</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35,300,603.89</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1</w:t>
            </w:r>
            <w:r>
              <w:rPr>
                <w:sz w:val="18"/>
                <w:szCs w:val="18"/>
              </w:rPr>
              <w:t>年以内至</w:t>
            </w:r>
            <w:r>
              <w:rPr>
                <w:sz w:val="18"/>
                <w:szCs w:val="18"/>
              </w:rPr>
              <w:t>2</w:t>
            </w:r>
            <w:r>
              <w:rPr>
                <w:sz w:val="18"/>
                <w:szCs w:val="18"/>
              </w:rPr>
              <w:t>年</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20.38%</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r w:rsidR="00E20B54">
        <w:trPr>
          <w:trHeight w:val="240"/>
        </w:trPr>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深圳市互联精英信息技术有限公司</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往来款</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27,206,939.04</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1</w:t>
            </w:r>
            <w:r>
              <w:rPr>
                <w:sz w:val="18"/>
                <w:szCs w:val="18"/>
              </w:rPr>
              <w:t>年以内至</w:t>
            </w:r>
            <w:r>
              <w:rPr>
                <w:sz w:val="18"/>
                <w:szCs w:val="18"/>
              </w:rPr>
              <w:t>2</w:t>
            </w:r>
            <w:r>
              <w:rPr>
                <w:sz w:val="18"/>
                <w:szCs w:val="18"/>
              </w:rPr>
              <w:t>年</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15.71%</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r w:rsidR="00E20B54">
        <w:trPr>
          <w:trHeight w:val="240"/>
        </w:trPr>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广州市天亿马信息技术有限公司</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往来款</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17,051,397.83</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1</w:t>
            </w:r>
            <w:r>
              <w:rPr>
                <w:sz w:val="18"/>
                <w:szCs w:val="18"/>
              </w:rPr>
              <w:t>年以内、</w:t>
            </w:r>
            <w:r>
              <w:rPr>
                <w:sz w:val="18"/>
                <w:szCs w:val="18"/>
              </w:rPr>
              <w:t>2</w:t>
            </w:r>
            <w:r>
              <w:rPr>
                <w:sz w:val="18"/>
                <w:szCs w:val="18"/>
              </w:rPr>
              <w:t>至</w:t>
            </w:r>
            <w:r>
              <w:rPr>
                <w:sz w:val="18"/>
                <w:szCs w:val="18"/>
              </w:rPr>
              <w:t>3</w:t>
            </w:r>
            <w:r>
              <w:rPr>
                <w:sz w:val="18"/>
                <w:szCs w:val="18"/>
              </w:rPr>
              <w:t>年</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9.85%</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r w:rsidR="00E20B54">
        <w:trPr>
          <w:trHeight w:val="240"/>
        </w:trPr>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合计</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158,530,930.05</w:t>
            </w:r>
          </w:p>
        </w:tc>
        <w:tc>
          <w:tcPr>
            <w:tcW w:w="1606"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91.54%</w:t>
            </w:r>
          </w:p>
        </w:tc>
        <w:tc>
          <w:tcPr>
            <w:tcW w:w="1606"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bl>
    <w:p w:rsidR="00E20B54" w:rsidRDefault="00733C9E">
      <w:pPr>
        <w:keepNext/>
        <w:keepLines/>
        <w:spacing w:before="300" w:after="300" w:line="280" w:lineRule="exact"/>
        <w:outlineLvl w:val="4"/>
        <w:rPr>
          <w:b/>
          <w:bCs/>
          <w:sz w:val="18"/>
          <w:szCs w:val="18"/>
        </w:rPr>
      </w:pPr>
      <w:bookmarkStart w:id="510" w:name="_Toc989398"/>
      <w:r>
        <w:rPr>
          <w:b/>
          <w:bCs/>
          <w:sz w:val="18"/>
          <w:szCs w:val="18"/>
        </w:rPr>
        <w:lastRenderedPageBreak/>
        <w:t>7</w:t>
      </w:r>
      <w:r>
        <w:rPr>
          <w:b/>
          <w:bCs/>
          <w:sz w:val="18"/>
          <w:szCs w:val="18"/>
        </w:rPr>
        <w:t>）</w:t>
      </w:r>
      <w:r>
        <w:rPr>
          <w:b/>
          <w:bCs/>
          <w:sz w:val="18"/>
          <w:szCs w:val="18"/>
        </w:rPr>
        <w:t xml:space="preserve"> </w:t>
      </w:r>
      <w:r>
        <w:rPr>
          <w:b/>
          <w:bCs/>
          <w:sz w:val="18"/>
          <w:szCs w:val="18"/>
        </w:rPr>
        <w:t>因资金集中管理而列报于其他应收款</w:t>
      </w:r>
      <w:bookmarkEnd w:id="510"/>
    </w:p>
    <w:p w:rsidR="00E20B54" w:rsidRDefault="00733C9E">
      <w:pPr>
        <w:spacing w:before="100" w:after="100" w:line="240" w:lineRule="exact"/>
        <w:rPr>
          <w:sz w:val="18"/>
          <w:szCs w:val="18"/>
        </w:rPr>
      </w:pPr>
      <w:r>
        <w:rPr>
          <w:sz w:val="18"/>
          <w:szCs w:val="18"/>
        </w:rPr>
        <w:t>其他说明：</w:t>
      </w:r>
      <w:r w:rsidR="00E4298E">
        <w:rPr>
          <w:rFonts w:hint="eastAsia"/>
          <w:sz w:val="18"/>
          <w:szCs w:val="18"/>
        </w:rPr>
        <w:t>不适用。</w:t>
      </w:r>
    </w:p>
    <w:p w:rsidR="00E20B54" w:rsidRDefault="00733C9E">
      <w:pPr>
        <w:pStyle w:val="3"/>
        <w:spacing w:line="280" w:lineRule="exact"/>
        <w:jc w:val="left"/>
        <w:rPr>
          <w:b/>
          <w:bCs/>
        </w:rPr>
      </w:pPr>
      <w:bookmarkStart w:id="511" w:name="_Toc989399"/>
      <w:r>
        <w:rPr>
          <w:b/>
          <w:bCs/>
        </w:rPr>
        <w:t>3</w:t>
      </w:r>
      <w:r>
        <w:rPr>
          <w:b/>
          <w:bCs/>
        </w:rPr>
        <w:t>、长期股权投资</w:t>
      </w:r>
      <w:bookmarkEnd w:id="511"/>
    </w:p>
    <w:p w:rsidR="00E20B54" w:rsidRDefault="00733C9E">
      <w:pPr>
        <w:spacing w:before="40" w:after="40" w:line="240" w:lineRule="exact"/>
        <w:jc w:val="right"/>
        <w:rPr>
          <w:sz w:val="18"/>
          <w:szCs w:val="18"/>
        </w:rPr>
      </w:pPr>
      <w:r>
        <w:rPr>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377"/>
        <w:gridCol w:w="1377"/>
        <w:gridCol w:w="1377"/>
        <w:gridCol w:w="1377"/>
        <w:gridCol w:w="1377"/>
        <w:gridCol w:w="1377"/>
        <w:gridCol w:w="1377"/>
      </w:tblGrid>
      <w:tr w:rsidR="00E20B54">
        <w:trPr>
          <w:trHeight w:val="240"/>
        </w:trPr>
        <w:tc>
          <w:tcPr>
            <w:tcW w:w="1377"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项目</w:t>
            </w:r>
          </w:p>
        </w:tc>
        <w:tc>
          <w:tcPr>
            <w:tcW w:w="4131" w:type="dxa"/>
            <w:gridSpan w:val="3"/>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期末余额</w:t>
            </w:r>
          </w:p>
        </w:tc>
        <w:tc>
          <w:tcPr>
            <w:tcW w:w="4131" w:type="dxa"/>
            <w:gridSpan w:val="3"/>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期初余额</w:t>
            </w:r>
          </w:p>
        </w:tc>
      </w:tr>
      <w:tr w:rsidR="00E20B54">
        <w:trPr>
          <w:trHeight w:val="240"/>
        </w:trPr>
        <w:tc>
          <w:tcPr>
            <w:tcW w:w="1377"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账面余额</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减值准备</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账面价值</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账面余额</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减值准备</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账面价值</w:t>
            </w:r>
          </w:p>
        </w:tc>
      </w:tr>
      <w:tr w:rsidR="00E20B54">
        <w:trPr>
          <w:trHeight w:val="240"/>
        </w:trPr>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对子公司投资</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198,760,322.72</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198,760,322.72</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197,034,286.92</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197,034,286.92</w:t>
            </w:r>
          </w:p>
        </w:tc>
      </w:tr>
      <w:tr w:rsidR="00E20B54">
        <w:trPr>
          <w:trHeight w:val="240"/>
        </w:trPr>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合计</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198,760,322.72</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198,760,322.72</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197,034,286.92</w:t>
            </w: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1377"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197,034,286.92</w:t>
            </w:r>
          </w:p>
        </w:tc>
      </w:tr>
    </w:tbl>
    <w:p w:rsidR="00E20B54" w:rsidRDefault="00733C9E">
      <w:pPr>
        <w:keepNext/>
        <w:keepLines/>
        <w:spacing w:before="300" w:after="300" w:line="280" w:lineRule="exact"/>
        <w:outlineLvl w:val="3"/>
        <w:rPr>
          <w:b/>
          <w:bCs/>
          <w:szCs w:val="21"/>
        </w:rPr>
      </w:pPr>
      <w:bookmarkStart w:id="512" w:name="_Toc989400"/>
      <w:r>
        <w:rPr>
          <w:b/>
          <w:bCs/>
          <w:szCs w:val="21"/>
        </w:rPr>
        <w:t>（</w:t>
      </w:r>
      <w:r>
        <w:rPr>
          <w:b/>
          <w:bCs/>
          <w:szCs w:val="21"/>
        </w:rPr>
        <w:t>1</w:t>
      </w:r>
      <w:r>
        <w:rPr>
          <w:b/>
          <w:bCs/>
          <w:szCs w:val="21"/>
        </w:rPr>
        <w:t>）</w:t>
      </w:r>
      <w:r>
        <w:rPr>
          <w:b/>
          <w:bCs/>
          <w:szCs w:val="21"/>
        </w:rPr>
        <w:t xml:space="preserve"> </w:t>
      </w:r>
      <w:r>
        <w:rPr>
          <w:b/>
          <w:bCs/>
          <w:szCs w:val="21"/>
        </w:rPr>
        <w:t>对子公司投资</w:t>
      </w:r>
      <w:bookmarkEnd w:id="512"/>
    </w:p>
    <w:p w:rsidR="00E20B54" w:rsidRDefault="00733C9E">
      <w:pPr>
        <w:spacing w:before="40" w:after="40" w:line="240" w:lineRule="exact"/>
        <w:jc w:val="right"/>
        <w:rPr>
          <w:sz w:val="18"/>
          <w:szCs w:val="18"/>
        </w:rPr>
      </w:pPr>
      <w:r>
        <w:rPr>
          <w:sz w:val="18"/>
          <w:szCs w:val="18"/>
        </w:rPr>
        <w:t>单位：元</w:t>
      </w: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483"/>
        <w:gridCol w:w="1602"/>
        <w:gridCol w:w="884"/>
        <w:gridCol w:w="1161"/>
        <w:gridCol w:w="1026"/>
        <w:gridCol w:w="745"/>
        <w:gridCol w:w="466"/>
        <w:gridCol w:w="1602"/>
        <w:gridCol w:w="884"/>
      </w:tblGrid>
      <w:tr w:rsidR="00E20B54" w:rsidTr="00E4298E">
        <w:trPr>
          <w:trHeight w:val="240"/>
        </w:trPr>
        <w:tc>
          <w:tcPr>
            <w:tcW w:w="0" w:type="auto"/>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被投资单位</w:t>
            </w:r>
          </w:p>
        </w:tc>
        <w:tc>
          <w:tcPr>
            <w:tcW w:w="0" w:type="auto"/>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期初余额（账面价值）</w:t>
            </w:r>
          </w:p>
        </w:tc>
        <w:tc>
          <w:tcPr>
            <w:tcW w:w="0" w:type="auto"/>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减值准备期初余额</w:t>
            </w:r>
          </w:p>
        </w:tc>
        <w:tc>
          <w:tcPr>
            <w:tcW w:w="0" w:type="auto"/>
            <w:gridSpan w:val="4"/>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本期增减变动</w:t>
            </w:r>
          </w:p>
        </w:tc>
        <w:tc>
          <w:tcPr>
            <w:tcW w:w="0" w:type="auto"/>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期末余额（账面价值）</w:t>
            </w:r>
          </w:p>
        </w:tc>
        <w:tc>
          <w:tcPr>
            <w:tcW w:w="0" w:type="auto"/>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减值准备期末余额</w:t>
            </w:r>
          </w:p>
        </w:tc>
      </w:tr>
      <w:tr w:rsidR="00E20B54" w:rsidTr="00E4298E">
        <w:trPr>
          <w:trHeight w:val="240"/>
        </w:trPr>
        <w:tc>
          <w:tcPr>
            <w:tcW w:w="0" w:type="auto"/>
            <w:vMerge/>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c>
          <w:tcPr>
            <w:tcW w:w="0" w:type="auto"/>
            <w:vMerge/>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c>
          <w:tcPr>
            <w:tcW w:w="0" w:type="auto"/>
            <w:vMerge/>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c>
          <w:tcPr>
            <w:tcW w:w="0" w:type="auto"/>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追加投资</w:t>
            </w:r>
          </w:p>
        </w:tc>
        <w:tc>
          <w:tcPr>
            <w:tcW w:w="0" w:type="auto"/>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减少投资</w:t>
            </w:r>
          </w:p>
        </w:tc>
        <w:tc>
          <w:tcPr>
            <w:tcW w:w="0" w:type="auto"/>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计提减值准备</w:t>
            </w:r>
          </w:p>
        </w:tc>
        <w:tc>
          <w:tcPr>
            <w:tcW w:w="0" w:type="auto"/>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其他</w:t>
            </w:r>
          </w:p>
        </w:tc>
        <w:tc>
          <w:tcPr>
            <w:tcW w:w="0" w:type="auto"/>
            <w:vMerge/>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c>
          <w:tcPr>
            <w:tcW w:w="0" w:type="auto"/>
            <w:vMerge/>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r>
      <w:tr w:rsidR="00E20B54" w:rsidTr="00E4298E">
        <w:trPr>
          <w:trHeight w:val="240"/>
        </w:trPr>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天亿马（香港）信息产业有限公司</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7,111.42</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7,111.42</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r w:rsidR="00E20B54" w:rsidTr="00E4298E">
        <w:trPr>
          <w:trHeight w:val="240"/>
        </w:trPr>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深圳市互联精英信息技术有限公司</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107,563,600.00</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120,408.50</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107,684,008.50</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r w:rsidR="00E20B54" w:rsidTr="00E4298E">
        <w:trPr>
          <w:trHeight w:val="240"/>
        </w:trPr>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重庆天亿马信息技术有限公司</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510,000.00</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510,000.00</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r w:rsidR="00E20B54" w:rsidTr="00E4298E">
        <w:trPr>
          <w:trHeight w:val="240"/>
        </w:trPr>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天亿马信息技术有限公司</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50,000,000.00</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50,000,000.00</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r w:rsidR="00E20B54" w:rsidTr="00E4298E">
        <w:trPr>
          <w:trHeight w:val="240"/>
        </w:trPr>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广东天亿马信息科技有限公司</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10,836,799.75</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886,903.55</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11,723,703.30</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r w:rsidR="00E20B54" w:rsidTr="00E4298E">
        <w:trPr>
          <w:trHeight w:val="240"/>
        </w:trPr>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广图粤科（广州）科技有限公司</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7,100,000.00</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7,100,000.00</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r w:rsidR="00E20B54" w:rsidTr="00E4298E">
        <w:trPr>
          <w:trHeight w:val="240"/>
        </w:trPr>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广东天亿马数字能源有限公司</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6,016,775.75</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1,000,119.00</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7,016,894.75</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r w:rsidR="00E20B54" w:rsidTr="00E4298E">
        <w:trPr>
          <w:trHeight w:val="240"/>
        </w:trPr>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广东天亿马数字产业有限公司</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10,000,000.00</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10,000,000.00</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r w:rsidR="00E20B54" w:rsidTr="00E4298E">
        <w:trPr>
          <w:trHeight w:val="240"/>
        </w:trPr>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广东翼启数据产业有限公司</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228,604.75</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228,604.75</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r w:rsidR="00E20B54" w:rsidTr="00E4298E">
        <w:trPr>
          <w:trHeight w:val="240"/>
        </w:trPr>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rPr>
                <w:sz w:val="18"/>
                <w:szCs w:val="18"/>
              </w:rPr>
            </w:pPr>
            <w:r>
              <w:rPr>
                <w:sz w:val="18"/>
                <w:szCs w:val="18"/>
              </w:rPr>
              <w:t>广州市天亿马信息技术有限公司</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5,000,000.00</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5,000,000.00</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r w:rsidR="00E20B54" w:rsidTr="00E4298E">
        <w:trPr>
          <w:trHeight w:val="240"/>
        </w:trPr>
        <w:tc>
          <w:tcPr>
            <w:tcW w:w="0" w:type="auto"/>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合计</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197,034,286.92</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2,236,035.80</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510,000.00</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198,760,322.72</w:t>
            </w:r>
          </w:p>
        </w:tc>
        <w:tc>
          <w:tcPr>
            <w:tcW w:w="0" w:type="auto"/>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bl>
    <w:p w:rsidR="00E20B54" w:rsidRDefault="00733C9E">
      <w:pPr>
        <w:keepNext/>
        <w:keepLines/>
        <w:spacing w:before="300" w:after="300" w:line="280" w:lineRule="exact"/>
        <w:outlineLvl w:val="3"/>
        <w:rPr>
          <w:b/>
          <w:bCs/>
          <w:szCs w:val="21"/>
        </w:rPr>
      </w:pPr>
      <w:bookmarkStart w:id="513" w:name="_Toc989401"/>
      <w:r>
        <w:rPr>
          <w:b/>
          <w:bCs/>
          <w:szCs w:val="21"/>
        </w:rPr>
        <w:t>（</w:t>
      </w:r>
      <w:r>
        <w:rPr>
          <w:b/>
          <w:bCs/>
          <w:szCs w:val="21"/>
        </w:rPr>
        <w:t>2</w:t>
      </w:r>
      <w:r>
        <w:rPr>
          <w:b/>
          <w:bCs/>
          <w:szCs w:val="21"/>
        </w:rPr>
        <w:t>）</w:t>
      </w:r>
      <w:r>
        <w:rPr>
          <w:b/>
          <w:bCs/>
          <w:szCs w:val="21"/>
        </w:rPr>
        <w:t xml:space="preserve"> </w:t>
      </w:r>
      <w:r>
        <w:rPr>
          <w:b/>
          <w:bCs/>
          <w:szCs w:val="21"/>
        </w:rPr>
        <w:t>对联营、合营企业投资</w:t>
      </w:r>
      <w:bookmarkEnd w:id="513"/>
    </w:p>
    <w:p w:rsidR="00E20B54" w:rsidRDefault="00733C9E">
      <w:pPr>
        <w:spacing w:before="40" w:after="40" w:line="240" w:lineRule="exact"/>
        <w:jc w:val="right"/>
        <w:rPr>
          <w:sz w:val="18"/>
          <w:szCs w:val="18"/>
        </w:rPr>
      </w:pPr>
      <w:r>
        <w:rPr>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741"/>
        <w:gridCol w:w="741"/>
        <w:gridCol w:w="741"/>
        <w:gridCol w:w="741"/>
        <w:gridCol w:w="741"/>
        <w:gridCol w:w="741"/>
        <w:gridCol w:w="741"/>
        <w:gridCol w:w="741"/>
        <w:gridCol w:w="741"/>
        <w:gridCol w:w="741"/>
        <w:gridCol w:w="745"/>
        <w:gridCol w:w="741"/>
        <w:gridCol w:w="743"/>
      </w:tblGrid>
      <w:tr w:rsidR="00E20B54">
        <w:trPr>
          <w:trHeight w:val="240"/>
        </w:trPr>
        <w:tc>
          <w:tcPr>
            <w:tcW w:w="741"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被投资单位</w:t>
            </w:r>
          </w:p>
        </w:tc>
        <w:tc>
          <w:tcPr>
            <w:tcW w:w="741"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期初余额（账面价值）</w:t>
            </w:r>
          </w:p>
        </w:tc>
        <w:tc>
          <w:tcPr>
            <w:tcW w:w="741"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减值准备期初余额</w:t>
            </w:r>
          </w:p>
        </w:tc>
        <w:tc>
          <w:tcPr>
            <w:tcW w:w="5932" w:type="dxa"/>
            <w:gridSpan w:val="8"/>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本期增减变动</w:t>
            </w:r>
          </w:p>
        </w:tc>
        <w:tc>
          <w:tcPr>
            <w:tcW w:w="741"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期末余额（账面价值）</w:t>
            </w:r>
          </w:p>
        </w:tc>
        <w:tc>
          <w:tcPr>
            <w:tcW w:w="741"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减值准备期末余额</w:t>
            </w:r>
          </w:p>
        </w:tc>
      </w:tr>
      <w:tr w:rsidR="00E20B54">
        <w:trPr>
          <w:trHeight w:val="240"/>
        </w:trPr>
        <w:tc>
          <w:tcPr>
            <w:tcW w:w="741"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c>
          <w:tcPr>
            <w:tcW w:w="741"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c>
          <w:tcPr>
            <w:tcW w:w="741"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c>
          <w:tcPr>
            <w:tcW w:w="741"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追加投资</w:t>
            </w:r>
          </w:p>
        </w:tc>
        <w:tc>
          <w:tcPr>
            <w:tcW w:w="741"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减少投资</w:t>
            </w:r>
          </w:p>
        </w:tc>
        <w:tc>
          <w:tcPr>
            <w:tcW w:w="741"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权益法下确认</w:t>
            </w:r>
            <w:r>
              <w:rPr>
                <w:sz w:val="18"/>
                <w:szCs w:val="18"/>
              </w:rPr>
              <w:lastRenderedPageBreak/>
              <w:t>的投资损益</w:t>
            </w:r>
          </w:p>
        </w:tc>
        <w:tc>
          <w:tcPr>
            <w:tcW w:w="741"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lastRenderedPageBreak/>
              <w:t>其他综合收益</w:t>
            </w:r>
            <w:r>
              <w:rPr>
                <w:sz w:val="18"/>
                <w:szCs w:val="18"/>
              </w:rPr>
              <w:lastRenderedPageBreak/>
              <w:t>调整</w:t>
            </w:r>
          </w:p>
        </w:tc>
        <w:tc>
          <w:tcPr>
            <w:tcW w:w="741"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lastRenderedPageBreak/>
              <w:t>其他权益变动</w:t>
            </w:r>
          </w:p>
        </w:tc>
        <w:tc>
          <w:tcPr>
            <w:tcW w:w="741"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宣告发放现金</w:t>
            </w:r>
            <w:r>
              <w:rPr>
                <w:sz w:val="18"/>
                <w:szCs w:val="18"/>
              </w:rPr>
              <w:lastRenderedPageBreak/>
              <w:t>股利或利润</w:t>
            </w:r>
          </w:p>
        </w:tc>
        <w:tc>
          <w:tcPr>
            <w:tcW w:w="741"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lastRenderedPageBreak/>
              <w:t>计提减值准备</w:t>
            </w:r>
          </w:p>
        </w:tc>
        <w:tc>
          <w:tcPr>
            <w:tcW w:w="741"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其他</w:t>
            </w:r>
          </w:p>
        </w:tc>
        <w:tc>
          <w:tcPr>
            <w:tcW w:w="741"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c>
          <w:tcPr>
            <w:tcW w:w="741" w:type="dxa"/>
            <w:vMerge/>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r>
      <w:tr w:rsidR="00E20B54">
        <w:trPr>
          <w:trHeight w:val="240"/>
        </w:trPr>
        <w:tc>
          <w:tcPr>
            <w:tcW w:w="9639" w:type="dxa"/>
            <w:gridSpan w:val="13"/>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lastRenderedPageBreak/>
              <w:t>一、合营企业</w:t>
            </w:r>
          </w:p>
        </w:tc>
      </w:tr>
      <w:tr w:rsidR="00E20B54">
        <w:trPr>
          <w:trHeight w:val="240"/>
        </w:trPr>
        <w:tc>
          <w:tcPr>
            <w:tcW w:w="9639" w:type="dxa"/>
            <w:gridSpan w:val="13"/>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二、联营企业</w:t>
            </w:r>
          </w:p>
        </w:tc>
      </w:tr>
    </w:tbl>
    <w:p w:rsidR="00E20B54" w:rsidRDefault="00733C9E">
      <w:pPr>
        <w:spacing w:before="100" w:after="100" w:line="240" w:lineRule="exact"/>
        <w:rPr>
          <w:sz w:val="18"/>
          <w:szCs w:val="18"/>
        </w:rPr>
      </w:pPr>
      <w:r>
        <w:rPr>
          <w:sz w:val="18"/>
          <w:szCs w:val="18"/>
        </w:rPr>
        <w:t>可收回金额按公允价值减去处置费用后的净额确定</w:t>
      </w:r>
    </w:p>
    <w:p w:rsidR="00E20B54" w:rsidRDefault="00733C9E">
      <w:pPr>
        <w:spacing w:before="100" w:after="100" w:line="240" w:lineRule="exact"/>
        <w:rPr>
          <w:sz w:val="18"/>
          <w:szCs w:val="18"/>
        </w:rPr>
      </w:pPr>
      <w:r>
        <w:rPr>
          <w:sz w:val="18"/>
          <w:szCs w:val="18"/>
        </w:rPr>
        <w:t>□</w:t>
      </w:r>
      <w:r>
        <w:rPr>
          <w:sz w:val="18"/>
          <w:szCs w:val="18"/>
        </w:rPr>
        <w:t>适用</w:t>
      </w:r>
      <w:r>
        <w:rPr>
          <w:sz w:val="18"/>
          <w:szCs w:val="18"/>
        </w:rPr>
        <w:t xml:space="preserve"> </w:t>
      </w:r>
      <w:r>
        <w:rPr>
          <w:sz w:val="18"/>
          <w:szCs w:val="18"/>
        </w:rPr>
        <w:sym w:font="Wingdings 2" w:char="F052"/>
      </w:r>
      <w:r>
        <w:rPr>
          <w:sz w:val="18"/>
          <w:szCs w:val="18"/>
        </w:rPr>
        <w:t>不适用</w:t>
      </w:r>
    </w:p>
    <w:p w:rsidR="00E20B54" w:rsidRDefault="00733C9E">
      <w:pPr>
        <w:spacing w:before="100" w:after="100" w:line="240" w:lineRule="exact"/>
        <w:rPr>
          <w:sz w:val="18"/>
          <w:szCs w:val="18"/>
        </w:rPr>
      </w:pPr>
      <w:r>
        <w:rPr>
          <w:sz w:val="18"/>
          <w:szCs w:val="18"/>
        </w:rPr>
        <w:t>可收回金额按预计未来现金流量的现值确定</w:t>
      </w:r>
    </w:p>
    <w:p w:rsidR="00E20B54" w:rsidRDefault="00733C9E">
      <w:pPr>
        <w:spacing w:before="100" w:after="100" w:line="240" w:lineRule="exact"/>
        <w:rPr>
          <w:sz w:val="18"/>
          <w:szCs w:val="18"/>
        </w:rPr>
      </w:pPr>
      <w:r>
        <w:rPr>
          <w:sz w:val="18"/>
          <w:szCs w:val="18"/>
        </w:rPr>
        <w:t>□</w:t>
      </w:r>
      <w:r>
        <w:rPr>
          <w:sz w:val="18"/>
          <w:szCs w:val="18"/>
        </w:rPr>
        <w:t>适用</w:t>
      </w:r>
      <w:r>
        <w:rPr>
          <w:sz w:val="18"/>
          <w:szCs w:val="18"/>
        </w:rPr>
        <w:t xml:space="preserve"> </w:t>
      </w:r>
      <w:r>
        <w:rPr>
          <w:sz w:val="18"/>
          <w:szCs w:val="18"/>
        </w:rPr>
        <w:sym w:font="Wingdings 2" w:char="F052"/>
      </w:r>
      <w:r>
        <w:rPr>
          <w:sz w:val="18"/>
          <w:szCs w:val="18"/>
        </w:rPr>
        <w:t>不适用</w:t>
      </w:r>
    </w:p>
    <w:p w:rsidR="00E20B54" w:rsidRDefault="00733C9E">
      <w:pPr>
        <w:spacing w:before="100" w:after="100" w:line="240" w:lineRule="exact"/>
        <w:rPr>
          <w:sz w:val="18"/>
          <w:szCs w:val="18"/>
        </w:rPr>
      </w:pPr>
      <w:r>
        <w:rPr>
          <w:sz w:val="18"/>
          <w:szCs w:val="18"/>
        </w:rPr>
        <w:t>前述信息与以前年度减值测试采用的信息或外部信息明显不一致的差异原因</w:t>
      </w:r>
    </w:p>
    <w:p w:rsidR="00E20B54" w:rsidRDefault="00733C9E">
      <w:pPr>
        <w:spacing w:before="100" w:after="100" w:line="240" w:lineRule="exact"/>
        <w:rPr>
          <w:sz w:val="18"/>
          <w:szCs w:val="18"/>
        </w:rPr>
      </w:pPr>
      <w:r>
        <w:rPr>
          <w:sz w:val="18"/>
          <w:szCs w:val="18"/>
        </w:rPr>
        <w:t>公司以前年度减值测试采用信息与当年实际情况明显不一致的差异原因</w:t>
      </w:r>
    </w:p>
    <w:p w:rsidR="00E20B54" w:rsidRDefault="00733C9E">
      <w:pPr>
        <w:keepNext/>
        <w:keepLines/>
        <w:spacing w:before="300" w:after="300" w:line="280" w:lineRule="exact"/>
        <w:outlineLvl w:val="3"/>
        <w:rPr>
          <w:b/>
          <w:bCs/>
          <w:szCs w:val="21"/>
        </w:rPr>
      </w:pPr>
      <w:bookmarkStart w:id="514" w:name="_Toc989402"/>
      <w:r>
        <w:rPr>
          <w:b/>
          <w:bCs/>
          <w:szCs w:val="21"/>
        </w:rPr>
        <w:t>（</w:t>
      </w:r>
      <w:r>
        <w:rPr>
          <w:b/>
          <w:bCs/>
          <w:szCs w:val="21"/>
        </w:rPr>
        <w:t>3</w:t>
      </w:r>
      <w:r>
        <w:rPr>
          <w:b/>
          <w:bCs/>
          <w:szCs w:val="21"/>
        </w:rPr>
        <w:t>）</w:t>
      </w:r>
      <w:r>
        <w:rPr>
          <w:b/>
          <w:bCs/>
          <w:szCs w:val="21"/>
        </w:rPr>
        <w:t xml:space="preserve"> </w:t>
      </w:r>
      <w:r>
        <w:rPr>
          <w:b/>
          <w:bCs/>
          <w:szCs w:val="21"/>
        </w:rPr>
        <w:t>其他说明</w:t>
      </w:r>
      <w:bookmarkEnd w:id="514"/>
    </w:p>
    <w:p w:rsidR="00E20B54" w:rsidRDefault="00733C9E">
      <w:pPr>
        <w:pStyle w:val="3"/>
        <w:spacing w:line="280" w:lineRule="exact"/>
        <w:jc w:val="left"/>
        <w:rPr>
          <w:b/>
          <w:bCs/>
        </w:rPr>
      </w:pPr>
      <w:bookmarkStart w:id="515" w:name="_Toc989403"/>
      <w:r>
        <w:rPr>
          <w:b/>
          <w:bCs/>
        </w:rPr>
        <w:t>4</w:t>
      </w:r>
      <w:r>
        <w:rPr>
          <w:b/>
          <w:bCs/>
        </w:rPr>
        <w:t>、营业收入和营业成本</w:t>
      </w:r>
      <w:bookmarkEnd w:id="515"/>
    </w:p>
    <w:p w:rsidR="00E20B54" w:rsidRDefault="00733C9E">
      <w:pPr>
        <w:spacing w:before="40" w:after="40" w:line="240" w:lineRule="exact"/>
        <w:jc w:val="right"/>
        <w:rPr>
          <w:sz w:val="18"/>
          <w:szCs w:val="18"/>
        </w:rPr>
      </w:pPr>
      <w:r>
        <w:rPr>
          <w:sz w:val="18"/>
          <w:szCs w:val="18"/>
        </w:rPr>
        <w:t>单位：元</w:t>
      </w:r>
    </w:p>
    <w:tbl>
      <w:tblPr>
        <w:tblW w:w="5000" w:type="pct"/>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2659"/>
        <w:gridCol w:w="1843"/>
        <w:gridCol w:w="1843"/>
        <w:gridCol w:w="1701"/>
        <w:gridCol w:w="1807"/>
      </w:tblGrid>
      <w:tr w:rsidR="00E20B54" w:rsidTr="0028324B">
        <w:trPr>
          <w:trHeight w:val="240"/>
        </w:trPr>
        <w:tc>
          <w:tcPr>
            <w:tcW w:w="1350" w:type="pct"/>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项目</w:t>
            </w:r>
          </w:p>
        </w:tc>
        <w:tc>
          <w:tcPr>
            <w:tcW w:w="1870" w:type="pct"/>
            <w:gridSpan w:val="2"/>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本期发生额</w:t>
            </w:r>
          </w:p>
        </w:tc>
        <w:tc>
          <w:tcPr>
            <w:tcW w:w="1780" w:type="pct"/>
            <w:gridSpan w:val="2"/>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上期发生额</w:t>
            </w:r>
          </w:p>
        </w:tc>
      </w:tr>
      <w:tr w:rsidR="00E20B54" w:rsidTr="0028324B">
        <w:trPr>
          <w:trHeight w:val="240"/>
        </w:trPr>
        <w:tc>
          <w:tcPr>
            <w:tcW w:w="1350" w:type="pct"/>
            <w:vMerge/>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c>
          <w:tcPr>
            <w:tcW w:w="935" w:type="pc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收入</w:t>
            </w:r>
          </w:p>
        </w:tc>
        <w:tc>
          <w:tcPr>
            <w:tcW w:w="935" w:type="pc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成本</w:t>
            </w:r>
          </w:p>
        </w:tc>
        <w:tc>
          <w:tcPr>
            <w:tcW w:w="863" w:type="pc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收入</w:t>
            </w:r>
          </w:p>
        </w:tc>
        <w:tc>
          <w:tcPr>
            <w:tcW w:w="917" w:type="pc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成本</w:t>
            </w:r>
          </w:p>
        </w:tc>
      </w:tr>
      <w:tr w:rsidR="00E20B54" w:rsidTr="0028324B">
        <w:trPr>
          <w:trHeight w:val="240"/>
        </w:trPr>
        <w:tc>
          <w:tcPr>
            <w:tcW w:w="1350" w:type="pc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主营业务</w:t>
            </w:r>
          </w:p>
        </w:tc>
        <w:tc>
          <w:tcPr>
            <w:tcW w:w="935"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246,905,332.23</w:t>
            </w:r>
          </w:p>
        </w:tc>
        <w:tc>
          <w:tcPr>
            <w:tcW w:w="935"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176,224,837.32</w:t>
            </w:r>
          </w:p>
        </w:tc>
        <w:tc>
          <w:tcPr>
            <w:tcW w:w="863"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96,909,821.27</w:t>
            </w:r>
          </w:p>
        </w:tc>
        <w:tc>
          <w:tcPr>
            <w:tcW w:w="917"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85,162,386.72</w:t>
            </w:r>
          </w:p>
        </w:tc>
      </w:tr>
      <w:tr w:rsidR="00E20B54" w:rsidTr="0028324B">
        <w:trPr>
          <w:trHeight w:val="240"/>
        </w:trPr>
        <w:tc>
          <w:tcPr>
            <w:tcW w:w="1350" w:type="pc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合计</w:t>
            </w:r>
          </w:p>
        </w:tc>
        <w:tc>
          <w:tcPr>
            <w:tcW w:w="935"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246,905,332.23</w:t>
            </w:r>
          </w:p>
        </w:tc>
        <w:tc>
          <w:tcPr>
            <w:tcW w:w="935"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176,224,837.32</w:t>
            </w:r>
          </w:p>
        </w:tc>
        <w:tc>
          <w:tcPr>
            <w:tcW w:w="863"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96,909,821.27</w:t>
            </w:r>
          </w:p>
        </w:tc>
        <w:tc>
          <w:tcPr>
            <w:tcW w:w="917"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85,162,386.72</w:t>
            </w:r>
          </w:p>
        </w:tc>
      </w:tr>
    </w:tbl>
    <w:p w:rsidR="00E20B54" w:rsidRDefault="00733C9E">
      <w:pPr>
        <w:spacing w:before="100" w:after="100" w:line="240" w:lineRule="exact"/>
        <w:rPr>
          <w:sz w:val="18"/>
          <w:szCs w:val="18"/>
        </w:rPr>
      </w:pPr>
      <w:r>
        <w:rPr>
          <w:sz w:val="18"/>
          <w:szCs w:val="18"/>
        </w:rPr>
        <w:t>营业收入、营业成本的分解信息：</w:t>
      </w:r>
    </w:p>
    <w:p w:rsidR="00E20B54" w:rsidRDefault="00733C9E">
      <w:pPr>
        <w:spacing w:before="40" w:after="40" w:line="240" w:lineRule="exact"/>
        <w:jc w:val="right"/>
        <w:rPr>
          <w:sz w:val="18"/>
          <w:szCs w:val="18"/>
        </w:rPr>
      </w:pPr>
      <w:r>
        <w:rPr>
          <w:sz w:val="18"/>
          <w:szCs w:val="18"/>
        </w:rPr>
        <w:t>单位：元</w:t>
      </w:r>
    </w:p>
    <w:tbl>
      <w:tblPr>
        <w:tblW w:w="5000" w:type="pct"/>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2699"/>
        <w:gridCol w:w="1791"/>
        <w:gridCol w:w="1791"/>
        <w:gridCol w:w="1791"/>
        <w:gridCol w:w="1781"/>
      </w:tblGrid>
      <w:tr w:rsidR="00E4298E" w:rsidTr="00E4298E">
        <w:trPr>
          <w:trHeight w:val="240"/>
          <w:tblHeader/>
        </w:trPr>
        <w:tc>
          <w:tcPr>
            <w:tcW w:w="1369" w:type="pct"/>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E4298E" w:rsidRDefault="00E4298E">
            <w:pPr>
              <w:spacing w:before="40" w:after="40" w:line="240" w:lineRule="exact"/>
              <w:jc w:val="center"/>
              <w:rPr>
                <w:sz w:val="18"/>
                <w:szCs w:val="18"/>
              </w:rPr>
            </w:pPr>
            <w:r>
              <w:rPr>
                <w:sz w:val="18"/>
                <w:szCs w:val="18"/>
              </w:rPr>
              <w:t>合同分类</w:t>
            </w:r>
          </w:p>
        </w:tc>
        <w:tc>
          <w:tcPr>
            <w:tcW w:w="1818" w:type="pct"/>
            <w:gridSpan w:val="2"/>
            <w:tcBorders>
              <w:top w:val="single" w:sz="2" w:space="0" w:color="auto"/>
              <w:left w:val="single" w:sz="2" w:space="0" w:color="auto"/>
              <w:bottom w:val="single" w:sz="2" w:space="0" w:color="auto"/>
              <w:right w:val="single" w:sz="2" w:space="0" w:color="auto"/>
            </w:tcBorders>
            <w:shd w:val="clear" w:color="auto" w:fill="D3D3D3"/>
            <w:vAlign w:val="center"/>
          </w:tcPr>
          <w:p w:rsidR="00E4298E" w:rsidRDefault="00E4298E">
            <w:pPr>
              <w:spacing w:before="40" w:after="40" w:line="240" w:lineRule="exact"/>
              <w:jc w:val="center"/>
              <w:rPr>
                <w:sz w:val="18"/>
                <w:szCs w:val="18"/>
              </w:rPr>
            </w:pPr>
            <w:r>
              <w:rPr>
                <w:sz w:val="18"/>
                <w:szCs w:val="18"/>
              </w:rPr>
              <w:t>分部</w:t>
            </w:r>
            <w:r>
              <w:rPr>
                <w:sz w:val="18"/>
                <w:szCs w:val="18"/>
              </w:rPr>
              <w:t>1</w:t>
            </w:r>
          </w:p>
        </w:tc>
        <w:tc>
          <w:tcPr>
            <w:tcW w:w="1814" w:type="pct"/>
            <w:gridSpan w:val="2"/>
            <w:tcBorders>
              <w:top w:val="single" w:sz="2" w:space="0" w:color="auto"/>
              <w:left w:val="single" w:sz="2" w:space="0" w:color="auto"/>
              <w:bottom w:val="single" w:sz="2" w:space="0" w:color="auto"/>
              <w:right w:val="single" w:sz="2" w:space="0" w:color="auto"/>
            </w:tcBorders>
            <w:shd w:val="clear" w:color="auto" w:fill="D3D3D3"/>
            <w:vAlign w:val="center"/>
          </w:tcPr>
          <w:p w:rsidR="00E4298E" w:rsidRDefault="00E4298E">
            <w:pPr>
              <w:spacing w:before="40" w:after="40" w:line="240" w:lineRule="exact"/>
              <w:jc w:val="center"/>
              <w:rPr>
                <w:sz w:val="18"/>
                <w:szCs w:val="18"/>
              </w:rPr>
            </w:pPr>
            <w:r>
              <w:rPr>
                <w:sz w:val="18"/>
                <w:szCs w:val="18"/>
              </w:rPr>
              <w:t>合计</w:t>
            </w:r>
          </w:p>
        </w:tc>
      </w:tr>
      <w:tr w:rsidR="00E4298E" w:rsidTr="00E4298E">
        <w:trPr>
          <w:trHeight w:val="240"/>
          <w:tblHeader/>
        </w:trPr>
        <w:tc>
          <w:tcPr>
            <w:tcW w:w="1369" w:type="pct"/>
            <w:vMerge/>
            <w:tcBorders>
              <w:top w:val="single" w:sz="2" w:space="0" w:color="auto"/>
              <w:left w:val="single" w:sz="2" w:space="0" w:color="auto"/>
              <w:bottom w:val="single" w:sz="2" w:space="0" w:color="auto"/>
              <w:right w:val="single" w:sz="2" w:space="0" w:color="auto"/>
            </w:tcBorders>
            <w:shd w:val="clear" w:color="auto" w:fill="D3D3D3"/>
            <w:vAlign w:val="center"/>
          </w:tcPr>
          <w:p w:rsidR="00E4298E" w:rsidRDefault="00E4298E"/>
        </w:tc>
        <w:tc>
          <w:tcPr>
            <w:tcW w:w="909" w:type="pct"/>
            <w:tcBorders>
              <w:top w:val="single" w:sz="2" w:space="0" w:color="auto"/>
              <w:left w:val="single" w:sz="2" w:space="0" w:color="auto"/>
              <w:bottom w:val="single" w:sz="2" w:space="0" w:color="auto"/>
              <w:right w:val="single" w:sz="2" w:space="0" w:color="auto"/>
            </w:tcBorders>
            <w:shd w:val="clear" w:color="auto" w:fill="D3D3D3"/>
            <w:vAlign w:val="center"/>
          </w:tcPr>
          <w:p w:rsidR="00E4298E" w:rsidRDefault="00E4298E">
            <w:pPr>
              <w:spacing w:before="40" w:after="40" w:line="240" w:lineRule="exact"/>
              <w:jc w:val="center"/>
              <w:rPr>
                <w:sz w:val="18"/>
                <w:szCs w:val="18"/>
              </w:rPr>
            </w:pPr>
            <w:r>
              <w:rPr>
                <w:sz w:val="18"/>
                <w:szCs w:val="18"/>
              </w:rPr>
              <w:t>营业收入</w:t>
            </w:r>
          </w:p>
        </w:tc>
        <w:tc>
          <w:tcPr>
            <w:tcW w:w="909" w:type="pct"/>
            <w:tcBorders>
              <w:top w:val="single" w:sz="2" w:space="0" w:color="auto"/>
              <w:left w:val="single" w:sz="2" w:space="0" w:color="auto"/>
              <w:bottom w:val="single" w:sz="2" w:space="0" w:color="auto"/>
              <w:right w:val="single" w:sz="2" w:space="0" w:color="auto"/>
            </w:tcBorders>
            <w:shd w:val="clear" w:color="auto" w:fill="D3D3D3"/>
            <w:vAlign w:val="center"/>
          </w:tcPr>
          <w:p w:rsidR="00E4298E" w:rsidRDefault="00E4298E">
            <w:pPr>
              <w:spacing w:before="40" w:after="40" w:line="240" w:lineRule="exact"/>
              <w:jc w:val="center"/>
              <w:rPr>
                <w:sz w:val="18"/>
                <w:szCs w:val="18"/>
              </w:rPr>
            </w:pPr>
            <w:r>
              <w:rPr>
                <w:sz w:val="18"/>
                <w:szCs w:val="18"/>
              </w:rPr>
              <w:t>营业成本</w:t>
            </w:r>
          </w:p>
        </w:tc>
        <w:tc>
          <w:tcPr>
            <w:tcW w:w="909" w:type="pct"/>
            <w:tcBorders>
              <w:top w:val="single" w:sz="2" w:space="0" w:color="auto"/>
              <w:left w:val="single" w:sz="2" w:space="0" w:color="auto"/>
              <w:bottom w:val="single" w:sz="2" w:space="0" w:color="auto"/>
              <w:right w:val="single" w:sz="2" w:space="0" w:color="auto"/>
            </w:tcBorders>
            <w:shd w:val="clear" w:color="auto" w:fill="D3D3D3"/>
            <w:vAlign w:val="center"/>
          </w:tcPr>
          <w:p w:rsidR="00E4298E" w:rsidRDefault="00E4298E">
            <w:pPr>
              <w:spacing w:before="40" w:after="40" w:line="240" w:lineRule="exact"/>
              <w:jc w:val="center"/>
              <w:rPr>
                <w:sz w:val="18"/>
                <w:szCs w:val="18"/>
              </w:rPr>
            </w:pPr>
            <w:r>
              <w:rPr>
                <w:sz w:val="18"/>
                <w:szCs w:val="18"/>
              </w:rPr>
              <w:t>营业收入</w:t>
            </w:r>
          </w:p>
        </w:tc>
        <w:tc>
          <w:tcPr>
            <w:tcW w:w="905" w:type="pct"/>
            <w:tcBorders>
              <w:top w:val="single" w:sz="2" w:space="0" w:color="auto"/>
              <w:left w:val="single" w:sz="2" w:space="0" w:color="auto"/>
              <w:bottom w:val="single" w:sz="2" w:space="0" w:color="auto"/>
              <w:right w:val="single" w:sz="2" w:space="0" w:color="auto"/>
            </w:tcBorders>
            <w:shd w:val="clear" w:color="auto" w:fill="D3D3D3"/>
            <w:vAlign w:val="center"/>
          </w:tcPr>
          <w:p w:rsidR="00E4298E" w:rsidRDefault="00E4298E">
            <w:pPr>
              <w:spacing w:before="40" w:after="40" w:line="240" w:lineRule="exact"/>
              <w:jc w:val="center"/>
              <w:rPr>
                <w:sz w:val="18"/>
                <w:szCs w:val="18"/>
              </w:rPr>
            </w:pPr>
            <w:r>
              <w:rPr>
                <w:sz w:val="18"/>
                <w:szCs w:val="18"/>
              </w:rPr>
              <w:t>营业成本</w:t>
            </w:r>
          </w:p>
        </w:tc>
      </w:tr>
      <w:tr w:rsidR="00E4298E" w:rsidTr="00E4298E">
        <w:trPr>
          <w:trHeight w:val="240"/>
        </w:trPr>
        <w:tc>
          <w:tcPr>
            <w:tcW w:w="1369" w:type="pct"/>
            <w:tcBorders>
              <w:top w:val="single" w:sz="2" w:space="0" w:color="auto"/>
              <w:left w:val="single" w:sz="2" w:space="0" w:color="auto"/>
              <w:bottom w:val="single" w:sz="2" w:space="0" w:color="auto"/>
              <w:right w:val="single" w:sz="2" w:space="0" w:color="auto"/>
            </w:tcBorders>
            <w:shd w:val="clear" w:color="auto" w:fill="D3D3D3"/>
            <w:vAlign w:val="center"/>
          </w:tcPr>
          <w:p w:rsidR="00E4298E" w:rsidRDefault="00E4298E">
            <w:pPr>
              <w:spacing w:before="40" w:after="40" w:line="240" w:lineRule="exact"/>
              <w:rPr>
                <w:sz w:val="18"/>
                <w:szCs w:val="18"/>
              </w:rPr>
            </w:pPr>
            <w:r>
              <w:rPr>
                <w:sz w:val="18"/>
                <w:szCs w:val="18"/>
              </w:rPr>
              <w:t>业务类型</w:t>
            </w:r>
          </w:p>
        </w:tc>
        <w:tc>
          <w:tcPr>
            <w:tcW w:w="909" w:type="pct"/>
            <w:tcBorders>
              <w:top w:val="single" w:sz="2" w:space="0" w:color="auto"/>
              <w:left w:val="single" w:sz="2" w:space="0" w:color="auto"/>
              <w:bottom w:val="single" w:sz="2" w:space="0" w:color="auto"/>
              <w:right w:val="single" w:sz="2" w:space="0" w:color="auto"/>
            </w:tcBorders>
            <w:vAlign w:val="center"/>
          </w:tcPr>
          <w:p w:rsidR="00E4298E" w:rsidRDefault="00E4298E">
            <w:pPr>
              <w:spacing w:line="240" w:lineRule="exact"/>
              <w:jc w:val="right"/>
              <w:rPr>
                <w:sz w:val="18"/>
                <w:szCs w:val="18"/>
              </w:rPr>
            </w:pPr>
            <w:r>
              <w:rPr>
                <w:sz w:val="18"/>
                <w:szCs w:val="18"/>
              </w:rPr>
              <w:t>246,905,332.23</w:t>
            </w:r>
          </w:p>
        </w:tc>
        <w:tc>
          <w:tcPr>
            <w:tcW w:w="909" w:type="pct"/>
            <w:tcBorders>
              <w:top w:val="single" w:sz="2" w:space="0" w:color="auto"/>
              <w:left w:val="single" w:sz="2" w:space="0" w:color="auto"/>
              <w:bottom w:val="single" w:sz="2" w:space="0" w:color="auto"/>
              <w:right w:val="single" w:sz="2" w:space="0" w:color="auto"/>
            </w:tcBorders>
            <w:vAlign w:val="center"/>
          </w:tcPr>
          <w:p w:rsidR="00E4298E" w:rsidRDefault="00E4298E">
            <w:pPr>
              <w:spacing w:line="240" w:lineRule="exact"/>
              <w:jc w:val="right"/>
              <w:rPr>
                <w:sz w:val="18"/>
                <w:szCs w:val="18"/>
              </w:rPr>
            </w:pPr>
            <w:r>
              <w:rPr>
                <w:sz w:val="18"/>
                <w:szCs w:val="18"/>
              </w:rPr>
              <w:t>176,224,837.32</w:t>
            </w:r>
          </w:p>
        </w:tc>
        <w:tc>
          <w:tcPr>
            <w:tcW w:w="909" w:type="pct"/>
            <w:tcBorders>
              <w:top w:val="single" w:sz="2" w:space="0" w:color="auto"/>
              <w:left w:val="single" w:sz="2" w:space="0" w:color="auto"/>
              <w:bottom w:val="single" w:sz="2" w:space="0" w:color="auto"/>
              <w:right w:val="single" w:sz="2" w:space="0" w:color="auto"/>
            </w:tcBorders>
            <w:vAlign w:val="center"/>
          </w:tcPr>
          <w:p w:rsidR="00E4298E" w:rsidRDefault="00E4298E">
            <w:pPr>
              <w:spacing w:line="240" w:lineRule="exact"/>
              <w:jc w:val="right"/>
              <w:rPr>
                <w:sz w:val="18"/>
                <w:szCs w:val="18"/>
              </w:rPr>
            </w:pPr>
            <w:r>
              <w:rPr>
                <w:sz w:val="18"/>
                <w:szCs w:val="18"/>
              </w:rPr>
              <w:t>246,905,332.23</w:t>
            </w:r>
          </w:p>
        </w:tc>
        <w:tc>
          <w:tcPr>
            <w:tcW w:w="905" w:type="pct"/>
            <w:tcBorders>
              <w:top w:val="single" w:sz="2" w:space="0" w:color="auto"/>
              <w:left w:val="single" w:sz="2" w:space="0" w:color="auto"/>
              <w:bottom w:val="single" w:sz="2" w:space="0" w:color="auto"/>
              <w:right w:val="single" w:sz="2" w:space="0" w:color="auto"/>
            </w:tcBorders>
            <w:vAlign w:val="center"/>
          </w:tcPr>
          <w:p w:rsidR="00E4298E" w:rsidRDefault="00E4298E">
            <w:pPr>
              <w:spacing w:line="240" w:lineRule="exact"/>
              <w:jc w:val="right"/>
              <w:rPr>
                <w:sz w:val="18"/>
                <w:szCs w:val="18"/>
              </w:rPr>
            </w:pPr>
            <w:r>
              <w:rPr>
                <w:sz w:val="18"/>
                <w:szCs w:val="18"/>
              </w:rPr>
              <w:t>176,224,837.32</w:t>
            </w:r>
          </w:p>
        </w:tc>
      </w:tr>
      <w:tr w:rsidR="00E4298E" w:rsidTr="00E4298E">
        <w:trPr>
          <w:trHeight w:val="240"/>
        </w:trPr>
        <w:tc>
          <w:tcPr>
            <w:tcW w:w="1369" w:type="pct"/>
            <w:tcBorders>
              <w:top w:val="single" w:sz="2" w:space="0" w:color="auto"/>
              <w:left w:val="single" w:sz="2" w:space="0" w:color="auto"/>
              <w:bottom w:val="single" w:sz="2" w:space="0" w:color="auto"/>
              <w:right w:val="single" w:sz="2" w:space="0" w:color="auto"/>
            </w:tcBorders>
            <w:shd w:val="clear" w:color="auto" w:fill="D3D3D3"/>
            <w:vAlign w:val="center"/>
          </w:tcPr>
          <w:p w:rsidR="00E4298E" w:rsidRDefault="00E4298E">
            <w:pPr>
              <w:spacing w:before="40" w:after="40" w:line="240" w:lineRule="exact"/>
              <w:rPr>
                <w:sz w:val="18"/>
                <w:szCs w:val="18"/>
              </w:rPr>
            </w:pPr>
            <w:r>
              <w:rPr>
                <w:sz w:val="18"/>
                <w:szCs w:val="18"/>
              </w:rPr>
              <w:t>其中：</w:t>
            </w:r>
          </w:p>
        </w:tc>
        <w:tc>
          <w:tcPr>
            <w:tcW w:w="909" w:type="pct"/>
            <w:tcBorders>
              <w:top w:val="single" w:sz="2" w:space="0" w:color="auto"/>
              <w:left w:val="single" w:sz="2" w:space="0" w:color="auto"/>
              <w:bottom w:val="single" w:sz="2" w:space="0" w:color="auto"/>
              <w:right w:val="single" w:sz="2" w:space="0" w:color="auto"/>
            </w:tcBorders>
            <w:shd w:val="clear" w:color="auto" w:fill="D3D3D3"/>
            <w:vAlign w:val="center"/>
          </w:tcPr>
          <w:p w:rsidR="00E4298E" w:rsidRDefault="00E4298E"/>
        </w:tc>
        <w:tc>
          <w:tcPr>
            <w:tcW w:w="909" w:type="pct"/>
            <w:tcBorders>
              <w:top w:val="single" w:sz="2" w:space="0" w:color="auto"/>
              <w:left w:val="single" w:sz="2" w:space="0" w:color="auto"/>
              <w:bottom w:val="single" w:sz="2" w:space="0" w:color="auto"/>
              <w:right w:val="single" w:sz="2" w:space="0" w:color="auto"/>
            </w:tcBorders>
            <w:shd w:val="clear" w:color="auto" w:fill="D3D3D3"/>
            <w:vAlign w:val="center"/>
          </w:tcPr>
          <w:p w:rsidR="00E4298E" w:rsidRDefault="00E4298E"/>
        </w:tc>
        <w:tc>
          <w:tcPr>
            <w:tcW w:w="909" w:type="pct"/>
            <w:tcBorders>
              <w:top w:val="single" w:sz="2" w:space="0" w:color="auto"/>
              <w:left w:val="single" w:sz="2" w:space="0" w:color="auto"/>
              <w:bottom w:val="single" w:sz="2" w:space="0" w:color="auto"/>
              <w:right w:val="single" w:sz="2" w:space="0" w:color="auto"/>
            </w:tcBorders>
            <w:shd w:val="clear" w:color="auto" w:fill="D3D3D3"/>
            <w:vAlign w:val="center"/>
          </w:tcPr>
          <w:p w:rsidR="00E4298E" w:rsidRDefault="00E4298E"/>
        </w:tc>
        <w:tc>
          <w:tcPr>
            <w:tcW w:w="905" w:type="pct"/>
            <w:tcBorders>
              <w:top w:val="single" w:sz="2" w:space="0" w:color="auto"/>
              <w:left w:val="single" w:sz="2" w:space="0" w:color="auto"/>
              <w:bottom w:val="single" w:sz="2" w:space="0" w:color="auto"/>
              <w:right w:val="single" w:sz="2" w:space="0" w:color="auto"/>
            </w:tcBorders>
            <w:shd w:val="clear" w:color="auto" w:fill="D3D3D3"/>
            <w:vAlign w:val="center"/>
          </w:tcPr>
          <w:p w:rsidR="00E4298E" w:rsidRDefault="00E4298E"/>
        </w:tc>
      </w:tr>
      <w:tr w:rsidR="00E4298E" w:rsidTr="00E4298E">
        <w:trPr>
          <w:trHeight w:val="240"/>
        </w:trPr>
        <w:tc>
          <w:tcPr>
            <w:tcW w:w="1369" w:type="pct"/>
            <w:tcBorders>
              <w:top w:val="single" w:sz="2" w:space="0" w:color="auto"/>
              <w:left w:val="single" w:sz="2" w:space="0" w:color="auto"/>
              <w:bottom w:val="single" w:sz="2" w:space="0" w:color="auto"/>
              <w:right w:val="single" w:sz="2" w:space="0" w:color="auto"/>
            </w:tcBorders>
            <w:vAlign w:val="center"/>
          </w:tcPr>
          <w:p w:rsidR="00E4298E" w:rsidRDefault="00E4298E">
            <w:pPr>
              <w:spacing w:line="240" w:lineRule="exact"/>
              <w:rPr>
                <w:sz w:val="18"/>
                <w:szCs w:val="18"/>
              </w:rPr>
            </w:pPr>
            <w:r>
              <w:rPr>
                <w:sz w:val="18"/>
                <w:szCs w:val="18"/>
              </w:rPr>
              <w:t>信息系统集成</w:t>
            </w:r>
          </w:p>
        </w:tc>
        <w:tc>
          <w:tcPr>
            <w:tcW w:w="909" w:type="pct"/>
            <w:tcBorders>
              <w:top w:val="single" w:sz="2" w:space="0" w:color="auto"/>
              <w:left w:val="single" w:sz="2" w:space="0" w:color="auto"/>
              <w:bottom w:val="single" w:sz="2" w:space="0" w:color="auto"/>
              <w:right w:val="single" w:sz="2" w:space="0" w:color="auto"/>
            </w:tcBorders>
            <w:vAlign w:val="center"/>
          </w:tcPr>
          <w:p w:rsidR="00E4298E" w:rsidRDefault="00E4298E">
            <w:pPr>
              <w:spacing w:line="240" w:lineRule="exact"/>
              <w:jc w:val="right"/>
              <w:rPr>
                <w:sz w:val="18"/>
                <w:szCs w:val="18"/>
              </w:rPr>
            </w:pPr>
            <w:r>
              <w:rPr>
                <w:sz w:val="18"/>
                <w:szCs w:val="18"/>
              </w:rPr>
              <w:t>113,310,470.35</w:t>
            </w:r>
          </w:p>
        </w:tc>
        <w:tc>
          <w:tcPr>
            <w:tcW w:w="909" w:type="pct"/>
            <w:tcBorders>
              <w:top w:val="single" w:sz="2" w:space="0" w:color="auto"/>
              <w:left w:val="single" w:sz="2" w:space="0" w:color="auto"/>
              <w:bottom w:val="single" w:sz="2" w:space="0" w:color="auto"/>
              <w:right w:val="single" w:sz="2" w:space="0" w:color="auto"/>
            </w:tcBorders>
            <w:vAlign w:val="center"/>
          </w:tcPr>
          <w:p w:rsidR="00E4298E" w:rsidRDefault="00E4298E">
            <w:pPr>
              <w:spacing w:line="240" w:lineRule="exact"/>
              <w:jc w:val="right"/>
              <w:rPr>
                <w:sz w:val="18"/>
                <w:szCs w:val="18"/>
              </w:rPr>
            </w:pPr>
            <w:r>
              <w:rPr>
                <w:sz w:val="18"/>
                <w:szCs w:val="18"/>
              </w:rPr>
              <w:t>88,227,448.15</w:t>
            </w:r>
          </w:p>
        </w:tc>
        <w:tc>
          <w:tcPr>
            <w:tcW w:w="909" w:type="pct"/>
            <w:tcBorders>
              <w:top w:val="single" w:sz="2" w:space="0" w:color="auto"/>
              <w:left w:val="single" w:sz="2" w:space="0" w:color="auto"/>
              <w:bottom w:val="single" w:sz="2" w:space="0" w:color="auto"/>
              <w:right w:val="single" w:sz="2" w:space="0" w:color="auto"/>
            </w:tcBorders>
            <w:vAlign w:val="center"/>
          </w:tcPr>
          <w:p w:rsidR="00E4298E" w:rsidRDefault="00E4298E">
            <w:pPr>
              <w:spacing w:line="240" w:lineRule="exact"/>
              <w:jc w:val="right"/>
              <w:rPr>
                <w:sz w:val="18"/>
                <w:szCs w:val="18"/>
              </w:rPr>
            </w:pPr>
            <w:r>
              <w:rPr>
                <w:sz w:val="18"/>
                <w:szCs w:val="18"/>
              </w:rPr>
              <w:t>113,310,470.35</w:t>
            </w:r>
          </w:p>
        </w:tc>
        <w:tc>
          <w:tcPr>
            <w:tcW w:w="905" w:type="pct"/>
            <w:tcBorders>
              <w:top w:val="single" w:sz="2" w:space="0" w:color="auto"/>
              <w:left w:val="single" w:sz="2" w:space="0" w:color="auto"/>
              <w:bottom w:val="single" w:sz="2" w:space="0" w:color="auto"/>
              <w:right w:val="single" w:sz="2" w:space="0" w:color="auto"/>
            </w:tcBorders>
            <w:vAlign w:val="center"/>
          </w:tcPr>
          <w:p w:rsidR="00E4298E" w:rsidRDefault="00E4298E">
            <w:pPr>
              <w:spacing w:line="240" w:lineRule="exact"/>
              <w:jc w:val="right"/>
              <w:rPr>
                <w:sz w:val="18"/>
                <w:szCs w:val="18"/>
              </w:rPr>
            </w:pPr>
            <w:r>
              <w:rPr>
                <w:sz w:val="18"/>
                <w:szCs w:val="18"/>
              </w:rPr>
              <w:t>88,227,448.15</w:t>
            </w:r>
          </w:p>
        </w:tc>
      </w:tr>
      <w:tr w:rsidR="00E4298E" w:rsidTr="00E4298E">
        <w:trPr>
          <w:trHeight w:val="240"/>
        </w:trPr>
        <w:tc>
          <w:tcPr>
            <w:tcW w:w="1369" w:type="pct"/>
            <w:tcBorders>
              <w:top w:val="single" w:sz="2" w:space="0" w:color="auto"/>
              <w:left w:val="single" w:sz="2" w:space="0" w:color="auto"/>
              <w:bottom w:val="single" w:sz="2" w:space="0" w:color="auto"/>
              <w:right w:val="single" w:sz="2" w:space="0" w:color="auto"/>
            </w:tcBorders>
            <w:vAlign w:val="center"/>
          </w:tcPr>
          <w:p w:rsidR="00E4298E" w:rsidRDefault="00E4298E">
            <w:pPr>
              <w:spacing w:line="240" w:lineRule="exact"/>
              <w:rPr>
                <w:sz w:val="18"/>
                <w:szCs w:val="18"/>
              </w:rPr>
            </w:pPr>
            <w:r>
              <w:rPr>
                <w:sz w:val="18"/>
                <w:szCs w:val="18"/>
              </w:rPr>
              <w:t>软件及技术服务</w:t>
            </w:r>
          </w:p>
        </w:tc>
        <w:tc>
          <w:tcPr>
            <w:tcW w:w="909" w:type="pct"/>
            <w:tcBorders>
              <w:top w:val="single" w:sz="2" w:space="0" w:color="auto"/>
              <w:left w:val="single" w:sz="2" w:space="0" w:color="auto"/>
              <w:bottom w:val="single" w:sz="2" w:space="0" w:color="auto"/>
              <w:right w:val="single" w:sz="2" w:space="0" w:color="auto"/>
            </w:tcBorders>
            <w:vAlign w:val="center"/>
          </w:tcPr>
          <w:p w:rsidR="00E4298E" w:rsidRDefault="00E4298E">
            <w:pPr>
              <w:spacing w:line="240" w:lineRule="exact"/>
              <w:jc w:val="right"/>
              <w:rPr>
                <w:sz w:val="18"/>
                <w:szCs w:val="18"/>
              </w:rPr>
            </w:pPr>
            <w:r>
              <w:rPr>
                <w:sz w:val="18"/>
                <w:szCs w:val="18"/>
              </w:rPr>
              <w:t>42,010,238.82</w:t>
            </w:r>
          </w:p>
        </w:tc>
        <w:tc>
          <w:tcPr>
            <w:tcW w:w="909" w:type="pct"/>
            <w:tcBorders>
              <w:top w:val="single" w:sz="2" w:space="0" w:color="auto"/>
              <w:left w:val="single" w:sz="2" w:space="0" w:color="auto"/>
              <w:bottom w:val="single" w:sz="2" w:space="0" w:color="auto"/>
              <w:right w:val="single" w:sz="2" w:space="0" w:color="auto"/>
            </w:tcBorders>
            <w:vAlign w:val="center"/>
          </w:tcPr>
          <w:p w:rsidR="00E4298E" w:rsidRDefault="00E4298E">
            <w:pPr>
              <w:spacing w:line="240" w:lineRule="exact"/>
              <w:jc w:val="right"/>
              <w:rPr>
                <w:sz w:val="18"/>
                <w:szCs w:val="18"/>
              </w:rPr>
            </w:pPr>
            <w:r>
              <w:rPr>
                <w:sz w:val="18"/>
                <w:szCs w:val="18"/>
              </w:rPr>
              <w:t>32,838,662.23</w:t>
            </w:r>
          </w:p>
        </w:tc>
        <w:tc>
          <w:tcPr>
            <w:tcW w:w="909" w:type="pct"/>
            <w:tcBorders>
              <w:top w:val="single" w:sz="2" w:space="0" w:color="auto"/>
              <w:left w:val="single" w:sz="2" w:space="0" w:color="auto"/>
              <w:bottom w:val="single" w:sz="2" w:space="0" w:color="auto"/>
              <w:right w:val="single" w:sz="2" w:space="0" w:color="auto"/>
            </w:tcBorders>
            <w:vAlign w:val="center"/>
          </w:tcPr>
          <w:p w:rsidR="00E4298E" w:rsidRDefault="00E4298E">
            <w:pPr>
              <w:spacing w:line="240" w:lineRule="exact"/>
              <w:jc w:val="right"/>
              <w:rPr>
                <w:sz w:val="18"/>
                <w:szCs w:val="18"/>
              </w:rPr>
            </w:pPr>
            <w:r>
              <w:rPr>
                <w:sz w:val="18"/>
                <w:szCs w:val="18"/>
              </w:rPr>
              <w:t>42,010,238.82</w:t>
            </w:r>
          </w:p>
        </w:tc>
        <w:tc>
          <w:tcPr>
            <w:tcW w:w="905" w:type="pct"/>
            <w:tcBorders>
              <w:top w:val="single" w:sz="2" w:space="0" w:color="auto"/>
              <w:left w:val="single" w:sz="2" w:space="0" w:color="auto"/>
              <w:bottom w:val="single" w:sz="2" w:space="0" w:color="auto"/>
              <w:right w:val="single" w:sz="2" w:space="0" w:color="auto"/>
            </w:tcBorders>
            <w:vAlign w:val="center"/>
          </w:tcPr>
          <w:p w:rsidR="00E4298E" w:rsidRDefault="00E4298E">
            <w:pPr>
              <w:spacing w:line="240" w:lineRule="exact"/>
              <w:jc w:val="right"/>
              <w:rPr>
                <w:sz w:val="18"/>
                <w:szCs w:val="18"/>
              </w:rPr>
            </w:pPr>
            <w:r>
              <w:rPr>
                <w:sz w:val="18"/>
                <w:szCs w:val="18"/>
              </w:rPr>
              <w:t>32,838,662.23</w:t>
            </w:r>
          </w:p>
        </w:tc>
      </w:tr>
      <w:tr w:rsidR="00E4298E" w:rsidTr="00E4298E">
        <w:trPr>
          <w:trHeight w:val="240"/>
        </w:trPr>
        <w:tc>
          <w:tcPr>
            <w:tcW w:w="1369" w:type="pct"/>
            <w:tcBorders>
              <w:top w:val="single" w:sz="2" w:space="0" w:color="auto"/>
              <w:left w:val="single" w:sz="2" w:space="0" w:color="auto"/>
              <w:bottom w:val="single" w:sz="2" w:space="0" w:color="auto"/>
              <w:right w:val="single" w:sz="2" w:space="0" w:color="auto"/>
            </w:tcBorders>
            <w:vAlign w:val="center"/>
          </w:tcPr>
          <w:p w:rsidR="00E4298E" w:rsidRDefault="00E4298E">
            <w:pPr>
              <w:spacing w:line="240" w:lineRule="exact"/>
              <w:rPr>
                <w:sz w:val="18"/>
                <w:szCs w:val="18"/>
              </w:rPr>
            </w:pPr>
            <w:r>
              <w:rPr>
                <w:sz w:val="18"/>
                <w:szCs w:val="18"/>
              </w:rPr>
              <w:t>信息系统运维服务</w:t>
            </w:r>
          </w:p>
        </w:tc>
        <w:tc>
          <w:tcPr>
            <w:tcW w:w="909" w:type="pct"/>
            <w:tcBorders>
              <w:top w:val="single" w:sz="2" w:space="0" w:color="auto"/>
              <w:left w:val="single" w:sz="2" w:space="0" w:color="auto"/>
              <w:bottom w:val="single" w:sz="2" w:space="0" w:color="auto"/>
              <w:right w:val="single" w:sz="2" w:space="0" w:color="auto"/>
            </w:tcBorders>
            <w:vAlign w:val="center"/>
          </w:tcPr>
          <w:p w:rsidR="00E4298E" w:rsidRDefault="00E4298E">
            <w:pPr>
              <w:spacing w:line="240" w:lineRule="exact"/>
              <w:jc w:val="right"/>
              <w:rPr>
                <w:sz w:val="18"/>
                <w:szCs w:val="18"/>
              </w:rPr>
            </w:pPr>
            <w:r>
              <w:rPr>
                <w:sz w:val="18"/>
                <w:szCs w:val="18"/>
              </w:rPr>
              <w:t>7,759,518.87</w:t>
            </w:r>
          </w:p>
        </w:tc>
        <w:tc>
          <w:tcPr>
            <w:tcW w:w="909" w:type="pct"/>
            <w:tcBorders>
              <w:top w:val="single" w:sz="2" w:space="0" w:color="auto"/>
              <w:left w:val="single" w:sz="2" w:space="0" w:color="auto"/>
              <w:bottom w:val="single" w:sz="2" w:space="0" w:color="auto"/>
              <w:right w:val="single" w:sz="2" w:space="0" w:color="auto"/>
            </w:tcBorders>
            <w:vAlign w:val="center"/>
          </w:tcPr>
          <w:p w:rsidR="00E4298E" w:rsidRDefault="00E4298E">
            <w:pPr>
              <w:spacing w:line="240" w:lineRule="exact"/>
              <w:jc w:val="right"/>
              <w:rPr>
                <w:sz w:val="18"/>
                <w:szCs w:val="18"/>
              </w:rPr>
            </w:pPr>
            <w:r>
              <w:rPr>
                <w:sz w:val="18"/>
                <w:szCs w:val="18"/>
              </w:rPr>
              <w:t>4,938,331.80</w:t>
            </w:r>
          </w:p>
        </w:tc>
        <w:tc>
          <w:tcPr>
            <w:tcW w:w="909" w:type="pct"/>
            <w:tcBorders>
              <w:top w:val="single" w:sz="2" w:space="0" w:color="auto"/>
              <w:left w:val="single" w:sz="2" w:space="0" w:color="auto"/>
              <w:bottom w:val="single" w:sz="2" w:space="0" w:color="auto"/>
              <w:right w:val="single" w:sz="2" w:space="0" w:color="auto"/>
            </w:tcBorders>
            <w:vAlign w:val="center"/>
          </w:tcPr>
          <w:p w:rsidR="00E4298E" w:rsidRDefault="00E4298E">
            <w:pPr>
              <w:spacing w:line="240" w:lineRule="exact"/>
              <w:jc w:val="right"/>
              <w:rPr>
                <w:sz w:val="18"/>
                <w:szCs w:val="18"/>
              </w:rPr>
            </w:pPr>
            <w:r>
              <w:rPr>
                <w:sz w:val="18"/>
                <w:szCs w:val="18"/>
              </w:rPr>
              <w:t>7,759,518.87</w:t>
            </w:r>
          </w:p>
        </w:tc>
        <w:tc>
          <w:tcPr>
            <w:tcW w:w="905" w:type="pct"/>
            <w:tcBorders>
              <w:top w:val="single" w:sz="2" w:space="0" w:color="auto"/>
              <w:left w:val="single" w:sz="2" w:space="0" w:color="auto"/>
              <w:bottom w:val="single" w:sz="2" w:space="0" w:color="auto"/>
              <w:right w:val="single" w:sz="2" w:space="0" w:color="auto"/>
            </w:tcBorders>
            <w:vAlign w:val="center"/>
          </w:tcPr>
          <w:p w:rsidR="00E4298E" w:rsidRDefault="00E4298E">
            <w:pPr>
              <w:spacing w:line="240" w:lineRule="exact"/>
              <w:jc w:val="right"/>
              <w:rPr>
                <w:sz w:val="18"/>
                <w:szCs w:val="18"/>
              </w:rPr>
            </w:pPr>
            <w:r>
              <w:rPr>
                <w:sz w:val="18"/>
                <w:szCs w:val="18"/>
              </w:rPr>
              <w:t>4,938,331.80</w:t>
            </w:r>
          </w:p>
        </w:tc>
      </w:tr>
      <w:tr w:rsidR="00E4298E" w:rsidTr="00E4298E">
        <w:trPr>
          <w:trHeight w:val="240"/>
        </w:trPr>
        <w:tc>
          <w:tcPr>
            <w:tcW w:w="1369" w:type="pct"/>
            <w:tcBorders>
              <w:top w:val="single" w:sz="2" w:space="0" w:color="auto"/>
              <w:left w:val="single" w:sz="2" w:space="0" w:color="auto"/>
              <w:bottom w:val="single" w:sz="2" w:space="0" w:color="auto"/>
              <w:right w:val="single" w:sz="2" w:space="0" w:color="auto"/>
            </w:tcBorders>
            <w:vAlign w:val="center"/>
          </w:tcPr>
          <w:p w:rsidR="00E4298E" w:rsidRDefault="00E4298E">
            <w:pPr>
              <w:spacing w:line="240" w:lineRule="exact"/>
              <w:rPr>
                <w:sz w:val="18"/>
                <w:szCs w:val="18"/>
              </w:rPr>
            </w:pPr>
            <w:r>
              <w:rPr>
                <w:sz w:val="18"/>
                <w:szCs w:val="18"/>
              </w:rPr>
              <w:t>信息设备销售</w:t>
            </w:r>
          </w:p>
        </w:tc>
        <w:tc>
          <w:tcPr>
            <w:tcW w:w="909" w:type="pct"/>
            <w:tcBorders>
              <w:top w:val="single" w:sz="2" w:space="0" w:color="auto"/>
              <w:left w:val="single" w:sz="2" w:space="0" w:color="auto"/>
              <w:bottom w:val="single" w:sz="2" w:space="0" w:color="auto"/>
              <w:right w:val="single" w:sz="2" w:space="0" w:color="auto"/>
            </w:tcBorders>
            <w:vAlign w:val="center"/>
          </w:tcPr>
          <w:p w:rsidR="00E4298E" w:rsidRDefault="00E4298E">
            <w:pPr>
              <w:spacing w:line="240" w:lineRule="exact"/>
              <w:jc w:val="right"/>
              <w:rPr>
                <w:sz w:val="18"/>
                <w:szCs w:val="18"/>
              </w:rPr>
            </w:pPr>
            <w:r>
              <w:rPr>
                <w:sz w:val="18"/>
                <w:szCs w:val="18"/>
              </w:rPr>
              <w:t>17,659,415.15</w:t>
            </w:r>
          </w:p>
        </w:tc>
        <w:tc>
          <w:tcPr>
            <w:tcW w:w="909" w:type="pct"/>
            <w:tcBorders>
              <w:top w:val="single" w:sz="2" w:space="0" w:color="auto"/>
              <w:left w:val="single" w:sz="2" w:space="0" w:color="auto"/>
              <w:bottom w:val="single" w:sz="2" w:space="0" w:color="auto"/>
              <w:right w:val="single" w:sz="2" w:space="0" w:color="auto"/>
            </w:tcBorders>
            <w:vAlign w:val="center"/>
          </w:tcPr>
          <w:p w:rsidR="00E4298E" w:rsidRDefault="00E4298E">
            <w:pPr>
              <w:spacing w:line="240" w:lineRule="exact"/>
              <w:jc w:val="right"/>
              <w:rPr>
                <w:sz w:val="18"/>
                <w:szCs w:val="18"/>
              </w:rPr>
            </w:pPr>
            <w:r>
              <w:rPr>
                <w:sz w:val="18"/>
                <w:szCs w:val="18"/>
              </w:rPr>
              <w:t>15,406,256.33</w:t>
            </w:r>
          </w:p>
        </w:tc>
        <w:tc>
          <w:tcPr>
            <w:tcW w:w="909" w:type="pct"/>
            <w:tcBorders>
              <w:top w:val="single" w:sz="2" w:space="0" w:color="auto"/>
              <w:left w:val="single" w:sz="2" w:space="0" w:color="auto"/>
              <w:bottom w:val="single" w:sz="2" w:space="0" w:color="auto"/>
              <w:right w:val="single" w:sz="2" w:space="0" w:color="auto"/>
            </w:tcBorders>
            <w:vAlign w:val="center"/>
          </w:tcPr>
          <w:p w:rsidR="00E4298E" w:rsidRDefault="00E4298E">
            <w:pPr>
              <w:spacing w:line="240" w:lineRule="exact"/>
              <w:jc w:val="right"/>
              <w:rPr>
                <w:sz w:val="18"/>
                <w:szCs w:val="18"/>
              </w:rPr>
            </w:pPr>
            <w:r>
              <w:rPr>
                <w:sz w:val="18"/>
                <w:szCs w:val="18"/>
              </w:rPr>
              <w:t>17,659,415.15</w:t>
            </w:r>
          </w:p>
        </w:tc>
        <w:tc>
          <w:tcPr>
            <w:tcW w:w="905" w:type="pct"/>
            <w:tcBorders>
              <w:top w:val="single" w:sz="2" w:space="0" w:color="auto"/>
              <w:left w:val="single" w:sz="2" w:space="0" w:color="auto"/>
              <w:bottom w:val="single" w:sz="2" w:space="0" w:color="auto"/>
              <w:right w:val="single" w:sz="2" w:space="0" w:color="auto"/>
            </w:tcBorders>
            <w:vAlign w:val="center"/>
          </w:tcPr>
          <w:p w:rsidR="00E4298E" w:rsidRDefault="00E4298E">
            <w:pPr>
              <w:spacing w:line="240" w:lineRule="exact"/>
              <w:jc w:val="right"/>
              <w:rPr>
                <w:sz w:val="18"/>
                <w:szCs w:val="18"/>
              </w:rPr>
            </w:pPr>
            <w:r>
              <w:rPr>
                <w:sz w:val="18"/>
                <w:szCs w:val="18"/>
              </w:rPr>
              <w:t>15,406,256.33</w:t>
            </w:r>
          </w:p>
        </w:tc>
      </w:tr>
      <w:tr w:rsidR="00E4298E" w:rsidTr="00E4298E">
        <w:trPr>
          <w:trHeight w:val="240"/>
        </w:trPr>
        <w:tc>
          <w:tcPr>
            <w:tcW w:w="1369" w:type="pct"/>
            <w:tcBorders>
              <w:top w:val="single" w:sz="2" w:space="0" w:color="auto"/>
              <w:left w:val="single" w:sz="2" w:space="0" w:color="auto"/>
              <w:bottom w:val="single" w:sz="2" w:space="0" w:color="auto"/>
              <w:right w:val="single" w:sz="2" w:space="0" w:color="auto"/>
            </w:tcBorders>
            <w:vAlign w:val="center"/>
          </w:tcPr>
          <w:p w:rsidR="00E4298E" w:rsidRDefault="00E4298E">
            <w:pPr>
              <w:spacing w:line="240" w:lineRule="exact"/>
              <w:rPr>
                <w:sz w:val="18"/>
                <w:szCs w:val="18"/>
              </w:rPr>
            </w:pPr>
            <w:r>
              <w:rPr>
                <w:sz w:val="18"/>
                <w:szCs w:val="18"/>
              </w:rPr>
              <w:t>算力服务</w:t>
            </w:r>
          </w:p>
        </w:tc>
        <w:tc>
          <w:tcPr>
            <w:tcW w:w="909" w:type="pct"/>
            <w:tcBorders>
              <w:top w:val="single" w:sz="2" w:space="0" w:color="auto"/>
              <w:left w:val="single" w:sz="2" w:space="0" w:color="auto"/>
              <w:bottom w:val="single" w:sz="2" w:space="0" w:color="auto"/>
              <w:right w:val="single" w:sz="2" w:space="0" w:color="auto"/>
            </w:tcBorders>
            <w:vAlign w:val="center"/>
          </w:tcPr>
          <w:p w:rsidR="00E4298E" w:rsidRDefault="00E4298E">
            <w:pPr>
              <w:spacing w:line="240" w:lineRule="exact"/>
              <w:jc w:val="right"/>
              <w:rPr>
                <w:sz w:val="18"/>
                <w:szCs w:val="18"/>
              </w:rPr>
            </w:pPr>
            <w:r>
              <w:rPr>
                <w:sz w:val="18"/>
                <w:szCs w:val="18"/>
              </w:rPr>
              <w:t>66,165,689.04</w:t>
            </w:r>
          </w:p>
        </w:tc>
        <w:tc>
          <w:tcPr>
            <w:tcW w:w="909" w:type="pct"/>
            <w:tcBorders>
              <w:top w:val="single" w:sz="2" w:space="0" w:color="auto"/>
              <w:left w:val="single" w:sz="2" w:space="0" w:color="auto"/>
              <w:bottom w:val="single" w:sz="2" w:space="0" w:color="auto"/>
              <w:right w:val="single" w:sz="2" w:space="0" w:color="auto"/>
            </w:tcBorders>
            <w:vAlign w:val="center"/>
          </w:tcPr>
          <w:p w:rsidR="00E4298E" w:rsidRDefault="00E4298E">
            <w:pPr>
              <w:spacing w:line="240" w:lineRule="exact"/>
              <w:jc w:val="right"/>
              <w:rPr>
                <w:sz w:val="18"/>
                <w:szCs w:val="18"/>
              </w:rPr>
            </w:pPr>
            <w:r>
              <w:rPr>
                <w:sz w:val="18"/>
                <w:szCs w:val="18"/>
              </w:rPr>
              <w:t>34,814,138.81</w:t>
            </w:r>
          </w:p>
        </w:tc>
        <w:tc>
          <w:tcPr>
            <w:tcW w:w="909" w:type="pct"/>
            <w:tcBorders>
              <w:top w:val="single" w:sz="2" w:space="0" w:color="auto"/>
              <w:left w:val="single" w:sz="2" w:space="0" w:color="auto"/>
              <w:bottom w:val="single" w:sz="2" w:space="0" w:color="auto"/>
              <w:right w:val="single" w:sz="2" w:space="0" w:color="auto"/>
            </w:tcBorders>
            <w:vAlign w:val="center"/>
          </w:tcPr>
          <w:p w:rsidR="00E4298E" w:rsidRDefault="00E4298E">
            <w:pPr>
              <w:spacing w:line="240" w:lineRule="exact"/>
              <w:jc w:val="right"/>
              <w:rPr>
                <w:sz w:val="18"/>
                <w:szCs w:val="18"/>
              </w:rPr>
            </w:pPr>
            <w:r>
              <w:rPr>
                <w:sz w:val="18"/>
                <w:szCs w:val="18"/>
              </w:rPr>
              <w:t>66,165,689.04</w:t>
            </w:r>
          </w:p>
        </w:tc>
        <w:tc>
          <w:tcPr>
            <w:tcW w:w="905" w:type="pct"/>
            <w:tcBorders>
              <w:top w:val="single" w:sz="2" w:space="0" w:color="auto"/>
              <w:left w:val="single" w:sz="2" w:space="0" w:color="auto"/>
              <w:bottom w:val="single" w:sz="2" w:space="0" w:color="auto"/>
              <w:right w:val="single" w:sz="2" w:space="0" w:color="auto"/>
            </w:tcBorders>
            <w:vAlign w:val="center"/>
          </w:tcPr>
          <w:p w:rsidR="00E4298E" w:rsidRDefault="00E4298E">
            <w:pPr>
              <w:spacing w:line="240" w:lineRule="exact"/>
              <w:jc w:val="right"/>
              <w:rPr>
                <w:sz w:val="18"/>
                <w:szCs w:val="18"/>
              </w:rPr>
            </w:pPr>
            <w:r>
              <w:rPr>
                <w:sz w:val="18"/>
                <w:szCs w:val="18"/>
              </w:rPr>
              <w:t>34,814,138.81</w:t>
            </w:r>
          </w:p>
        </w:tc>
      </w:tr>
      <w:tr w:rsidR="00E4298E" w:rsidTr="00E4298E">
        <w:trPr>
          <w:trHeight w:val="240"/>
        </w:trPr>
        <w:tc>
          <w:tcPr>
            <w:tcW w:w="1369" w:type="pct"/>
            <w:tcBorders>
              <w:top w:val="single" w:sz="2" w:space="0" w:color="auto"/>
              <w:left w:val="single" w:sz="2" w:space="0" w:color="auto"/>
              <w:bottom w:val="single" w:sz="2" w:space="0" w:color="auto"/>
              <w:right w:val="single" w:sz="2" w:space="0" w:color="auto"/>
            </w:tcBorders>
            <w:shd w:val="clear" w:color="auto" w:fill="D3D3D3"/>
            <w:vAlign w:val="center"/>
          </w:tcPr>
          <w:p w:rsidR="00E4298E" w:rsidRDefault="00E4298E">
            <w:pPr>
              <w:spacing w:before="40" w:after="40" w:line="240" w:lineRule="exact"/>
              <w:rPr>
                <w:sz w:val="18"/>
                <w:szCs w:val="18"/>
              </w:rPr>
            </w:pPr>
            <w:r>
              <w:rPr>
                <w:sz w:val="18"/>
                <w:szCs w:val="18"/>
              </w:rPr>
              <w:t>按经营地区分类</w:t>
            </w:r>
          </w:p>
        </w:tc>
        <w:tc>
          <w:tcPr>
            <w:tcW w:w="909" w:type="pct"/>
            <w:tcBorders>
              <w:top w:val="single" w:sz="2" w:space="0" w:color="auto"/>
              <w:left w:val="single" w:sz="2" w:space="0" w:color="auto"/>
              <w:bottom w:val="single" w:sz="2" w:space="0" w:color="auto"/>
              <w:right w:val="single" w:sz="2" w:space="0" w:color="auto"/>
            </w:tcBorders>
            <w:vAlign w:val="center"/>
          </w:tcPr>
          <w:p w:rsidR="00E4298E" w:rsidRDefault="00E4298E">
            <w:pPr>
              <w:spacing w:line="240" w:lineRule="exact"/>
              <w:jc w:val="right"/>
              <w:rPr>
                <w:sz w:val="18"/>
                <w:szCs w:val="18"/>
              </w:rPr>
            </w:pPr>
            <w:r>
              <w:rPr>
                <w:sz w:val="18"/>
                <w:szCs w:val="18"/>
              </w:rPr>
              <w:t>246,905,332.23</w:t>
            </w:r>
          </w:p>
        </w:tc>
        <w:tc>
          <w:tcPr>
            <w:tcW w:w="909" w:type="pct"/>
            <w:tcBorders>
              <w:top w:val="single" w:sz="2" w:space="0" w:color="auto"/>
              <w:left w:val="single" w:sz="2" w:space="0" w:color="auto"/>
              <w:bottom w:val="single" w:sz="2" w:space="0" w:color="auto"/>
              <w:right w:val="single" w:sz="2" w:space="0" w:color="auto"/>
            </w:tcBorders>
            <w:vAlign w:val="center"/>
          </w:tcPr>
          <w:p w:rsidR="00E4298E" w:rsidRDefault="00E4298E">
            <w:pPr>
              <w:spacing w:line="240" w:lineRule="exact"/>
              <w:jc w:val="right"/>
              <w:rPr>
                <w:sz w:val="18"/>
                <w:szCs w:val="18"/>
              </w:rPr>
            </w:pPr>
            <w:r>
              <w:rPr>
                <w:sz w:val="18"/>
                <w:szCs w:val="18"/>
              </w:rPr>
              <w:t>176,224,837.32</w:t>
            </w:r>
          </w:p>
        </w:tc>
        <w:tc>
          <w:tcPr>
            <w:tcW w:w="909" w:type="pct"/>
            <w:tcBorders>
              <w:top w:val="single" w:sz="2" w:space="0" w:color="auto"/>
              <w:left w:val="single" w:sz="2" w:space="0" w:color="auto"/>
              <w:bottom w:val="single" w:sz="2" w:space="0" w:color="auto"/>
              <w:right w:val="single" w:sz="2" w:space="0" w:color="auto"/>
            </w:tcBorders>
            <w:vAlign w:val="center"/>
          </w:tcPr>
          <w:p w:rsidR="00E4298E" w:rsidRDefault="00E4298E">
            <w:pPr>
              <w:spacing w:line="240" w:lineRule="exact"/>
              <w:jc w:val="right"/>
              <w:rPr>
                <w:sz w:val="18"/>
                <w:szCs w:val="18"/>
              </w:rPr>
            </w:pPr>
            <w:r>
              <w:rPr>
                <w:sz w:val="18"/>
                <w:szCs w:val="18"/>
              </w:rPr>
              <w:t>246,905,332.23</w:t>
            </w:r>
          </w:p>
        </w:tc>
        <w:tc>
          <w:tcPr>
            <w:tcW w:w="905" w:type="pct"/>
            <w:tcBorders>
              <w:top w:val="single" w:sz="2" w:space="0" w:color="auto"/>
              <w:left w:val="single" w:sz="2" w:space="0" w:color="auto"/>
              <w:bottom w:val="single" w:sz="2" w:space="0" w:color="auto"/>
              <w:right w:val="single" w:sz="2" w:space="0" w:color="auto"/>
            </w:tcBorders>
            <w:vAlign w:val="center"/>
          </w:tcPr>
          <w:p w:rsidR="00E4298E" w:rsidRDefault="00E4298E">
            <w:pPr>
              <w:spacing w:line="240" w:lineRule="exact"/>
              <w:jc w:val="right"/>
              <w:rPr>
                <w:sz w:val="18"/>
                <w:szCs w:val="18"/>
              </w:rPr>
            </w:pPr>
            <w:r>
              <w:rPr>
                <w:sz w:val="18"/>
                <w:szCs w:val="18"/>
              </w:rPr>
              <w:t>176,224,837.32</w:t>
            </w:r>
          </w:p>
        </w:tc>
      </w:tr>
      <w:tr w:rsidR="00E4298E" w:rsidTr="00E4298E">
        <w:trPr>
          <w:trHeight w:val="240"/>
        </w:trPr>
        <w:tc>
          <w:tcPr>
            <w:tcW w:w="1369" w:type="pct"/>
            <w:tcBorders>
              <w:top w:val="single" w:sz="2" w:space="0" w:color="auto"/>
              <w:left w:val="single" w:sz="2" w:space="0" w:color="auto"/>
              <w:bottom w:val="single" w:sz="2" w:space="0" w:color="auto"/>
              <w:right w:val="single" w:sz="2" w:space="0" w:color="auto"/>
            </w:tcBorders>
            <w:shd w:val="clear" w:color="auto" w:fill="D3D3D3"/>
            <w:vAlign w:val="center"/>
          </w:tcPr>
          <w:p w:rsidR="00E4298E" w:rsidRDefault="00E4298E">
            <w:pPr>
              <w:spacing w:before="40" w:after="40" w:line="240" w:lineRule="exact"/>
              <w:rPr>
                <w:sz w:val="18"/>
                <w:szCs w:val="18"/>
              </w:rPr>
            </w:pPr>
            <w:r>
              <w:rPr>
                <w:sz w:val="18"/>
                <w:szCs w:val="18"/>
              </w:rPr>
              <w:t xml:space="preserve">　其中：</w:t>
            </w:r>
          </w:p>
        </w:tc>
        <w:tc>
          <w:tcPr>
            <w:tcW w:w="909" w:type="pct"/>
            <w:tcBorders>
              <w:top w:val="single" w:sz="2" w:space="0" w:color="auto"/>
              <w:left w:val="single" w:sz="2" w:space="0" w:color="auto"/>
              <w:bottom w:val="single" w:sz="2" w:space="0" w:color="auto"/>
              <w:right w:val="single" w:sz="2" w:space="0" w:color="auto"/>
            </w:tcBorders>
            <w:shd w:val="clear" w:color="auto" w:fill="D3D3D3"/>
            <w:vAlign w:val="center"/>
          </w:tcPr>
          <w:p w:rsidR="00E4298E" w:rsidRDefault="00E4298E"/>
        </w:tc>
        <w:tc>
          <w:tcPr>
            <w:tcW w:w="909" w:type="pct"/>
            <w:tcBorders>
              <w:top w:val="single" w:sz="2" w:space="0" w:color="auto"/>
              <w:left w:val="single" w:sz="2" w:space="0" w:color="auto"/>
              <w:bottom w:val="single" w:sz="2" w:space="0" w:color="auto"/>
              <w:right w:val="single" w:sz="2" w:space="0" w:color="auto"/>
            </w:tcBorders>
            <w:shd w:val="clear" w:color="auto" w:fill="D3D3D3"/>
            <w:vAlign w:val="center"/>
          </w:tcPr>
          <w:p w:rsidR="00E4298E" w:rsidRDefault="00E4298E"/>
        </w:tc>
        <w:tc>
          <w:tcPr>
            <w:tcW w:w="909" w:type="pct"/>
            <w:tcBorders>
              <w:top w:val="single" w:sz="2" w:space="0" w:color="auto"/>
              <w:left w:val="single" w:sz="2" w:space="0" w:color="auto"/>
              <w:bottom w:val="single" w:sz="2" w:space="0" w:color="auto"/>
              <w:right w:val="single" w:sz="2" w:space="0" w:color="auto"/>
            </w:tcBorders>
            <w:shd w:val="clear" w:color="auto" w:fill="D3D3D3"/>
            <w:vAlign w:val="center"/>
          </w:tcPr>
          <w:p w:rsidR="00E4298E" w:rsidRDefault="00E4298E"/>
        </w:tc>
        <w:tc>
          <w:tcPr>
            <w:tcW w:w="905" w:type="pct"/>
            <w:tcBorders>
              <w:top w:val="single" w:sz="2" w:space="0" w:color="auto"/>
              <w:left w:val="single" w:sz="2" w:space="0" w:color="auto"/>
              <w:bottom w:val="single" w:sz="2" w:space="0" w:color="auto"/>
              <w:right w:val="single" w:sz="2" w:space="0" w:color="auto"/>
            </w:tcBorders>
            <w:shd w:val="clear" w:color="auto" w:fill="D3D3D3"/>
            <w:vAlign w:val="center"/>
          </w:tcPr>
          <w:p w:rsidR="00E4298E" w:rsidRDefault="00E4298E"/>
        </w:tc>
      </w:tr>
      <w:tr w:rsidR="00E4298E" w:rsidTr="00E4298E">
        <w:trPr>
          <w:trHeight w:val="240"/>
        </w:trPr>
        <w:tc>
          <w:tcPr>
            <w:tcW w:w="1369" w:type="pct"/>
            <w:tcBorders>
              <w:top w:val="single" w:sz="2" w:space="0" w:color="auto"/>
              <w:left w:val="single" w:sz="2" w:space="0" w:color="auto"/>
              <w:bottom w:val="single" w:sz="2" w:space="0" w:color="auto"/>
              <w:right w:val="single" w:sz="2" w:space="0" w:color="auto"/>
            </w:tcBorders>
            <w:vAlign w:val="center"/>
          </w:tcPr>
          <w:p w:rsidR="00E4298E" w:rsidRDefault="00E4298E">
            <w:pPr>
              <w:spacing w:line="240" w:lineRule="exact"/>
              <w:rPr>
                <w:sz w:val="18"/>
                <w:szCs w:val="18"/>
              </w:rPr>
            </w:pPr>
            <w:r>
              <w:rPr>
                <w:sz w:val="18"/>
                <w:szCs w:val="18"/>
              </w:rPr>
              <w:t>华南地区</w:t>
            </w:r>
          </w:p>
        </w:tc>
        <w:tc>
          <w:tcPr>
            <w:tcW w:w="909" w:type="pct"/>
            <w:tcBorders>
              <w:top w:val="single" w:sz="2" w:space="0" w:color="auto"/>
              <w:left w:val="single" w:sz="2" w:space="0" w:color="auto"/>
              <w:bottom w:val="single" w:sz="2" w:space="0" w:color="auto"/>
              <w:right w:val="single" w:sz="2" w:space="0" w:color="auto"/>
            </w:tcBorders>
            <w:vAlign w:val="center"/>
          </w:tcPr>
          <w:p w:rsidR="00E4298E" w:rsidRDefault="00E4298E">
            <w:pPr>
              <w:spacing w:line="240" w:lineRule="exact"/>
              <w:jc w:val="right"/>
              <w:rPr>
                <w:sz w:val="18"/>
                <w:szCs w:val="18"/>
              </w:rPr>
            </w:pPr>
            <w:r>
              <w:rPr>
                <w:sz w:val="18"/>
                <w:szCs w:val="18"/>
              </w:rPr>
              <w:t>228,514,853.02</w:t>
            </w:r>
          </w:p>
        </w:tc>
        <w:tc>
          <w:tcPr>
            <w:tcW w:w="909" w:type="pct"/>
            <w:tcBorders>
              <w:top w:val="single" w:sz="2" w:space="0" w:color="auto"/>
              <w:left w:val="single" w:sz="2" w:space="0" w:color="auto"/>
              <w:bottom w:val="single" w:sz="2" w:space="0" w:color="auto"/>
              <w:right w:val="single" w:sz="2" w:space="0" w:color="auto"/>
            </w:tcBorders>
            <w:vAlign w:val="center"/>
          </w:tcPr>
          <w:p w:rsidR="00E4298E" w:rsidRDefault="00E4298E">
            <w:pPr>
              <w:spacing w:line="240" w:lineRule="exact"/>
              <w:jc w:val="right"/>
              <w:rPr>
                <w:sz w:val="18"/>
                <w:szCs w:val="18"/>
              </w:rPr>
            </w:pPr>
            <w:r>
              <w:rPr>
                <w:sz w:val="18"/>
                <w:szCs w:val="18"/>
              </w:rPr>
              <w:t>164,112,678.80</w:t>
            </w:r>
          </w:p>
        </w:tc>
        <w:tc>
          <w:tcPr>
            <w:tcW w:w="909" w:type="pct"/>
            <w:tcBorders>
              <w:top w:val="single" w:sz="2" w:space="0" w:color="auto"/>
              <w:left w:val="single" w:sz="2" w:space="0" w:color="auto"/>
              <w:bottom w:val="single" w:sz="2" w:space="0" w:color="auto"/>
              <w:right w:val="single" w:sz="2" w:space="0" w:color="auto"/>
            </w:tcBorders>
            <w:vAlign w:val="center"/>
          </w:tcPr>
          <w:p w:rsidR="00E4298E" w:rsidRDefault="00E4298E">
            <w:pPr>
              <w:spacing w:line="240" w:lineRule="exact"/>
              <w:jc w:val="right"/>
              <w:rPr>
                <w:sz w:val="18"/>
                <w:szCs w:val="18"/>
              </w:rPr>
            </w:pPr>
            <w:r>
              <w:rPr>
                <w:sz w:val="18"/>
                <w:szCs w:val="18"/>
              </w:rPr>
              <w:t>228,514,853.02</w:t>
            </w:r>
          </w:p>
        </w:tc>
        <w:tc>
          <w:tcPr>
            <w:tcW w:w="905" w:type="pct"/>
            <w:tcBorders>
              <w:top w:val="single" w:sz="2" w:space="0" w:color="auto"/>
              <w:left w:val="single" w:sz="2" w:space="0" w:color="auto"/>
              <w:bottom w:val="single" w:sz="2" w:space="0" w:color="auto"/>
              <w:right w:val="single" w:sz="2" w:space="0" w:color="auto"/>
            </w:tcBorders>
            <w:vAlign w:val="center"/>
          </w:tcPr>
          <w:p w:rsidR="00E4298E" w:rsidRDefault="00E4298E">
            <w:pPr>
              <w:spacing w:line="240" w:lineRule="exact"/>
              <w:jc w:val="right"/>
              <w:rPr>
                <w:sz w:val="18"/>
                <w:szCs w:val="18"/>
              </w:rPr>
            </w:pPr>
            <w:r>
              <w:rPr>
                <w:sz w:val="18"/>
                <w:szCs w:val="18"/>
              </w:rPr>
              <w:t>164,112,678.80</w:t>
            </w:r>
          </w:p>
        </w:tc>
      </w:tr>
      <w:tr w:rsidR="00E4298E" w:rsidTr="00E4298E">
        <w:trPr>
          <w:trHeight w:val="240"/>
        </w:trPr>
        <w:tc>
          <w:tcPr>
            <w:tcW w:w="1369" w:type="pct"/>
            <w:tcBorders>
              <w:top w:val="single" w:sz="2" w:space="0" w:color="auto"/>
              <w:left w:val="single" w:sz="2" w:space="0" w:color="auto"/>
              <w:bottom w:val="single" w:sz="2" w:space="0" w:color="auto"/>
              <w:right w:val="single" w:sz="2" w:space="0" w:color="auto"/>
            </w:tcBorders>
            <w:vAlign w:val="center"/>
          </w:tcPr>
          <w:p w:rsidR="00E4298E" w:rsidRDefault="00E4298E">
            <w:pPr>
              <w:spacing w:line="240" w:lineRule="exact"/>
              <w:rPr>
                <w:sz w:val="18"/>
                <w:szCs w:val="18"/>
              </w:rPr>
            </w:pPr>
            <w:r>
              <w:rPr>
                <w:sz w:val="18"/>
                <w:szCs w:val="18"/>
              </w:rPr>
              <w:t>华中地区</w:t>
            </w:r>
          </w:p>
        </w:tc>
        <w:tc>
          <w:tcPr>
            <w:tcW w:w="909" w:type="pct"/>
            <w:tcBorders>
              <w:top w:val="single" w:sz="2" w:space="0" w:color="auto"/>
              <w:left w:val="single" w:sz="2" w:space="0" w:color="auto"/>
              <w:bottom w:val="single" w:sz="2" w:space="0" w:color="auto"/>
              <w:right w:val="single" w:sz="2" w:space="0" w:color="auto"/>
            </w:tcBorders>
            <w:vAlign w:val="center"/>
          </w:tcPr>
          <w:p w:rsidR="00E4298E" w:rsidRDefault="00E4298E">
            <w:pPr>
              <w:spacing w:line="240" w:lineRule="exact"/>
              <w:jc w:val="right"/>
              <w:rPr>
                <w:sz w:val="18"/>
                <w:szCs w:val="18"/>
              </w:rPr>
            </w:pPr>
            <w:r>
              <w:rPr>
                <w:sz w:val="18"/>
                <w:szCs w:val="18"/>
              </w:rPr>
              <w:t>624,678.06</w:t>
            </w:r>
          </w:p>
        </w:tc>
        <w:tc>
          <w:tcPr>
            <w:tcW w:w="909" w:type="pct"/>
            <w:tcBorders>
              <w:top w:val="single" w:sz="2" w:space="0" w:color="auto"/>
              <w:left w:val="single" w:sz="2" w:space="0" w:color="auto"/>
              <w:bottom w:val="single" w:sz="2" w:space="0" w:color="auto"/>
              <w:right w:val="single" w:sz="2" w:space="0" w:color="auto"/>
            </w:tcBorders>
            <w:vAlign w:val="center"/>
          </w:tcPr>
          <w:p w:rsidR="00E4298E" w:rsidRDefault="00E4298E">
            <w:pPr>
              <w:spacing w:line="240" w:lineRule="exact"/>
              <w:jc w:val="right"/>
              <w:rPr>
                <w:sz w:val="18"/>
                <w:szCs w:val="18"/>
              </w:rPr>
            </w:pPr>
            <w:r>
              <w:rPr>
                <w:sz w:val="18"/>
                <w:szCs w:val="18"/>
              </w:rPr>
              <w:t>167,522.17</w:t>
            </w:r>
          </w:p>
        </w:tc>
        <w:tc>
          <w:tcPr>
            <w:tcW w:w="909" w:type="pct"/>
            <w:tcBorders>
              <w:top w:val="single" w:sz="2" w:space="0" w:color="auto"/>
              <w:left w:val="single" w:sz="2" w:space="0" w:color="auto"/>
              <w:bottom w:val="single" w:sz="2" w:space="0" w:color="auto"/>
              <w:right w:val="single" w:sz="2" w:space="0" w:color="auto"/>
            </w:tcBorders>
            <w:vAlign w:val="center"/>
          </w:tcPr>
          <w:p w:rsidR="00E4298E" w:rsidRDefault="00E4298E">
            <w:pPr>
              <w:spacing w:line="240" w:lineRule="exact"/>
              <w:jc w:val="right"/>
              <w:rPr>
                <w:sz w:val="18"/>
                <w:szCs w:val="18"/>
              </w:rPr>
            </w:pPr>
            <w:r>
              <w:rPr>
                <w:sz w:val="18"/>
                <w:szCs w:val="18"/>
              </w:rPr>
              <w:t>624,678.06</w:t>
            </w:r>
          </w:p>
        </w:tc>
        <w:tc>
          <w:tcPr>
            <w:tcW w:w="905" w:type="pct"/>
            <w:tcBorders>
              <w:top w:val="single" w:sz="2" w:space="0" w:color="auto"/>
              <w:left w:val="single" w:sz="2" w:space="0" w:color="auto"/>
              <w:bottom w:val="single" w:sz="2" w:space="0" w:color="auto"/>
              <w:right w:val="single" w:sz="2" w:space="0" w:color="auto"/>
            </w:tcBorders>
            <w:vAlign w:val="center"/>
          </w:tcPr>
          <w:p w:rsidR="00E4298E" w:rsidRDefault="00E4298E">
            <w:pPr>
              <w:spacing w:line="240" w:lineRule="exact"/>
              <w:jc w:val="right"/>
              <w:rPr>
                <w:sz w:val="18"/>
                <w:szCs w:val="18"/>
              </w:rPr>
            </w:pPr>
            <w:r>
              <w:rPr>
                <w:sz w:val="18"/>
                <w:szCs w:val="18"/>
              </w:rPr>
              <w:t>167,522.17</w:t>
            </w:r>
          </w:p>
        </w:tc>
      </w:tr>
      <w:tr w:rsidR="00E4298E" w:rsidTr="00E4298E">
        <w:trPr>
          <w:trHeight w:val="240"/>
        </w:trPr>
        <w:tc>
          <w:tcPr>
            <w:tcW w:w="1369" w:type="pct"/>
            <w:tcBorders>
              <w:top w:val="single" w:sz="2" w:space="0" w:color="auto"/>
              <w:left w:val="single" w:sz="2" w:space="0" w:color="auto"/>
              <w:bottom w:val="single" w:sz="2" w:space="0" w:color="auto"/>
              <w:right w:val="single" w:sz="2" w:space="0" w:color="auto"/>
            </w:tcBorders>
            <w:vAlign w:val="center"/>
          </w:tcPr>
          <w:p w:rsidR="00E4298E" w:rsidRDefault="00E4298E">
            <w:pPr>
              <w:spacing w:line="240" w:lineRule="exact"/>
              <w:rPr>
                <w:sz w:val="18"/>
                <w:szCs w:val="18"/>
              </w:rPr>
            </w:pPr>
            <w:r>
              <w:rPr>
                <w:sz w:val="18"/>
                <w:szCs w:val="18"/>
              </w:rPr>
              <w:t>华东地区</w:t>
            </w:r>
          </w:p>
        </w:tc>
        <w:tc>
          <w:tcPr>
            <w:tcW w:w="909" w:type="pct"/>
            <w:tcBorders>
              <w:top w:val="single" w:sz="2" w:space="0" w:color="auto"/>
              <w:left w:val="single" w:sz="2" w:space="0" w:color="auto"/>
              <w:bottom w:val="single" w:sz="2" w:space="0" w:color="auto"/>
              <w:right w:val="single" w:sz="2" w:space="0" w:color="auto"/>
            </w:tcBorders>
            <w:vAlign w:val="center"/>
          </w:tcPr>
          <w:p w:rsidR="00E4298E" w:rsidRDefault="00E4298E">
            <w:pPr>
              <w:spacing w:line="240" w:lineRule="exact"/>
              <w:jc w:val="right"/>
              <w:rPr>
                <w:sz w:val="18"/>
                <w:szCs w:val="18"/>
              </w:rPr>
            </w:pPr>
            <w:r>
              <w:rPr>
                <w:sz w:val="18"/>
                <w:szCs w:val="18"/>
              </w:rPr>
              <w:t>3,554,902.72</w:t>
            </w:r>
          </w:p>
        </w:tc>
        <w:tc>
          <w:tcPr>
            <w:tcW w:w="909" w:type="pct"/>
            <w:tcBorders>
              <w:top w:val="single" w:sz="2" w:space="0" w:color="auto"/>
              <w:left w:val="single" w:sz="2" w:space="0" w:color="auto"/>
              <w:bottom w:val="single" w:sz="2" w:space="0" w:color="auto"/>
              <w:right w:val="single" w:sz="2" w:space="0" w:color="auto"/>
            </w:tcBorders>
            <w:vAlign w:val="center"/>
          </w:tcPr>
          <w:p w:rsidR="00E4298E" w:rsidRDefault="00E4298E">
            <w:pPr>
              <w:spacing w:line="240" w:lineRule="exact"/>
              <w:jc w:val="right"/>
              <w:rPr>
                <w:sz w:val="18"/>
                <w:szCs w:val="18"/>
              </w:rPr>
            </w:pPr>
            <w:r>
              <w:rPr>
                <w:sz w:val="18"/>
                <w:szCs w:val="18"/>
              </w:rPr>
              <w:t>1,757,010.33</w:t>
            </w:r>
          </w:p>
        </w:tc>
        <w:tc>
          <w:tcPr>
            <w:tcW w:w="909" w:type="pct"/>
            <w:tcBorders>
              <w:top w:val="single" w:sz="2" w:space="0" w:color="auto"/>
              <w:left w:val="single" w:sz="2" w:space="0" w:color="auto"/>
              <w:bottom w:val="single" w:sz="2" w:space="0" w:color="auto"/>
              <w:right w:val="single" w:sz="2" w:space="0" w:color="auto"/>
            </w:tcBorders>
            <w:vAlign w:val="center"/>
          </w:tcPr>
          <w:p w:rsidR="00E4298E" w:rsidRDefault="00E4298E">
            <w:pPr>
              <w:spacing w:line="240" w:lineRule="exact"/>
              <w:jc w:val="right"/>
              <w:rPr>
                <w:sz w:val="18"/>
                <w:szCs w:val="18"/>
              </w:rPr>
            </w:pPr>
            <w:r>
              <w:rPr>
                <w:sz w:val="18"/>
                <w:szCs w:val="18"/>
              </w:rPr>
              <w:t>3,554,902.72</w:t>
            </w:r>
          </w:p>
        </w:tc>
        <w:tc>
          <w:tcPr>
            <w:tcW w:w="905" w:type="pct"/>
            <w:tcBorders>
              <w:top w:val="single" w:sz="2" w:space="0" w:color="auto"/>
              <w:left w:val="single" w:sz="2" w:space="0" w:color="auto"/>
              <w:bottom w:val="single" w:sz="2" w:space="0" w:color="auto"/>
              <w:right w:val="single" w:sz="2" w:space="0" w:color="auto"/>
            </w:tcBorders>
            <w:vAlign w:val="center"/>
          </w:tcPr>
          <w:p w:rsidR="00E4298E" w:rsidRDefault="00E4298E">
            <w:pPr>
              <w:spacing w:line="240" w:lineRule="exact"/>
              <w:jc w:val="right"/>
              <w:rPr>
                <w:sz w:val="18"/>
                <w:szCs w:val="18"/>
              </w:rPr>
            </w:pPr>
            <w:r>
              <w:rPr>
                <w:sz w:val="18"/>
                <w:szCs w:val="18"/>
              </w:rPr>
              <w:t>1,757,010.33</w:t>
            </w:r>
          </w:p>
        </w:tc>
      </w:tr>
      <w:tr w:rsidR="00E4298E" w:rsidTr="00E4298E">
        <w:trPr>
          <w:trHeight w:val="240"/>
        </w:trPr>
        <w:tc>
          <w:tcPr>
            <w:tcW w:w="1369" w:type="pct"/>
            <w:tcBorders>
              <w:top w:val="single" w:sz="2" w:space="0" w:color="auto"/>
              <w:left w:val="single" w:sz="2" w:space="0" w:color="auto"/>
              <w:bottom w:val="single" w:sz="2" w:space="0" w:color="auto"/>
              <w:right w:val="single" w:sz="2" w:space="0" w:color="auto"/>
            </w:tcBorders>
            <w:vAlign w:val="center"/>
          </w:tcPr>
          <w:p w:rsidR="00E4298E" w:rsidRDefault="00E4298E">
            <w:pPr>
              <w:spacing w:line="240" w:lineRule="exact"/>
              <w:rPr>
                <w:sz w:val="18"/>
                <w:szCs w:val="18"/>
              </w:rPr>
            </w:pPr>
            <w:r>
              <w:rPr>
                <w:sz w:val="18"/>
                <w:szCs w:val="18"/>
              </w:rPr>
              <w:t>华北地区</w:t>
            </w:r>
          </w:p>
        </w:tc>
        <w:tc>
          <w:tcPr>
            <w:tcW w:w="909" w:type="pct"/>
            <w:tcBorders>
              <w:top w:val="single" w:sz="2" w:space="0" w:color="auto"/>
              <w:left w:val="single" w:sz="2" w:space="0" w:color="auto"/>
              <w:bottom w:val="single" w:sz="2" w:space="0" w:color="auto"/>
              <w:right w:val="single" w:sz="2" w:space="0" w:color="auto"/>
            </w:tcBorders>
            <w:vAlign w:val="center"/>
          </w:tcPr>
          <w:p w:rsidR="00E4298E" w:rsidRDefault="00E4298E">
            <w:pPr>
              <w:spacing w:line="240" w:lineRule="exact"/>
              <w:jc w:val="right"/>
              <w:rPr>
                <w:sz w:val="18"/>
                <w:szCs w:val="18"/>
              </w:rPr>
            </w:pPr>
            <w:r>
              <w:rPr>
                <w:sz w:val="18"/>
                <w:szCs w:val="18"/>
              </w:rPr>
              <w:t>7,730,071.46</w:t>
            </w:r>
          </w:p>
        </w:tc>
        <w:tc>
          <w:tcPr>
            <w:tcW w:w="909" w:type="pct"/>
            <w:tcBorders>
              <w:top w:val="single" w:sz="2" w:space="0" w:color="auto"/>
              <w:left w:val="single" w:sz="2" w:space="0" w:color="auto"/>
              <w:bottom w:val="single" w:sz="2" w:space="0" w:color="auto"/>
              <w:right w:val="single" w:sz="2" w:space="0" w:color="auto"/>
            </w:tcBorders>
            <w:vAlign w:val="center"/>
          </w:tcPr>
          <w:p w:rsidR="00E4298E" w:rsidRDefault="00E4298E">
            <w:pPr>
              <w:spacing w:line="240" w:lineRule="exact"/>
              <w:jc w:val="right"/>
              <w:rPr>
                <w:sz w:val="18"/>
                <w:szCs w:val="18"/>
              </w:rPr>
            </w:pPr>
            <w:r>
              <w:rPr>
                <w:sz w:val="18"/>
                <w:szCs w:val="18"/>
              </w:rPr>
              <w:t>4,870,623.26</w:t>
            </w:r>
          </w:p>
        </w:tc>
        <w:tc>
          <w:tcPr>
            <w:tcW w:w="909" w:type="pct"/>
            <w:tcBorders>
              <w:top w:val="single" w:sz="2" w:space="0" w:color="auto"/>
              <w:left w:val="single" w:sz="2" w:space="0" w:color="auto"/>
              <w:bottom w:val="single" w:sz="2" w:space="0" w:color="auto"/>
              <w:right w:val="single" w:sz="2" w:space="0" w:color="auto"/>
            </w:tcBorders>
            <w:vAlign w:val="center"/>
          </w:tcPr>
          <w:p w:rsidR="00E4298E" w:rsidRDefault="00E4298E">
            <w:pPr>
              <w:spacing w:line="240" w:lineRule="exact"/>
              <w:jc w:val="right"/>
              <w:rPr>
                <w:sz w:val="18"/>
                <w:szCs w:val="18"/>
              </w:rPr>
            </w:pPr>
            <w:r>
              <w:rPr>
                <w:sz w:val="18"/>
                <w:szCs w:val="18"/>
              </w:rPr>
              <w:t>7,730,071.46</w:t>
            </w:r>
          </w:p>
        </w:tc>
        <w:tc>
          <w:tcPr>
            <w:tcW w:w="905" w:type="pct"/>
            <w:tcBorders>
              <w:top w:val="single" w:sz="2" w:space="0" w:color="auto"/>
              <w:left w:val="single" w:sz="2" w:space="0" w:color="auto"/>
              <w:bottom w:val="single" w:sz="2" w:space="0" w:color="auto"/>
              <w:right w:val="single" w:sz="2" w:space="0" w:color="auto"/>
            </w:tcBorders>
            <w:vAlign w:val="center"/>
          </w:tcPr>
          <w:p w:rsidR="00E4298E" w:rsidRDefault="00E4298E">
            <w:pPr>
              <w:spacing w:line="240" w:lineRule="exact"/>
              <w:jc w:val="right"/>
              <w:rPr>
                <w:sz w:val="18"/>
                <w:szCs w:val="18"/>
              </w:rPr>
            </w:pPr>
            <w:r>
              <w:rPr>
                <w:sz w:val="18"/>
                <w:szCs w:val="18"/>
              </w:rPr>
              <w:t>4,870,623.26</w:t>
            </w:r>
          </w:p>
        </w:tc>
      </w:tr>
      <w:tr w:rsidR="00E4298E" w:rsidTr="00E4298E">
        <w:trPr>
          <w:trHeight w:val="240"/>
        </w:trPr>
        <w:tc>
          <w:tcPr>
            <w:tcW w:w="1369" w:type="pct"/>
            <w:tcBorders>
              <w:top w:val="single" w:sz="2" w:space="0" w:color="auto"/>
              <w:left w:val="single" w:sz="2" w:space="0" w:color="auto"/>
              <w:bottom w:val="single" w:sz="2" w:space="0" w:color="auto"/>
              <w:right w:val="single" w:sz="2" w:space="0" w:color="auto"/>
            </w:tcBorders>
            <w:vAlign w:val="center"/>
          </w:tcPr>
          <w:p w:rsidR="00E4298E" w:rsidRDefault="00E4298E">
            <w:pPr>
              <w:spacing w:line="240" w:lineRule="exact"/>
              <w:rPr>
                <w:sz w:val="18"/>
                <w:szCs w:val="18"/>
              </w:rPr>
            </w:pPr>
            <w:r>
              <w:rPr>
                <w:sz w:val="18"/>
                <w:szCs w:val="18"/>
              </w:rPr>
              <w:t>西南地区</w:t>
            </w:r>
          </w:p>
        </w:tc>
        <w:tc>
          <w:tcPr>
            <w:tcW w:w="909" w:type="pct"/>
            <w:tcBorders>
              <w:top w:val="single" w:sz="2" w:space="0" w:color="auto"/>
              <w:left w:val="single" w:sz="2" w:space="0" w:color="auto"/>
              <w:bottom w:val="single" w:sz="2" w:space="0" w:color="auto"/>
              <w:right w:val="single" w:sz="2" w:space="0" w:color="auto"/>
            </w:tcBorders>
            <w:vAlign w:val="center"/>
          </w:tcPr>
          <w:p w:rsidR="00E4298E" w:rsidRDefault="00E4298E">
            <w:pPr>
              <w:spacing w:line="240" w:lineRule="exact"/>
              <w:jc w:val="right"/>
              <w:rPr>
                <w:sz w:val="18"/>
                <w:szCs w:val="18"/>
              </w:rPr>
            </w:pPr>
            <w:r>
              <w:rPr>
                <w:sz w:val="18"/>
                <w:szCs w:val="18"/>
              </w:rPr>
              <w:t>6,480,826.97</w:t>
            </w:r>
          </w:p>
        </w:tc>
        <w:tc>
          <w:tcPr>
            <w:tcW w:w="909" w:type="pct"/>
            <w:tcBorders>
              <w:top w:val="single" w:sz="2" w:space="0" w:color="auto"/>
              <w:left w:val="single" w:sz="2" w:space="0" w:color="auto"/>
              <w:bottom w:val="single" w:sz="2" w:space="0" w:color="auto"/>
              <w:right w:val="single" w:sz="2" w:space="0" w:color="auto"/>
            </w:tcBorders>
            <w:vAlign w:val="center"/>
          </w:tcPr>
          <w:p w:rsidR="00E4298E" w:rsidRDefault="00E4298E">
            <w:pPr>
              <w:spacing w:line="240" w:lineRule="exact"/>
              <w:jc w:val="right"/>
              <w:rPr>
                <w:sz w:val="18"/>
                <w:szCs w:val="18"/>
              </w:rPr>
            </w:pPr>
            <w:r>
              <w:rPr>
                <w:sz w:val="18"/>
                <w:szCs w:val="18"/>
              </w:rPr>
              <w:t>5,317,002.76</w:t>
            </w:r>
          </w:p>
        </w:tc>
        <w:tc>
          <w:tcPr>
            <w:tcW w:w="909" w:type="pct"/>
            <w:tcBorders>
              <w:top w:val="single" w:sz="2" w:space="0" w:color="auto"/>
              <w:left w:val="single" w:sz="2" w:space="0" w:color="auto"/>
              <w:bottom w:val="single" w:sz="2" w:space="0" w:color="auto"/>
              <w:right w:val="single" w:sz="2" w:space="0" w:color="auto"/>
            </w:tcBorders>
            <w:vAlign w:val="center"/>
          </w:tcPr>
          <w:p w:rsidR="00E4298E" w:rsidRDefault="00E4298E">
            <w:pPr>
              <w:spacing w:line="240" w:lineRule="exact"/>
              <w:jc w:val="right"/>
              <w:rPr>
                <w:sz w:val="18"/>
                <w:szCs w:val="18"/>
              </w:rPr>
            </w:pPr>
            <w:r>
              <w:rPr>
                <w:sz w:val="18"/>
                <w:szCs w:val="18"/>
              </w:rPr>
              <w:t>6,480,826.97</w:t>
            </w:r>
          </w:p>
        </w:tc>
        <w:tc>
          <w:tcPr>
            <w:tcW w:w="905" w:type="pct"/>
            <w:tcBorders>
              <w:top w:val="single" w:sz="2" w:space="0" w:color="auto"/>
              <w:left w:val="single" w:sz="2" w:space="0" w:color="auto"/>
              <w:bottom w:val="single" w:sz="2" w:space="0" w:color="auto"/>
              <w:right w:val="single" w:sz="2" w:space="0" w:color="auto"/>
            </w:tcBorders>
            <w:vAlign w:val="center"/>
          </w:tcPr>
          <w:p w:rsidR="00E4298E" w:rsidRDefault="00E4298E">
            <w:pPr>
              <w:spacing w:line="240" w:lineRule="exact"/>
              <w:jc w:val="right"/>
              <w:rPr>
                <w:sz w:val="18"/>
                <w:szCs w:val="18"/>
              </w:rPr>
            </w:pPr>
            <w:r>
              <w:rPr>
                <w:sz w:val="18"/>
                <w:szCs w:val="18"/>
              </w:rPr>
              <w:t>5,317,002.76</w:t>
            </w:r>
          </w:p>
        </w:tc>
      </w:tr>
      <w:tr w:rsidR="00E4298E" w:rsidTr="00E4298E">
        <w:trPr>
          <w:trHeight w:val="240"/>
        </w:trPr>
        <w:tc>
          <w:tcPr>
            <w:tcW w:w="1369" w:type="pct"/>
            <w:tcBorders>
              <w:top w:val="single" w:sz="2" w:space="0" w:color="auto"/>
              <w:left w:val="single" w:sz="2" w:space="0" w:color="auto"/>
              <w:bottom w:val="single" w:sz="2" w:space="0" w:color="auto"/>
              <w:right w:val="single" w:sz="2" w:space="0" w:color="auto"/>
            </w:tcBorders>
            <w:shd w:val="clear" w:color="auto" w:fill="D3D3D3"/>
            <w:vAlign w:val="center"/>
          </w:tcPr>
          <w:p w:rsidR="00E4298E" w:rsidRDefault="00E4298E">
            <w:pPr>
              <w:spacing w:before="40" w:after="40" w:line="240" w:lineRule="exact"/>
              <w:rPr>
                <w:sz w:val="18"/>
                <w:szCs w:val="18"/>
              </w:rPr>
            </w:pPr>
            <w:r>
              <w:rPr>
                <w:sz w:val="18"/>
                <w:szCs w:val="18"/>
              </w:rPr>
              <w:t>市场或客户类型</w:t>
            </w:r>
          </w:p>
        </w:tc>
        <w:tc>
          <w:tcPr>
            <w:tcW w:w="909" w:type="pct"/>
            <w:tcBorders>
              <w:top w:val="single" w:sz="2" w:space="0" w:color="auto"/>
              <w:left w:val="single" w:sz="2" w:space="0" w:color="auto"/>
              <w:bottom w:val="single" w:sz="2" w:space="0" w:color="auto"/>
              <w:right w:val="single" w:sz="2" w:space="0" w:color="auto"/>
            </w:tcBorders>
            <w:vAlign w:val="center"/>
          </w:tcPr>
          <w:p w:rsidR="00E4298E" w:rsidRDefault="00E4298E">
            <w:pPr>
              <w:spacing w:line="240" w:lineRule="exact"/>
              <w:jc w:val="right"/>
              <w:rPr>
                <w:sz w:val="18"/>
                <w:szCs w:val="18"/>
              </w:rPr>
            </w:pPr>
            <w:r>
              <w:rPr>
                <w:sz w:val="18"/>
                <w:szCs w:val="18"/>
              </w:rPr>
              <w:t>246,905,332.23</w:t>
            </w:r>
          </w:p>
        </w:tc>
        <w:tc>
          <w:tcPr>
            <w:tcW w:w="909" w:type="pct"/>
            <w:tcBorders>
              <w:top w:val="single" w:sz="2" w:space="0" w:color="auto"/>
              <w:left w:val="single" w:sz="2" w:space="0" w:color="auto"/>
              <w:bottom w:val="single" w:sz="2" w:space="0" w:color="auto"/>
              <w:right w:val="single" w:sz="2" w:space="0" w:color="auto"/>
            </w:tcBorders>
            <w:vAlign w:val="center"/>
          </w:tcPr>
          <w:p w:rsidR="00E4298E" w:rsidRDefault="00E4298E">
            <w:pPr>
              <w:spacing w:line="240" w:lineRule="exact"/>
              <w:jc w:val="right"/>
              <w:rPr>
                <w:sz w:val="18"/>
                <w:szCs w:val="18"/>
              </w:rPr>
            </w:pPr>
            <w:r>
              <w:rPr>
                <w:sz w:val="18"/>
                <w:szCs w:val="18"/>
              </w:rPr>
              <w:t>176,224,837.32</w:t>
            </w:r>
          </w:p>
        </w:tc>
        <w:tc>
          <w:tcPr>
            <w:tcW w:w="909" w:type="pct"/>
            <w:tcBorders>
              <w:top w:val="single" w:sz="2" w:space="0" w:color="auto"/>
              <w:left w:val="single" w:sz="2" w:space="0" w:color="auto"/>
              <w:bottom w:val="single" w:sz="2" w:space="0" w:color="auto"/>
              <w:right w:val="single" w:sz="2" w:space="0" w:color="auto"/>
            </w:tcBorders>
            <w:vAlign w:val="center"/>
          </w:tcPr>
          <w:p w:rsidR="00E4298E" w:rsidRDefault="00E4298E">
            <w:pPr>
              <w:spacing w:line="240" w:lineRule="exact"/>
              <w:jc w:val="right"/>
              <w:rPr>
                <w:sz w:val="18"/>
                <w:szCs w:val="18"/>
              </w:rPr>
            </w:pPr>
            <w:r>
              <w:rPr>
                <w:sz w:val="18"/>
                <w:szCs w:val="18"/>
              </w:rPr>
              <w:t>246,905,332.23</w:t>
            </w:r>
          </w:p>
        </w:tc>
        <w:tc>
          <w:tcPr>
            <w:tcW w:w="905" w:type="pct"/>
            <w:tcBorders>
              <w:top w:val="single" w:sz="2" w:space="0" w:color="auto"/>
              <w:left w:val="single" w:sz="2" w:space="0" w:color="auto"/>
              <w:bottom w:val="single" w:sz="2" w:space="0" w:color="auto"/>
              <w:right w:val="single" w:sz="2" w:space="0" w:color="auto"/>
            </w:tcBorders>
            <w:vAlign w:val="center"/>
          </w:tcPr>
          <w:p w:rsidR="00E4298E" w:rsidRDefault="00E4298E">
            <w:pPr>
              <w:spacing w:line="240" w:lineRule="exact"/>
              <w:jc w:val="right"/>
              <w:rPr>
                <w:sz w:val="18"/>
                <w:szCs w:val="18"/>
              </w:rPr>
            </w:pPr>
            <w:r>
              <w:rPr>
                <w:sz w:val="18"/>
                <w:szCs w:val="18"/>
              </w:rPr>
              <w:t>176,224,837.32</w:t>
            </w:r>
          </w:p>
        </w:tc>
      </w:tr>
      <w:tr w:rsidR="00E4298E" w:rsidTr="00E4298E">
        <w:trPr>
          <w:trHeight w:val="240"/>
        </w:trPr>
        <w:tc>
          <w:tcPr>
            <w:tcW w:w="1369" w:type="pct"/>
            <w:tcBorders>
              <w:top w:val="single" w:sz="2" w:space="0" w:color="auto"/>
              <w:left w:val="single" w:sz="2" w:space="0" w:color="auto"/>
              <w:bottom w:val="single" w:sz="2" w:space="0" w:color="auto"/>
              <w:right w:val="single" w:sz="2" w:space="0" w:color="auto"/>
            </w:tcBorders>
            <w:shd w:val="clear" w:color="auto" w:fill="D3D3D3"/>
            <w:vAlign w:val="center"/>
          </w:tcPr>
          <w:p w:rsidR="00E4298E" w:rsidRDefault="00E4298E">
            <w:pPr>
              <w:spacing w:before="40" w:after="40" w:line="240" w:lineRule="exact"/>
              <w:rPr>
                <w:sz w:val="18"/>
                <w:szCs w:val="18"/>
              </w:rPr>
            </w:pPr>
            <w:r>
              <w:rPr>
                <w:sz w:val="18"/>
                <w:szCs w:val="18"/>
              </w:rPr>
              <w:t xml:space="preserve">　其中：</w:t>
            </w:r>
          </w:p>
        </w:tc>
        <w:tc>
          <w:tcPr>
            <w:tcW w:w="909" w:type="pct"/>
            <w:tcBorders>
              <w:top w:val="single" w:sz="2" w:space="0" w:color="auto"/>
              <w:left w:val="single" w:sz="2" w:space="0" w:color="auto"/>
              <w:bottom w:val="single" w:sz="2" w:space="0" w:color="auto"/>
              <w:right w:val="single" w:sz="2" w:space="0" w:color="auto"/>
            </w:tcBorders>
            <w:shd w:val="clear" w:color="auto" w:fill="D3D3D3"/>
            <w:vAlign w:val="center"/>
          </w:tcPr>
          <w:p w:rsidR="00E4298E" w:rsidRDefault="00E4298E"/>
        </w:tc>
        <w:tc>
          <w:tcPr>
            <w:tcW w:w="909" w:type="pct"/>
            <w:tcBorders>
              <w:top w:val="single" w:sz="2" w:space="0" w:color="auto"/>
              <w:left w:val="single" w:sz="2" w:space="0" w:color="auto"/>
              <w:bottom w:val="single" w:sz="2" w:space="0" w:color="auto"/>
              <w:right w:val="single" w:sz="2" w:space="0" w:color="auto"/>
            </w:tcBorders>
            <w:shd w:val="clear" w:color="auto" w:fill="D3D3D3"/>
            <w:vAlign w:val="center"/>
          </w:tcPr>
          <w:p w:rsidR="00E4298E" w:rsidRDefault="00E4298E"/>
        </w:tc>
        <w:tc>
          <w:tcPr>
            <w:tcW w:w="909" w:type="pct"/>
            <w:tcBorders>
              <w:top w:val="single" w:sz="2" w:space="0" w:color="auto"/>
              <w:left w:val="single" w:sz="2" w:space="0" w:color="auto"/>
              <w:bottom w:val="single" w:sz="2" w:space="0" w:color="auto"/>
              <w:right w:val="single" w:sz="2" w:space="0" w:color="auto"/>
            </w:tcBorders>
            <w:shd w:val="clear" w:color="auto" w:fill="D3D3D3"/>
            <w:vAlign w:val="center"/>
          </w:tcPr>
          <w:p w:rsidR="00E4298E" w:rsidRDefault="00E4298E"/>
        </w:tc>
        <w:tc>
          <w:tcPr>
            <w:tcW w:w="905" w:type="pct"/>
            <w:tcBorders>
              <w:top w:val="single" w:sz="2" w:space="0" w:color="auto"/>
              <w:left w:val="single" w:sz="2" w:space="0" w:color="auto"/>
              <w:bottom w:val="single" w:sz="2" w:space="0" w:color="auto"/>
              <w:right w:val="single" w:sz="2" w:space="0" w:color="auto"/>
            </w:tcBorders>
            <w:shd w:val="clear" w:color="auto" w:fill="D3D3D3"/>
            <w:vAlign w:val="center"/>
          </w:tcPr>
          <w:p w:rsidR="00E4298E" w:rsidRDefault="00E4298E"/>
        </w:tc>
      </w:tr>
      <w:tr w:rsidR="00E4298E" w:rsidTr="00E4298E">
        <w:trPr>
          <w:trHeight w:val="240"/>
        </w:trPr>
        <w:tc>
          <w:tcPr>
            <w:tcW w:w="1369" w:type="pct"/>
            <w:tcBorders>
              <w:top w:val="single" w:sz="2" w:space="0" w:color="auto"/>
              <w:left w:val="single" w:sz="2" w:space="0" w:color="auto"/>
              <w:bottom w:val="single" w:sz="2" w:space="0" w:color="auto"/>
              <w:right w:val="single" w:sz="2" w:space="0" w:color="auto"/>
            </w:tcBorders>
            <w:vAlign w:val="center"/>
          </w:tcPr>
          <w:p w:rsidR="00E4298E" w:rsidRDefault="00E4298E">
            <w:pPr>
              <w:spacing w:line="240" w:lineRule="exact"/>
              <w:rPr>
                <w:sz w:val="18"/>
                <w:szCs w:val="18"/>
              </w:rPr>
            </w:pPr>
            <w:r>
              <w:rPr>
                <w:sz w:val="18"/>
                <w:szCs w:val="18"/>
              </w:rPr>
              <w:t>智慧政务</w:t>
            </w:r>
          </w:p>
        </w:tc>
        <w:tc>
          <w:tcPr>
            <w:tcW w:w="909" w:type="pct"/>
            <w:tcBorders>
              <w:top w:val="single" w:sz="2" w:space="0" w:color="auto"/>
              <w:left w:val="single" w:sz="2" w:space="0" w:color="auto"/>
              <w:bottom w:val="single" w:sz="2" w:space="0" w:color="auto"/>
              <w:right w:val="single" w:sz="2" w:space="0" w:color="auto"/>
            </w:tcBorders>
            <w:vAlign w:val="center"/>
          </w:tcPr>
          <w:p w:rsidR="00E4298E" w:rsidRDefault="00E4298E">
            <w:pPr>
              <w:spacing w:line="240" w:lineRule="exact"/>
              <w:jc w:val="right"/>
              <w:rPr>
                <w:sz w:val="18"/>
                <w:szCs w:val="18"/>
              </w:rPr>
            </w:pPr>
            <w:r>
              <w:rPr>
                <w:sz w:val="18"/>
                <w:szCs w:val="18"/>
              </w:rPr>
              <w:t>52,628,519.26</w:t>
            </w:r>
          </w:p>
        </w:tc>
        <w:tc>
          <w:tcPr>
            <w:tcW w:w="909" w:type="pct"/>
            <w:tcBorders>
              <w:top w:val="single" w:sz="2" w:space="0" w:color="auto"/>
              <w:left w:val="single" w:sz="2" w:space="0" w:color="auto"/>
              <w:bottom w:val="single" w:sz="2" w:space="0" w:color="auto"/>
              <w:right w:val="single" w:sz="2" w:space="0" w:color="auto"/>
            </w:tcBorders>
            <w:vAlign w:val="center"/>
          </w:tcPr>
          <w:p w:rsidR="00E4298E" w:rsidRDefault="00E4298E">
            <w:pPr>
              <w:spacing w:line="240" w:lineRule="exact"/>
              <w:jc w:val="right"/>
              <w:rPr>
                <w:sz w:val="18"/>
                <w:szCs w:val="18"/>
              </w:rPr>
            </w:pPr>
            <w:r>
              <w:rPr>
                <w:sz w:val="18"/>
                <w:szCs w:val="18"/>
              </w:rPr>
              <w:t>36,283,089.25</w:t>
            </w:r>
          </w:p>
        </w:tc>
        <w:tc>
          <w:tcPr>
            <w:tcW w:w="909" w:type="pct"/>
            <w:tcBorders>
              <w:top w:val="single" w:sz="2" w:space="0" w:color="auto"/>
              <w:left w:val="single" w:sz="2" w:space="0" w:color="auto"/>
              <w:bottom w:val="single" w:sz="2" w:space="0" w:color="auto"/>
              <w:right w:val="single" w:sz="2" w:space="0" w:color="auto"/>
            </w:tcBorders>
            <w:vAlign w:val="center"/>
          </w:tcPr>
          <w:p w:rsidR="00E4298E" w:rsidRDefault="00E4298E">
            <w:pPr>
              <w:spacing w:line="240" w:lineRule="exact"/>
              <w:jc w:val="right"/>
              <w:rPr>
                <w:sz w:val="18"/>
                <w:szCs w:val="18"/>
              </w:rPr>
            </w:pPr>
            <w:r>
              <w:rPr>
                <w:sz w:val="18"/>
                <w:szCs w:val="18"/>
              </w:rPr>
              <w:t>52,628,519.26</w:t>
            </w:r>
          </w:p>
        </w:tc>
        <w:tc>
          <w:tcPr>
            <w:tcW w:w="905" w:type="pct"/>
            <w:tcBorders>
              <w:top w:val="single" w:sz="2" w:space="0" w:color="auto"/>
              <w:left w:val="single" w:sz="2" w:space="0" w:color="auto"/>
              <w:bottom w:val="single" w:sz="2" w:space="0" w:color="auto"/>
              <w:right w:val="single" w:sz="2" w:space="0" w:color="auto"/>
            </w:tcBorders>
            <w:vAlign w:val="center"/>
          </w:tcPr>
          <w:p w:rsidR="00E4298E" w:rsidRDefault="00E4298E">
            <w:pPr>
              <w:spacing w:line="240" w:lineRule="exact"/>
              <w:jc w:val="right"/>
              <w:rPr>
                <w:sz w:val="18"/>
                <w:szCs w:val="18"/>
              </w:rPr>
            </w:pPr>
            <w:r>
              <w:rPr>
                <w:sz w:val="18"/>
                <w:szCs w:val="18"/>
              </w:rPr>
              <w:t>36,283,089.25</w:t>
            </w:r>
          </w:p>
        </w:tc>
      </w:tr>
      <w:tr w:rsidR="00E4298E" w:rsidTr="00E4298E">
        <w:trPr>
          <w:trHeight w:val="240"/>
        </w:trPr>
        <w:tc>
          <w:tcPr>
            <w:tcW w:w="1369" w:type="pct"/>
            <w:tcBorders>
              <w:top w:val="single" w:sz="2" w:space="0" w:color="auto"/>
              <w:left w:val="single" w:sz="2" w:space="0" w:color="auto"/>
              <w:bottom w:val="single" w:sz="2" w:space="0" w:color="auto"/>
              <w:right w:val="single" w:sz="2" w:space="0" w:color="auto"/>
            </w:tcBorders>
            <w:vAlign w:val="center"/>
          </w:tcPr>
          <w:p w:rsidR="00E4298E" w:rsidRDefault="00E4298E">
            <w:pPr>
              <w:spacing w:line="240" w:lineRule="exact"/>
              <w:rPr>
                <w:sz w:val="18"/>
                <w:szCs w:val="18"/>
              </w:rPr>
            </w:pPr>
            <w:r>
              <w:rPr>
                <w:sz w:val="18"/>
                <w:szCs w:val="18"/>
              </w:rPr>
              <w:t>智慧教育</w:t>
            </w:r>
          </w:p>
        </w:tc>
        <w:tc>
          <w:tcPr>
            <w:tcW w:w="909" w:type="pct"/>
            <w:tcBorders>
              <w:top w:val="single" w:sz="2" w:space="0" w:color="auto"/>
              <w:left w:val="single" w:sz="2" w:space="0" w:color="auto"/>
              <w:bottom w:val="single" w:sz="2" w:space="0" w:color="auto"/>
              <w:right w:val="single" w:sz="2" w:space="0" w:color="auto"/>
            </w:tcBorders>
            <w:vAlign w:val="center"/>
          </w:tcPr>
          <w:p w:rsidR="00E4298E" w:rsidRDefault="00E4298E">
            <w:pPr>
              <w:spacing w:line="240" w:lineRule="exact"/>
              <w:jc w:val="right"/>
              <w:rPr>
                <w:sz w:val="18"/>
                <w:szCs w:val="18"/>
              </w:rPr>
            </w:pPr>
            <w:r>
              <w:rPr>
                <w:sz w:val="18"/>
                <w:szCs w:val="18"/>
              </w:rPr>
              <w:t>9,490,002.89</w:t>
            </w:r>
          </w:p>
        </w:tc>
        <w:tc>
          <w:tcPr>
            <w:tcW w:w="909" w:type="pct"/>
            <w:tcBorders>
              <w:top w:val="single" w:sz="2" w:space="0" w:color="auto"/>
              <w:left w:val="single" w:sz="2" w:space="0" w:color="auto"/>
              <w:bottom w:val="single" w:sz="2" w:space="0" w:color="auto"/>
              <w:right w:val="single" w:sz="2" w:space="0" w:color="auto"/>
            </w:tcBorders>
            <w:vAlign w:val="center"/>
          </w:tcPr>
          <w:p w:rsidR="00E4298E" w:rsidRDefault="00E4298E">
            <w:pPr>
              <w:spacing w:line="240" w:lineRule="exact"/>
              <w:jc w:val="right"/>
              <w:rPr>
                <w:sz w:val="18"/>
                <w:szCs w:val="18"/>
              </w:rPr>
            </w:pPr>
            <w:r>
              <w:rPr>
                <w:sz w:val="18"/>
                <w:szCs w:val="18"/>
              </w:rPr>
              <w:t>8,238,896.68</w:t>
            </w:r>
          </w:p>
        </w:tc>
        <w:tc>
          <w:tcPr>
            <w:tcW w:w="909" w:type="pct"/>
            <w:tcBorders>
              <w:top w:val="single" w:sz="2" w:space="0" w:color="auto"/>
              <w:left w:val="single" w:sz="2" w:space="0" w:color="auto"/>
              <w:bottom w:val="single" w:sz="2" w:space="0" w:color="auto"/>
              <w:right w:val="single" w:sz="2" w:space="0" w:color="auto"/>
            </w:tcBorders>
            <w:vAlign w:val="center"/>
          </w:tcPr>
          <w:p w:rsidR="00E4298E" w:rsidRDefault="00E4298E">
            <w:pPr>
              <w:spacing w:line="240" w:lineRule="exact"/>
              <w:jc w:val="right"/>
              <w:rPr>
                <w:sz w:val="18"/>
                <w:szCs w:val="18"/>
              </w:rPr>
            </w:pPr>
            <w:r>
              <w:rPr>
                <w:sz w:val="18"/>
                <w:szCs w:val="18"/>
              </w:rPr>
              <w:t>9,490,002.89</w:t>
            </w:r>
          </w:p>
        </w:tc>
        <w:tc>
          <w:tcPr>
            <w:tcW w:w="905" w:type="pct"/>
            <w:tcBorders>
              <w:top w:val="single" w:sz="2" w:space="0" w:color="auto"/>
              <w:left w:val="single" w:sz="2" w:space="0" w:color="auto"/>
              <w:bottom w:val="single" w:sz="2" w:space="0" w:color="auto"/>
              <w:right w:val="single" w:sz="2" w:space="0" w:color="auto"/>
            </w:tcBorders>
            <w:vAlign w:val="center"/>
          </w:tcPr>
          <w:p w:rsidR="00E4298E" w:rsidRDefault="00E4298E">
            <w:pPr>
              <w:spacing w:line="240" w:lineRule="exact"/>
              <w:jc w:val="right"/>
              <w:rPr>
                <w:sz w:val="18"/>
                <w:szCs w:val="18"/>
              </w:rPr>
            </w:pPr>
            <w:r>
              <w:rPr>
                <w:sz w:val="18"/>
                <w:szCs w:val="18"/>
              </w:rPr>
              <w:t>8,238,896.68</w:t>
            </w:r>
          </w:p>
        </w:tc>
      </w:tr>
      <w:tr w:rsidR="00E4298E" w:rsidTr="00E4298E">
        <w:trPr>
          <w:trHeight w:val="240"/>
        </w:trPr>
        <w:tc>
          <w:tcPr>
            <w:tcW w:w="1369" w:type="pct"/>
            <w:tcBorders>
              <w:top w:val="single" w:sz="2" w:space="0" w:color="auto"/>
              <w:left w:val="single" w:sz="2" w:space="0" w:color="auto"/>
              <w:bottom w:val="single" w:sz="2" w:space="0" w:color="auto"/>
              <w:right w:val="single" w:sz="2" w:space="0" w:color="auto"/>
            </w:tcBorders>
            <w:vAlign w:val="center"/>
          </w:tcPr>
          <w:p w:rsidR="00E4298E" w:rsidRDefault="00E4298E">
            <w:pPr>
              <w:spacing w:line="240" w:lineRule="exact"/>
              <w:rPr>
                <w:sz w:val="18"/>
                <w:szCs w:val="18"/>
              </w:rPr>
            </w:pPr>
            <w:r>
              <w:rPr>
                <w:sz w:val="18"/>
                <w:szCs w:val="18"/>
              </w:rPr>
              <w:t>智慧医疗</w:t>
            </w:r>
          </w:p>
        </w:tc>
        <w:tc>
          <w:tcPr>
            <w:tcW w:w="909" w:type="pct"/>
            <w:tcBorders>
              <w:top w:val="single" w:sz="2" w:space="0" w:color="auto"/>
              <w:left w:val="single" w:sz="2" w:space="0" w:color="auto"/>
              <w:bottom w:val="single" w:sz="2" w:space="0" w:color="auto"/>
              <w:right w:val="single" w:sz="2" w:space="0" w:color="auto"/>
            </w:tcBorders>
            <w:vAlign w:val="center"/>
          </w:tcPr>
          <w:p w:rsidR="00E4298E" w:rsidRDefault="00E4298E">
            <w:pPr>
              <w:spacing w:line="240" w:lineRule="exact"/>
              <w:jc w:val="right"/>
              <w:rPr>
                <w:sz w:val="18"/>
                <w:szCs w:val="18"/>
              </w:rPr>
            </w:pPr>
            <w:r>
              <w:rPr>
                <w:sz w:val="18"/>
                <w:szCs w:val="18"/>
              </w:rPr>
              <w:t>47,521,958.47</w:t>
            </w:r>
          </w:p>
        </w:tc>
        <w:tc>
          <w:tcPr>
            <w:tcW w:w="909" w:type="pct"/>
            <w:tcBorders>
              <w:top w:val="single" w:sz="2" w:space="0" w:color="auto"/>
              <w:left w:val="single" w:sz="2" w:space="0" w:color="auto"/>
              <w:bottom w:val="single" w:sz="2" w:space="0" w:color="auto"/>
              <w:right w:val="single" w:sz="2" w:space="0" w:color="auto"/>
            </w:tcBorders>
            <w:vAlign w:val="center"/>
          </w:tcPr>
          <w:p w:rsidR="00E4298E" w:rsidRDefault="00E4298E">
            <w:pPr>
              <w:spacing w:line="240" w:lineRule="exact"/>
              <w:jc w:val="right"/>
              <w:rPr>
                <w:sz w:val="18"/>
                <w:szCs w:val="18"/>
              </w:rPr>
            </w:pPr>
            <w:r>
              <w:rPr>
                <w:sz w:val="18"/>
                <w:szCs w:val="18"/>
              </w:rPr>
              <w:t>42,341,253.86</w:t>
            </w:r>
          </w:p>
        </w:tc>
        <w:tc>
          <w:tcPr>
            <w:tcW w:w="909" w:type="pct"/>
            <w:tcBorders>
              <w:top w:val="single" w:sz="2" w:space="0" w:color="auto"/>
              <w:left w:val="single" w:sz="2" w:space="0" w:color="auto"/>
              <w:bottom w:val="single" w:sz="2" w:space="0" w:color="auto"/>
              <w:right w:val="single" w:sz="2" w:space="0" w:color="auto"/>
            </w:tcBorders>
            <w:vAlign w:val="center"/>
          </w:tcPr>
          <w:p w:rsidR="00E4298E" w:rsidRDefault="00E4298E">
            <w:pPr>
              <w:spacing w:line="240" w:lineRule="exact"/>
              <w:jc w:val="right"/>
              <w:rPr>
                <w:sz w:val="18"/>
                <w:szCs w:val="18"/>
              </w:rPr>
            </w:pPr>
            <w:r>
              <w:rPr>
                <w:sz w:val="18"/>
                <w:szCs w:val="18"/>
              </w:rPr>
              <w:t>47,521,958.47</w:t>
            </w:r>
          </w:p>
        </w:tc>
        <w:tc>
          <w:tcPr>
            <w:tcW w:w="905" w:type="pct"/>
            <w:tcBorders>
              <w:top w:val="single" w:sz="2" w:space="0" w:color="auto"/>
              <w:left w:val="single" w:sz="2" w:space="0" w:color="auto"/>
              <w:bottom w:val="single" w:sz="2" w:space="0" w:color="auto"/>
              <w:right w:val="single" w:sz="2" w:space="0" w:color="auto"/>
            </w:tcBorders>
            <w:vAlign w:val="center"/>
          </w:tcPr>
          <w:p w:rsidR="00E4298E" w:rsidRDefault="00E4298E">
            <w:pPr>
              <w:spacing w:line="240" w:lineRule="exact"/>
              <w:jc w:val="right"/>
              <w:rPr>
                <w:sz w:val="18"/>
                <w:szCs w:val="18"/>
              </w:rPr>
            </w:pPr>
            <w:r>
              <w:rPr>
                <w:sz w:val="18"/>
                <w:szCs w:val="18"/>
              </w:rPr>
              <w:t>42,341,253.86</w:t>
            </w:r>
          </w:p>
        </w:tc>
      </w:tr>
      <w:tr w:rsidR="00E4298E" w:rsidTr="00E4298E">
        <w:trPr>
          <w:trHeight w:val="240"/>
        </w:trPr>
        <w:tc>
          <w:tcPr>
            <w:tcW w:w="1369" w:type="pct"/>
            <w:tcBorders>
              <w:top w:val="single" w:sz="2" w:space="0" w:color="auto"/>
              <w:left w:val="single" w:sz="2" w:space="0" w:color="auto"/>
              <w:bottom w:val="single" w:sz="2" w:space="0" w:color="auto"/>
              <w:right w:val="single" w:sz="2" w:space="0" w:color="auto"/>
            </w:tcBorders>
            <w:vAlign w:val="center"/>
          </w:tcPr>
          <w:p w:rsidR="00E4298E" w:rsidRDefault="00E4298E">
            <w:pPr>
              <w:spacing w:line="240" w:lineRule="exact"/>
              <w:rPr>
                <w:sz w:val="18"/>
                <w:szCs w:val="18"/>
              </w:rPr>
            </w:pPr>
            <w:r>
              <w:rPr>
                <w:sz w:val="18"/>
                <w:szCs w:val="18"/>
              </w:rPr>
              <w:t>智慧企业</w:t>
            </w:r>
          </w:p>
        </w:tc>
        <w:tc>
          <w:tcPr>
            <w:tcW w:w="909" w:type="pct"/>
            <w:tcBorders>
              <w:top w:val="single" w:sz="2" w:space="0" w:color="auto"/>
              <w:left w:val="single" w:sz="2" w:space="0" w:color="auto"/>
              <w:bottom w:val="single" w:sz="2" w:space="0" w:color="auto"/>
              <w:right w:val="single" w:sz="2" w:space="0" w:color="auto"/>
            </w:tcBorders>
            <w:vAlign w:val="center"/>
          </w:tcPr>
          <w:p w:rsidR="00E4298E" w:rsidRDefault="00E4298E">
            <w:pPr>
              <w:spacing w:line="240" w:lineRule="exact"/>
              <w:jc w:val="right"/>
              <w:rPr>
                <w:sz w:val="18"/>
                <w:szCs w:val="18"/>
              </w:rPr>
            </w:pPr>
            <w:r>
              <w:rPr>
                <w:sz w:val="18"/>
                <w:szCs w:val="18"/>
              </w:rPr>
              <w:t>54,985,913.44</w:t>
            </w:r>
          </w:p>
        </w:tc>
        <w:tc>
          <w:tcPr>
            <w:tcW w:w="909" w:type="pct"/>
            <w:tcBorders>
              <w:top w:val="single" w:sz="2" w:space="0" w:color="auto"/>
              <w:left w:val="single" w:sz="2" w:space="0" w:color="auto"/>
              <w:bottom w:val="single" w:sz="2" w:space="0" w:color="auto"/>
              <w:right w:val="single" w:sz="2" w:space="0" w:color="auto"/>
            </w:tcBorders>
            <w:vAlign w:val="center"/>
          </w:tcPr>
          <w:p w:rsidR="00E4298E" w:rsidRDefault="00E4298E">
            <w:pPr>
              <w:spacing w:line="240" w:lineRule="exact"/>
              <w:jc w:val="right"/>
              <w:rPr>
                <w:sz w:val="18"/>
                <w:szCs w:val="18"/>
              </w:rPr>
            </w:pPr>
            <w:r>
              <w:rPr>
                <w:sz w:val="18"/>
                <w:szCs w:val="18"/>
              </w:rPr>
              <w:t>42,934,849.47</w:t>
            </w:r>
          </w:p>
        </w:tc>
        <w:tc>
          <w:tcPr>
            <w:tcW w:w="909" w:type="pct"/>
            <w:tcBorders>
              <w:top w:val="single" w:sz="2" w:space="0" w:color="auto"/>
              <w:left w:val="single" w:sz="2" w:space="0" w:color="auto"/>
              <w:bottom w:val="single" w:sz="2" w:space="0" w:color="auto"/>
              <w:right w:val="single" w:sz="2" w:space="0" w:color="auto"/>
            </w:tcBorders>
            <w:vAlign w:val="center"/>
          </w:tcPr>
          <w:p w:rsidR="00E4298E" w:rsidRDefault="00E4298E">
            <w:pPr>
              <w:spacing w:line="240" w:lineRule="exact"/>
              <w:jc w:val="right"/>
              <w:rPr>
                <w:sz w:val="18"/>
                <w:szCs w:val="18"/>
              </w:rPr>
            </w:pPr>
            <w:r>
              <w:rPr>
                <w:sz w:val="18"/>
                <w:szCs w:val="18"/>
              </w:rPr>
              <w:t>54,985,913.44</w:t>
            </w:r>
          </w:p>
        </w:tc>
        <w:tc>
          <w:tcPr>
            <w:tcW w:w="905" w:type="pct"/>
            <w:tcBorders>
              <w:top w:val="single" w:sz="2" w:space="0" w:color="auto"/>
              <w:left w:val="single" w:sz="2" w:space="0" w:color="auto"/>
              <w:bottom w:val="single" w:sz="2" w:space="0" w:color="auto"/>
              <w:right w:val="single" w:sz="2" w:space="0" w:color="auto"/>
            </w:tcBorders>
            <w:vAlign w:val="center"/>
          </w:tcPr>
          <w:p w:rsidR="00E4298E" w:rsidRDefault="00E4298E">
            <w:pPr>
              <w:spacing w:line="240" w:lineRule="exact"/>
              <w:jc w:val="right"/>
              <w:rPr>
                <w:sz w:val="18"/>
                <w:szCs w:val="18"/>
              </w:rPr>
            </w:pPr>
            <w:r>
              <w:rPr>
                <w:sz w:val="18"/>
                <w:szCs w:val="18"/>
              </w:rPr>
              <w:t>42,934,849.47</w:t>
            </w:r>
          </w:p>
        </w:tc>
      </w:tr>
      <w:tr w:rsidR="00E4298E" w:rsidTr="00E4298E">
        <w:trPr>
          <w:trHeight w:val="240"/>
        </w:trPr>
        <w:tc>
          <w:tcPr>
            <w:tcW w:w="1369" w:type="pct"/>
            <w:tcBorders>
              <w:top w:val="single" w:sz="2" w:space="0" w:color="auto"/>
              <w:left w:val="single" w:sz="2" w:space="0" w:color="auto"/>
              <w:bottom w:val="single" w:sz="2" w:space="0" w:color="auto"/>
              <w:right w:val="single" w:sz="2" w:space="0" w:color="auto"/>
            </w:tcBorders>
            <w:vAlign w:val="center"/>
          </w:tcPr>
          <w:p w:rsidR="00E4298E" w:rsidRDefault="00E4298E">
            <w:pPr>
              <w:spacing w:line="240" w:lineRule="exact"/>
              <w:rPr>
                <w:sz w:val="18"/>
                <w:szCs w:val="18"/>
              </w:rPr>
            </w:pPr>
            <w:r>
              <w:rPr>
                <w:sz w:val="18"/>
                <w:szCs w:val="18"/>
              </w:rPr>
              <w:t>算力服务</w:t>
            </w:r>
          </w:p>
        </w:tc>
        <w:tc>
          <w:tcPr>
            <w:tcW w:w="909" w:type="pct"/>
            <w:tcBorders>
              <w:top w:val="single" w:sz="2" w:space="0" w:color="auto"/>
              <w:left w:val="single" w:sz="2" w:space="0" w:color="auto"/>
              <w:bottom w:val="single" w:sz="2" w:space="0" w:color="auto"/>
              <w:right w:val="single" w:sz="2" w:space="0" w:color="auto"/>
            </w:tcBorders>
            <w:vAlign w:val="center"/>
          </w:tcPr>
          <w:p w:rsidR="00E4298E" w:rsidRDefault="00E4298E">
            <w:pPr>
              <w:spacing w:line="240" w:lineRule="exact"/>
              <w:jc w:val="right"/>
              <w:rPr>
                <w:sz w:val="18"/>
                <w:szCs w:val="18"/>
              </w:rPr>
            </w:pPr>
            <w:r>
              <w:rPr>
                <w:sz w:val="18"/>
                <w:szCs w:val="18"/>
              </w:rPr>
              <w:t>66,165,689.04</w:t>
            </w:r>
          </w:p>
        </w:tc>
        <w:tc>
          <w:tcPr>
            <w:tcW w:w="909" w:type="pct"/>
            <w:tcBorders>
              <w:top w:val="single" w:sz="2" w:space="0" w:color="auto"/>
              <w:left w:val="single" w:sz="2" w:space="0" w:color="auto"/>
              <w:bottom w:val="single" w:sz="2" w:space="0" w:color="auto"/>
              <w:right w:val="single" w:sz="2" w:space="0" w:color="auto"/>
            </w:tcBorders>
            <w:vAlign w:val="center"/>
          </w:tcPr>
          <w:p w:rsidR="00E4298E" w:rsidRDefault="00E4298E">
            <w:pPr>
              <w:spacing w:line="240" w:lineRule="exact"/>
              <w:jc w:val="right"/>
              <w:rPr>
                <w:sz w:val="18"/>
                <w:szCs w:val="18"/>
              </w:rPr>
            </w:pPr>
            <w:r>
              <w:rPr>
                <w:sz w:val="18"/>
                <w:szCs w:val="18"/>
              </w:rPr>
              <w:t>34,814,138.81</w:t>
            </w:r>
          </w:p>
        </w:tc>
        <w:tc>
          <w:tcPr>
            <w:tcW w:w="909" w:type="pct"/>
            <w:tcBorders>
              <w:top w:val="single" w:sz="2" w:space="0" w:color="auto"/>
              <w:left w:val="single" w:sz="2" w:space="0" w:color="auto"/>
              <w:bottom w:val="single" w:sz="2" w:space="0" w:color="auto"/>
              <w:right w:val="single" w:sz="2" w:space="0" w:color="auto"/>
            </w:tcBorders>
            <w:vAlign w:val="center"/>
          </w:tcPr>
          <w:p w:rsidR="00E4298E" w:rsidRDefault="00E4298E">
            <w:pPr>
              <w:spacing w:line="240" w:lineRule="exact"/>
              <w:jc w:val="right"/>
              <w:rPr>
                <w:sz w:val="18"/>
                <w:szCs w:val="18"/>
              </w:rPr>
            </w:pPr>
            <w:r>
              <w:rPr>
                <w:sz w:val="18"/>
                <w:szCs w:val="18"/>
              </w:rPr>
              <w:t>66,165,689.04</w:t>
            </w:r>
          </w:p>
        </w:tc>
        <w:tc>
          <w:tcPr>
            <w:tcW w:w="905" w:type="pct"/>
            <w:tcBorders>
              <w:top w:val="single" w:sz="2" w:space="0" w:color="auto"/>
              <w:left w:val="single" w:sz="2" w:space="0" w:color="auto"/>
              <w:bottom w:val="single" w:sz="2" w:space="0" w:color="auto"/>
              <w:right w:val="single" w:sz="2" w:space="0" w:color="auto"/>
            </w:tcBorders>
            <w:vAlign w:val="center"/>
          </w:tcPr>
          <w:p w:rsidR="00E4298E" w:rsidRDefault="00E4298E">
            <w:pPr>
              <w:spacing w:line="240" w:lineRule="exact"/>
              <w:jc w:val="right"/>
              <w:rPr>
                <w:sz w:val="18"/>
                <w:szCs w:val="18"/>
              </w:rPr>
            </w:pPr>
            <w:r>
              <w:rPr>
                <w:sz w:val="18"/>
                <w:szCs w:val="18"/>
              </w:rPr>
              <w:t>34,814,138.81</w:t>
            </w:r>
          </w:p>
        </w:tc>
      </w:tr>
      <w:tr w:rsidR="00E4298E" w:rsidTr="00E4298E">
        <w:trPr>
          <w:trHeight w:val="240"/>
        </w:trPr>
        <w:tc>
          <w:tcPr>
            <w:tcW w:w="1369" w:type="pct"/>
            <w:tcBorders>
              <w:top w:val="single" w:sz="2" w:space="0" w:color="auto"/>
              <w:left w:val="single" w:sz="2" w:space="0" w:color="auto"/>
              <w:bottom w:val="single" w:sz="2" w:space="0" w:color="auto"/>
              <w:right w:val="single" w:sz="2" w:space="0" w:color="auto"/>
            </w:tcBorders>
            <w:vAlign w:val="center"/>
          </w:tcPr>
          <w:p w:rsidR="00E4298E" w:rsidRDefault="00E4298E">
            <w:pPr>
              <w:spacing w:line="240" w:lineRule="exact"/>
              <w:rPr>
                <w:sz w:val="18"/>
                <w:szCs w:val="18"/>
              </w:rPr>
            </w:pPr>
            <w:r>
              <w:rPr>
                <w:sz w:val="18"/>
                <w:szCs w:val="18"/>
              </w:rPr>
              <w:t>轨道交通</w:t>
            </w:r>
          </w:p>
        </w:tc>
        <w:tc>
          <w:tcPr>
            <w:tcW w:w="909" w:type="pct"/>
            <w:tcBorders>
              <w:top w:val="single" w:sz="2" w:space="0" w:color="auto"/>
              <w:left w:val="single" w:sz="2" w:space="0" w:color="auto"/>
              <w:bottom w:val="single" w:sz="2" w:space="0" w:color="auto"/>
              <w:right w:val="single" w:sz="2" w:space="0" w:color="auto"/>
            </w:tcBorders>
            <w:vAlign w:val="center"/>
          </w:tcPr>
          <w:p w:rsidR="00E4298E" w:rsidRDefault="00E4298E">
            <w:pPr>
              <w:spacing w:line="240" w:lineRule="exact"/>
              <w:jc w:val="right"/>
              <w:rPr>
                <w:sz w:val="18"/>
                <w:szCs w:val="18"/>
              </w:rPr>
            </w:pPr>
            <w:r>
              <w:rPr>
                <w:sz w:val="18"/>
                <w:szCs w:val="18"/>
              </w:rPr>
              <w:t>16,113,249.13</w:t>
            </w:r>
          </w:p>
        </w:tc>
        <w:tc>
          <w:tcPr>
            <w:tcW w:w="909" w:type="pct"/>
            <w:tcBorders>
              <w:top w:val="single" w:sz="2" w:space="0" w:color="auto"/>
              <w:left w:val="single" w:sz="2" w:space="0" w:color="auto"/>
              <w:bottom w:val="single" w:sz="2" w:space="0" w:color="auto"/>
              <w:right w:val="single" w:sz="2" w:space="0" w:color="auto"/>
            </w:tcBorders>
            <w:vAlign w:val="center"/>
          </w:tcPr>
          <w:p w:rsidR="00E4298E" w:rsidRDefault="00E4298E">
            <w:pPr>
              <w:spacing w:line="240" w:lineRule="exact"/>
              <w:jc w:val="right"/>
              <w:rPr>
                <w:sz w:val="18"/>
                <w:szCs w:val="18"/>
              </w:rPr>
            </w:pPr>
            <w:r>
              <w:rPr>
                <w:sz w:val="18"/>
                <w:szCs w:val="18"/>
              </w:rPr>
              <w:t>11,612,609.25</w:t>
            </w:r>
          </w:p>
        </w:tc>
        <w:tc>
          <w:tcPr>
            <w:tcW w:w="909" w:type="pct"/>
            <w:tcBorders>
              <w:top w:val="single" w:sz="2" w:space="0" w:color="auto"/>
              <w:left w:val="single" w:sz="2" w:space="0" w:color="auto"/>
              <w:bottom w:val="single" w:sz="2" w:space="0" w:color="auto"/>
              <w:right w:val="single" w:sz="2" w:space="0" w:color="auto"/>
            </w:tcBorders>
            <w:vAlign w:val="center"/>
          </w:tcPr>
          <w:p w:rsidR="00E4298E" w:rsidRDefault="00E4298E">
            <w:pPr>
              <w:spacing w:line="240" w:lineRule="exact"/>
              <w:jc w:val="right"/>
              <w:rPr>
                <w:sz w:val="18"/>
                <w:szCs w:val="18"/>
              </w:rPr>
            </w:pPr>
            <w:r>
              <w:rPr>
                <w:sz w:val="18"/>
                <w:szCs w:val="18"/>
              </w:rPr>
              <w:t>16,113,249.13</w:t>
            </w:r>
          </w:p>
        </w:tc>
        <w:tc>
          <w:tcPr>
            <w:tcW w:w="905" w:type="pct"/>
            <w:tcBorders>
              <w:top w:val="single" w:sz="2" w:space="0" w:color="auto"/>
              <w:left w:val="single" w:sz="2" w:space="0" w:color="auto"/>
              <w:bottom w:val="single" w:sz="2" w:space="0" w:color="auto"/>
              <w:right w:val="single" w:sz="2" w:space="0" w:color="auto"/>
            </w:tcBorders>
            <w:vAlign w:val="center"/>
          </w:tcPr>
          <w:p w:rsidR="00E4298E" w:rsidRDefault="00E4298E">
            <w:pPr>
              <w:spacing w:line="240" w:lineRule="exact"/>
              <w:jc w:val="right"/>
              <w:rPr>
                <w:sz w:val="18"/>
                <w:szCs w:val="18"/>
              </w:rPr>
            </w:pPr>
            <w:r>
              <w:rPr>
                <w:sz w:val="18"/>
                <w:szCs w:val="18"/>
              </w:rPr>
              <w:t>11,612,609.25</w:t>
            </w:r>
          </w:p>
        </w:tc>
      </w:tr>
      <w:tr w:rsidR="00E4298E" w:rsidTr="00E4298E">
        <w:trPr>
          <w:trHeight w:val="240"/>
        </w:trPr>
        <w:tc>
          <w:tcPr>
            <w:tcW w:w="1369" w:type="pct"/>
            <w:tcBorders>
              <w:top w:val="single" w:sz="2" w:space="0" w:color="auto"/>
              <w:left w:val="single" w:sz="2" w:space="0" w:color="auto"/>
              <w:bottom w:val="single" w:sz="2" w:space="0" w:color="auto"/>
              <w:right w:val="single" w:sz="2" w:space="0" w:color="auto"/>
            </w:tcBorders>
            <w:shd w:val="clear" w:color="auto" w:fill="D3D3D3"/>
            <w:vAlign w:val="center"/>
          </w:tcPr>
          <w:p w:rsidR="00E4298E" w:rsidRDefault="00E4298E">
            <w:pPr>
              <w:spacing w:before="40" w:after="40" w:line="240" w:lineRule="exact"/>
              <w:rPr>
                <w:sz w:val="18"/>
                <w:szCs w:val="18"/>
              </w:rPr>
            </w:pPr>
            <w:r>
              <w:rPr>
                <w:sz w:val="18"/>
                <w:szCs w:val="18"/>
              </w:rPr>
              <w:lastRenderedPageBreak/>
              <w:t>合同类型</w:t>
            </w:r>
          </w:p>
        </w:tc>
        <w:tc>
          <w:tcPr>
            <w:tcW w:w="909" w:type="pct"/>
            <w:tcBorders>
              <w:top w:val="single" w:sz="2" w:space="0" w:color="auto"/>
              <w:left w:val="single" w:sz="2" w:space="0" w:color="auto"/>
              <w:bottom w:val="single" w:sz="2" w:space="0" w:color="auto"/>
              <w:right w:val="single" w:sz="2" w:space="0" w:color="auto"/>
            </w:tcBorders>
            <w:vAlign w:val="center"/>
          </w:tcPr>
          <w:p w:rsidR="00E4298E" w:rsidRDefault="00E4298E">
            <w:pPr>
              <w:spacing w:line="240" w:lineRule="exact"/>
              <w:jc w:val="right"/>
              <w:rPr>
                <w:sz w:val="18"/>
                <w:szCs w:val="18"/>
              </w:rPr>
            </w:pPr>
          </w:p>
        </w:tc>
        <w:tc>
          <w:tcPr>
            <w:tcW w:w="909" w:type="pct"/>
            <w:tcBorders>
              <w:top w:val="single" w:sz="2" w:space="0" w:color="auto"/>
              <w:left w:val="single" w:sz="2" w:space="0" w:color="auto"/>
              <w:bottom w:val="single" w:sz="2" w:space="0" w:color="auto"/>
              <w:right w:val="single" w:sz="2" w:space="0" w:color="auto"/>
            </w:tcBorders>
            <w:vAlign w:val="center"/>
          </w:tcPr>
          <w:p w:rsidR="00E4298E" w:rsidRDefault="00E4298E">
            <w:pPr>
              <w:spacing w:line="240" w:lineRule="exact"/>
              <w:jc w:val="right"/>
              <w:rPr>
                <w:sz w:val="18"/>
                <w:szCs w:val="18"/>
              </w:rPr>
            </w:pPr>
          </w:p>
        </w:tc>
        <w:tc>
          <w:tcPr>
            <w:tcW w:w="909" w:type="pct"/>
            <w:tcBorders>
              <w:top w:val="single" w:sz="2" w:space="0" w:color="auto"/>
              <w:left w:val="single" w:sz="2" w:space="0" w:color="auto"/>
              <w:bottom w:val="single" w:sz="2" w:space="0" w:color="auto"/>
              <w:right w:val="single" w:sz="2" w:space="0" w:color="auto"/>
            </w:tcBorders>
            <w:vAlign w:val="center"/>
          </w:tcPr>
          <w:p w:rsidR="00E4298E" w:rsidRDefault="00E4298E">
            <w:pPr>
              <w:spacing w:line="240" w:lineRule="exact"/>
              <w:jc w:val="right"/>
              <w:rPr>
                <w:sz w:val="18"/>
                <w:szCs w:val="18"/>
              </w:rPr>
            </w:pPr>
          </w:p>
        </w:tc>
        <w:tc>
          <w:tcPr>
            <w:tcW w:w="905" w:type="pct"/>
            <w:tcBorders>
              <w:top w:val="single" w:sz="2" w:space="0" w:color="auto"/>
              <w:left w:val="single" w:sz="2" w:space="0" w:color="auto"/>
              <w:bottom w:val="single" w:sz="2" w:space="0" w:color="auto"/>
              <w:right w:val="single" w:sz="2" w:space="0" w:color="auto"/>
            </w:tcBorders>
            <w:vAlign w:val="center"/>
          </w:tcPr>
          <w:p w:rsidR="00E4298E" w:rsidRDefault="00E4298E">
            <w:pPr>
              <w:spacing w:line="240" w:lineRule="exact"/>
              <w:jc w:val="right"/>
              <w:rPr>
                <w:sz w:val="18"/>
                <w:szCs w:val="18"/>
              </w:rPr>
            </w:pPr>
          </w:p>
        </w:tc>
      </w:tr>
      <w:tr w:rsidR="00E4298E" w:rsidTr="00E4298E">
        <w:trPr>
          <w:trHeight w:val="240"/>
        </w:trPr>
        <w:tc>
          <w:tcPr>
            <w:tcW w:w="1369" w:type="pct"/>
            <w:tcBorders>
              <w:top w:val="single" w:sz="2" w:space="0" w:color="auto"/>
              <w:left w:val="single" w:sz="2" w:space="0" w:color="auto"/>
              <w:bottom w:val="single" w:sz="2" w:space="0" w:color="auto"/>
              <w:right w:val="single" w:sz="2" w:space="0" w:color="auto"/>
            </w:tcBorders>
            <w:shd w:val="clear" w:color="auto" w:fill="D3D3D3"/>
            <w:vAlign w:val="center"/>
          </w:tcPr>
          <w:p w:rsidR="00E4298E" w:rsidRDefault="00E4298E">
            <w:pPr>
              <w:spacing w:before="40" w:after="40" w:line="240" w:lineRule="exact"/>
              <w:rPr>
                <w:sz w:val="18"/>
                <w:szCs w:val="18"/>
              </w:rPr>
            </w:pPr>
            <w:r>
              <w:rPr>
                <w:sz w:val="18"/>
                <w:szCs w:val="18"/>
              </w:rPr>
              <w:t xml:space="preserve">　其中：</w:t>
            </w:r>
          </w:p>
        </w:tc>
        <w:tc>
          <w:tcPr>
            <w:tcW w:w="909" w:type="pct"/>
            <w:tcBorders>
              <w:top w:val="single" w:sz="2" w:space="0" w:color="auto"/>
              <w:left w:val="single" w:sz="2" w:space="0" w:color="auto"/>
              <w:bottom w:val="single" w:sz="2" w:space="0" w:color="auto"/>
              <w:right w:val="single" w:sz="2" w:space="0" w:color="auto"/>
            </w:tcBorders>
            <w:shd w:val="clear" w:color="auto" w:fill="D3D3D3"/>
            <w:vAlign w:val="center"/>
          </w:tcPr>
          <w:p w:rsidR="00E4298E" w:rsidRDefault="00E4298E"/>
        </w:tc>
        <w:tc>
          <w:tcPr>
            <w:tcW w:w="909" w:type="pct"/>
            <w:tcBorders>
              <w:top w:val="single" w:sz="2" w:space="0" w:color="auto"/>
              <w:left w:val="single" w:sz="2" w:space="0" w:color="auto"/>
              <w:bottom w:val="single" w:sz="2" w:space="0" w:color="auto"/>
              <w:right w:val="single" w:sz="2" w:space="0" w:color="auto"/>
            </w:tcBorders>
            <w:shd w:val="clear" w:color="auto" w:fill="D3D3D3"/>
            <w:vAlign w:val="center"/>
          </w:tcPr>
          <w:p w:rsidR="00E4298E" w:rsidRDefault="00E4298E"/>
        </w:tc>
        <w:tc>
          <w:tcPr>
            <w:tcW w:w="909" w:type="pct"/>
            <w:tcBorders>
              <w:top w:val="single" w:sz="2" w:space="0" w:color="auto"/>
              <w:left w:val="single" w:sz="2" w:space="0" w:color="auto"/>
              <w:bottom w:val="single" w:sz="2" w:space="0" w:color="auto"/>
              <w:right w:val="single" w:sz="2" w:space="0" w:color="auto"/>
            </w:tcBorders>
            <w:shd w:val="clear" w:color="auto" w:fill="D3D3D3"/>
            <w:vAlign w:val="center"/>
          </w:tcPr>
          <w:p w:rsidR="00E4298E" w:rsidRDefault="00E4298E"/>
        </w:tc>
        <w:tc>
          <w:tcPr>
            <w:tcW w:w="905" w:type="pct"/>
            <w:tcBorders>
              <w:top w:val="single" w:sz="2" w:space="0" w:color="auto"/>
              <w:left w:val="single" w:sz="2" w:space="0" w:color="auto"/>
              <w:bottom w:val="single" w:sz="2" w:space="0" w:color="auto"/>
              <w:right w:val="single" w:sz="2" w:space="0" w:color="auto"/>
            </w:tcBorders>
            <w:shd w:val="clear" w:color="auto" w:fill="D3D3D3"/>
            <w:vAlign w:val="center"/>
          </w:tcPr>
          <w:p w:rsidR="00E4298E" w:rsidRDefault="00E4298E"/>
        </w:tc>
      </w:tr>
      <w:tr w:rsidR="00E4298E" w:rsidTr="00E4298E">
        <w:trPr>
          <w:trHeight w:val="240"/>
        </w:trPr>
        <w:tc>
          <w:tcPr>
            <w:tcW w:w="1369" w:type="pct"/>
            <w:tcBorders>
              <w:top w:val="single" w:sz="2" w:space="0" w:color="auto"/>
              <w:left w:val="single" w:sz="2" w:space="0" w:color="auto"/>
              <w:bottom w:val="single" w:sz="2" w:space="0" w:color="auto"/>
              <w:right w:val="single" w:sz="2" w:space="0" w:color="auto"/>
            </w:tcBorders>
            <w:shd w:val="clear" w:color="auto" w:fill="D3D3D3"/>
            <w:vAlign w:val="center"/>
          </w:tcPr>
          <w:p w:rsidR="00E4298E" w:rsidRDefault="00E4298E">
            <w:pPr>
              <w:spacing w:before="40" w:after="40" w:line="240" w:lineRule="exact"/>
              <w:rPr>
                <w:sz w:val="18"/>
                <w:szCs w:val="18"/>
              </w:rPr>
            </w:pPr>
            <w:r>
              <w:rPr>
                <w:sz w:val="18"/>
                <w:szCs w:val="18"/>
              </w:rPr>
              <w:t>按商品转让的时间分类</w:t>
            </w:r>
          </w:p>
        </w:tc>
        <w:tc>
          <w:tcPr>
            <w:tcW w:w="909" w:type="pct"/>
            <w:tcBorders>
              <w:top w:val="single" w:sz="2" w:space="0" w:color="auto"/>
              <w:left w:val="single" w:sz="2" w:space="0" w:color="auto"/>
              <w:bottom w:val="single" w:sz="2" w:space="0" w:color="auto"/>
              <w:right w:val="single" w:sz="2" w:space="0" w:color="auto"/>
            </w:tcBorders>
            <w:vAlign w:val="center"/>
          </w:tcPr>
          <w:p w:rsidR="00E4298E" w:rsidRDefault="00E4298E">
            <w:pPr>
              <w:spacing w:line="240" w:lineRule="exact"/>
              <w:jc w:val="right"/>
              <w:rPr>
                <w:sz w:val="18"/>
                <w:szCs w:val="18"/>
              </w:rPr>
            </w:pPr>
            <w:r>
              <w:rPr>
                <w:sz w:val="18"/>
                <w:szCs w:val="18"/>
              </w:rPr>
              <w:t>246,905,332.23</w:t>
            </w:r>
          </w:p>
        </w:tc>
        <w:tc>
          <w:tcPr>
            <w:tcW w:w="909" w:type="pct"/>
            <w:tcBorders>
              <w:top w:val="single" w:sz="2" w:space="0" w:color="auto"/>
              <w:left w:val="single" w:sz="2" w:space="0" w:color="auto"/>
              <w:bottom w:val="single" w:sz="2" w:space="0" w:color="auto"/>
              <w:right w:val="single" w:sz="2" w:space="0" w:color="auto"/>
            </w:tcBorders>
            <w:vAlign w:val="center"/>
          </w:tcPr>
          <w:p w:rsidR="00E4298E" w:rsidRDefault="00E4298E">
            <w:pPr>
              <w:spacing w:line="240" w:lineRule="exact"/>
              <w:jc w:val="right"/>
              <w:rPr>
                <w:sz w:val="18"/>
                <w:szCs w:val="18"/>
              </w:rPr>
            </w:pPr>
            <w:r>
              <w:rPr>
                <w:sz w:val="18"/>
                <w:szCs w:val="18"/>
              </w:rPr>
              <w:t>176,224,837.32</w:t>
            </w:r>
          </w:p>
        </w:tc>
        <w:tc>
          <w:tcPr>
            <w:tcW w:w="909" w:type="pct"/>
            <w:tcBorders>
              <w:top w:val="single" w:sz="2" w:space="0" w:color="auto"/>
              <w:left w:val="single" w:sz="2" w:space="0" w:color="auto"/>
              <w:bottom w:val="single" w:sz="2" w:space="0" w:color="auto"/>
              <w:right w:val="single" w:sz="2" w:space="0" w:color="auto"/>
            </w:tcBorders>
            <w:vAlign w:val="center"/>
          </w:tcPr>
          <w:p w:rsidR="00E4298E" w:rsidRDefault="00E4298E">
            <w:pPr>
              <w:spacing w:line="240" w:lineRule="exact"/>
              <w:jc w:val="right"/>
              <w:rPr>
                <w:sz w:val="18"/>
                <w:szCs w:val="18"/>
              </w:rPr>
            </w:pPr>
            <w:r>
              <w:rPr>
                <w:sz w:val="18"/>
                <w:szCs w:val="18"/>
              </w:rPr>
              <w:t>246,905,332.23</w:t>
            </w:r>
          </w:p>
        </w:tc>
        <w:tc>
          <w:tcPr>
            <w:tcW w:w="905" w:type="pct"/>
            <w:tcBorders>
              <w:top w:val="single" w:sz="2" w:space="0" w:color="auto"/>
              <w:left w:val="single" w:sz="2" w:space="0" w:color="auto"/>
              <w:bottom w:val="single" w:sz="2" w:space="0" w:color="auto"/>
              <w:right w:val="single" w:sz="2" w:space="0" w:color="auto"/>
            </w:tcBorders>
            <w:vAlign w:val="center"/>
          </w:tcPr>
          <w:p w:rsidR="00E4298E" w:rsidRDefault="00E4298E">
            <w:pPr>
              <w:spacing w:line="240" w:lineRule="exact"/>
              <w:jc w:val="right"/>
              <w:rPr>
                <w:sz w:val="18"/>
                <w:szCs w:val="18"/>
              </w:rPr>
            </w:pPr>
            <w:r>
              <w:rPr>
                <w:sz w:val="18"/>
                <w:szCs w:val="18"/>
              </w:rPr>
              <w:t>176,224,837.32</w:t>
            </w:r>
          </w:p>
        </w:tc>
      </w:tr>
      <w:tr w:rsidR="00E4298E" w:rsidTr="00E4298E">
        <w:trPr>
          <w:trHeight w:val="240"/>
        </w:trPr>
        <w:tc>
          <w:tcPr>
            <w:tcW w:w="1369" w:type="pct"/>
            <w:tcBorders>
              <w:top w:val="single" w:sz="2" w:space="0" w:color="auto"/>
              <w:left w:val="single" w:sz="2" w:space="0" w:color="auto"/>
              <w:bottom w:val="single" w:sz="2" w:space="0" w:color="auto"/>
              <w:right w:val="single" w:sz="2" w:space="0" w:color="auto"/>
            </w:tcBorders>
            <w:shd w:val="clear" w:color="auto" w:fill="D3D3D3"/>
            <w:vAlign w:val="center"/>
          </w:tcPr>
          <w:p w:rsidR="00E4298E" w:rsidRDefault="00E4298E">
            <w:pPr>
              <w:spacing w:before="40" w:after="40" w:line="240" w:lineRule="exact"/>
              <w:rPr>
                <w:sz w:val="18"/>
                <w:szCs w:val="18"/>
              </w:rPr>
            </w:pPr>
            <w:r>
              <w:rPr>
                <w:sz w:val="18"/>
                <w:szCs w:val="18"/>
              </w:rPr>
              <w:t xml:space="preserve">　其中：</w:t>
            </w:r>
          </w:p>
        </w:tc>
        <w:tc>
          <w:tcPr>
            <w:tcW w:w="909" w:type="pct"/>
            <w:tcBorders>
              <w:top w:val="single" w:sz="2" w:space="0" w:color="auto"/>
              <w:left w:val="single" w:sz="2" w:space="0" w:color="auto"/>
              <w:bottom w:val="single" w:sz="2" w:space="0" w:color="auto"/>
              <w:right w:val="single" w:sz="2" w:space="0" w:color="auto"/>
            </w:tcBorders>
            <w:shd w:val="clear" w:color="auto" w:fill="D3D3D3"/>
            <w:vAlign w:val="center"/>
          </w:tcPr>
          <w:p w:rsidR="00E4298E" w:rsidRDefault="00E4298E"/>
        </w:tc>
        <w:tc>
          <w:tcPr>
            <w:tcW w:w="909" w:type="pct"/>
            <w:tcBorders>
              <w:top w:val="single" w:sz="2" w:space="0" w:color="auto"/>
              <w:left w:val="single" w:sz="2" w:space="0" w:color="auto"/>
              <w:bottom w:val="single" w:sz="2" w:space="0" w:color="auto"/>
              <w:right w:val="single" w:sz="2" w:space="0" w:color="auto"/>
            </w:tcBorders>
            <w:shd w:val="clear" w:color="auto" w:fill="D3D3D3"/>
            <w:vAlign w:val="center"/>
          </w:tcPr>
          <w:p w:rsidR="00E4298E" w:rsidRDefault="00E4298E"/>
        </w:tc>
        <w:tc>
          <w:tcPr>
            <w:tcW w:w="909" w:type="pct"/>
            <w:tcBorders>
              <w:top w:val="single" w:sz="2" w:space="0" w:color="auto"/>
              <w:left w:val="single" w:sz="2" w:space="0" w:color="auto"/>
              <w:bottom w:val="single" w:sz="2" w:space="0" w:color="auto"/>
              <w:right w:val="single" w:sz="2" w:space="0" w:color="auto"/>
            </w:tcBorders>
            <w:shd w:val="clear" w:color="auto" w:fill="D3D3D3"/>
            <w:vAlign w:val="center"/>
          </w:tcPr>
          <w:p w:rsidR="00E4298E" w:rsidRDefault="00E4298E"/>
        </w:tc>
        <w:tc>
          <w:tcPr>
            <w:tcW w:w="905" w:type="pct"/>
            <w:tcBorders>
              <w:top w:val="single" w:sz="2" w:space="0" w:color="auto"/>
              <w:left w:val="single" w:sz="2" w:space="0" w:color="auto"/>
              <w:bottom w:val="single" w:sz="2" w:space="0" w:color="auto"/>
              <w:right w:val="single" w:sz="2" w:space="0" w:color="auto"/>
            </w:tcBorders>
            <w:shd w:val="clear" w:color="auto" w:fill="D3D3D3"/>
            <w:vAlign w:val="center"/>
          </w:tcPr>
          <w:p w:rsidR="00E4298E" w:rsidRDefault="00E4298E"/>
        </w:tc>
      </w:tr>
      <w:tr w:rsidR="00E4298E" w:rsidTr="00790FA2">
        <w:trPr>
          <w:trHeight w:val="240"/>
        </w:trPr>
        <w:tc>
          <w:tcPr>
            <w:tcW w:w="1369" w:type="pct"/>
            <w:tcBorders>
              <w:top w:val="single" w:sz="2" w:space="0" w:color="auto"/>
              <w:left w:val="single" w:sz="2" w:space="0" w:color="auto"/>
              <w:bottom w:val="single" w:sz="2" w:space="0" w:color="auto"/>
              <w:right w:val="single" w:sz="2" w:space="0" w:color="auto"/>
            </w:tcBorders>
            <w:shd w:val="clear" w:color="auto" w:fill="D9D9D9" w:themeFill="background1" w:themeFillShade="D9"/>
            <w:vAlign w:val="center"/>
          </w:tcPr>
          <w:p w:rsidR="00E4298E" w:rsidRDefault="00E4298E">
            <w:pPr>
              <w:spacing w:line="240" w:lineRule="exact"/>
              <w:rPr>
                <w:sz w:val="18"/>
                <w:szCs w:val="18"/>
              </w:rPr>
            </w:pPr>
            <w:r>
              <w:rPr>
                <w:sz w:val="18"/>
                <w:szCs w:val="18"/>
              </w:rPr>
              <w:t>在某一时点</w:t>
            </w:r>
          </w:p>
        </w:tc>
        <w:tc>
          <w:tcPr>
            <w:tcW w:w="909" w:type="pct"/>
            <w:tcBorders>
              <w:top w:val="single" w:sz="2" w:space="0" w:color="auto"/>
              <w:left w:val="single" w:sz="2" w:space="0" w:color="auto"/>
              <w:bottom w:val="single" w:sz="2" w:space="0" w:color="auto"/>
              <w:right w:val="single" w:sz="2" w:space="0" w:color="auto"/>
            </w:tcBorders>
            <w:vAlign w:val="center"/>
          </w:tcPr>
          <w:p w:rsidR="00E4298E" w:rsidRDefault="00E4298E">
            <w:pPr>
              <w:spacing w:line="240" w:lineRule="exact"/>
              <w:jc w:val="right"/>
              <w:rPr>
                <w:sz w:val="18"/>
                <w:szCs w:val="18"/>
              </w:rPr>
            </w:pPr>
            <w:r>
              <w:rPr>
                <w:sz w:val="18"/>
                <w:szCs w:val="18"/>
              </w:rPr>
              <w:t>175,259,318.98</w:t>
            </w:r>
          </w:p>
        </w:tc>
        <w:tc>
          <w:tcPr>
            <w:tcW w:w="909" w:type="pct"/>
            <w:tcBorders>
              <w:top w:val="single" w:sz="2" w:space="0" w:color="auto"/>
              <w:left w:val="single" w:sz="2" w:space="0" w:color="auto"/>
              <w:bottom w:val="single" w:sz="2" w:space="0" w:color="auto"/>
              <w:right w:val="single" w:sz="2" w:space="0" w:color="auto"/>
            </w:tcBorders>
            <w:vAlign w:val="center"/>
          </w:tcPr>
          <w:p w:rsidR="00E4298E" w:rsidRDefault="00E4298E">
            <w:pPr>
              <w:spacing w:line="240" w:lineRule="exact"/>
              <w:jc w:val="right"/>
              <w:rPr>
                <w:sz w:val="18"/>
                <w:szCs w:val="18"/>
              </w:rPr>
            </w:pPr>
            <w:r>
              <w:rPr>
                <w:sz w:val="18"/>
                <w:szCs w:val="18"/>
              </w:rPr>
              <w:t>138,257,047.14</w:t>
            </w:r>
          </w:p>
        </w:tc>
        <w:tc>
          <w:tcPr>
            <w:tcW w:w="909" w:type="pct"/>
            <w:tcBorders>
              <w:top w:val="single" w:sz="2" w:space="0" w:color="auto"/>
              <w:left w:val="single" w:sz="2" w:space="0" w:color="auto"/>
              <w:bottom w:val="single" w:sz="2" w:space="0" w:color="auto"/>
              <w:right w:val="single" w:sz="2" w:space="0" w:color="auto"/>
            </w:tcBorders>
            <w:vAlign w:val="center"/>
          </w:tcPr>
          <w:p w:rsidR="00E4298E" w:rsidRDefault="00E4298E">
            <w:pPr>
              <w:spacing w:line="240" w:lineRule="exact"/>
              <w:jc w:val="right"/>
              <w:rPr>
                <w:sz w:val="18"/>
                <w:szCs w:val="18"/>
              </w:rPr>
            </w:pPr>
            <w:r>
              <w:rPr>
                <w:sz w:val="18"/>
                <w:szCs w:val="18"/>
              </w:rPr>
              <w:t>175,259,318.98</w:t>
            </w:r>
          </w:p>
        </w:tc>
        <w:tc>
          <w:tcPr>
            <w:tcW w:w="905" w:type="pct"/>
            <w:tcBorders>
              <w:top w:val="single" w:sz="2" w:space="0" w:color="auto"/>
              <w:left w:val="single" w:sz="2" w:space="0" w:color="auto"/>
              <w:bottom w:val="single" w:sz="2" w:space="0" w:color="auto"/>
              <w:right w:val="single" w:sz="2" w:space="0" w:color="auto"/>
            </w:tcBorders>
            <w:vAlign w:val="center"/>
          </w:tcPr>
          <w:p w:rsidR="00E4298E" w:rsidRDefault="00E4298E">
            <w:pPr>
              <w:spacing w:line="240" w:lineRule="exact"/>
              <w:jc w:val="right"/>
              <w:rPr>
                <w:sz w:val="18"/>
                <w:szCs w:val="18"/>
              </w:rPr>
            </w:pPr>
            <w:r>
              <w:rPr>
                <w:sz w:val="18"/>
                <w:szCs w:val="18"/>
              </w:rPr>
              <w:t>138,257,047.14</w:t>
            </w:r>
          </w:p>
        </w:tc>
      </w:tr>
      <w:tr w:rsidR="00E4298E" w:rsidTr="00790FA2">
        <w:trPr>
          <w:trHeight w:val="240"/>
        </w:trPr>
        <w:tc>
          <w:tcPr>
            <w:tcW w:w="1369" w:type="pct"/>
            <w:tcBorders>
              <w:top w:val="single" w:sz="2" w:space="0" w:color="auto"/>
              <w:left w:val="single" w:sz="2" w:space="0" w:color="auto"/>
              <w:bottom w:val="single" w:sz="2" w:space="0" w:color="auto"/>
              <w:right w:val="single" w:sz="2" w:space="0" w:color="auto"/>
            </w:tcBorders>
            <w:shd w:val="clear" w:color="auto" w:fill="D9D9D9" w:themeFill="background1" w:themeFillShade="D9"/>
            <w:vAlign w:val="center"/>
          </w:tcPr>
          <w:p w:rsidR="00E4298E" w:rsidRDefault="00E4298E">
            <w:pPr>
              <w:spacing w:line="240" w:lineRule="exact"/>
              <w:rPr>
                <w:sz w:val="18"/>
                <w:szCs w:val="18"/>
              </w:rPr>
            </w:pPr>
            <w:r>
              <w:rPr>
                <w:sz w:val="18"/>
                <w:szCs w:val="18"/>
              </w:rPr>
              <w:t>在某一时间段</w:t>
            </w:r>
          </w:p>
        </w:tc>
        <w:tc>
          <w:tcPr>
            <w:tcW w:w="909" w:type="pct"/>
            <w:tcBorders>
              <w:top w:val="single" w:sz="2" w:space="0" w:color="auto"/>
              <w:left w:val="single" w:sz="2" w:space="0" w:color="auto"/>
              <w:bottom w:val="single" w:sz="2" w:space="0" w:color="auto"/>
              <w:right w:val="single" w:sz="2" w:space="0" w:color="auto"/>
            </w:tcBorders>
            <w:vAlign w:val="center"/>
          </w:tcPr>
          <w:p w:rsidR="00E4298E" w:rsidRDefault="00E4298E">
            <w:pPr>
              <w:spacing w:line="240" w:lineRule="exact"/>
              <w:jc w:val="right"/>
              <w:rPr>
                <w:sz w:val="18"/>
                <w:szCs w:val="18"/>
              </w:rPr>
            </w:pPr>
            <w:r>
              <w:rPr>
                <w:sz w:val="18"/>
                <w:szCs w:val="18"/>
              </w:rPr>
              <w:t>71,646,013.25</w:t>
            </w:r>
          </w:p>
        </w:tc>
        <w:tc>
          <w:tcPr>
            <w:tcW w:w="909" w:type="pct"/>
            <w:tcBorders>
              <w:top w:val="single" w:sz="2" w:space="0" w:color="auto"/>
              <w:left w:val="single" w:sz="2" w:space="0" w:color="auto"/>
              <w:bottom w:val="single" w:sz="2" w:space="0" w:color="auto"/>
              <w:right w:val="single" w:sz="2" w:space="0" w:color="auto"/>
            </w:tcBorders>
            <w:vAlign w:val="center"/>
          </w:tcPr>
          <w:p w:rsidR="00E4298E" w:rsidRDefault="00E4298E">
            <w:pPr>
              <w:spacing w:line="240" w:lineRule="exact"/>
              <w:jc w:val="right"/>
              <w:rPr>
                <w:sz w:val="18"/>
                <w:szCs w:val="18"/>
              </w:rPr>
            </w:pPr>
            <w:r>
              <w:rPr>
                <w:sz w:val="18"/>
                <w:szCs w:val="18"/>
              </w:rPr>
              <w:t>37,967,790.18</w:t>
            </w:r>
          </w:p>
        </w:tc>
        <w:tc>
          <w:tcPr>
            <w:tcW w:w="909" w:type="pct"/>
            <w:tcBorders>
              <w:top w:val="single" w:sz="2" w:space="0" w:color="auto"/>
              <w:left w:val="single" w:sz="2" w:space="0" w:color="auto"/>
              <w:bottom w:val="single" w:sz="2" w:space="0" w:color="auto"/>
              <w:right w:val="single" w:sz="2" w:space="0" w:color="auto"/>
            </w:tcBorders>
            <w:vAlign w:val="center"/>
          </w:tcPr>
          <w:p w:rsidR="00E4298E" w:rsidRDefault="00E4298E">
            <w:pPr>
              <w:spacing w:line="240" w:lineRule="exact"/>
              <w:jc w:val="right"/>
              <w:rPr>
                <w:sz w:val="18"/>
                <w:szCs w:val="18"/>
              </w:rPr>
            </w:pPr>
            <w:r>
              <w:rPr>
                <w:sz w:val="18"/>
                <w:szCs w:val="18"/>
              </w:rPr>
              <w:t>71,646,013.25</w:t>
            </w:r>
          </w:p>
        </w:tc>
        <w:tc>
          <w:tcPr>
            <w:tcW w:w="905" w:type="pct"/>
            <w:tcBorders>
              <w:top w:val="single" w:sz="2" w:space="0" w:color="auto"/>
              <w:left w:val="single" w:sz="2" w:space="0" w:color="auto"/>
              <w:bottom w:val="single" w:sz="2" w:space="0" w:color="auto"/>
              <w:right w:val="single" w:sz="2" w:space="0" w:color="auto"/>
            </w:tcBorders>
            <w:vAlign w:val="center"/>
          </w:tcPr>
          <w:p w:rsidR="00E4298E" w:rsidRDefault="00E4298E">
            <w:pPr>
              <w:spacing w:line="240" w:lineRule="exact"/>
              <w:jc w:val="right"/>
              <w:rPr>
                <w:sz w:val="18"/>
                <w:szCs w:val="18"/>
              </w:rPr>
            </w:pPr>
            <w:r>
              <w:rPr>
                <w:sz w:val="18"/>
                <w:szCs w:val="18"/>
              </w:rPr>
              <w:t>37,967,790.18</w:t>
            </w:r>
          </w:p>
        </w:tc>
      </w:tr>
      <w:tr w:rsidR="00E4298E" w:rsidTr="00790FA2">
        <w:trPr>
          <w:trHeight w:val="240"/>
        </w:trPr>
        <w:tc>
          <w:tcPr>
            <w:tcW w:w="1369" w:type="pct"/>
            <w:tcBorders>
              <w:top w:val="single" w:sz="2" w:space="0" w:color="auto"/>
              <w:left w:val="single" w:sz="2" w:space="0" w:color="auto"/>
              <w:bottom w:val="single" w:sz="2" w:space="0" w:color="auto"/>
              <w:right w:val="single" w:sz="2" w:space="0" w:color="auto"/>
            </w:tcBorders>
            <w:shd w:val="clear" w:color="auto" w:fill="D9D9D9" w:themeFill="background1" w:themeFillShade="D9"/>
            <w:vAlign w:val="center"/>
          </w:tcPr>
          <w:p w:rsidR="00E4298E" w:rsidRDefault="00E4298E">
            <w:pPr>
              <w:spacing w:before="40" w:after="40" w:line="240" w:lineRule="exact"/>
              <w:rPr>
                <w:sz w:val="18"/>
                <w:szCs w:val="18"/>
              </w:rPr>
            </w:pPr>
            <w:r>
              <w:rPr>
                <w:sz w:val="18"/>
                <w:szCs w:val="18"/>
              </w:rPr>
              <w:t>按合同期限分类</w:t>
            </w:r>
          </w:p>
        </w:tc>
        <w:tc>
          <w:tcPr>
            <w:tcW w:w="909" w:type="pct"/>
            <w:tcBorders>
              <w:top w:val="single" w:sz="2" w:space="0" w:color="auto"/>
              <w:left w:val="single" w:sz="2" w:space="0" w:color="auto"/>
              <w:bottom w:val="single" w:sz="2" w:space="0" w:color="auto"/>
              <w:right w:val="single" w:sz="2" w:space="0" w:color="auto"/>
            </w:tcBorders>
            <w:vAlign w:val="center"/>
          </w:tcPr>
          <w:p w:rsidR="00E4298E" w:rsidRDefault="00E4298E">
            <w:pPr>
              <w:spacing w:line="240" w:lineRule="exact"/>
              <w:jc w:val="right"/>
              <w:rPr>
                <w:sz w:val="18"/>
                <w:szCs w:val="18"/>
              </w:rPr>
            </w:pPr>
          </w:p>
        </w:tc>
        <w:tc>
          <w:tcPr>
            <w:tcW w:w="909" w:type="pct"/>
            <w:tcBorders>
              <w:top w:val="single" w:sz="2" w:space="0" w:color="auto"/>
              <w:left w:val="single" w:sz="2" w:space="0" w:color="auto"/>
              <w:bottom w:val="single" w:sz="2" w:space="0" w:color="auto"/>
              <w:right w:val="single" w:sz="2" w:space="0" w:color="auto"/>
            </w:tcBorders>
            <w:vAlign w:val="center"/>
          </w:tcPr>
          <w:p w:rsidR="00E4298E" w:rsidRDefault="00E4298E">
            <w:pPr>
              <w:spacing w:line="240" w:lineRule="exact"/>
              <w:jc w:val="right"/>
              <w:rPr>
                <w:sz w:val="18"/>
                <w:szCs w:val="18"/>
              </w:rPr>
            </w:pPr>
          </w:p>
        </w:tc>
        <w:tc>
          <w:tcPr>
            <w:tcW w:w="909" w:type="pct"/>
            <w:tcBorders>
              <w:top w:val="single" w:sz="2" w:space="0" w:color="auto"/>
              <w:left w:val="single" w:sz="2" w:space="0" w:color="auto"/>
              <w:bottom w:val="single" w:sz="2" w:space="0" w:color="auto"/>
              <w:right w:val="single" w:sz="2" w:space="0" w:color="auto"/>
            </w:tcBorders>
            <w:vAlign w:val="center"/>
          </w:tcPr>
          <w:p w:rsidR="00E4298E" w:rsidRDefault="00E4298E">
            <w:pPr>
              <w:spacing w:line="240" w:lineRule="exact"/>
              <w:jc w:val="right"/>
              <w:rPr>
                <w:sz w:val="18"/>
                <w:szCs w:val="18"/>
              </w:rPr>
            </w:pPr>
          </w:p>
        </w:tc>
        <w:tc>
          <w:tcPr>
            <w:tcW w:w="905" w:type="pct"/>
            <w:tcBorders>
              <w:top w:val="single" w:sz="2" w:space="0" w:color="auto"/>
              <w:left w:val="single" w:sz="2" w:space="0" w:color="auto"/>
              <w:bottom w:val="single" w:sz="2" w:space="0" w:color="auto"/>
              <w:right w:val="single" w:sz="2" w:space="0" w:color="auto"/>
            </w:tcBorders>
            <w:vAlign w:val="center"/>
          </w:tcPr>
          <w:p w:rsidR="00E4298E" w:rsidRDefault="00E4298E">
            <w:pPr>
              <w:spacing w:line="240" w:lineRule="exact"/>
              <w:jc w:val="right"/>
              <w:rPr>
                <w:sz w:val="18"/>
                <w:szCs w:val="18"/>
              </w:rPr>
            </w:pPr>
          </w:p>
        </w:tc>
      </w:tr>
      <w:tr w:rsidR="00E4298E" w:rsidTr="00E4298E">
        <w:trPr>
          <w:trHeight w:val="240"/>
        </w:trPr>
        <w:tc>
          <w:tcPr>
            <w:tcW w:w="1369" w:type="pct"/>
            <w:tcBorders>
              <w:top w:val="single" w:sz="2" w:space="0" w:color="auto"/>
              <w:left w:val="single" w:sz="2" w:space="0" w:color="auto"/>
              <w:bottom w:val="single" w:sz="2" w:space="0" w:color="auto"/>
              <w:right w:val="single" w:sz="2" w:space="0" w:color="auto"/>
            </w:tcBorders>
            <w:shd w:val="clear" w:color="auto" w:fill="D3D3D3"/>
            <w:vAlign w:val="center"/>
          </w:tcPr>
          <w:p w:rsidR="00E4298E" w:rsidRDefault="00E4298E">
            <w:pPr>
              <w:spacing w:before="40" w:after="40" w:line="240" w:lineRule="exact"/>
              <w:rPr>
                <w:sz w:val="18"/>
                <w:szCs w:val="18"/>
              </w:rPr>
            </w:pPr>
            <w:r>
              <w:rPr>
                <w:sz w:val="18"/>
                <w:szCs w:val="18"/>
              </w:rPr>
              <w:t xml:space="preserve">　其中：</w:t>
            </w:r>
          </w:p>
        </w:tc>
        <w:tc>
          <w:tcPr>
            <w:tcW w:w="909" w:type="pct"/>
            <w:tcBorders>
              <w:top w:val="single" w:sz="2" w:space="0" w:color="auto"/>
              <w:left w:val="single" w:sz="2" w:space="0" w:color="auto"/>
              <w:bottom w:val="single" w:sz="2" w:space="0" w:color="auto"/>
              <w:right w:val="single" w:sz="2" w:space="0" w:color="auto"/>
            </w:tcBorders>
            <w:shd w:val="clear" w:color="auto" w:fill="D3D3D3"/>
            <w:vAlign w:val="center"/>
          </w:tcPr>
          <w:p w:rsidR="00E4298E" w:rsidRDefault="00E4298E"/>
        </w:tc>
        <w:tc>
          <w:tcPr>
            <w:tcW w:w="909" w:type="pct"/>
            <w:tcBorders>
              <w:top w:val="single" w:sz="2" w:space="0" w:color="auto"/>
              <w:left w:val="single" w:sz="2" w:space="0" w:color="auto"/>
              <w:bottom w:val="single" w:sz="2" w:space="0" w:color="auto"/>
              <w:right w:val="single" w:sz="2" w:space="0" w:color="auto"/>
            </w:tcBorders>
            <w:shd w:val="clear" w:color="auto" w:fill="D3D3D3"/>
            <w:vAlign w:val="center"/>
          </w:tcPr>
          <w:p w:rsidR="00E4298E" w:rsidRDefault="00E4298E"/>
        </w:tc>
        <w:tc>
          <w:tcPr>
            <w:tcW w:w="909" w:type="pct"/>
            <w:tcBorders>
              <w:top w:val="single" w:sz="2" w:space="0" w:color="auto"/>
              <w:left w:val="single" w:sz="2" w:space="0" w:color="auto"/>
              <w:bottom w:val="single" w:sz="2" w:space="0" w:color="auto"/>
              <w:right w:val="single" w:sz="2" w:space="0" w:color="auto"/>
            </w:tcBorders>
            <w:shd w:val="clear" w:color="auto" w:fill="D3D3D3"/>
            <w:vAlign w:val="center"/>
          </w:tcPr>
          <w:p w:rsidR="00E4298E" w:rsidRDefault="00E4298E"/>
        </w:tc>
        <w:tc>
          <w:tcPr>
            <w:tcW w:w="905" w:type="pct"/>
            <w:tcBorders>
              <w:top w:val="single" w:sz="2" w:space="0" w:color="auto"/>
              <w:left w:val="single" w:sz="2" w:space="0" w:color="auto"/>
              <w:bottom w:val="single" w:sz="2" w:space="0" w:color="auto"/>
              <w:right w:val="single" w:sz="2" w:space="0" w:color="auto"/>
            </w:tcBorders>
            <w:shd w:val="clear" w:color="auto" w:fill="D3D3D3"/>
            <w:vAlign w:val="center"/>
          </w:tcPr>
          <w:p w:rsidR="00E4298E" w:rsidRDefault="00E4298E"/>
        </w:tc>
      </w:tr>
      <w:tr w:rsidR="00E4298E" w:rsidTr="00E4298E">
        <w:trPr>
          <w:trHeight w:val="240"/>
        </w:trPr>
        <w:tc>
          <w:tcPr>
            <w:tcW w:w="1369" w:type="pct"/>
            <w:tcBorders>
              <w:top w:val="single" w:sz="2" w:space="0" w:color="auto"/>
              <w:left w:val="single" w:sz="2" w:space="0" w:color="auto"/>
              <w:bottom w:val="single" w:sz="2" w:space="0" w:color="auto"/>
              <w:right w:val="single" w:sz="2" w:space="0" w:color="auto"/>
            </w:tcBorders>
            <w:shd w:val="clear" w:color="auto" w:fill="D3D3D3"/>
            <w:vAlign w:val="center"/>
          </w:tcPr>
          <w:p w:rsidR="00E4298E" w:rsidRDefault="00E4298E">
            <w:pPr>
              <w:spacing w:before="40" w:after="40" w:line="240" w:lineRule="exact"/>
              <w:rPr>
                <w:sz w:val="18"/>
                <w:szCs w:val="18"/>
              </w:rPr>
            </w:pPr>
            <w:r>
              <w:rPr>
                <w:sz w:val="18"/>
                <w:szCs w:val="18"/>
              </w:rPr>
              <w:t>按销售渠道分类</w:t>
            </w:r>
          </w:p>
        </w:tc>
        <w:tc>
          <w:tcPr>
            <w:tcW w:w="909" w:type="pct"/>
            <w:tcBorders>
              <w:top w:val="single" w:sz="2" w:space="0" w:color="auto"/>
              <w:left w:val="single" w:sz="2" w:space="0" w:color="auto"/>
              <w:bottom w:val="single" w:sz="2" w:space="0" w:color="auto"/>
              <w:right w:val="single" w:sz="2" w:space="0" w:color="auto"/>
            </w:tcBorders>
            <w:vAlign w:val="center"/>
          </w:tcPr>
          <w:p w:rsidR="00E4298E" w:rsidRDefault="00E4298E">
            <w:pPr>
              <w:spacing w:line="240" w:lineRule="exact"/>
              <w:jc w:val="right"/>
              <w:rPr>
                <w:sz w:val="18"/>
                <w:szCs w:val="18"/>
              </w:rPr>
            </w:pPr>
          </w:p>
        </w:tc>
        <w:tc>
          <w:tcPr>
            <w:tcW w:w="909" w:type="pct"/>
            <w:tcBorders>
              <w:top w:val="single" w:sz="2" w:space="0" w:color="auto"/>
              <w:left w:val="single" w:sz="2" w:space="0" w:color="auto"/>
              <w:bottom w:val="single" w:sz="2" w:space="0" w:color="auto"/>
              <w:right w:val="single" w:sz="2" w:space="0" w:color="auto"/>
            </w:tcBorders>
            <w:vAlign w:val="center"/>
          </w:tcPr>
          <w:p w:rsidR="00E4298E" w:rsidRDefault="00E4298E">
            <w:pPr>
              <w:spacing w:line="240" w:lineRule="exact"/>
              <w:jc w:val="right"/>
              <w:rPr>
                <w:sz w:val="18"/>
                <w:szCs w:val="18"/>
              </w:rPr>
            </w:pPr>
          </w:p>
        </w:tc>
        <w:tc>
          <w:tcPr>
            <w:tcW w:w="909" w:type="pct"/>
            <w:tcBorders>
              <w:top w:val="single" w:sz="2" w:space="0" w:color="auto"/>
              <w:left w:val="single" w:sz="2" w:space="0" w:color="auto"/>
              <w:bottom w:val="single" w:sz="2" w:space="0" w:color="auto"/>
              <w:right w:val="single" w:sz="2" w:space="0" w:color="auto"/>
            </w:tcBorders>
            <w:vAlign w:val="center"/>
          </w:tcPr>
          <w:p w:rsidR="00E4298E" w:rsidRDefault="00E4298E">
            <w:pPr>
              <w:spacing w:line="240" w:lineRule="exact"/>
              <w:jc w:val="right"/>
              <w:rPr>
                <w:sz w:val="18"/>
                <w:szCs w:val="18"/>
              </w:rPr>
            </w:pPr>
          </w:p>
        </w:tc>
        <w:tc>
          <w:tcPr>
            <w:tcW w:w="905" w:type="pct"/>
            <w:tcBorders>
              <w:top w:val="single" w:sz="2" w:space="0" w:color="auto"/>
              <w:left w:val="single" w:sz="2" w:space="0" w:color="auto"/>
              <w:bottom w:val="single" w:sz="2" w:space="0" w:color="auto"/>
              <w:right w:val="single" w:sz="2" w:space="0" w:color="auto"/>
            </w:tcBorders>
            <w:vAlign w:val="center"/>
          </w:tcPr>
          <w:p w:rsidR="00E4298E" w:rsidRDefault="00E4298E">
            <w:pPr>
              <w:spacing w:line="240" w:lineRule="exact"/>
              <w:jc w:val="right"/>
              <w:rPr>
                <w:sz w:val="18"/>
                <w:szCs w:val="18"/>
              </w:rPr>
            </w:pPr>
          </w:p>
        </w:tc>
      </w:tr>
      <w:tr w:rsidR="00E4298E" w:rsidTr="00E4298E">
        <w:trPr>
          <w:trHeight w:val="240"/>
        </w:trPr>
        <w:tc>
          <w:tcPr>
            <w:tcW w:w="1369" w:type="pct"/>
            <w:tcBorders>
              <w:top w:val="single" w:sz="2" w:space="0" w:color="auto"/>
              <w:left w:val="single" w:sz="2" w:space="0" w:color="auto"/>
              <w:bottom w:val="single" w:sz="2" w:space="0" w:color="auto"/>
              <w:right w:val="single" w:sz="2" w:space="0" w:color="auto"/>
            </w:tcBorders>
            <w:shd w:val="clear" w:color="auto" w:fill="D3D3D3"/>
            <w:vAlign w:val="center"/>
          </w:tcPr>
          <w:p w:rsidR="00E4298E" w:rsidRDefault="00E4298E">
            <w:pPr>
              <w:spacing w:before="40" w:after="40" w:line="240" w:lineRule="exact"/>
              <w:rPr>
                <w:sz w:val="18"/>
                <w:szCs w:val="18"/>
              </w:rPr>
            </w:pPr>
            <w:r>
              <w:rPr>
                <w:sz w:val="18"/>
                <w:szCs w:val="18"/>
              </w:rPr>
              <w:t xml:space="preserve">　其中：</w:t>
            </w:r>
          </w:p>
        </w:tc>
        <w:tc>
          <w:tcPr>
            <w:tcW w:w="909" w:type="pct"/>
            <w:tcBorders>
              <w:top w:val="single" w:sz="2" w:space="0" w:color="auto"/>
              <w:left w:val="single" w:sz="2" w:space="0" w:color="auto"/>
              <w:bottom w:val="single" w:sz="2" w:space="0" w:color="auto"/>
              <w:right w:val="single" w:sz="2" w:space="0" w:color="auto"/>
            </w:tcBorders>
            <w:shd w:val="clear" w:color="auto" w:fill="D3D3D3"/>
            <w:vAlign w:val="center"/>
          </w:tcPr>
          <w:p w:rsidR="00E4298E" w:rsidRDefault="00E4298E"/>
        </w:tc>
        <w:tc>
          <w:tcPr>
            <w:tcW w:w="909" w:type="pct"/>
            <w:tcBorders>
              <w:top w:val="single" w:sz="2" w:space="0" w:color="auto"/>
              <w:left w:val="single" w:sz="2" w:space="0" w:color="auto"/>
              <w:bottom w:val="single" w:sz="2" w:space="0" w:color="auto"/>
              <w:right w:val="single" w:sz="2" w:space="0" w:color="auto"/>
            </w:tcBorders>
            <w:shd w:val="clear" w:color="auto" w:fill="D3D3D3"/>
            <w:vAlign w:val="center"/>
          </w:tcPr>
          <w:p w:rsidR="00E4298E" w:rsidRDefault="00E4298E"/>
        </w:tc>
        <w:tc>
          <w:tcPr>
            <w:tcW w:w="909" w:type="pct"/>
            <w:tcBorders>
              <w:top w:val="single" w:sz="2" w:space="0" w:color="auto"/>
              <w:left w:val="single" w:sz="2" w:space="0" w:color="auto"/>
              <w:bottom w:val="single" w:sz="2" w:space="0" w:color="auto"/>
              <w:right w:val="single" w:sz="2" w:space="0" w:color="auto"/>
            </w:tcBorders>
            <w:shd w:val="clear" w:color="auto" w:fill="D3D3D3"/>
            <w:vAlign w:val="center"/>
          </w:tcPr>
          <w:p w:rsidR="00E4298E" w:rsidRDefault="00E4298E"/>
        </w:tc>
        <w:tc>
          <w:tcPr>
            <w:tcW w:w="905" w:type="pct"/>
            <w:tcBorders>
              <w:top w:val="single" w:sz="2" w:space="0" w:color="auto"/>
              <w:left w:val="single" w:sz="2" w:space="0" w:color="auto"/>
              <w:bottom w:val="single" w:sz="2" w:space="0" w:color="auto"/>
              <w:right w:val="single" w:sz="2" w:space="0" w:color="auto"/>
            </w:tcBorders>
            <w:shd w:val="clear" w:color="auto" w:fill="D3D3D3"/>
            <w:vAlign w:val="center"/>
          </w:tcPr>
          <w:p w:rsidR="00E4298E" w:rsidRDefault="00E4298E"/>
        </w:tc>
      </w:tr>
      <w:tr w:rsidR="00E4298E" w:rsidTr="00E4298E">
        <w:trPr>
          <w:trHeight w:val="240"/>
        </w:trPr>
        <w:tc>
          <w:tcPr>
            <w:tcW w:w="1369" w:type="pct"/>
            <w:tcBorders>
              <w:top w:val="single" w:sz="2" w:space="0" w:color="auto"/>
              <w:left w:val="single" w:sz="2" w:space="0" w:color="auto"/>
              <w:bottom w:val="single" w:sz="2" w:space="0" w:color="auto"/>
              <w:right w:val="single" w:sz="2" w:space="0" w:color="auto"/>
            </w:tcBorders>
            <w:shd w:val="clear" w:color="auto" w:fill="D3D3D3"/>
            <w:vAlign w:val="center"/>
          </w:tcPr>
          <w:p w:rsidR="00E4298E" w:rsidRDefault="00E4298E">
            <w:pPr>
              <w:spacing w:before="40" w:after="40" w:line="240" w:lineRule="exact"/>
              <w:rPr>
                <w:sz w:val="18"/>
                <w:szCs w:val="18"/>
              </w:rPr>
            </w:pPr>
            <w:r>
              <w:rPr>
                <w:sz w:val="18"/>
                <w:szCs w:val="18"/>
              </w:rPr>
              <w:t>合计</w:t>
            </w:r>
          </w:p>
        </w:tc>
        <w:tc>
          <w:tcPr>
            <w:tcW w:w="909" w:type="pct"/>
            <w:tcBorders>
              <w:top w:val="single" w:sz="2" w:space="0" w:color="auto"/>
              <w:left w:val="single" w:sz="2" w:space="0" w:color="auto"/>
              <w:bottom w:val="single" w:sz="2" w:space="0" w:color="auto"/>
              <w:right w:val="single" w:sz="2" w:space="0" w:color="auto"/>
            </w:tcBorders>
            <w:vAlign w:val="center"/>
          </w:tcPr>
          <w:p w:rsidR="00E4298E" w:rsidRDefault="00E4298E">
            <w:pPr>
              <w:spacing w:line="240" w:lineRule="exact"/>
              <w:jc w:val="right"/>
              <w:rPr>
                <w:sz w:val="18"/>
                <w:szCs w:val="18"/>
              </w:rPr>
            </w:pPr>
          </w:p>
        </w:tc>
        <w:tc>
          <w:tcPr>
            <w:tcW w:w="909" w:type="pct"/>
            <w:tcBorders>
              <w:top w:val="single" w:sz="2" w:space="0" w:color="auto"/>
              <w:left w:val="single" w:sz="2" w:space="0" w:color="auto"/>
              <w:bottom w:val="single" w:sz="2" w:space="0" w:color="auto"/>
              <w:right w:val="single" w:sz="2" w:space="0" w:color="auto"/>
            </w:tcBorders>
            <w:vAlign w:val="center"/>
          </w:tcPr>
          <w:p w:rsidR="00E4298E" w:rsidRDefault="00E4298E">
            <w:pPr>
              <w:spacing w:line="240" w:lineRule="exact"/>
              <w:jc w:val="right"/>
              <w:rPr>
                <w:sz w:val="18"/>
                <w:szCs w:val="18"/>
              </w:rPr>
            </w:pPr>
          </w:p>
        </w:tc>
        <w:tc>
          <w:tcPr>
            <w:tcW w:w="909" w:type="pct"/>
            <w:tcBorders>
              <w:top w:val="single" w:sz="2" w:space="0" w:color="auto"/>
              <w:left w:val="single" w:sz="2" w:space="0" w:color="auto"/>
              <w:bottom w:val="single" w:sz="2" w:space="0" w:color="auto"/>
              <w:right w:val="single" w:sz="2" w:space="0" w:color="auto"/>
            </w:tcBorders>
            <w:vAlign w:val="center"/>
          </w:tcPr>
          <w:p w:rsidR="00E4298E" w:rsidRDefault="00E4298E">
            <w:pPr>
              <w:spacing w:line="240" w:lineRule="exact"/>
              <w:jc w:val="right"/>
              <w:rPr>
                <w:sz w:val="18"/>
                <w:szCs w:val="18"/>
              </w:rPr>
            </w:pPr>
          </w:p>
        </w:tc>
        <w:tc>
          <w:tcPr>
            <w:tcW w:w="905" w:type="pct"/>
            <w:tcBorders>
              <w:top w:val="single" w:sz="2" w:space="0" w:color="auto"/>
              <w:left w:val="single" w:sz="2" w:space="0" w:color="auto"/>
              <w:bottom w:val="single" w:sz="2" w:space="0" w:color="auto"/>
              <w:right w:val="single" w:sz="2" w:space="0" w:color="auto"/>
            </w:tcBorders>
            <w:vAlign w:val="center"/>
          </w:tcPr>
          <w:p w:rsidR="00E4298E" w:rsidRDefault="00E4298E">
            <w:pPr>
              <w:spacing w:line="240" w:lineRule="exact"/>
              <w:jc w:val="right"/>
              <w:rPr>
                <w:sz w:val="18"/>
                <w:szCs w:val="18"/>
              </w:rPr>
            </w:pPr>
          </w:p>
        </w:tc>
      </w:tr>
    </w:tbl>
    <w:p w:rsidR="00E20B54" w:rsidRDefault="00733C9E">
      <w:pPr>
        <w:spacing w:before="100" w:after="100" w:line="240" w:lineRule="exact"/>
        <w:rPr>
          <w:sz w:val="18"/>
          <w:szCs w:val="18"/>
        </w:rPr>
      </w:pPr>
      <w:r>
        <w:rPr>
          <w:sz w:val="18"/>
          <w:szCs w:val="18"/>
        </w:rPr>
        <w:t>与履约义务相关的信息：</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377"/>
        <w:gridCol w:w="1377"/>
        <w:gridCol w:w="1377"/>
        <w:gridCol w:w="1377"/>
        <w:gridCol w:w="1377"/>
        <w:gridCol w:w="1377"/>
        <w:gridCol w:w="1377"/>
      </w:tblGrid>
      <w:tr w:rsidR="00E20B54">
        <w:trPr>
          <w:trHeight w:val="240"/>
        </w:trPr>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项目</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履行履约义务的时间</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重要的支付条款</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公司承诺转让商品的性质</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是否为主要责任人</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公司承担的预期将退还给客户的款项</w:t>
            </w:r>
          </w:p>
        </w:tc>
        <w:tc>
          <w:tcPr>
            <w:tcW w:w="1377"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公司提供的质量保证类型及相关义务</w:t>
            </w:r>
          </w:p>
        </w:tc>
      </w:tr>
    </w:tbl>
    <w:p w:rsidR="00E20B54" w:rsidRDefault="00733C9E">
      <w:pPr>
        <w:spacing w:before="100" w:after="100" w:line="240" w:lineRule="exact"/>
        <w:rPr>
          <w:sz w:val="18"/>
          <w:szCs w:val="18"/>
        </w:rPr>
      </w:pPr>
      <w:r>
        <w:rPr>
          <w:sz w:val="18"/>
          <w:szCs w:val="18"/>
        </w:rPr>
        <w:t>其他说明</w:t>
      </w:r>
    </w:p>
    <w:p w:rsidR="00E20B54" w:rsidRDefault="00733C9E" w:rsidP="00E4298E">
      <w:pPr>
        <w:spacing w:before="100" w:after="100" w:line="240" w:lineRule="exact"/>
        <w:rPr>
          <w:sz w:val="18"/>
          <w:szCs w:val="18"/>
        </w:rPr>
      </w:pPr>
      <w:r>
        <w:rPr>
          <w:sz w:val="18"/>
          <w:szCs w:val="18"/>
        </w:rPr>
        <w:t>与分摊至剩余履约义务的交易价格相关的信息：本报告期末已签订合同、但尚未履行或尚未履行完毕的履约义务所对应的收入金额为</w:t>
      </w:r>
      <w:r>
        <w:rPr>
          <w:sz w:val="18"/>
          <w:szCs w:val="18"/>
        </w:rPr>
        <w:t>527,021,689.83</w:t>
      </w:r>
      <w:r>
        <w:rPr>
          <w:sz w:val="18"/>
          <w:szCs w:val="18"/>
        </w:rPr>
        <w:t>元</w:t>
      </w:r>
      <w:r w:rsidR="00E4298E">
        <w:rPr>
          <w:rFonts w:hint="eastAsia"/>
          <w:sz w:val="18"/>
          <w:szCs w:val="18"/>
        </w:rPr>
        <w:t>。</w:t>
      </w:r>
    </w:p>
    <w:p w:rsidR="00E20B54" w:rsidRDefault="00733C9E">
      <w:pPr>
        <w:spacing w:before="100" w:after="100" w:line="240" w:lineRule="exact"/>
        <w:rPr>
          <w:sz w:val="18"/>
          <w:szCs w:val="18"/>
        </w:rPr>
      </w:pPr>
      <w:r>
        <w:rPr>
          <w:sz w:val="18"/>
          <w:szCs w:val="18"/>
        </w:rPr>
        <w:t>重大合同变更或重大交易价格调整</w:t>
      </w:r>
    </w:p>
    <w:p w:rsidR="00E20B54" w:rsidRDefault="00733C9E">
      <w:pPr>
        <w:spacing w:before="100" w:after="100" w:line="240" w:lineRule="exact"/>
        <w:rPr>
          <w:sz w:val="18"/>
          <w:szCs w:val="18"/>
        </w:rPr>
      </w:pPr>
      <w:r>
        <w:rPr>
          <w:sz w:val="18"/>
          <w:szCs w:val="18"/>
        </w:rPr>
        <w:t>其他说明：</w:t>
      </w:r>
      <w:r w:rsidR="00E4298E">
        <w:rPr>
          <w:rFonts w:hint="eastAsia"/>
          <w:sz w:val="18"/>
          <w:szCs w:val="18"/>
        </w:rPr>
        <w:t>无。</w:t>
      </w:r>
    </w:p>
    <w:p w:rsidR="00E20B54" w:rsidRDefault="00733C9E" w:rsidP="00790FA2">
      <w:pPr>
        <w:pStyle w:val="3"/>
        <w:spacing w:beforeLines="50" w:before="156" w:afterLines="50" w:after="156" w:line="280" w:lineRule="exact"/>
        <w:jc w:val="left"/>
        <w:rPr>
          <w:b/>
          <w:bCs/>
        </w:rPr>
      </w:pPr>
      <w:bookmarkStart w:id="516" w:name="_Toc989404"/>
      <w:r>
        <w:rPr>
          <w:b/>
          <w:bCs/>
        </w:rPr>
        <w:t>5</w:t>
      </w:r>
      <w:r>
        <w:rPr>
          <w:b/>
          <w:bCs/>
        </w:rPr>
        <w:t>、投资收益</w:t>
      </w:r>
      <w:bookmarkEnd w:id="516"/>
    </w:p>
    <w:p w:rsidR="00E20B54" w:rsidRDefault="00733C9E">
      <w:pPr>
        <w:spacing w:before="40" w:after="40" w:line="240" w:lineRule="exact"/>
        <w:jc w:val="right"/>
        <w:rPr>
          <w:sz w:val="18"/>
          <w:szCs w:val="18"/>
        </w:rPr>
      </w:pPr>
      <w:r>
        <w:rPr>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2802"/>
        <w:gridCol w:w="3543"/>
        <w:gridCol w:w="3294"/>
      </w:tblGrid>
      <w:tr w:rsidR="00E20B54" w:rsidTr="00222FE0">
        <w:trPr>
          <w:trHeight w:val="240"/>
        </w:trPr>
        <w:tc>
          <w:tcPr>
            <w:tcW w:w="2802"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项目</w:t>
            </w:r>
          </w:p>
        </w:tc>
        <w:tc>
          <w:tcPr>
            <w:tcW w:w="354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本期发生额</w:t>
            </w:r>
          </w:p>
        </w:tc>
        <w:tc>
          <w:tcPr>
            <w:tcW w:w="3294"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上期发生额</w:t>
            </w:r>
          </w:p>
        </w:tc>
      </w:tr>
      <w:tr w:rsidR="00E20B54" w:rsidTr="00222FE0">
        <w:trPr>
          <w:trHeight w:val="240"/>
        </w:trPr>
        <w:tc>
          <w:tcPr>
            <w:tcW w:w="2802" w:type="dxa"/>
            <w:tcBorders>
              <w:top w:val="single" w:sz="2" w:space="0" w:color="auto"/>
              <w:left w:val="single" w:sz="2" w:space="0" w:color="auto"/>
              <w:bottom w:val="single" w:sz="2" w:space="0" w:color="auto"/>
              <w:right w:val="single" w:sz="2" w:space="0" w:color="auto"/>
            </w:tcBorders>
            <w:shd w:val="clear" w:color="auto" w:fill="D9D9D9" w:themeFill="background1" w:themeFillShade="D9"/>
            <w:vAlign w:val="center"/>
          </w:tcPr>
          <w:p w:rsidR="00E20B54" w:rsidRDefault="00733C9E">
            <w:pPr>
              <w:spacing w:line="240" w:lineRule="exact"/>
              <w:rPr>
                <w:sz w:val="18"/>
                <w:szCs w:val="18"/>
              </w:rPr>
            </w:pPr>
            <w:r>
              <w:rPr>
                <w:sz w:val="18"/>
                <w:szCs w:val="18"/>
              </w:rPr>
              <w:t>理财产品投资收益</w:t>
            </w:r>
          </w:p>
        </w:tc>
        <w:tc>
          <w:tcPr>
            <w:tcW w:w="354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c>
          <w:tcPr>
            <w:tcW w:w="3294"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646,465.76</w:t>
            </w:r>
          </w:p>
        </w:tc>
      </w:tr>
      <w:tr w:rsidR="00E20B54" w:rsidTr="00222FE0">
        <w:trPr>
          <w:trHeight w:val="240"/>
        </w:trPr>
        <w:tc>
          <w:tcPr>
            <w:tcW w:w="2802" w:type="dxa"/>
            <w:tcBorders>
              <w:top w:val="single" w:sz="2" w:space="0" w:color="auto"/>
              <w:left w:val="single" w:sz="2" w:space="0" w:color="auto"/>
              <w:bottom w:val="single" w:sz="2" w:space="0" w:color="auto"/>
              <w:right w:val="single" w:sz="2" w:space="0" w:color="auto"/>
            </w:tcBorders>
            <w:shd w:val="clear" w:color="auto" w:fill="D9D9D9" w:themeFill="background1" w:themeFillShade="D9"/>
            <w:vAlign w:val="center"/>
          </w:tcPr>
          <w:p w:rsidR="00E20B54" w:rsidRDefault="00733C9E">
            <w:pPr>
              <w:spacing w:line="240" w:lineRule="exact"/>
              <w:rPr>
                <w:sz w:val="18"/>
                <w:szCs w:val="18"/>
              </w:rPr>
            </w:pPr>
            <w:r>
              <w:rPr>
                <w:sz w:val="18"/>
                <w:szCs w:val="18"/>
              </w:rPr>
              <w:t>债务重组收益</w:t>
            </w:r>
          </w:p>
        </w:tc>
        <w:tc>
          <w:tcPr>
            <w:tcW w:w="354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5,932,260.49</w:t>
            </w:r>
          </w:p>
        </w:tc>
        <w:tc>
          <w:tcPr>
            <w:tcW w:w="3294"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r w:rsidR="00E20B54" w:rsidTr="00222FE0">
        <w:trPr>
          <w:trHeight w:val="240"/>
        </w:trPr>
        <w:tc>
          <w:tcPr>
            <w:tcW w:w="2802" w:type="dxa"/>
            <w:tcBorders>
              <w:top w:val="single" w:sz="2" w:space="0" w:color="auto"/>
              <w:left w:val="single" w:sz="2" w:space="0" w:color="auto"/>
              <w:bottom w:val="single" w:sz="2" w:space="0" w:color="auto"/>
              <w:right w:val="single" w:sz="2" w:space="0" w:color="auto"/>
            </w:tcBorders>
            <w:shd w:val="clear" w:color="auto" w:fill="D9D9D9" w:themeFill="background1" w:themeFillShade="D9"/>
            <w:vAlign w:val="center"/>
          </w:tcPr>
          <w:p w:rsidR="00E20B54" w:rsidRDefault="00733C9E">
            <w:pPr>
              <w:spacing w:line="240" w:lineRule="exact"/>
              <w:rPr>
                <w:sz w:val="18"/>
                <w:szCs w:val="18"/>
              </w:rPr>
            </w:pPr>
            <w:r>
              <w:rPr>
                <w:sz w:val="18"/>
                <w:szCs w:val="18"/>
              </w:rPr>
              <w:t>其他</w:t>
            </w:r>
          </w:p>
        </w:tc>
        <w:tc>
          <w:tcPr>
            <w:tcW w:w="354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-510,000.00</w:t>
            </w:r>
          </w:p>
        </w:tc>
        <w:tc>
          <w:tcPr>
            <w:tcW w:w="3294"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jc w:val="right"/>
              <w:rPr>
                <w:sz w:val="18"/>
                <w:szCs w:val="18"/>
              </w:rPr>
            </w:pPr>
          </w:p>
        </w:tc>
      </w:tr>
      <w:tr w:rsidR="00E20B54" w:rsidTr="00222FE0">
        <w:trPr>
          <w:trHeight w:val="240"/>
        </w:trPr>
        <w:tc>
          <w:tcPr>
            <w:tcW w:w="2802"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合计</w:t>
            </w:r>
          </w:p>
        </w:tc>
        <w:tc>
          <w:tcPr>
            <w:tcW w:w="3543"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5,422,260.49</w:t>
            </w:r>
          </w:p>
        </w:tc>
        <w:tc>
          <w:tcPr>
            <w:tcW w:w="3294"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646,465.76</w:t>
            </w:r>
          </w:p>
        </w:tc>
      </w:tr>
    </w:tbl>
    <w:p w:rsidR="00E20B54" w:rsidRDefault="00733C9E" w:rsidP="00790FA2">
      <w:pPr>
        <w:pStyle w:val="3"/>
        <w:spacing w:beforeLines="50" w:before="156" w:afterLines="50" w:after="156" w:line="280" w:lineRule="exact"/>
        <w:jc w:val="left"/>
        <w:rPr>
          <w:b/>
          <w:bCs/>
        </w:rPr>
      </w:pPr>
      <w:bookmarkStart w:id="517" w:name="_Toc989405"/>
      <w:r>
        <w:rPr>
          <w:b/>
          <w:bCs/>
        </w:rPr>
        <w:t>6</w:t>
      </w:r>
      <w:r>
        <w:rPr>
          <w:b/>
          <w:bCs/>
        </w:rPr>
        <w:t>、其他</w:t>
      </w:r>
      <w:bookmarkEnd w:id="517"/>
    </w:p>
    <w:p w:rsidR="00E20B54" w:rsidRDefault="00733C9E">
      <w:pPr>
        <w:pStyle w:val="a3"/>
        <w:widowControl/>
      </w:pPr>
      <w:r>
        <w:rPr>
          <w:sz w:val="18"/>
          <w:szCs w:val="18"/>
        </w:rPr>
        <w:t>无。</w:t>
      </w:r>
    </w:p>
    <w:p w:rsidR="00E20B54" w:rsidRPr="00790FA2" w:rsidRDefault="00733C9E" w:rsidP="00790FA2">
      <w:pPr>
        <w:pStyle w:val="3"/>
        <w:spacing w:beforeLines="50" w:before="156" w:afterLines="50" w:after="156" w:line="280" w:lineRule="exact"/>
        <w:jc w:val="left"/>
        <w:rPr>
          <w:b/>
          <w:bCs/>
        </w:rPr>
      </w:pPr>
      <w:bookmarkStart w:id="518" w:name="_Toc989406"/>
      <w:r w:rsidRPr="00790FA2">
        <w:rPr>
          <w:b/>
          <w:bCs/>
        </w:rPr>
        <w:t>二十、补充资料</w:t>
      </w:r>
      <w:bookmarkEnd w:id="518"/>
    </w:p>
    <w:p w:rsidR="00E20B54" w:rsidRDefault="00733C9E" w:rsidP="00790FA2">
      <w:pPr>
        <w:pStyle w:val="3"/>
        <w:spacing w:beforeLines="50" w:before="156" w:afterLines="50" w:after="156" w:line="280" w:lineRule="exact"/>
        <w:jc w:val="left"/>
        <w:rPr>
          <w:b/>
          <w:bCs/>
        </w:rPr>
      </w:pPr>
      <w:bookmarkStart w:id="519" w:name="_Toc989407"/>
      <w:r>
        <w:rPr>
          <w:b/>
          <w:bCs/>
        </w:rPr>
        <w:t>1</w:t>
      </w:r>
      <w:r>
        <w:rPr>
          <w:b/>
          <w:bCs/>
        </w:rPr>
        <w:t>、当期非经常性损益明细表</w:t>
      </w:r>
      <w:bookmarkEnd w:id="519"/>
    </w:p>
    <w:p w:rsidR="00E20B54" w:rsidRDefault="00733C9E">
      <w:pPr>
        <w:spacing w:line="240" w:lineRule="exact"/>
        <w:rPr>
          <w:sz w:val="18"/>
          <w:szCs w:val="18"/>
        </w:rPr>
      </w:pPr>
      <w:r>
        <w:rPr>
          <w:sz w:val="18"/>
          <w:szCs w:val="18"/>
        </w:rPr>
        <w:sym w:font="Wingdings 2" w:char="F052"/>
      </w:r>
      <w:r>
        <w:rPr>
          <w:sz w:val="18"/>
          <w:szCs w:val="18"/>
        </w:rPr>
        <w:t>适用</w:t>
      </w:r>
      <w:r>
        <w:rPr>
          <w:sz w:val="18"/>
          <w:szCs w:val="18"/>
        </w:rPr>
        <w:t xml:space="preserve"> □</w:t>
      </w:r>
      <w:r>
        <w:rPr>
          <w:sz w:val="18"/>
          <w:szCs w:val="18"/>
        </w:rPr>
        <w:t>不适用</w:t>
      </w:r>
    </w:p>
    <w:p w:rsidR="00E20B54" w:rsidRDefault="00733C9E">
      <w:pPr>
        <w:spacing w:before="120" w:after="120" w:line="240" w:lineRule="exact"/>
        <w:jc w:val="right"/>
        <w:rPr>
          <w:sz w:val="18"/>
          <w:szCs w:val="18"/>
        </w:rPr>
      </w:pPr>
      <w:r>
        <w:rPr>
          <w:sz w:val="18"/>
          <w:szCs w:val="18"/>
        </w:rPr>
        <w:t>单位：元</w:t>
      </w:r>
    </w:p>
    <w:tbl>
      <w:tblPr>
        <w:tblW w:w="963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2802"/>
        <w:gridCol w:w="3624"/>
        <w:gridCol w:w="3213"/>
      </w:tblGrid>
      <w:tr w:rsidR="00E20B54" w:rsidTr="00222FE0">
        <w:trPr>
          <w:trHeight w:val="240"/>
          <w:tblHeader/>
        </w:trPr>
        <w:tc>
          <w:tcPr>
            <w:tcW w:w="2802"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项目</w:t>
            </w:r>
          </w:p>
        </w:tc>
        <w:tc>
          <w:tcPr>
            <w:tcW w:w="3624"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金额</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说明</w:t>
            </w:r>
          </w:p>
        </w:tc>
      </w:tr>
      <w:tr w:rsidR="00E20B54" w:rsidTr="00222FE0">
        <w:trPr>
          <w:trHeight w:val="240"/>
        </w:trPr>
        <w:tc>
          <w:tcPr>
            <w:tcW w:w="2802"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非流动性资产处置损益</w:t>
            </w:r>
          </w:p>
        </w:tc>
        <w:tc>
          <w:tcPr>
            <w:tcW w:w="3624"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-353,434.01</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rPr>
                <w:sz w:val="18"/>
                <w:szCs w:val="18"/>
              </w:rPr>
            </w:pPr>
          </w:p>
        </w:tc>
      </w:tr>
      <w:tr w:rsidR="00E20B54" w:rsidTr="00222FE0">
        <w:trPr>
          <w:trHeight w:val="240"/>
        </w:trPr>
        <w:tc>
          <w:tcPr>
            <w:tcW w:w="2802"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计入当期损益的政府补助（与公司正常经营业务密切相关，符合国家政策规定、按照确定的标准享有、对公司损益产生持续影响</w:t>
            </w:r>
            <w:r>
              <w:rPr>
                <w:sz w:val="18"/>
                <w:szCs w:val="18"/>
              </w:rPr>
              <w:lastRenderedPageBreak/>
              <w:t>的政府补助除外）</w:t>
            </w:r>
          </w:p>
        </w:tc>
        <w:tc>
          <w:tcPr>
            <w:tcW w:w="3624"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lastRenderedPageBreak/>
              <w:t>124,273.56</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rPr>
                <w:sz w:val="18"/>
                <w:szCs w:val="18"/>
              </w:rPr>
            </w:pPr>
          </w:p>
        </w:tc>
      </w:tr>
      <w:tr w:rsidR="00E20B54" w:rsidTr="00222FE0">
        <w:trPr>
          <w:trHeight w:val="240"/>
        </w:trPr>
        <w:tc>
          <w:tcPr>
            <w:tcW w:w="2802"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lastRenderedPageBreak/>
              <w:t>债务重组损益</w:t>
            </w:r>
          </w:p>
        </w:tc>
        <w:tc>
          <w:tcPr>
            <w:tcW w:w="3624"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5,794,301.93</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rPr>
                <w:sz w:val="18"/>
                <w:szCs w:val="18"/>
              </w:rPr>
            </w:pPr>
          </w:p>
        </w:tc>
      </w:tr>
      <w:tr w:rsidR="00E20B54" w:rsidTr="00222FE0">
        <w:trPr>
          <w:trHeight w:val="240"/>
        </w:trPr>
        <w:tc>
          <w:tcPr>
            <w:tcW w:w="2802"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除上述各项之外的其他营业外收入和支出</w:t>
            </w:r>
          </w:p>
        </w:tc>
        <w:tc>
          <w:tcPr>
            <w:tcW w:w="3624"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-1,078,500.59</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rPr>
                <w:sz w:val="18"/>
                <w:szCs w:val="18"/>
              </w:rPr>
            </w:pPr>
          </w:p>
        </w:tc>
      </w:tr>
      <w:tr w:rsidR="00E20B54" w:rsidTr="00222FE0">
        <w:trPr>
          <w:trHeight w:val="240"/>
        </w:trPr>
        <w:tc>
          <w:tcPr>
            <w:tcW w:w="2802"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其他符合非经常性损益定义的损益项目</w:t>
            </w:r>
          </w:p>
        </w:tc>
        <w:tc>
          <w:tcPr>
            <w:tcW w:w="3624"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40,975.70</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rPr>
                <w:sz w:val="18"/>
                <w:szCs w:val="18"/>
              </w:rPr>
            </w:pPr>
          </w:p>
        </w:tc>
      </w:tr>
      <w:tr w:rsidR="00E20B54" w:rsidTr="00222FE0">
        <w:trPr>
          <w:trHeight w:val="240"/>
        </w:trPr>
        <w:tc>
          <w:tcPr>
            <w:tcW w:w="2802"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减：所得税影响额</w:t>
            </w:r>
          </w:p>
        </w:tc>
        <w:tc>
          <w:tcPr>
            <w:tcW w:w="3624"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624,687.01</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rPr>
                <w:sz w:val="18"/>
                <w:szCs w:val="18"/>
              </w:rPr>
            </w:pPr>
          </w:p>
        </w:tc>
      </w:tr>
      <w:tr w:rsidR="00E20B54" w:rsidTr="00222FE0">
        <w:trPr>
          <w:trHeight w:val="240"/>
        </w:trPr>
        <w:tc>
          <w:tcPr>
            <w:tcW w:w="2802"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ind w:firstLineChars="200" w:firstLine="360"/>
              <w:rPr>
                <w:sz w:val="18"/>
                <w:szCs w:val="18"/>
              </w:rPr>
            </w:pPr>
            <w:r>
              <w:rPr>
                <w:sz w:val="18"/>
                <w:szCs w:val="18"/>
              </w:rPr>
              <w:t>少数股东权益影响额（税后）</w:t>
            </w:r>
          </w:p>
        </w:tc>
        <w:tc>
          <w:tcPr>
            <w:tcW w:w="3624"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46,692.87</w:t>
            </w:r>
          </w:p>
        </w:tc>
        <w:tc>
          <w:tcPr>
            <w:tcW w:w="3213" w:type="dxa"/>
            <w:tcBorders>
              <w:top w:val="single" w:sz="2" w:space="0" w:color="auto"/>
              <w:left w:val="single" w:sz="2" w:space="0" w:color="auto"/>
              <w:bottom w:val="single" w:sz="2" w:space="0" w:color="auto"/>
              <w:right w:val="single" w:sz="2" w:space="0" w:color="auto"/>
            </w:tcBorders>
            <w:vAlign w:val="center"/>
          </w:tcPr>
          <w:p w:rsidR="00E20B54" w:rsidRDefault="00E20B54">
            <w:pPr>
              <w:spacing w:line="240" w:lineRule="exact"/>
              <w:rPr>
                <w:sz w:val="18"/>
                <w:szCs w:val="18"/>
              </w:rPr>
            </w:pPr>
          </w:p>
        </w:tc>
      </w:tr>
      <w:tr w:rsidR="00E20B54" w:rsidTr="00222FE0">
        <w:trPr>
          <w:trHeight w:val="240"/>
        </w:trPr>
        <w:tc>
          <w:tcPr>
            <w:tcW w:w="2802"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合计</w:t>
            </w:r>
          </w:p>
        </w:tc>
        <w:tc>
          <w:tcPr>
            <w:tcW w:w="3624" w:type="dxa"/>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3,856,236.71</w:t>
            </w:r>
          </w:p>
        </w:tc>
        <w:tc>
          <w:tcPr>
            <w:tcW w:w="3213" w:type="dxa"/>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w:t>
            </w:r>
          </w:p>
        </w:tc>
      </w:tr>
    </w:tbl>
    <w:p w:rsidR="00E20B54" w:rsidRDefault="00733C9E">
      <w:pPr>
        <w:spacing w:before="100" w:after="100" w:line="240" w:lineRule="exact"/>
        <w:rPr>
          <w:sz w:val="18"/>
          <w:szCs w:val="18"/>
        </w:rPr>
      </w:pPr>
      <w:r>
        <w:rPr>
          <w:sz w:val="18"/>
          <w:szCs w:val="18"/>
        </w:rPr>
        <w:t>其他符合非经常性损益定义的损益项目的具体情况：</w:t>
      </w:r>
    </w:p>
    <w:p w:rsidR="00E20B54" w:rsidRDefault="00733C9E">
      <w:pPr>
        <w:spacing w:before="100" w:after="100" w:line="240" w:lineRule="exact"/>
        <w:rPr>
          <w:sz w:val="18"/>
          <w:szCs w:val="18"/>
        </w:rPr>
      </w:pPr>
      <w:r>
        <w:rPr>
          <w:sz w:val="18"/>
          <w:szCs w:val="18"/>
        </w:rPr>
        <w:t>□</w:t>
      </w:r>
      <w:r>
        <w:rPr>
          <w:sz w:val="18"/>
          <w:szCs w:val="18"/>
        </w:rPr>
        <w:t>适用</w:t>
      </w:r>
      <w:r>
        <w:rPr>
          <w:sz w:val="18"/>
          <w:szCs w:val="18"/>
        </w:rPr>
        <w:t xml:space="preserve"> </w:t>
      </w:r>
      <w:r>
        <w:rPr>
          <w:sz w:val="18"/>
          <w:szCs w:val="18"/>
        </w:rPr>
        <w:sym w:font="Wingdings 2" w:char="F052"/>
      </w:r>
      <w:r>
        <w:rPr>
          <w:sz w:val="18"/>
          <w:szCs w:val="18"/>
        </w:rPr>
        <w:t>不适用</w:t>
      </w:r>
    </w:p>
    <w:p w:rsidR="00E20B54" w:rsidRDefault="00733C9E">
      <w:pPr>
        <w:spacing w:before="100" w:after="100" w:line="240" w:lineRule="exact"/>
        <w:rPr>
          <w:sz w:val="18"/>
          <w:szCs w:val="18"/>
        </w:rPr>
      </w:pPr>
      <w:r>
        <w:rPr>
          <w:sz w:val="18"/>
          <w:szCs w:val="18"/>
        </w:rPr>
        <w:t>公司不存在其他符合非经常性损益定义的损益项目的具体情况。</w:t>
      </w:r>
    </w:p>
    <w:p w:rsidR="00E20B54" w:rsidRDefault="00733C9E">
      <w:pPr>
        <w:spacing w:before="100" w:after="100" w:line="240" w:lineRule="exact"/>
        <w:rPr>
          <w:sz w:val="18"/>
          <w:szCs w:val="18"/>
        </w:rPr>
      </w:pPr>
      <w:r>
        <w:rPr>
          <w:sz w:val="18"/>
          <w:szCs w:val="18"/>
        </w:rPr>
        <w:t>将《公开发行证券的公司信息披露解释性公告第</w:t>
      </w:r>
      <w:r>
        <w:rPr>
          <w:sz w:val="18"/>
          <w:szCs w:val="18"/>
        </w:rPr>
        <w:t>1</w:t>
      </w:r>
      <w:r>
        <w:rPr>
          <w:sz w:val="18"/>
          <w:szCs w:val="18"/>
        </w:rPr>
        <w:t>号</w:t>
      </w:r>
      <w:r>
        <w:rPr>
          <w:sz w:val="18"/>
          <w:szCs w:val="18"/>
        </w:rPr>
        <w:t>——</w:t>
      </w:r>
      <w:r>
        <w:rPr>
          <w:sz w:val="18"/>
          <w:szCs w:val="18"/>
        </w:rPr>
        <w:t>非经常性损益》中列举的非经常性损益项目界定为经常性损益项目的情况说明</w:t>
      </w:r>
    </w:p>
    <w:p w:rsidR="00E20B54" w:rsidRDefault="00733C9E">
      <w:pPr>
        <w:spacing w:before="100" w:after="100" w:line="240" w:lineRule="exact"/>
        <w:rPr>
          <w:sz w:val="18"/>
          <w:szCs w:val="18"/>
        </w:rPr>
      </w:pPr>
      <w:r>
        <w:rPr>
          <w:sz w:val="18"/>
          <w:szCs w:val="18"/>
        </w:rPr>
        <w:t>□</w:t>
      </w:r>
      <w:r>
        <w:rPr>
          <w:sz w:val="18"/>
          <w:szCs w:val="18"/>
        </w:rPr>
        <w:t>适用</w:t>
      </w:r>
      <w:r>
        <w:rPr>
          <w:sz w:val="18"/>
          <w:szCs w:val="18"/>
        </w:rPr>
        <w:t xml:space="preserve"> </w:t>
      </w:r>
      <w:r>
        <w:rPr>
          <w:sz w:val="18"/>
          <w:szCs w:val="18"/>
        </w:rPr>
        <w:sym w:font="Wingdings 2" w:char="F052"/>
      </w:r>
      <w:r>
        <w:rPr>
          <w:sz w:val="18"/>
          <w:szCs w:val="18"/>
        </w:rPr>
        <w:t>不适用</w:t>
      </w:r>
    </w:p>
    <w:p w:rsidR="00E20B54" w:rsidRDefault="00733C9E" w:rsidP="00790FA2">
      <w:pPr>
        <w:pStyle w:val="3"/>
        <w:spacing w:beforeLines="50" w:before="156" w:afterLines="50" w:after="156" w:line="280" w:lineRule="exact"/>
        <w:jc w:val="left"/>
        <w:rPr>
          <w:b/>
          <w:bCs/>
        </w:rPr>
      </w:pPr>
      <w:bookmarkStart w:id="520" w:name="_Toc989408"/>
      <w:r>
        <w:rPr>
          <w:b/>
          <w:bCs/>
        </w:rPr>
        <w:t>2</w:t>
      </w:r>
      <w:r>
        <w:rPr>
          <w:b/>
          <w:bCs/>
        </w:rPr>
        <w:t>、净资产收益率及每股收益</w:t>
      </w:r>
      <w:bookmarkEnd w:id="520"/>
    </w:p>
    <w:tbl>
      <w:tblPr>
        <w:tblW w:w="5000" w:type="pct"/>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2464"/>
        <w:gridCol w:w="2463"/>
        <w:gridCol w:w="2463"/>
        <w:gridCol w:w="2463"/>
      </w:tblGrid>
      <w:tr w:rsidR="00E20B54" w:rsidTr="00790FA2">
        <w:trPr>
          <w:trHeight w:val="240"/>
        </w:trPr>
        <w:tc>
          <w:tcPr>
            <w:tcW w:w="1250" w:type="pct"/>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报告期利润</w:t>
            </w:r>
          </w:p>
        </w:tc>
        <w:tc>
          <w:tcPr>
            <w:tcW w:w="1250" w:type="pct"/>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加权平均净资产收益率</w:t>
            </w:r>
          </w:p>
        </w:tc>
        <w:tc>
          <w:tcPr>
            <w:tcW w:w="2500" w:type="pct"/>
            <w:gridSpan w:val="2"/>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每股收益</w:t>
            </w:r>
          </w:p>
        </w:tc>
      </w:tr>
      <w:tr w:rsidR="00E20B54" w:rsidTr="00790FA2">
        <w:trPr>
          <w:trHeight w:val="240"/>
        </w:trPr>
        <w:tc>
          <w:tcPr>
            <w:tcW w:w="1250" w:type="pct"/>
            <w:vMerge/>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c>
          <w:tcPr>
            <w:tcW w:w="1250" w:type="pct"/>
            <w:vMerge/>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E20B54"/>
        </w:tc>
        <w:tc>
          <w:tcPr>
            <w:tcW w:w="1250" w:type="pc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基本每股收益（元</w:t>
            </w:r>
            <w:r>
              <w:rPr>
                <w:sz w:val="18"/>
                <w:szCs w:val="18"/>
              </w:rPr>
              <w:t>/</w:t>
            </w:r>
            <w:r>
              <w:rPr>
                <w:sz w:val="18"/>
                <w:szCs w:val="18"/>
              </w:rPr>
              <w:t>股）</w:t>
            </w:r>
          </w:p>
        </w:tc>
        <w:tc>
          <w:tcPr>
            <w:tcW w:w="1250" w:type="pc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jc w:val="center"/>
              <w:rPr>
                <w:sz w:val="18"/>
                <w:szCs w:val="18"/>
              </w:rPr>
            </w:pPr>
            <w:r>
              <w:rPr>
                <w:sz w:val="18"/>
                <w:szCs w:val="18"/>
              </w:rPr>
              <w:t>稀释每股收益（元</w:t>
            </w:r>
            <w:r>
              <w:rPr>
                <w:sz w:val="18"/>
                <w:szCs w:val="18"/>
              </w:rPr>
              <w:t>/</w:t>
            </w:r>
            <w:r>
              <w:rPr>
                <w:sz w:val="18"/>
                <w:szCs w:val="18"/>
              </w:rPr>
              <w:t>股）</w:t>
            </w:r>
          </w:p>
        </w:tc>
      </w:tr>
      <w:tr w:rsidR="00E20B54" w:rsidTr="00790FA2">
        <w:trPr>
          <w:trHeight w:val="240"/>
        </w:trPr>
        <w:tc>
          <w:tcPr>
            <w:tcW w:w="1250" w:type="pc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归属于公司普通股股东的净利润</w:t>
            </w:r>
          </w:p>
        </w:tc>
        <w:tc>
          <w:tcPr>
            <w:tcW w:w="1250"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0.98%</w:t>
            </w:r>
          </w:p>
        </w:tc>
        <w:tc>
          <w:tcPr>
            <w:tcW w:w="1250"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0.11</w:t>
            </w:r>
          </w:p>
        </w:tc>
        <w:tc>
          <w:tcPr>
            <w:tcW w:w="1250"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0.11</w:t>
            </w:r>
          </w:p>
        </w:tc>
      </w:tr>
      <w:tr w:rsidR="00E20B54" w:rsidTr="00790FA2">
        <w:trPr>
          <w:trHeight w:val="240"/>
        </w:trPr>
        <w:tc>
          <w:tcPr>
            <w:tcW w:w="1250" w:type="pct"/>
            <w:tcBorders>
              <w:top w:val="single" w:sz="2" w:space="0" w:color="auto"/>
              <w:left w:val="single" w:sz="2" w:space="0" w:color="auto"/>
              <w:bottom w:val="single" w:sz="2" w:space="0" w:color="auto"/>
              <w:right w:val="single" w:sz="2" w:space="0" w:color="auto"/>
            </w:tcBorders>
            <w:shd w:val="clear" w:color="auto" w:fill="D3D3D3"/>
            <w:vAlign w:val="center"/>
          </w:tcPr>
          <w:p w:rsidR="00E20B54" w:rsidRDefault="00733C9E">
            <w:pPr>
              <w:spacing w:before="40" w:after="40" w:line="240" w:lineRule="exact"/>
              <w:rPr>
                <w:sz w:val="18"/>
                <w:szCs w:val="18"/>
              </w:rPr>
            </w:pPr>
            <w:r>
              <w:rPr>
                <w:sz w:val="18"/>
                <w:szCs w:val="18"/>
              </w:rPr>
              <w:t>扣除非经常性损益后归属于公司普通股股东的净利润</w:t>
            </w:r>
          </w:p>
        </w:tc>
        <w:tc>
          <w:tcPr>
            <w:tcW w:w="1250"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0.47%</w:t>
            </w:r>
          </w:p>
        </w:tc>
        <w:tc>
          <w:tcPr>
            <w:tcW w:w="1250"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0.05</w:t>
            </w:r>
          </w:p>
        </w:tc>
        <w:tc>
          <w:tcPr>
            <w:tcW w:w="1250" w:type="pct"/>
            <w:tcBorders>
              <w:top w:val="single" w:sz="2" w:space="0" w:color="auto"/>
              <w:left w:val="single" w:sz="2" w:space="0" w:color="auto"/>
              <w:bottom w:val="single" w:sz="2" w:space="0" w:color="auto"/>
              <w:right w:val="single" w:sz="2" w:space="0" w:color="auto"/>
            </w:tcBorders>
            <w:vAlign w:val="center"/>
          </w:tcPr>
          <w:p w:rsidR="00E20B54" w:rsidRDefault="00733C9E">
            <w:pPr>
              <w:spacing w:line="240" w:lineRule="exact"/>
              <w:jc w:val="right"/>
              <w:rPr>
                <w:sz w:val="18"/>
                <w:szCs w:val="18"/>
              </w:rPr>
            </w:pPr>
            <w:r>
              <w:rPr>
                <w:sz w:val="18"/>
                <w:szCs w:val="18"/>
              </w:rPr>
              <w:t>0.05</w:t>
            </w:r>
          </w:p>
        </w:tc>
      </w:tr>
    </w:tbl>
    <w:p w:rsidR="00E20B54" w:rsidRDefault="00733C9E" w:rsidP="00790FA2">
      <w:pPr>
        <w:pStyle w:val="3"/>
        <w:spacing w:beforeLines="50" w:before="156" w:afterLines="50" w:after="156" w:line="280" w:lineRule="exact"/>
        <w:jc w:val="left"/>
        <w:rPr>
          <w:b/>
          <w:bCs/>
        </w:rPr>
      </w:pPr>
      <w:bookmarkStart w:id="521" w:name="_Toc989409"/>
      <w:r>
        <w:rPr>
          <w:b/>
          <w:bCs/>
        </w:rPr>
        <w:t>3</w:t>
      </w:r>
      <w:r>
        <w:rPr>
          <w:b/>
          <w:bCs/>
        </w:rPr>
        <w:t>、境内外会计准则下会计数据差异</w:t>
      </w:r>
      <w:bookmarkEnd w:id="521"/>
    </w:p>
    <w:p w:rsidR="00E20B54" w:rsidRDefault="00733C9E" w:rsidP="00790FA2">
      <w:pPr>
        <w:pStyle w:val="3"/>
        <w:spacing w:beforeLines="50" w:before="156" w:afterLines="50" w:after="156" w:line="280" w:lineRule="exact"/>
        <w:jc w:val="left"/>
        <w:rPr>
          <w:b/>
          <w:bCs/>
        </w:rPr>
      </w:pPr>
      <w:bookmarkStart w:id="522" w:name="_Toc989410"/>
      <w:r>
        <w:rPr>
          <w:b/>
          <w:bCs/>
        </w:rPr>
        <w:t>（</w:t>
      </w:r>
      <w:r>
        <w:rPr>
          <w:b/>
          <w:bCs/>
        </w:rPr>
        <w:t>1</w:t>
      </w:r>
      <w:r>
        <w:rPr>
          <w:b/>
          <w:bCs/>
        </w:rPr>
        <w:t>）</w:t>
      </w:r>
      <w:r>
        <w:rPr>
          <w:b/>
          <w:bCs/>
        </w:rPr>
        <w:t xml:space="preserve"> </w:t>
      </w:r>
      <w:r>
        <w:rPr>
          <w:b/>
          <w:bCs/>
        </w:rPr>
        <w:t>同时按照国际会计准则与按中国会计准则披露的财务报告中净利润和净资产差异情况</w:t>
      </w:r>
      <w:bookmarkEnd w:id="522"/>
    </w:p>
    <w:p w:rsidR="00E20B54" w:rsidRDefault="00733C9E">
      <w:pPr>
        <w:spacing w:line="240" w:lineRule="exact"/>
        <w:rPr>
          <w:sz w:val="18"/>
          <w:szCs w:val="18"/>
        </w:rPr>
      </w:pPr>
      <w:r>
        <w:rPr>
          <w:sz w:val="18"/>
          <w:szCs w:val="18"/>
        </w:rPr>
        <w:t>□</w:t>
      </w:r>
      <w:r>
        <w:rPr>
          <w:sz w:val="18"/>
          <w:szCs w:val="18"/>
        </w:rPr>
        <w:t>适用</w:t>
      </w:r>
      <w:r>
        <w:rPr>
          <w:sz w:val="18"/>
          <w:szCs w:val="18"/>
        </w:rPr>
        <w:t xml:space="preserve"> </w:t>
      </w:r>
      <w:r>
        <w:rPr>
          <w:sz w:val="18"/>
          <w:szCs w:val="18"/>
        </w:rPr>
        <w:sym w:font="Wingdings 2" w:char="F052"/>
      </w:r>
      <w:r>
        <w:rPr>
          <w:sz w:val="18"/>
          <w:szCs w:val="18"/>
        </w:rPr>
        <w:t>不适用</w:t>
      </w:r>
    </w:p>
    <w:p w:rsidR="00E20B54" w:rsidRDefault="00733C9E" w:rsidP="00790FA2">
      <w:pPr>
        <w:pStyle w:val="3"/>
        <w:spacing w:beforeLines="50" w:before="156" w:afterLines="50" w:after="156" w:line="280" w:lineRule="exact"/>
        <w:jc w:val="left"/>
        <w:rPr>
          <w:b/>
          <w:bCs/>
        </w:rPr>
      </w:pPr>
      <w:bookmarkStart w:id="523" w:name="_Toc989411"/>
      <w:r>
        <w:rPr>
          <w:b/>
          <w:bCs/>
        </w:rPr>
        <w:t>（</w:t>
      </w:r>
      <w:r>
        <w:rPr>
          <w:b/>
          <w:bCs/>
        </w:rPr>
        <w:t>2</w:t>
      </w:r>
      <w:r>
        <w:rPr>
          <w:b/>
          <w:bCs/>
        </w:rPr>
        <w:t>）</w:t>
      </w:r>
      <w:r>
        <w:rPr>
          <w:b/>
          <w:bCs/>
        </w:rPr>
        <w:t xml:space="preserve"> </w:t>
      </w:r>
      <w:r>
        <w:rPr>
          <w:b/>
          <w:bCs/>
        </w:rPr>
        <w:t>同时按照境外会计准则与按中国会计准则披露的财务报告中净利润和净资产差异情况</w:t>
      </w:r>
      <w:bookmarkEnd w:id="523"/>
    </w:p>
    <w:p w:rsidR="00E20B54" w:rsidRDefault="00733C9E">
      <w:pPr>
        <w:spacing w:line="240" w:lineRule="exact"/>
        <w:rPr>
          <w:sz w:val="18"/>
          <w:szCs w:val="18"/>
        </w:rPr>
      </w:pPr>
      <w:r>
        <w:rPr>
          <w:sz w:val="18"/>
          <w:szCs w:val="18"/>
        </w:rPr>
        <w:t>□</w:t>
      </w:r>
      <w:r>
        <w:rPr>
          <w:sz w:val="18"/>
          <w:szCs w:val="18"/>
        </w:rPr>
        <w:t>适用</w:t>
      </w:r>
      <w:r>
        <w:rPr>
          <w:sz w:val="18"/>
          <w:szCs w:val="18"/>
        </w:rPr>
        <w:t xml:space="preserve"> </w:t>
      </w:r>
      <w:r>
        <w:rPr>
          <w:sz w:val="18"/>
          <w:szCs w:val="18"/>
        </w:rPr>
        <w:sym w:font="Wingdings 2" w:char="F052"/>
      </w:r>
      <w:r>
        <w:rPr>
          <w:sz w:val="18"/>
          <w:szCs w:val="18"/>
        </w:rPr>
        <w:t>不适用</w:t>
      </w:r>
    </w:p>
    <w:p w:rsidR="00E20B54" w:rsidRDefault="00733C9E" w:rsidP="00790FA2">
      <w:pPr>
        <w:pStyle w:val="3"/>
        <w:spacing w:beforeLines="50" w:before="156" w:afterLines="50" w:after="156" w:line="280" w:lineRule="exact"/>
        <w:jc w:val="left"/>
        <w:rPr>
          <w:b/>
          <w:bCs/>
        </w:rPr>
      </w:pPr>
      <w:bookmarkStart w:id="524" w:name="_Toc989412"/>
      <w:r>
        <w:rPr>
          <w:b/>
          <w:bCs/>
        </w:rPr>
        <w:t>（</w:t>
      </w:r>
      <w:r>
        <w:rPr>
          <w:b/>
          <w:bCs/>
        </w:rPr>
        <w:t>3</w:t>
      </w:r>
      <w:r>
        <w:rPr>
          <w:b/>
          <w:bCs/>
        </w:rPr>
        <w:t>）</w:t>
      </w:r>
      <w:r>
        <w:rPr>
          <w:b/>
          <w:bCs/>
        </w:rPr>
        <w:t xml:space="preserve"> </w:t>
      </w:r>
      <w:r>
        <w:rPr>
          <w:b/>
          <w:bCs/>
        </w:rPr>
        <w:t>境内外会计准则下会计数据差异原因说明，对已经境外审计机构审计的数据进行差异调节的，应注明该境外机构的名称</w:t>
      </w:r>
      <w:bookmarkEnd w:id="524"/>
    </w:p>
    <w:p w:rsidR="00E20B54" w:rsidRDefault="00733C9E">
      <w:pPr>
        <w:spacing w:before="100" w:after="100" w:line="240" w:lineRule="exact"/>
        <w:rPr>
          <w:sz w:val="18"/>
          <w:szCs w:val="18"/>
        </w:rPr>
      </w:pPr>
      <w:r>
        <w:rPr>
          <w:sz w:val="18"/>
          <w:szCs w:val="18"/>
        </w:rPr>
        <w:t>□</w:t>
      </w:r>
      <w:r>
        <w:rPr>
          <w:sz w:val="18"/>
          <w:szCs w:val="18"/>
        </w:rPr>
        <w:t>适用</w:t>
      </w:r>
      <w:r>
        <w:rPr>
          <w:sz w:val="18"/>
          <w:szCs w:val="18"/>
        </w:rPr>
        <w:t xml:space="preserve"> </w:t>
      </w:r>
      <w:r>
        <w:rPr>
          <w:sz w:val="18"/>
          <w:szCs w:val="18"/>
        </w:rPr>
        <w:sym w:font="Wingdings 2" w:char="F052"/>
      </w:r>
      <w:r>
        <w:rPr>
          <w:sz w:val="18"/>
          <w:szCs w:val="18"/>
        </w:rPr>
        <w:t>不适用</w:t>
      </w:r>
    </w:p>
    <w:p w:rsidR="00E20B54" w:rsidRDefault="00733C9E" w:rsidP="00790FA2">
      <w:pPr>
        <w:pStyle w:val="3"/>
        <w:spacing w:beforeLines="50" w:before="156" w:afterLines="50" w:after="156" w:line="280" w:lineRule="exact"/>
        <w:jc w:val="left"/>
        <w:rPr>
          <w:b/>
          <w:bCs/>
        </w:rPr>
      </w:pPr>
      <w:bookmarkStart w:id="525" w:name="_Toc989413"/>
      <w:r>
        <w:rPr>
          <w:b/>
          <w:bCs/>
        </w:rPr>
        <w:t>4</w:t>
      </w:r>
      <w:r>
        <w:rPr>
          <w:b/>
          <w:bCs/>
        </w:rPr>
        <w:t>、其他</w:t>
      </w:r>
      <w:bookmarkEnd w:id="525"/>
    </w:p>
    <w:p w:rsidR="00E20B54" w:rsidRDefault="00586753" w:rsidP="00586753">
      <w:pPr>
        <w:spacing w:before="100" w:after="100" w:line="0" w:lineRule="atLeast"/>
        <w:jc w:val="right"/>
      </w:pPr>
      <w:r>
        <w:rPr>
          <w:rFonts w:hint="eastAsia"/>
        </w:rPr>
        <w:t>广东天亿马信息产业股份有限公司</w:t>
      </w:r>
    </w:p>
    <w:p w:rsidR="00586753" w:rsidRDefault="00586753" w:rsidP="00586753">
      <w:pPr>
        <w:spacing w:before="100" w:after="100" w:line="0" w:lineRule="atLeast"/>
        <w:jc w:val="right"/>
      </w:pPr>
      <w:r>
        <w:rPr>
          <w:rFonts w:hint="eastAsia"/>
        </w:rPr>
        <w:t>董事会</w:t>
      </w:r>
    </w:p>
    <w:p w:rsidR="00586753" w:rsidRDefault="00586753" w:rsidP="00586753">
      <w:pPr>
        <w:spacing w:before="100" w:after="100" w:line="0" w:lineRule="atLeast"/>
        <w:jc w:val="right"/>
      </w:pPr>
      <w:r>
        <w:rPr>
          <w:rFonts w:hint="eastAsia"/>
        </w:rPr>
        <w:t>2026</w:t>
      </w:r>
      <w:r>
        <w:rPr>
          <w:rFonts w:hint="eastAsia"/>
        </w:rPr>
        <w:t>年</w:t>
      </w:r>
      <w:r>
        <w:rPr>
          <w:rFonts w:hint="eastAsia"/>
        </w:rPr>
        <w:t>3</w:t>
      </w:r>
      <w:r>
        <w:rPr>
          <w:rFonts w:hint="eastAsia"/>
        </w:rPr>
        <w:t>月</w:t>
      </w:r>
      <w:r>
        <w:rPr>
          <w:rFonts w:hint="eastAsia"/>
        </w:rPr>
        <w:t>31</w:t>
      </w:r>
      <w:r>
        <w:rPr>
          <w:rFonts w:hint="eastAsia"/>
        </w:rPr>
        <w:t>日</w:t>
      </w:r>
    </w:p>
    <w:sectPr w:rsidR="00586753">
      <w:pgSz w:w="11905" w:h="16840"/>
      <w:pgMar w:top="1440" w:right="1134" w:bottom="1440" w:left="1134" w:header="850" w:footer="992" w:gutter="0"/>
      <w:cols w:space="720"/>
      <w:docGrid w:type="linesAndChar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F73CB" w:rsidRDefault="000F73CB">
      <w:r>
        <w:separator/>
      </w:r>
    </w:p>
  </w:endnote>
  <w:endnote w:type="continuationSeparator" w:id="0">
    <w:p w:rsidR="000F73CB" w:rsidRDefault="000F73C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Wingdings 2">
    <w:panose1 w:val="05020102010507070707"/>
    <w:charset w:val="02"/>
    <w:family w:val="roman"/>
    <w:pitch w:val="variable"/>
    <w:sig w:usb0="00000000" w:usb1="10000000" w:usb2="00000000" w:usb3="00000000" w:csb0="80000000" w:csb1="00000000"/>
  </w:font>
  <w:font w:name="瀹嬩綋">
    <w:altName w:val="AMGDT"/>
    <w:charset w:val="00"/>
    <w:family w:val="auto"/>
    <w:pitch w:val="default"/>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976AD" w:rsidRDefault="003976AD">
    <w:pPr>
      <w:pStyle w:val="fotter1"/>
    </w:pPr>
    <w:r>
      <w:fldChar w:fldCharType="begin"/>
    </w:r>
    <w:r>
      <w:instrText>PAGE   \* MERGEFORMAT</w:instrText>
    </w:r>
    <w:r>
      <w:fldChar w:fldCharType="separate"/>
    </w:r>
    <w:r w:rsidR="00387F9A">
      <w:rPr>
        <w:noProof/>
      </w:rPr>
      <w:t>133</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F73CB" w:rsidRDefault="000F73CB">
      <w:r>
        <w:separator/>
      </w:r>
    </w:p>
  </w:footnote>
  <w:footnote w:type="continuationSeparator" w:id="0">
    <w:p w:rsidR="000F73CB" w:rsidRDefault="000F73C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976AD" w:rsidRDefault="003976AD">
    <w:pPr>
      <w:pStyle w:val="Header1"/>
      <w:pBdr>
        <w:bottom w:val="single" w:sz="6" w:space="1" w:color="auto"/>
      </w:pBdr>
    </w:pPr>
    <w:r>
      <w:t>广东天亿马信息产业股份有限公司2025年年度报告全文</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F092B84"/>
    <w:multiLevelType w:val="multilevel"/>
    <w:tmpl w:val="CF092B84"/>
    <w:lvl w:ilvl="0">
      <w:start w:val="1"/>
      <w:numFmt w:val="decimal"/>
      <w:lvlText w:val="%1."/>
      <w:lvlJc w:val="left"/>
      <w:pPr>
        <w:tabs>
          <w:tab w:val="left" w:pos="720"/>
        </w:tabs>
        <w:ind w:left="720" w:hanging="360"/>
      </w:pPr>
      <w:rPr>
        <w:sz w:val="24"/>
        <w:szCs w:val="24"/>
      </w:rPr>
    </w:lvl>
    <w:lvl w:ilvl="1">
      <w:start w:val="1"/>
      <w:numFmt w:val="decimal"/>
      <w:lvlText w:val="%2."/>
      <w:lvlJc w:val="left"/>
      <w:pPr>
        <w:tabs>
          <w:tab w:val="left" w:pos="1440"/>
        </w:tabs>
        <w:ind w:left="1440" w:hanging="360"/>
      </w:pPr>
      <w:rPr>
        <w:sz w:val="24"/>
        <w:szCs w:val="24"/>
      </w:rPr>
    </w:lvl>
    <w:lvl w:ilvl="2">
      <w:start w:val="1"/>
      <w:numFmt w:val="decimal"/>
      <w:lvlText w:val="%3."/>
      <w:lvlJc w:val="left"/>
      <w:pPr>
        <w:tabs>
          <w:tab w:val="left" w:pos="2160"/>
        </w:tabs>
        <w:ind w:left="2160" w:hanging="360"/>
      </w:pPr>
      <w:rPr>
        <w:sz w:val="24"/>
        <w:szCs w:val="24"/>
      </w:rPr>
    </w:lvl>
    <w:lvl w:ilvl="3">
      <w:start w:val="1"/>
      <w:numFmt w:val="decimal"/>
      <w:lvlText w:val="%4."/>
      <w:lvlJc w:val="left"/>
      <w:pPr>
        <w:tabs>
          <w:tab w:val="left" w:pos="2517"/>
        </w:tabs>
        <w:ind w:left="2880" w:hanging="360"/>
      </w:pPr>
      <w:rPr>
        <w:sz w:val="24"/>
        <w:szCs w:val="24"/>
      </w:rPr>
    </w:lvl>
    <w:lvl w:ilvl="4">
      <w:start w:val="1"/>
      <w:numFmt w:val="decimal"/>
      <w:lvlText w:val="%5."/>
      <w:lvlJc w:val="left"/>
      <w:pPr>
        <w:tabs>
          <w:tab w:val="left" w:pos="3238"/>
        </w:tabs>
        <w:ind w:left="3600" w:hanging="360"/>
      </w:pPr>
      <w:rPr>
        <w:sz w:val="24"/>
        <w:szCs w:val="24"/>
      </w:rPr>
    </w:lvl>
    <w:lvl w:ilvl="5">
      <w:start w:val="1"/>
      <w:numFmt w:val="decimal"/>
      <w:lvlText w:val="%6."/>
      <w:lvlJc w:val="left"/>
      <w:pPr>
        <w:tabs>
          <w:tab w:val="left" w:pos="3958"/>
        </w:tabs>
        <w:ind w:left="4320" w:hanging="360"/>
      </w:pPr>
      <w:rPr>
        <w:sz w:val="24"/>
        <w:szCs w:val="24"/>
      </w:rPr>
    </w:lvl>
    <w:lvl w:ilvl="6">
      <w:start w:val="1"/>
      <w:numFmt w:val="decimal"/>
      <w:lvlText w:val="%7."/>
      <w:lvlJc w:val="left"/>
      <w:pPr>
        <w:tabs>
          <w:tab w:val="left" w:pos="4678"/>
        </w:tabs>
        <w:ind w:left="5040" w:hanging="360"/>
      </w:pPr>
      <w:rPr>
        <w:sz w:val="24"/>
        <w:szCs w:val="24"/>
      </w:rPr>
    </w:lvl>
    <w:lvl w:ilvl="7">
      <w:start w:val="1"/>
      <w:numFmt w:val="decimal"/>
      <w:lvlText w:val="%8."/>
      <w:lvlJc w:val="left"/>
      <w:pPr>
        <w:tabs>
          <w:tab w:val="left" w:pos="5398"/>
        </w:tabs>
        <w:ind w:left="5760" w:hanging="360"/>
      </w:pPr>
      <w:rPr>
        <w:sz w:val="24"/>
        <w:szCs w:val="24"/>
      </w:rPr>
    </w:lvl>
    <w:lvl w:ilvl="8">
      <w:start w:val="1"/>
      <w:numFmt w:val="decimal"/>
      <w:lvlText w:val="%9."/>
      <w:lvlJc w:val="left"/>
      <w:pPr>
        <w:tabs>
          <w:tab w:val="left" w:pos="6118"/>
        </w:tabs>
        <w:ind w:left="6480" w:hanging="360"/>
      </w:pPr>
      <w:rPr>
        <w:sz w:val="24"/>
        <w:szCs w:val="24"/>
      </w:rPr>
    </w:lvl>
  </w:abstractNum>
  <w:abstractNum w:abstractNumId="1">
    <w:nsid w:val="0053208E"/>
    <w:multiLevelType w:val="multilevel"/>
    <w:tmpl w:val="0053208E"/>
    <w:lvl w:ilvl="0">
      <w:start w:val="1"/>
      <w:numFmt w:val="decimal"/>
      <w:lvlText w:val="%1."/>
      <w:lvlJc w:val="left"/>
      <w:pPr>
        <w:tabs>
          <w:tab w:val="left" w:pos="720"/>
        </w:tabs>
        <w:ind w:left="720" w:hanging="360"/>
      </w:pPr>
      <w:rPr>
        <w:sz w:val="24"/>
        <w:szCs w:val="24"/>
      </w:rPr>
    </w:lvl>
    <w:lvl w:ilvl="1">
      <w:start w:val="1"/>
      <w:numFmt w:val="decimal"/>
      <w:lvlText w:val="%2."/>
      <w:lvlJc w:val="left"/>
      <w:pPr>
        <w:tabs>
          <w:tab w:val="left" w:pos="1440"/>
        </w:tabs>
        <w:ind w:left="1440" w:hanging="360"/>
      </w:pPr>
      <w:rPr>
        <w:sz w:val="24"/>
        <w:szCs w:val="24"/>
      </w:rPr>
    </w:lvl>
    <w:lvl w:ilvl="2">
      <w:start w:val="1"/>
      <w:numFmt w:val="decimal"/>
      <w:lvlText w:val="%3."/>
      <w:lvlJc w:val="left"/>
      <w:pPr>
        <w:tabs>
          <w:tab w:val="left" w:pos="2160"/>
        </w:tabs>
        <w:ind w:left="2160" w:hanging="360"/>
      </w:pPr>
      <w:rPr>
        <w:sz w:val="24"/>
        <w:szCs w:val="24"/>
      </w:rPr>
    </w:lvl>
    <w:lvl w:ilvl="3">
      <w:start w:val="1"/>
      <w:numFmt w:val="decimal"/>
      <w:lvlText w:val="%4."/>
      <w:lvlJc w:val="left"/>
      <w:pPr>
        <w:tabs>
          <w:tab w:val="left" w:pos="2517"/>
        </w:tabs>
        <w:ind w:left="2880" w:hanging="360"/>
      </w:pPr>
      <w:rPr>
        <w:sz w:val="24"/>
        <w:szCs w:val="24"/>
      </w:rPr>
    </w:lvl>
    <w:lvl w:ilvl="4">
      <w:start w:val="1"/>
      <w:numFmt w:val="decimal"/>
      <w:lvlText w:val="%5."/>
      <w:lvlJc w:val="left"/>
      <w:pPr>
        <w:tabs>
          <w:tab w:val="left" w:pos="3238"/>
        </w:tabs>
        <w:ind w:left="3600" w:hanging="360"/>
      </w:pPr>
      <w:rPr>
        <w:sz w:val="24"/>
        <w:szCs w:val="24"/>
      </w:rPr>
    </w:lvl>
    <w:lvl w:ilvl="5">
      <w:start w:val="1"/>
      <w:numFmt w:val="decimal"/>
      <w:lvlText w:val="%6."/>
      <w:lvlJc w:val="left"/>
      <w:pPr>
        <w:tabs>
          <w:tab w:val="left" w:pos="3958"/>
        </w:tabs>
        <w:ind w:left="4320" w:hanging="360"/>
      </w:pPr>
      <w:rPr>
        <w:sz w:val="24"/>
        <w:szCs w:val="24"/>
      </w:rPr>
    </w:lvl>
    <w:lvl w:ilvl="6">
      <w:start w:val="1"/>
      <w:numFmt w:val="decimal"/>
      <w:lvlText w:val="%7."/>
      <w:lvlJc w:val="left"/>
      <w:pPr>
        <w:tabs>
          <w:tab w:val="left" w:pos="4678"/>
        </w:tabs>
        <w:ind w:left="5040" w:hanging="360"/>
      </w:pPr>
      <w:rPr>
        <w:sz w:val="24"/>
        <w:szCs w:val="24"/>
      </w:rPr>
    </w:lvl>
    <w:lvl w:ilvl="7">
      <w:start w:val="1"/>
      <w:numFmt w:val="decimal"/>
      <w:lvlText w:val="%8."/>
      <w:lvlJc w:val="left"/>
      <w:pPr>
        <w:tabs>
          <w:tab w:val="left" w:pos="5398"/>
        </w:tabs>
        <w:ind w:left="5760" w:hanging="360"/>
      </w:pPr>
      <w:rPr>
        <w:sz w:val="24"/>
        <w:szCs w:val="24"/>
      </w:rPr>
    </w:lvl>
    <w:lvl w:ilvl="8">
      <w:start w:val="1"/>
      <w:numFmt w:val="decimal"/>
      <w:lvlText w:val="%9."/>
      <w:lvlJc w:val="left"/>
      <w:pPr>
        <w:tabs>
          <w:tab w:val="left" w:pos="6118"/>
        </w:tabs>
        <w:ind w:left="6480" w:hanging="360"/>
      </w:pPr>
      <w:rPr>
        <w:sz w:val="24"/>
        <w:szCs w:val="24"/>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defaultTabStop w:val="420"/>
  <w:characterSpacingControl w:val="doNotCompress"/>
  <w:footnotePr>
    <w:footnote w:id="-1"/>
    <w:footnote w:id="0"/>
  </w:footnotePr>
  <w:endnotePr>
    <w:endnote w:id="-1"/>
    <w:endnote w:id="0"/>
  </w:endnotePr>
  <w:compat>
    <w:doNotExpandShiftReturn/>
    <w:useFELayout/>
    <w:compatSetting w:name="compatibilityMode" w:uri="http://schemas.microsoft.com/office/word" w:val="14"/>
  </w:compat>
  <w:rsids>
    <w:rsidRoot w:val="00E20B54"/>
    <w:rsid w:val="00043EC0"/>
    <w:rsid w:val="000B0C8B"/>
    <w:rsid w:val="000E78D2"/>
    <w:rsid w:val="000F73CB"/>
    <w:rsid w:val="00112ABE"/>
    <w:rsid w:val="00133997"/>
    <w:rsid w:val="0014654E"/>
    <w:rsid w:val="0017285C"/>
    <w:rsid w:val="001775C8"/>
    <w:rsid w:val="001B6CD0"/>
    <w:rsid w:val="00222FE0"/>
    <w:rsid w:val="00233747"/>
    <w:rsid w:val="002436D6"/>
    <w:rsid w:val="0028324B"/>
    <w:rsid w:val="00295DC8"/>
    <w:rsid w:val="002C43A2"/>
    <w:rsid w:val="003749B7"/>
    <w:rsid w:val="00387F9A"/>
    <w:rsid w:val="003976AD"/>
    <w:rsid w:val="003A4699"/>
    <w:rsid w:val="003A5F3D"/>
    <w:rsid w:val="004F7E64"/>
    <w:rsid w:val="00540487"/>
    <w:rsid w:val="00554425"/>
    <w:rsid w:val="00561B6F"/>
    <w:rsid w:val="00586753"/>
    <w:rsid w:val="005B6F9D"/>
    <w:rsid w:val="006153F7"/>
    <w:rsid w:val="006319F0"/>
    <w:rsid w:val="00677162"/>
    <w:rsid w:val="00682C39"/>
    <w:rsid w:val="006F2B14"/>
    <w:rsid w:val="00733C9E"/>
    <w:rsid w:val="00790FA2"/>
    <w:rsid w:val="007949DA"/>
    <w:rsid w:val="00823CA6"/>
    <w:rsid w:val="00850F70"/>
    <w:rsid w:val="008D43AF"/>
    <w:rsid w:val="008F69A0"/>
    <w:rsid w:val="009404E5"/>
    <w:rsid w:val="009519F0"/>
    <w:rsid w:val="00954846"/>
    <w:rsid w:val="009B5B4A"/>
    <w:rsid w:val="00A00083"/>
    <w:rsid w:val="00A10B23"/>
    <w:rsid w:val="00A172AA"/>
    <w:rsid w:val="00A34779"/>
    <w:rsid w:val="00AA0900"/>
    <w:rsid w:val="00AD5282"/>
    <w:rsid w:val="00AF475D"/>
    <w:rsid w:val="00B1424B"/>
    <w:rsid w:val="00C0321F"/>
    <w:rsid w:val="00C169DD"/>
    <w:rsid w:val="00C219A7"/>
    <w:rsid w:val="00C36250"/>
    <w:rsid w:val="00C57489"/>
    <w:rsid w:val="00C61107"/>
    <w:rsid w:val="00C80399"/>
    <w:rsid w:val="00C87B7C"/>
    <w:rsid w:val="00CE0A24"/>
    <w:rsid w:val="00CF29AB"/>
    <w:rsid w:val="00CF2D8B"/>
    <w:rsid w:val="00D6703E"/>
    <w:rsid w:val="00DC457B"/>
    <w:rsid w:val="00E00ADF"/>
    <w:rsid w:val="00E20B54"/>
    <w:rsid w:val="00E27A93"/>
    <w:rsid w:val="00E4298E"/>
    <w:rsid w:val="00E5606C"/>
    <w:rsid w:val="00E671DD"/>
    <w:rsid w:val="00E83600"/>
    <w:rsid w:val="00EC5942"/>
    <w:rsid w:val="00F10ED6"/>
    <w:rsid w:val="00F21090"/>
    <w:rsid w:val="00F25331"/>
    <w:rsid w:val="00F77896"/>
    <w:rsid w:val="00FC30F4"/>
    <w:rsid w:val="00FC748D"/>
    <w:rsid w:val="00FD5B19"/>
    <w:rsid w:val="08474E8A"/>
    <w:rsid w:val="10853B45"/>
    <w:rsid w:val="1C8E00CD"/>
    <w:rsid w:val="1E7A5830"/>
    <w:rsid w:val="335D3AD4"/>
    <w:rsid w:val="35D408E8"/>
    <w:rsid w:val="39BE2B0E"/>
    <w:rsid w:val="402912C7"/>
    <w:rsid w:val="49242612"/>
    <w:rsid w:val="5CEA254D"/>
    <w:rsid w:val="661673E0"/>
    <w:rsid w:val="6AC553A1"/>
    <w:rsid w:val="6C99034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uiPriority="9" w:unhideWhenUsed="1" w:qFormat="1"/>
    <w:lsdException w:name="heading 3" w:uiPriority="99"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lsdException w:name="toc 2" w:uiPriority="39" w:unhideWhenUsed="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pPr>
    <w:rPr>
      <w:sz w:val="21"/>
      <w:szCs w:val="22"/>
    </w:rPr>
  </w:style>
  <w:style w:type="paragraph" w:styleId="2">
    <w:name w:val="heading 2"/>
    <w:basedOn w:val="a"/>
    <w:next w:val="a"/>
    <w:uiPriority w:val="9"/>
    <w:unhideWhenUsed/>
    <w:qFormat/>
    <w:pPr>
      <w:keepNext/>
      <w:keepLines/>
      <w:spacing w:before="156" w:after="156"/>
      <w:outlineLvl w:val="1"/>
    </w:pPr>
    <w:rPr>
      <w:szCs w:val="21"/>
    </w:rPr>
  </w:style>
  <w:style w:type="paragraph" w:styleId="3">
    <w:name w:val="heading 3"/>
    <w:basedOn w:val="a"/>
    <w:next w:val="a"/>
    <w:uiPriority w:val="99"/>
    <w:qFormat/>
    <w:pPr>
      <w:keepNext/>
      <w:keepLines/>
      <w:spacing w:before="300" w:after="300" w:line="241" w:lineRule="auto"/>
      <w:jc w:val="both"/>
      <w:outlineLvl w:val="2"/>
    </w:pPr>
    <w:rPr>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1">
    <w:name w:val="toc 1"/>
    <w:basedOn w:val="a"/>
    <w:next w:val="a"/>
    <w:autoRedefine/>
    <w:uiPriority w:val="39"/>
  </w:style>
  <w:style w:type="paragraph" w:styleId="20">
    <w:name w:val="toc 2"/>
    <w:basedOn w:val="a"/>
    <w:next w:val="a"/>
    <w:autoRedefine/>
    <w:uiPriority w:val="39"/>
    <w:unhideWhenUsed/>
    <w:pPr>
      <w:ind w:leftChars="200" w:left="420"/>
    </w:pPr>
  </w:style>
  <w:style w:type="paragraph" w:styleId="a3">
    <w:name w:val="Normal (Web)"/>
    <w:basedOn w:val="a"/>
    <w:pPr>
      <w:spacing w:beforeAutospacing="1" w:afterAutospacing="1"/>
    </w:pPr>
    <w:rPr>
      <w:sz w:val="24"/>
    </w:rPr>
  </w:style>
  <w:style w:type="character" w:styleId="a4">
    <w:name w:val="Strong"/>
    <w:basedOn w:val="a0"/>
    <w:qFormat/>
    <w:rPr>
      <w:b/>
    </w:rPr>
  </w:style>
  <w:style w:type="character" w:styleId="a5">
    <w:name w:val="Emphasis"/>
    <w:basedOn w:val="a0"/>
    <w:qFormat/>
    <w:rPr>
      <w:i/>
    </w:rPr>
  </w:style>
  <w:style w:type="paragraph" w:customStyle="1" w:styleId="Header1">
    <w:name w:val="Header 1"/>
    <w:pPr>
      <w:jc w:val="right"/>
    </w:pPr>
    <w:rPr>
      <w:rFonts w:ascii="宋体"/>
      <w:sz w:val="18"/>
      <w:szCs w:val="18"/>
    </w:rPr>
  </w:style>
  <w:style w:type="paragraph" w:customStyle="1" w:styleId="headingh1">
    <w:name w:val="heading h1"/>
    <w:basedOn w:val="a"/>
    <w:next w:val="a"/>
    <w:uiPriority w:val="9"/>
    <w:qFormat/>
    <w:pPr>
      <w:keepNext/>
      <w:keepLines/>
      <w:spacing w:before="240" w:after="240" w:line="578" w:lineRule="auto"/>
      <w:outlineLvl w:val="0"/>
    </w:pPr>
    <w:rPr>
      <w:kern w:val="44"/>
      <w:sz w:val="44"/>
      <w:szCs w:val="44"/>
    </w:rPr>
  </w:style>
  <w:style w:type="paragraph" w:customStyle="1" w:styleId="fotter1">
    <w:name w:val="fotter 1"/>
    <w:pPr>
      <w:jc w:val="right"/>
    </w:pPr>
    <w:rPr>
      <w:rFonts w:ascii="宋体"/>
      <w:sz w:val="18"/>
      <w:szCs w:val="18"/>
    </w:rPr>
  </w:style>
  <w:style w:type="paragraph" w:styleId="a6">
    <w:name w:val="Balloon Text"/>
    <w:basedOn w:val="a"/>
    <w:link w:val="Char"/>
    <w:rsid w:val="00C57489"/>
    <w:rPr>
      <w:sz w:val="18"/>
      <w:szCs w:val="18"/>
    </w:rPr>
  </w:style>
  <w:style w:type="character" w:customStyle="1" w:styleId="Char">
    <w:name w:val="批注框文本 Char"/>
    <w:basedOn w:val="a0"/>
    <w:link w:val="a6"/>
    <w:rsid w:val="00C57489"/>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uiPriority="9" w:unhideWhenUsed="1" w:qFormat="1"/>
    <w:lsdException w:name="heading 3" w:uiPriority="99"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lsdException w:name="toc 2" w:uiPriority="39" w:unhideWhenUsed="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pPr>
    <w:rPr>
      <w:sz w:val="21"/>
      <w:szCs w:val="22"/>
    </w:rPr>
  </w:style>
  <w:style w:type="paragraph" w:styleId="2">
    <w:name w:val="heading 2"/>
    <w:basedOn w:val="a"/>
    <w:next w:val="a"/>
    <w:uiPriority w:val="9"/>
    <w:unhideWhenUsed/>
    <w:qFormat/>
    <w:pPr>
      <w:keepNext/>
      <w:keepLines/>
      <w:spacing w:before="156" w:after="156"/>
      <w:outlineLvl w:val="1"/>
    </w:pPr>
    <w:rPr>
      <w:szCs w:val="21"/>
    </w:rPr>
  </w:style>
  <w:style w:type="paragraph" w:styleId="3">
    <w:name w:val="heading 3"/>
    <w:basedOn w:val="a"/>
    <w:next w:val="a"/>
    <w:uiPriority w:val="99"/>
    <w:qFormat/>
    <w:pPr>
      <w:keepNext/>
      <w:keepLines/>
      <w:spacing w:before="300" w:after="300" w:line="241" w:lineRule="auto"/>
      <w:jc w:val="both"/>
      <w:outlineLvl w:val="2"/>
    </w:pPr>
    <w:rPr>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1">
    <w:name w:val="toc 1"/>
    <w:basedOn w:val="a"/>
    <w:next w:val="a"/>
    <w:autoRedefine/>
    <w:uiPriority w:val="39"/>
  </w:style>
  <w:style w:type="paragraph" w:styleId="20">
    <w:name w:val="toc 2"/>
    <w:basedOn w:val="a"/>
    <w:next w:val="a"/>
    <w:autoRedefine/>
    <w:uiPriority w:val="39"/>
    <w:unhideWhenUsed/>
    <w:pPr>
      <w:ind w:leftChars="200" w:left="420"/>
    </w:pPr>
  </w:style>
  <w:style w:type="paragraph" w:styleId="a3">
    <w:name w:val="Normal (Web)"/>
    <w:basedOn w:val="a"/>
    <w:pPr>
      <w:spacing w:beforeAutospacing="1" w:afterAutospacing="1"/>
    </w:pPr>
    <w:rPr>
      <w:sz w:val="24"/>
    </w:rPr>
  </w:style>
  <w:style w:type="character" w:styleId="a4">
    <w:name w:val="Strong"/>
    <w:basedOn w:val="a0"/>
    <w:qFormat/>
    <w:rPr>
      <w:b/>
    </w:rPr>
  </w:style>
  <w:style w:type="character" w:styleId="a5">
    <w:name w:val="Emphasis"/>
    <w:basedOn w:val="a0"/>
    <w:qFormat/>
    <w:rPr>
      <w:i/>
    </w:rPr>
  </w:style>
  <w:style w:type="paragraph" w:customStyle="1" w:styleId="Header1">
    <w:name w:val="Header 1"/>
    <w:pPr>
      <w:jc w:val="right"/>
    </w:pPr>
    <w:rPr>
      <w:rFonts w:ascii="宋体"/>
      <w:sz w:val="18"/>
      <w:szCs w:val="18"/>
    </w:rPr>
  </w:style>
  <w:style w:type="paragraph" w:customStyle="1" w:styleId="headingh1">
    <w:name w:val="heading h1"/>
    <w:basedOn w:val="a"/>
    <w:next w:val="a"/>
    <w:uiPriority w:val="9"/>
    <w:qFormat/>
    <w:pPr>
      <w:keepNext/>
      <w:keepLines/>
      <w:spacing w:before="240" w:after="240" w:line="578" w:lineRule="auto"/>
      <w:outlineLvl w:val="0"/>
    </w:pPr>
    <w:rPr>
      <w:kern w:val="44"/>
      <w:sz w:val="44"/>
      <w:szCs w:val="44"/>
    </w:rPr>
  </w:style>
  <w:style w:type="paragraph" w:customStyle="1" w:styleId="fotter1">
    <w:name w:val="fotter 1"/>
    <w:pPr>
      <w:jc w:val="right"/>
    </w:pPr>
    <w:rPr>
      <w:rFonts w:ascii="宋体"/>
      <w:sz w:val="18"/>
      <w:szCs w:val="18"/>
    </w:rPr>
  </w:style>
  <w:style w:type="paragraph" w:styleId="a6">
    <w:name w:val="Balloon Text"/>
    <w:basedOn w:val="a"/>
    <w:link w:val="Char"/>
    <w:rsid w:val="00C57489"/>
    <w:rPr>
      <w:sz w:val="18"/>
      <w:szCs w:val="18"/>
    </w:rPr>
  </w:style>
  <w:style w:type="character" w:customStyle="1" w:styleId="Char">
    <w:name w:val="批注框文本 Char"/>
    <w:basedOn w:val="a0"/>
    <w:link w:val="a6"/>
    <w:rsid w:val="00C57489"/>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3.jpe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2.jpeg"/><Relationship Id="rId4" Type="http://schemas.openxmlformats.org/officeDocument/2006/relationships/settings" Target="settings.xml"/><Relationship Id="rId9" Type="http://schemas.openxmlformats.org/officeDocument/2006/relationships/oleObject" Target="embeddings/oleObject1.bin"/><Relationship Id="rId14"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188</TotalTime>
  <Pages>231</Pages>
  <Words>31894</Words>
  <Characters>181800</Characters>
  <Application>Microsoft Office Word</Application>
  <DocSecurity>0</DocSecurity>
  <Lines>1515</Lines>
  <Paragraphs>426</Paragraphs>
  <ScaleCrop>false</ScaleCrop>
  <Company>Microsoft</Company>
  <LinksUpToDate>false</LinksUpToDate>
  <CharactersWithSpaces>213268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huangsq</dc:creator>
  <cp:lastModifiedBy>hsq</cp:lastModifiedBy>
  <cp:revision>22</cp:revision>
  <cp:lastPrinted>2026-04-21T03:38:00Z</cp:lastPrinted>
  <dcterms:created xsi:type="dcterms:W3CDTF">2026-03-29T14:29:00Z</dcterms:created>
  <dcterms:modified xsi:type="dcterms:W3CDTF">2026-04-21T06:29:00Z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eyJoZGlkIjoiYjc3NTVmODk5OWI4YTU0YmU5MTlhYzJjMjBkNzFlNmEiLCJ1c2VySWQiOiIyNDMwNTgyMjAifQ==</vt:lpwstr>
  </property>
  <property fmtid="{D5CDD505-2E9C-101B-9397-08002B2CF9AE}" pid="3" name="KSOProductBuildVer">
    <vt:lpwstr>2052-12.1.0.25225</vt:lpwstr>
  </property>
  <property fmtid="{D5CDD505-2E9C-101B-9397-08002B2CF9AE}" pid="4" name="ICV">
    <vt:lpwstr>C9BAFCBCD9404E50B5C4B98F99BDAC7E_13</vt:lpwstr>
  </property>
</Properties>
</file>