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DAB" w:rsidRPr="009A0F77" w:rsidRDefault="00084DAB" w:rsidP="009A0F77">
      <w:pPr>
        <w:autoSpaceDE w:val="0"/>
        <w:autoSpaceDN w:val="0"/>
        <w:adjustRightInd w:val="0"/>
        <w:spacing w:line="360" w:lineRule="auto"/>
        <w:rPr>
          <w:rFonts w:ascii="仿宋" w:eastAsia="仿宋" w:hAnsi="仿宋" w:cs="Times New Roman"/>
          <w:sz w:val="28"/>
          <w:szCs w:val="20"/>
        </w:rPr>
      </w:pPr>
      <w:r w:rsidRPr="009A0F77">
        <w:rPr>
          <w:rFonts w:ascii="仿宋" w:eastAsia="仿宋" w:hAnsi="仿宋" w:cs="Times New Roman"/>
          <w:sz w:val="28"/>
          <w:szCs w:val="20"/>
        </w:rPr>
        <w:t>证券代码：301178          证券简称：天亿马         公告编号：2026-021</w:t>
      </w:r>
    </w:p>
    <w:p w:rsidR="0047513A" w:rsidRPr="0057311A" w:rsidRDefault="00084DAB" w:rsidP="0057311A">
      <w:pPr>
        <w:spacing w:line="360" w:lineRule="auto"/>
        <w:jc w:val="center"/>
        <w:rPr>
          <w:rFonts w:ascii="黑体" w:eastAsia="黑体" w:hAnsi="黑体" w:cs="Times New Roman"/>
          <w:sz w:val="36"/>
          <w:szCs w:val="36"/>
        </w:rPr>
      </w:pPr>
      <w:r w:rsidRPr="0057311A">
        <w:rPr>
          <w:rFonts w:ascii="黑体" w:eastAsia="黑体" w:hAnsi="黑体" w:cs="Times New Roman"/>
          <w:sz w:val="36"/>
          <w:szCs w:val="36"/>
        </w:rPr>
        <w:t>广东天亿马信息产业股份有限公司</w:t>
      </w:r>
    </w:p>
    <w:p w:rsidR="00084DAB" w:rsidRDefault="00084DAB" w:rsidP="0057311A">
      <w:pPr>
        <w:spacing w:line="360" w:lineRule="auto"/>
        <w:jc w:val="center"/>
        <w:rPr>
          <w:rFonts w:ascii="黑体" w:eastAsia="黑体" w:hAnsi="黑体" w:cs="Times New Roman"/>
          <w:sz w:val="36"/>
          <w:szCs w:val="36"/>
        </w:rPr>
      </w:pPr>
      <w:r w:rsidRPr="0057311A">
        <w:rPr>
          <w:rFonts w:ascii="黑体" w:eastAsia="黑体" w:hAnsi="黑体" w:cs="Times New Roman"/>
          <w:sz w:val="36"/>
          <w:szCs w:val="36"/>
        </w:rPr>
        <w:t>2025年年度报告摘要</w:t>
      </w:r>
    </w:p>
    <w:p w:rsidR="00084DAB" w:rsidRPr="0047513A" w:rsidRDefault="00084DAB" w:rsidP="0047513A">
      <w:pPr>
        <w:pStyle w:val="2"/>
        <w:spacing w:before="0" w:after="0" w:line="288" w:lineRule="auto"/>
        <w:jc w:val="both"/>
        <w:rPr>
          <w:rFonts w:ascii="Times New Roman" w:eastAsia="仿宋" w:hAnsi="Times New Roman" w:cs="Times New Roman"/>
          <w:b/>
          <w:bCs/>
          <w:kern w:val="0"/>
          <w:sz w:val="28"/>
          <w:szCs w:val="24"/>
        </w:rPr>
      </w:pPr>
      <w:bookmarkStart w:id="0" w:name="_Toc988889"/>
      <w:r w:rsidRPr="0047513A">
        <w:rPr>
          <w:rFonts w:ascii="Times New Roman" w:eastAsia="仿宋" w:hAnsi="Times New Roman" w:cs="Times New Roman"/>
          <w:b/>
          <w:bCs/>
          <w:kern w:val="0"/>
          <w:sz w:val="28"/>
          <w:szCs w:val="24"/>
        </w:rPr>
        <w:t>一、重要提示</w:t>
      </w:r>
      <w:bookmarkEnd w:id="0"/>
    </w:p>
    <w:p w:rsidR="00084DAB" w:rsidRPr="00864FE9" w:rsidRDefault="00084DAB" w:rsidP="00864FE9">
      <w:pPr>
        <w:spacing w:line="288" w:lineRule="auto"/>
        <w:ind w:firstLineChars="200" w:firstLine="560"/>
        <w:jc w:val="both"/>
        <w:rPr>
          <w:rFonts w:ascii="Times New Roman" w:eastAsia="仿宋" w:hAnsi="Times New Roman" w:cs="Times New Roman"/>
          <w:kern w:val="0"/>
          <w:sz w:val="28"/>
          <w:szCs w:val="28"/>
        </w:rPr>
      </w:pPr>
      <w:r w:rsidRPr="00864FE9">
        <w:rPr>
          <w:rFonts w:ascii="Times New Roman" w:eastAsia="仿宋" w:hAnsi="Times New Roman" w:cs="Times New Roman"/>
          <w:kern w:val="0"/>
          <w:sz w:val="28"/>
          <w:szCs w:val="28"/>
        </w:rPr>
        <w:t>本年度报告摘要来自年度报告全文，为全面了解本公司的经营成果、财务状况及未来发展规划，投资者应当到证监会指定媒体仔细阅读年度报告全文。</w:t>
      </w:r>
    </w:p>
    <w:p w:rsidR="00084DAB" w:rsidRPr="00864FE9" w:rsidRDefault="00084DAB" w:rsidP="00864FE9">
      <w:pPr>
        <w:spacing w:line="288" w:lineRule="auto"/>
        <w:ind w:firstLineChars="200" w:firstLine="560"/>
        <w:jc w:val="both"/>
        <w:rPr>
          <w:rFonts w:ascii="Times New Roman" w:eastAsia="仿宋" w:hAnsi="Times New Roman" w:cs="Times New Roman"/>
          <w:kern w:val="0"/>
          <w:sz w:val="28"/>
          <w:szCs w:val="28"/>
        </w:rPr>
      </w:pPr>
      <w:r w:rsidRPr="00864FE9">
        <w:rPr>
          <w:rFonts w:ascii="Times New Roman" w:eastAsia="仿宋" w:hAnsi="Times New Roman" w:cs="Times New Roman"/>
          <w:kern w:val="0"/>
          <w:sz w:val="28"/>
          <w:szCs w:val="28"/>
        </w:rPr>
        <w:t>所有董事均已出席了审议本报告的董事会会议。</w:t>
      </w:r>
    </w:p>
    <w:p w:rsidR="00084DAB" w:rsidRPr="00864FE9" w:rsidRDefault="00084DAB" w:rsidP="00864FE9">
      <w:pPr>
        <w:spacing w:line="288" w:lineRule="auto"/>
        <w:ind w:firstLineChars="200" w:firstLine="560"/>
        <w:jc w:val="both"/>
        <w:rPr>
          <w:rFonts w:ascii="Times New Roman" w:eastAsia="仿宋" w:hAnsi="Times New Roman" w:cs="Times New Roman"/>
          <w:kern w:val="0"/>
          <w:sz w:val="28"/>
          <w:szCs w:val="28"/>
        </w:rPr>
      </w:pPr>
      <w:r w:rsidRPr="00864FE9">
        <w:rPr>
          <w:rFonts w:ascii="Times New Roman" w:eastAsia="仿宋" w:hAnsi="Times New Roman" w:cs="Times New Roman"/>
          <w:kern w:val="0"/>
          <w:sz w:val="28"/>
          <w:szCs w:val="28"/>
        </w:rPr>
        <w:t>中审亚太会计师事务所（特殊普通合伙）对本年度公司财务报告的审计意见为：标准的无保留意见。</w:t>
      </w:r>
    </w:p>
    <w:p w:rsidR="00084DAB" w:rsidRPr="00864FE9" w:rsidRDefault="00084DAB" w:rsidP="00864FE9">
      <w:pPr>
        <w:spacing w:line="288" w:lineRule="auto"/>
        <w:ind w:firstLineChars="200" w:firstLine="560"/>
        <w:jc w:val="both"/>
        <w:rPr>
          <w:rFonts w:ascii="Times New Roman" w:eastAsia="仿宋" w:hAnsi="Times New Roman" w:cs="Times New Roman"/>
          <w:kern w:val="0"/>
          <w:sz w:val="28"/>
          <w:szCs w:val="28"/>
        </w:rPr>
      </w:pPr>
      <w:r w:rsidRPr="00864FE9">
        <w:rPr>
          <w:rFonts w:ascii="Times New Roman" w:eastAsia="仿宋" w:hAnsi="Times New Roman" w:cs="Times New Roman"/>
          <w:kern w:val="0"/>
          <w:sz w:val="28"/>
          <w:szCs w:val="28"/>
        </w:rPr>
        <w:t>非标准审计意见提示</w:t>
      </w:r>
    </w:p>
    <w:p w:rsidR="00084DAB" w:rsidRPr="00864FE9" w:rsidRDefault="00084DAB" w:rsidP="00864FE9">
      <w:pPr>
        <w:spacing w:line="288" w:lineRule="auto"/>
        <w:ind w:firstLineChars="200" w:firstLine="560"/>
        <w:jc w:val="both"/>
        <w:rPr>
          <w:rFonts w:ascii="Times New Roman" w:eastAsia="仿宋" w:hAnsi="Times New Roman" w:cs="Times New Roman"/>
          <w:kern w:val="0"/>
          <w:sz w:val="28"/>
          <w:szCs w:val="28"/>
        </w:rPr>
      </w:pPr>
      <w:r w:rsidRPr="00864FE9">
        <w:rPr>
          <w:rFonts w:ascii="Times New Roman" w:eastAsia="仿宋" w:hAnsi="Times New Roman" w:cs="Times New Roman"/>
          <w:kern w:val="0"/>
          <w:sz w:val="28"/>
          <w:szCs w:val="28"/>
        </w:rPr>
        <w:t>□</w:t>
      </w:r>
      <w:r w:rsidRPr="00864FE9">
        <w:rPr>
          <w:rFonts w:ascii="Times New Roman" w:eastAsia="仿宋" w:hAnsi="Times New Roman" w:cs="Times New Roman"/>
          <w:kern w:val="0"/>
          <w:sz w:val="28"/>
          <w:szCs w:val="28"/>
        </w:rPr>
        <w:t>适用</w:t>
      </w:r>
      <w:r w:rsidRPr="00864FE9">
        <w:rPr>
          <w:rFonts w:ascii="Times New Roman" w:eastAsia="仿宋" w:hAnsi="Times New Roman" w:cs="Times New Roman"/>
          <w:kern w:val="0"/>
          <w:sz w:val="28"/>
          <w:szCs w:val="28"/>
        </w:rPr>
        <w:t xml:space="preserve"> </w:t>
      </w:r>
      <w:r w:rsidRPr="00864FE9">
        <w:rPr>
          <w:rFonts w:ascii="Times New Roman" w:eastAsia="仿宋" w:hAnsi="Times New Roman" w:cs="Times New Roman"/>
          <w:kern w:val="0"/>
          <w:sz w:val="28"/>
          <w:szCs w:val="28"/>
        </w:rPr>
        <w:sym w:font="Wingdings 2" w:char="F052"/>
      </w:r>
      <w:r w:rsidRPr="00864FE9">
        <w:rPr>
          <w:rFonts w:ascii="Times New Roman" w:eastAsia="仿宋" w:hAnsi="Times New Roman" w:cs="Times New Roman"/>
          <w:kern w:val="0"/>
          <w:sz w:val="28"/>
          <w:szCs w:val="28"/>
        </w:rPr>
        <w:t>不适用</w:t>
      </w:r>
    </w:p>
    <w:p w:rsidR="00084DAB" w:rsidRPr="00864FE9" w:rsidRDefault="00084DAB" w:rsidP="00864FE9">
      <w:pPr>
        <w:spacing w:line="288" w:lineRule="auto"/>
        <w:ind w:firstLineChars="200" w:firstLine="560"/>
        <w:jc w:val="both"/>
        <w:rPr>
          <w:rFonts w:ascii="Times New Roman" w:eastAsia="仿宋" w:hAnsi="Times New Roman" w:cs="Times New Roman"/>
          <w:kern w:val="0"/>
          <w:sz w:val="28"/>
          <w:szCs w:val="28"/>
        </w:rPr>
      </w:pPr>
      <w:r w:rsidRPr="00864FE9">
        <w:rPr>
          <w:rFonts w:ascii="Times New Roman" w:eastAsia="仿宋" w:hAnsi="Times New Roman" w:cs="Times New Roman"/>
          <w:kern w:val="0"/>
          <w:sz w:val="28"/>
          <w:szCs w:val="28"/>
        </w:rPr>
        <w:t>公司上市时未盈利且目前未实现盈利</w:t>
      </w:r>
    </w:p>
    <w:p w:rsidR="00084DAB" w:rsidRPr="00864FE9" w:rsidRDefault="00084DAB" w:rsidP="00864FE9">
      <w:pPr>
        <w:spacing w:line="288" w:lineRule="auto"/>
        <w:ind w:firstLineChars="200" w:firstLine="560"/>
        <w:jc w:val="both"/>
        <w:rPr>
          <w:rFonts w:ascii="Times New Roman" w:eastAsia="仿宋" w:hAnsi="Times New Roman" w:cs="Times New Roman"/>
          <w:kern w:val="0"/>
          <w:sz w:val="28"/>
          <w:szCs w:val="28"/>
        </w:rPr>
      </w:pPr>
      <w:r w:rsidRPr="00864FE9">
        <w:rPr>
          <w:rFonts w:ascii="Times New Roman" w:eastAsia="仿宋" w:hAnsi="Times New Roman" w:cs="Times New Roman"/>
          <w:kern w:val="0"/>
          <w:sz w:val="28"/>
          <w:szCs w:val="28"/>
        </w:rPr>
        <w:t>□</w:t>
      </w:r>
      <w:r w:rsidRPr="00864FE9">
        <w:rPr>
          <w:rFonts w:ascii="Times New Roman" w:eastAsia="仿宋" w:hAnsi="Times New Roman" w:cs="Times New Roman"/>
          <w:kern w:val="0"/>
          <w:sz w:val="28"/>
          <w:szCs w:val="28"/>
        </w:rPr>
        <w:t>适用</w:t>
      </w:r>
      <w:r w:rsidRPr="00864FE9">
        <w:rPr>
          <w:rFonts w:ascii="Times New Roman" w:eastAsia="仿宋" w:hAnsi="Times New Roman" w:cs="Times New Roman"/>
          <w:kern w:val="0"/>
          <w:sz w:val="28"/>
          <w:szCs w:val="28"/>
        </w:rPr>
        <w:t xml:space="preserve"> </w:t>
      </w:r>
      <w:r w:rsidRPr="00864FE9">
        <w:rPr>
          <w:rFonts w:ascii="Times New Roman" w:eastAsia="仿宋" w:hAnsi="Times New Roman" w:cs="Times New Roman"/>
          <w:kern w:val="0"/>
          <w:sz w:val="28"/>
          <w:szCs w:val="28"/>
        </w:rPr>
        <w:sym w:font="Wingdings 2" w:char="F052"/>
      </w:r>
      <w:r w:rsidRPr="00864FE9">
        <w:rPr>
          <w:rFonts w:ascii="Times New Roman" w:eastAsia="仿宋" w:hAnsi="Times New Roman" w:cs="Times New Roman"/>
          <w:kern w:val="0"/>
          <w:sz w:val="28"/>
          <w:szCs w:val="28"/>
        </w:rPr>
        <w:t>不适用</w:t>
      </w:r>
    </w:p>
    <w:p w:rsidR="00084DAB" w:rsidRPr="00864FE9" w:rsidRDefault="00084DAB" w:rsidP="00864FE9">
      <w:pPr>
        <w:spacing w:line="288" w:lineRule="auto"/>
        <w:ind w:firstLineChars="200" w:firstLine="560"/>
        <w:jc w:val="both"/>
        <w:rPr>
          <w:rFonts w:ascii="Times New Roman" w:eastAsia="仿宋" w:hAnsi="Times New Roman" w:cs="Times New Roman"/>
          <w:kern w:val="0"/>
          <w:sz w:val="28"/>
          <w:szCs w:val="28"/>
        </w:rPr>
      </w:pPr>
      <w:r w:rsidRPr="00864FE9">
        <w:rPr>
          <w:rFonts w:ascii="Times New Roman" w:eastAsia="仿宋" w:hAnsi="Times New Roman" w:cs="Times New Roman"/>
          <w:kern w:val="0"/>
          <w:sz w:val="28"/>
          <w:szCs w:val="28"/>
        </w:rPr>
        <w:t>董事会审议的报告期利润分配预案或公积金转增股本预案</w:t>
      </w:r>
    </w:p>
    <w:p w:rsidR="00084DAB" w:rsidRPr="00864FE9" w:rsidRDefault="00084DAB" w:rsidP="00864FE9">
      <w:pPr>
        <w:spacing w:line="288" w:lineRule="auto"/>
        <w:ind w:firstLineChars="200" w:firstLine="560"/>
        <w:jc w:val="both"/>
        <w:rPr>
          <w:rFonts w:ascii="Times New Roman" w:eastAsia="仿宋" w:hAnsi="Times New Roman" w:cs="Times New Roman"/>
          <w:kern w:val="0"/>
          <w:sz w:val="28"/>
          <w:szCs w:val="28"/>
        </w:rPr>
      </w:pPr>
      <w:r w:rsidRPr="00864FE9">
        <w:rPr>
          <w:rFonts w:ascii="Times New Roman" w:eastAsia="仿宋" w:hAnsi="Times New Roman" w:cs="Times New Roman"/>
          <w:kern w:val="0"/>
          <w:sz w:val="28"/>
          <w:szCs w:val="28"/>
        </w:rPr>
        <w:sym w:font="Wingdings 2" w:char="F052"/>
      </w:r>
      <w:r w:rsidRPr="00864FE9">
        <w:rPr>
          <w:rFonts w:ascii="Times New Roman" w:eastAsia="仿宋" w:hAnsi="Times New Roman" w:cs="Times New Roman"/>
          <w:kern w:val="0"/>
          <w:sz w:val="28"/>
          <w:szCs w:val="28"/>
        </w:rPr>
        <w:t>适用</w:t>
      </w:r>
      <w:r w:rsidRPr="00864FE9">
        <w:rPr>
          <w:rFonts w:ascii="Times New Roman" w:eastAsia="仿宋" w:hAnsi="Times New Roman" w:cs="Times New Roman"/>
          <w:kern w:val="0"/>
          <w:sz w:val="28"/>
          <w:szCs w:val="28"/>
        </w:rPr>
        <w:t xml:space="preserve"> □</w:t>
      </w:r>
      <w:r w:rsidRPr="00864FE9">
        <w:rPr>
          <w:rFonts w:ascii="Times New Roman" w:eastAsia="仿宋" w:hAnsi="Times New Roman" w:cs="Times New Roman"/>
          <w:kern w:val="0"/>
          <w:sz w:val="28"/>
          <w:szCs w:val="28"/>
        </w:rPr>
        <w:t>不适用</w:t>
      </w:r>
    </w:p>
    <w:p w:rsidR="00084DAB" w:rsidRPr="00864FE9" w:rsidRDefault="00084DAB" w:rsidP="00864FE9">
      <w:pPr>
        <w:spacing w:line="288" w:lineRule="auto"/>
        <w:ind w:firstLineChars="200" w:firstLine="560"/>
        <w:jc w:val="both"/>
        <w:rPr>
          <w:rFonts w:ascii="Times New Roman" w:eastAsia="仿宋" w:hAnsi="Times New Roman" w:cs="Times New Roman"/>
          <w:kern w:val="0"/>
          <w:sz w:val="28"/>
          <w:szCs w:val="28"/>
        </w:rPr>
      </w:pPr>
      <w:r w:rsidRPr="00864FE9">
        <w:rPr>
          <w:rFonts w:ascii="Times New Roman" w:eastAsia="仿宋" w:hAnsi="Times New Roman" w:cs="Times New Roman"/>
          <w:kern w:val="0"/>
          <w:sz w:val="28"/>
          <w:szCs w:val="28"/>
        </w:rPr>
        <w:t>公司经本次董事会审议通过的利润分配预案为：以</w:t>
      </w:r>
      <w:r w:rsidRPr="00864FE9">
        <w:rPr>
          <w:rFonts w:ascii="Times New Roman" w:eastAsia="仿宋" w:hAnsi="Times New Roman" w:cs="Times New Roman"/>
          <w:kern w:val="0"/>
          <w:sz w:val="28"/>
          <w:szCs w:val="28"/>
        </w:rPr>
        <w:t>2025</w:t>
      </w:r>
      <w:r w:rsidRPr="00864FE9">
        <w:rPr>
          <w:rFonts w:ascii="Times New Roman" w:eastAsia="仿宋" w:hAnsi="Times New Roman" w:cs="Times New Roman"/>
          <w:kern w:val="0"/>
          <w:sz w:val="28"/>
          <w:szCs w:val="28"/>
        </w:rPr>
        <w:t>年</w:t>
      </w:r>
      <w:r w:rsidRPr="00864FE9">
        <w:rPr>
          <w:rFonts w:ascii="Times New Roman" w:eastAsia="仿宋" w:hAnsi="Times New Roman" w:cs="Times New Roman"/>
          <w:kern w:val="0"/>
          <w:sz w:val="28"/>
          <w:szCs w:val="28"/>
        </w:rPr>
        <w:t>12</w:t>
      </w:r>
      <w:r w:rsidRPr="00864FE9">
        <w:rPr>
          <w:rFonts w:ascii="Times New Roman" w:eastAsia="仿宋" w:hAnsi="Times New Roman" w:cs="Times New Roman"/>
          <w:kern w:val="0"/>
          <w:sz w:val="28"/>
          <w:szCs w:val="28"/>
        </w:rPr>
        <w:t>月</w:t>
      </w:r>
      <w:r w:rsidRPr="00864FE9">
        <w:rPr>
          <w:rFonts w:ascii="Times New Roman" w:eastAsia="仿宋" w:hAnsi="Times New Roman" w:cs="Times New Roman"/>
          <w:kern w:val="0"/>
          <w:sz w:val="28"/>
          <w:szCs w:val="28"/>
        </w:rPr>
        <w:t>31</w:t>
      </w:r>
      <w:r w:rsidRPr="00864FE9">
        <w:rPr>
          <w:rFonts w:ascii="Times New Roman" w:eastAsia="仿宋" w:hAnsi="Times New Roman" w:cs="Times New Roman"/>
          <w:kern w:val="0"/>
          <w:sz w:val="28"/>
          <w:szCs w:val="28"/>
        </w:rPr>
        <w:t>日的总股本扣除回购账户所持有股份后的</w:t>
      </w:r>
      <w:r w:rsidRPr="00864FE9">
        <w:rPr>
          <w:rFonts w:ascii="Times New Roman" w:eastAsia="仿宋" w:hAnsi="Times New Roman" w:cs="Times New Roman"/>
          <w:kern w:val="0"/>
          <w:sz w:val="28"/>
          <w:szCs w:val="28"/>
        </w:rPr>
        <w:t>65,628,660</w:t>
      </w:r>
      <w:r w:rsidRPr="00864FE9">
        <w:rPr>
          <w:rFonts w:ascii="Times New Roman" w:eastAsia="仿宋" w:hAnsi="Times New Roman" w:cs="Times New Roman"/>
          <w:kern w:val="0"/>
          <w:sz w:val="28"/>
          <w:szCs w:val="28"/>
        </w:rPr>
        <w:t>股为基数，向全体股东每</w:t>
      </w:r>
      <w:r w:rsidRPr="00864FE9">
        <w:rPr>
          <w:rFonts w:ascii="Times New Roman" w:eastAsia="仿宋" w:hAnsi="Times New Roman" w:cs="Times New Roman"/>
          <w:kern w:val="0"/>
          <w:sz w:val="28"/>
          <w:szCs w:val="28"/>
        </w:rPr>
        <w:t>10</w:t>
      </w:r>
      <w:r w:rsidRPr="00864FE9">
        <w:rPr>
          <w:rFonts w:ascii="Times New Roman" w:eastAsia="仿宋" w:hAnsi="Times New Roman" w:cs="Times New Roman"/>
          <w:kern w:val="0"/>
          <w:sz w:val="28"/>
          <w:szCs w:val="28"/>
        </w:rPr>
        <w:t>股派发现金红利</w:t>
      </w:r>
      <w:r w:rsidRPr="00864FE9">
        <w:rPr>
          <w:rFonts w:ascii="Times New Roman" w:eastAsia="仿宋" w:hAnsi="Times New Roman" w:cs="Times New Roman"/>
          <w:kern w:val="0"/>
          <w:sz w:val="28"/>
          <w:szCs w:val="28"/>
        </w:rPr>
        <w:t>0.5</w:t>
      </w:r>
      <w:r w:rsidRPr="00864FE9">
        <w:rPr>
          <w:rFonts w:ascii="Times New Roman" w:eastAsia="仿宋" w:hAnsi="Times New Roman" w:cs="Times New Roman"/>
          <w:kern w:val="0"/>
          <w:sz w:val="28"/>
          <w:szCs w:val="28"/>
        </w:rPr>
        <w:t>元（含税），送红股</w:t>
      </w:r>
      <w:r w:rsidRPr="00864FE9">
        <w:rPr>
          <w:rFonts w:ascii="Times New Roman" w:eastAsia="仿宋" w:hAnsi="Times New Roman" w:cs="Times New Roman"/>
          <w:kern w:val="0"/>
          <w:sz w:val="28"/>
          <w:szCs w:val="28"/>
        </w:rPr>
        <w:t>0</w:t>
      </w:r>
      <w:r w:rsidRPr="00864FE9">
        <w:rPr>
          <w:rFonts w:ascii="Times New Roman" w:eastAsia="仿宋" w:hAnsi="Times New Roman" w:cs="Times New Roman"/>
          <w:kern w:val="0"/>
          <w:sz w:val="28"/>
          <w:szCs w:val="28"/>
        </w:rPr>
        <w:t>股（含税），以资本公积金向全体股东每</w:t>
      </w:r>
      <w:r w:rsidRPr="00864FE9">
        <w:rPr>
          <w:rFonts w:ascii="Times New Roman" w:eastAsia="仿宋" w:hAnsi="Times New Roman" w:cs="Times New Roman"/>
          <w:kern w:val="0"/>
          <w:sz w:val="28"/>
          <w:szCs w:val="28"/>
        </w:rPr>
        <w:t>10</w:t>
      </w:r>
      <w:r w:rsidRPr="00864FE9">
        <w:rPr>
          <w:rFonts w:ascii="Times New Roman" w:eastAsia="仿宋" w:hAnsi="Times New Roman" w:cs="Times New Roman"/>
          <w:kern w:val="0"/>
          <w:sz w:val="28"/>
          <w:szCs w:val="28"/>
        </w:rPr>
        <w:t>股转增</w:t>
      </w:r>
      <w:r w:rsidRPr="00864FE9">
        <w:rPr>
          <w:rFonts w:ascii="Times New Roman" w:eastAsia="仿宋" w:hAnsi="Times New Roman" w:cs="Times New Roman"/>
          <w:kern w:val="0"/>
          <w:sz w:val="28"/>
          <w:szCs w:val="28"/>
        </w:rPr>
        <w:t>4</w:t>
      </w:r>
      <w:r w:rsidRPr="00864FE9">
        <w:rPr>
          <w:rFonts w:ascii="Times New Roman" w:eastAsia="仿宋" w:hAnsi="Times New Roman" w:cs="Times New Roman"/>
          <w:kern w:val="0"/>
          <w:sz w:val="28"/>
          <w:szCs w:val="28"/>
        </w:rPr>
        <w:t>股。</w:t>
      </w:r>
    </w:p>
    <w:p w:rsidR="00084DAB" w:rsidRPr="00864FE9" w:rsidRDefault="00084DAB" w:rsidP="00864FE9">
      <w:pPr>
        <w:spacing w:line="288" w:lineRule="auto"/>
        <w:ind w:firstLineChars="200" w:firstLine="560"/>
        <w:jc w:val="both"/>
        <w:rPr>
          <w:rFonts w:ascii="Times New Roman" w:eastAsia="仿宋" w:hAnsi="Times New Roman" w:cs="Times New Roman"/>
          <w:kern w:val="0"/>
          <w:sz w:val="28"/>
          <w:szCs w:val="28"/>
        </w:rPr>
      </w:pPr>
      <w:r w:rsidRPr="00864FE9">
        <w:rPr>
          <w:rFonts w:ascii="Times New Roman" w:eastAsia="仿宋" w:hAnsi="Times New Roman" w:cs="Times New Roman"/>
          <w:kern w:val="0"/>
          <w:sz w:val="28"/>
          <w:szCs w:val="28"/>
        </w:rPr>
        <w:t>董事会决议通过的本报告期优先股利润分配预案</w:t>
      </w:r>
    </w:p>
    <w:p w:rsidR="00084DAB" w:rsidRPr="00864FE9" w:rsidRDefault="00084DAB" w:rsidP="00864FE9">
      <w:pPr>
        <w:spacing w:line="288" w:lineRule="auto"/>
        <w:ind w:firstLineChars="200" w:firstLine="560"/>
        <w:jc w:val="both"/>
        <w:rPr>
          <w:rFonts w:ascii="Times New Roman" w:eastAsia="仿宋" w:hAnsi="Times New Roman" w:cs="Times New Roman"/>
          <w:kern w:val="0"/>
          <w:sz w:val="28"/>
          <w:szCs w:val="28"/>
        </w:rPr>
      </w:pPr>
      <w:r w:rsidRPr="00864FE9">
        <w:rPr>
          <w:rFonts w:ascii="Times New Roman" w:eastAsia="仿宋" w:hAnsi="Times New Roman" w:cs="Times New Roman"/>
          <w:kern w:val="0"/>
          <w:sz w:val="28"/>
          <w:szCs w:val="28"/>
        </w:rPr>
        <w:t>□</w:t>
      </w:r>
      <w:r w:rsidRPr="00864FE9">
        <w:rPr>
          <w:rFonts w:ascii="Times New Roman" w:eastAsia="仿宋" w:hAnsi="Times New Roman" w:cs="Times New Roman"/>
          <w:kern w:val="0"/>
          <w:sz w:val="28"/>
          <w:szCs w:val="28"/>
        </w:rPr>
        <w:t>适用</w:t>
      </w:r>
      <w:r w:rsidR="00864FE9" w:rsidRPr="00864FE9">
        <w:rPr>
          <w:rFonts w:ascii="Times New Roman" w:eastAsia="仿宋" w:hAnsi="Times New Roman" w:cs="Times New Roman"/>
          <w:kern w:val="0"/>
          <w:sz w:val="28"/>
          <w:szCs w:val="28"/>
        </w:rPr>
        <w:sym w:font="Wingdings 2" w:char="F052"/>
      </w:r>
      <w:r w:rsidRPr="00864FE9">
        <w:rPr>
          <w:rFonts w:ascii="Times New Roman" w:eastAsia="仿宋" w:hAnsi="Times New Roman" w:cs="Times New Roman"/>
          <w:kern w:val="0"/>
          <w:sz w:val="28"/>
          <w:szCs w:val="28"/>
        </w:rPr>
        <w:t>不适用</w:t>
      </w:r>
    </w:p>
    <w:p w:rsidR="00084DAB" w:rsidRPr="0047513A" w:rsidRDefault="00084DAB" w:rsidP="0047513A">
      <w:pPr>
        <w:pStyle w:val="2"/>
        <w:spacing w:before="0" w:after="0" w:line="288" w:lineRule="auto"/>
        <w:jc w:val="both"/>
        <w:rPr>
          <w:rFonts w:ascii="Times New Roman" w:eastAsia="仿宋" w:hAnsi="Times New Roman" w:cs="Times New Roman"/>
          <w:b/>
          <w:bCs/>
          <w:kern w:val="0"/>
          <w:sz w:val="28"/>
          <w:szCs w:val="24"/>
        </w:rPr>
      </w:pPr>
      <w:bookmarkStart w:id="1" w:name="_Toc988890"/>
      <w:r w:rsidRPr="0047513A">
        <w:rPr>
          <w:rFonts w:ascii="Times New Roman" w:eastAsia="仿宋" w:hAnsi="Times New Roman" w:cs="Times New Roman"/>
          <w:b/>
          <w:bCs/>
          <w:kern w:val="0"/>
          <w:sz w:val="28"/>
          <w:szCs w:val="24"/>
        </w:rPr>
        <w:lastRenderedPageBreak/>
        <w:t>二、公司基本情况</w:t>
      </w:r>
      <w:bookmarkEnd w:id="1"/>
    </w:p>
    <w:p w:rsidR="00084DAB" w:rsidRPr="00864FE9" w:rsidRDefault="00084DAB" w:rsidP="00864FE9">
      <w:pPr>
        <w:pStyle w:val="2"/>
        <w:spacing w:before="0" w:after="0" w:line="288" w:lineRule="auto"/>
        <w:jc w:val="both"/>
        <w:rPr>
          <w:rFonts w:ascii="Times New Roman" w:eastAsia="仿宋" w:hAnsi="Times New Roman" w:cs="Times New Roman"/>
          <w:b/>
          <w:bCs/>
          <w:kern w:val="0"/>
          <w:sz w:val="28"/>
          <w:szCs w:val="24"/>
        </w:rPr>
      </w:pPr>
      <w:bookmarkStart w:id="2" w:name="_Toc988891"/>
      <w:r w:rsidRPr="00864FE9">
        <w:rPr>
          <w:rFonts w:ascii="Times New Roman" w:eastAsia="仿宋" w:hAnsi="Times New Roman" w:cs="Times New Roman"/>
          <w:b/>
          <w:bCs/>
          <w:kern w:val="0"/>
          <w:sz w:val="28"/>
          <w:szCs w:val="24"/>
        </w:rPr>
        <w:t>1</w:t>
      </w:r>
      <w:r w:rsidRPr="00864FE9">
        <w:rPr>
          <w:rFonts w:ascii="Times New Roman" w:eastAsia="仿宋" w:hAnsi="Times New Roman" w:cs="Times New Roman"/>
          <w:b/>
          <w:bCs/>
          <w:kern w:val="0"/>
          <w:sz w:val="28"/>
          <w:szCs w:val="24"/>
        </w:rPr>
        <w:t>、公司简介</w:t>
      </w:r>
      <w:bookmarkEnd w:id="2"/>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819"/>
        <w:gridCol w:w="1678"/>
        <w:gridCol w:w="839"/>
        <w:gridCol w:w="839"/>
        <w:gridCol w:w="1678"/>
      </w:tblGrid>
      <w:tr w:rsidR="00084DAB" w:rsidRPr="00864FE9" w:rsidTr="00864FE9">
        <w:trPr>
          <w:trHeight w:val="240"/>
        </w:trPr>
        <w:tc>
          <w:tcPr>
            <w:tcW w:w="2697"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股票简称</w:t>
            </w:r>
          </w:p>
        </w:tc>
        <w:tc>
          <w:tcPr>
            <w:tcW w:w="768" w:type="pct"/>
            <w:tcBorders>
              <w:top w:val="single" w:sz="2" w:space="0" w:color="auto"/>
              <w:left w:val="single" w:sz="2" w:space="0" w:color="auto"/>
              <w:bottom w:val="single" w:sz="2" w:space="0" w:color="auto"/>
              <w:right w:val="single" w:sz="2" w:space="0" w:color="auto"/>
            </w:tcBorders>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天亿马</w:t>
            </w:r>
          </w:p>
        </w:tc>
        <w:tc>
          <w:tcPr>
            <w:tcW w:w="768"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股票代码</w:t>
            </w:r>
          </w:p>
        </w:tc>
        <w:tc>
          <w:tcPr>
            <w:tcW w:w="768" w:type="pct"/>
            <w:tcBorders>
              <w:top w:val="single" w:sz="2" w:space="0" w:color="auto"/>
              <w:left w:val="single" w:sz="2" w:space="0" w:color="auto"/>
              <w:bottom w:val="single" w:sz="2" w:space="0" w:color="auto"/>
              <w:right w:val="single" w:sz="2" w:space="0" w:color="auto"/>
            </w:tcBorders>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301178</w:t>
            </w:r>
          </w:p>
        </w:tc>
      </w:tr>
      <w:tr w:rsidR="00084DAB" w:rsidRPr="00864FE9" w:rsidTr="00864FE9">
        <w:trPr>
          <w:trHeight w:val="240"/>
        </w:trPr>
        <w:tc>
          <w:tcPr>
            <w:tcW w:w="2697"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股票上市交易所</w:t>
            </w:r>
          </w:p>
        </w:tc>
        <w:tc>
          <w:tcPr>
            <w:tcW w:w="2303" w:type="pct"/>
            <w:gridSpan w:val="4"/>
            <w:tcBorders>
              <w:top w:val="single" w:sz="2" w:space="0" w:color="auto"/>
              <w:left w:val="single" w:sz="2" w:space="0" w:color="auto"/>
              <w:bottom w:val="single" w:sz="2" w:space="0" w:color="auto"/>
              <w:right w:val="single" w:sz="2" w:space="0" w:color="auto"/>
            </w:tcBorders>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深圳证券交易所</w:t>
            </w:r>
          </w:p>
        </w:tc>
      </w:tr>
      <w:tr w:rsidR="00084DAB" w:rsidRPr="00864FE9" w:rsidTr="00864FE9">
        <w:trPr>
          <w:trHeight w:val="240"/>
        </w:trPr>
        <w:tc>
          <w:tcPr>
            <w:tcW w:w="2697"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联系人和联系方式</w:t>
            </w:r>
          </w:p>
        </w:tc>
        <w:tc>
          <w:tcPr>
            <w:tcW w:w="1152"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董事会秘书</w:t>
            </w:r>
          </w:p>
        </w:tc>
        <w:tc>
          <w:tcPr>
            <w:tcW w:w="1152"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证券事务代表</w:t>
            </w:r>
          </w:p>
        </w:tc>
      </w:tr>
      <w:tr w:rsidR="00084DAB" w:rsidRPr="00864FE9" w:rsidTr="00864FE9">
        <w:trPr>
          <w:trHeight w:val="240"/>
        </w:trPr>
        <w:tc>
          <w:tcPr>
            <w:tcW w:w="2697"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姓名</w:t>
            </w:r>
          </w:p>
        </w:tc>
        <w:tc>
          <w:tcPr>
            <w:tcW w:w="1152" w:type="pct"/>
            <w:gridSpan w:val="2"/>
            <w:tcBorders>
              <w:top w:val="single" w:sz="2" w:space="0" w:color="auto"/>
              <w:left w:val="single" w:sz="2" w:space="0" w:color="auto"/>
              <w:bottom w:val="single" w:sz="2" w:space="0" w:color="auto"/>
              <w:right w:val="single" w:sz="2" w:space="0" w:color="auto"/>
            </w:tcBorders>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曹维</w:t>
            </w:r>
          </w:p>
        </w:tc>
        <w:tc>
          <w:tcPr>
            <w:tcW w:w="1152" w:type="pct"/>
            <w:gridSpan w:val="2"/>
            <w:tcBorders>
              <w:top w:val="single" w:sz="2" w:space="0" w:color="auto"/>
              <w:left w:val="single" w:sz="2" w:space="0" w:color="auto"/>
              <w:bottom w:val="single" w:sz="2" w:space="0" w:color="auto"/>
              <w:right w:val="single" w:sz="2" w:space="0" w:color="auto"/>
            </w:tcBorders>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黄舒倩</w:t>
            </w:r>
          </w:p>
        </w:tc>
      </w:tr>
      <w:tr w:rsidR="00084DAB" w:rsidRPr="00864FE9" w:rsidTr="00864FE9">
        <w:trPr>
          <w:trHeight w:val="240"/>
        </w:trPr>
        <w:tc>
          <w:tcPr>
            <w:tcW w:w="2697"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办公地址</w:t>
            </w:r>
          </w:p>
        </w:tc>
        <w:tc>
          <w:tcPr>
            <w:tcW w:w="1152" w:type="pct"/>
            <w:gridSpan w:val="2"/>
            <w:tcBorders>
              <w:top w:val="single" w:sz="2" w:space="0" w:color="auto"/>
              <w:left w:val="single" w:sz="2" w:space="0" w:color="auto"/>
              <w:bottom w:val="single" w:sz="2" w:space="0" w:color="auto"/>
              <w:right w:val="single" w:sz="2" w:space="0" w:color="auto"/>
            </w:tcBorders>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广东省汕头市海滨路</w:t>
            </w:r>
            <w:r w:rsidRPr="00864FE9">
              <w:rPr>
                <w:rFonts w:ascii="Times New Roman" w:eastAsia="仿宋" w:hAnsi="Times New Roman" w:cs="Times New Roman"/>
                <w:sz w:val="24"/>
                <w:szCs w:val="24"/>
              </w:rPr>
              <w:t xml:space="preserve"> 55 </w:t>
            </w:r>
            <w:r w:rsidRPr="00864FE9">
              <w:rPr>
                <w:rFonts w:ascii="Times New Roman" w:eastAsia="仿宋" w:hAnsi="Times New Roman" w:cs="Times New Roman"/>
                <w:sz w:val="24"/>
                <w:szCs w:val="24"/>
              </w:rPr>
              <w:t>号海逸投资大厦</w:t>
            </w:r>
            <w:r w:rsidRPr="00864FE9">
              <w:rPr>
                <w:rFonts w:ascii="Times New Roman" w:eastAsia="仿宋" w:hAnsi="Times New Roman" w:cs="Times New Roman"/>
                <w:sz w:val="24"/>
                <w:szCs w:val="24"/>
              </w:rPr>
              <w:t xml:space="preserve"> 4-5 </w:t>
            </w:r>
            <w:r w:rsidRPr="00864FE9">
              <w:rPr>
                <w:rFonts w:ascii="Times New Roman" w:eastAsia="仿宋" w:hAnsi="Times New Roman" w:cs="Times New Roman"/>
                <w:sz w:val="24"/>
                <w:szCs w:val="24"/>
              </w:rPr>
              <w:t>楼</w:t>
            </w:r>
          </w:p>
        </w:tc>
        <w:tc>
          <w:tcPr>
            <w:tcW w:w="1152" w:type="pct"/>
            <w:gridSpan w:val="2"/>
            <w:tcBorders>
              <w:top w:val="single" w:sz="2" w:space="0" w:color="auto"/>
              <w:left w:val="single" w:sz="2" w:space="0" w:color="auto"/>
              <w:bottom w:val="single" w:sz="2" w:space="0" w:color="auto"/>
              <w:right w:val="single" w:sz="2" w:space="0" w:color="auto"/>
            </w:tcBorders>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广东省汕头市海滨路</w:t>
            </w:r>
            <w:r w:rsidRPr="00864FE9">
              <w:rPr>
                <w:rFonts w:ascii="Times New Roman" w:eastAsia="仿宋" w:hAnsi="Times New Roman" w:cs="Times New Roman"/>
                <w:sz w:val="24"/>
                <w:szCs w:val="24"/>
              </w:rPr>
              <w:t xml:space="preserve"> 55 </w:t>
            </w:r>
            <w:r w:rsidRPr="00864FE9">
              <w:rPr>
                <w:rFonts w:ascii="Times New Roman" w:eastAsia="仿宋" w:hAnsi="Times New Roman" w:cs="Times New Roman"/>
                <w:sz w:val="24"/>
                <w:szCs w:val="24"/>
              </w:rPr>
              <w:t>号海逸投资大厦</w:t>
            </w:r>
            <w:r w:rsidRPr="00864FE9">
              <w:rPr>
                <w:rFonts w:ascii="Times New Roman" w:eastAsia="仿宋" w:hAnsi="Times New Roman" w:cs="Times New Roman"/>
                <w:sz w:val="24"/>
                <w:szCs w:val="24"/>
              </w:rPr>
              <w:t xml:space="preserve"> 4-5 </w:t>
            </w:r>
            <w:r w:rsidRPr="00864FE9">
              <w:rPr>
                <w:rFonts w:ascii="Times New Roman" w:eastAsia="仿宋" w:hAnsi="Times New Roman" w:cs="Times New Roman"/>
                <w:sz w:val="24"/>
                <w:szCs w:val="24"/>
              </w:rPr>
              <w:t>楼</w:t>
            </w:r>
          </w:p>
        </w:tc>
      </w:tr>
      <w:tr w:rsidR="00084DAB" w:rsidRPr="00864FE9" w:rsidTr="00864FE9">
        <w:trPr>
          <w:trHeight w:val="240"/>
        </w:trPr>
        <w:tc>
          <w:tcPr>
            <w:tcW w:w="2697"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传真</w:t>
            </w:r>
          </w:p>
        </w:tc>
        <w:tc>
          <w:tcPr>
            <w:tcW w:w="1152" w:type="pct"/>
            <w:gridSpan w:val="2"/>
            <w:tcBorders>
              <w:top w:val="single" w:sz="2" w:space="0" w:color="auto"/>
              <w:left w:val="single" w:sz="2" w:space="0" w:color="auto"/>
              <w:bottom w:val="single" w:sz="2" w:space="0" w:color="auto"/>
              <w:right w:val="single" w:sz="2" w:space="0" w:color="auto"/>
            </w:tcBorders>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0754-88983999</w:t>
            </w:r>
          </w:p>
        </w:tc>
        <w:tc>
          <w:tcPr>
            <w:tcW w:w="1152" w:type="pct"/>
            <w:gridSpan w:val="2"/>
            <w:tcBorders>
              <w:top w:val="single" w:sz="2" w:space="0" w:color="auto"/>
              <w:left w:val="single" w:sz="2" w:space="0" w:color="auto"/>
              <w:bottom w:val="single" w:sz="2" w:space="0" w:color="auto"/>
              <w:right w:val="single" w:sz="2" w:space="0" w:color="auto"/>
            </w:tcBorders>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0754-88983999</w:t>
            </w:r>
          </w:p>
        </w:tc>
      </w:tr>
      <w:tr w:rsidR="00084DAB" w:rsidRPr="00864FE9" w:rsidTr="00864FE9">
        <w:trPr>
          <w:trHeight w:val="240"/>
        </w:trPr>
        <w:tc>
          <w:tcPr>
            <w:tcW w:w="2697"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电话</w:t>
            </w:r>
          </w:p>
        </w:tc>
        <w:tc>
          <w:tcPr>
            <w:tcW w:w="1152" w:type="pct"/>
            <w:gridSpan w:val="2"/>
            <w:tcBorders>
              <w:top w:val="single" w:sz="2" w:space="0" w:color="auto"/>
              <w:left w:val="single" w:sz="2" w:space="0" w:color="auto"/>
              <w:bottom w:val="single" w:sz="2" w:space="0" w:color="auto"/>
              <w:right w:val="single" w:sz="2" w:space="0" w:color="auto"/>
            </w:tcBorders>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0754-88880666</w:t>
            </w:r>
          </w:p>
        </w:tc>
        <w:tc>
          <w:tcPr>
            <w:tcW w:w="1152" w:type="pct"/>
            <w:gridSpan w:val="2"/>
            <w:tcBorders>
              <w:top w:val="single" w:sz="2" w:space="0" w:color="auto"/>
              <w:left w:val="single" w:sz="2" w:space="0" w:color="auto"/>
              <w:bottom w:val="single" w:sz="2" w:space="0" w:color="auto"/>
              <w:right w:val="single" w:sz="2" w:space="0" w:color="auto"/>
            </w:tcBorders>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0754-88880666</w:t>
            </w:r>
          </w:p>
        </w:tc>
      </w:tr>
      <w:tr w:rsidR="00084DAB" w:rsidRPr="00864FE9" w:rsidTr="00864FE9">
        <w:trPr>
          <w:trHeight w:val="240"/>
        </w:trPr>
        <w:tc>
          <w:tcPr>
            <w:tcW w:w="2697"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电子信箱</w:t>
            </w:r>
          </w:p>
        </w:tc>
        <w:tc>
          <w:tcPr>
            <w:tcW w:w="1152" w:type="pct"/>
            <w:gridSpan w:val="2"/>
            <w:tcBorders>
              <w:top w:val="single" w:sz="2" w:space="0" w:color="auto"/>
              <w:left w:val="single" w:sz="2" w:space="0" w:color="auto"/>
              <w:bottom w:val="single" w:sz="2" w:space="0" w:color="auto"/>
              <w:right w:val="single" w:sz="2" w:space="0" w:color="auto"/>
            </w:tcBorders>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Securities@tym.com.cn</w:t>
            </w:r>
          </w:p>
        </w:tc>
        <w:tc>
          <w:tcPr>
            <w:tcW w:w="1152" w:type="pct"/>
            <w:gridSpan w:val="2"/>
            <w:tcBorders>
              <w:top w:val="single" w:sz="2" w:space="0" w:color="auto"/>
              <w:left w:val="single" w:sz="2" w:space="0" w:color="auto"/>
              <w:bottom w:val="single" w:sz="2" w:space="0" w:color="auto"/>
              <w:right w:val="single" w:sz="2" w:space="0" w:color="auto"/>
            </w:tcBorders>
            <w:vAlign w:val="center"/>
          </w:tcPr>
          <w:p w:rsidR="00084DAB" w:rsidRPr="00864FE9" w:rsidRDefault="00084DAB" w:rsidP="00864FE9">
            <w:pPr>
              <w:spacing w:before="40" w:after="40"/>
              <w:rPr>
                <w:rFonts w:ascii="Times New Roman" w:eastAsia="仿宋" w:hAnsi="Times New Roman" w:cs="Times New Roman"/>
                <w:sz w:val="24"/>
                <w:szCs w:val="24"/>
              </w:rPr>
            </w:pPr>
            <w:r w:rsidRPr="00864FE9">
              <w:rPr>
                <w:rFonts w:ascii="Times New Roman" w:eastAsia="仿宋" w:hAnsi="Times New Roman" w:cs="Times New Roman"/>
                <w:sz w:val="24"/>
                <w:szCs w:val="24"/>
              </w:rPr>
              <w:t>Securities@tym.com.cn</w:t>
            </w:r>
          </w:p>
        </w:tc>
      </w:tr>
    </w:tbl>
    <w:p w:rsidR="00084DAB" w:rsidRPr="00864FE9" w:rsidRDefault="00084DAB" w:rsidP="00864FE9">
      <w:pPr>
        <w:pStyle w:val="2"/>
        <w:spacing w:before="0" w:after="0" w:line="288" w:lineRule="auto"/>
        <w:jc w:val="both"/>
        <w:rPr>
          <w:rFonts w:ascii="Times New Roman" w:eastAsia="仿宋" w:hAnsi="Times New Roman" w:cs="Times New Roman"/>
          <w:b/>
          <w:bCs/>
          <w:kern w:val="0"/>
          <w:sz w:val="28"/>
          <w:szCs w:val="24"/>
        </w:rPr>
      </w:pPr>
      <w:bookmarkStart w:id="3" w:name="_Toc988892"/>
      <w:r w:rsidRPr="00864FE9">
        <w:rPr>
          <w:rFonts w:ascii="Times New Roman" w:eastAsia="仿宋" w:hAnsi="Times New Roman" w:cs="Times New Roman"/>
          <w:b/>
          <w:bCs/>
          <w:kern w:val="0"/>
          <w:sz w:val="28"/>
          <w:szCs w:val="24"/>
        </w:rPr>
        <w:t>2</w:t>
      </w:r>
      <w:r w:rsidRPr="00864FE9">
        <w:rPr>
          <w:rFonts w:ascii="Times New Roman" w:eastAsia="仿宋" w:hAnsi="Times New Roman" w:cs="Times New Roman"/>
          <w:b/>
          <w:bCs/>
          <w:kern w:val="0"/>
          <w:sz w:val="28"/>
          <w:szCs w:val="24"/>
        </w:rPr>
        <w:t>、报告期主要业务或产品简介</w:t>
      </w:r>
      <w:bookmarkEnd w:id="3"/>
    </w:p>
    <w:p w:rsidR="00084DAB" w:rsidRPr="00E531E9" w:rsidRDefault="00084DAB" w:rsidP="00E531E9">
      <w:pPr>
        <w:ind w:firstLineChars="200" w:firstLine="562"/>
        <w:rPr>
          <w:rFonts w:ascii="Times New Roman" w:eastAsia="仿宋" w:hAnsi="Times New Roman" w:cs="Times New Roman"/>
          <w:b/>
          <w:sz w:val="28"/>
          <w:szCs w:val="28"/>
        </w:rPr>
      </w:pPr>
      <w:r w:rsidRPr="00E531E9">
        <w:rPr>
          <w:rFonts w:ascii="Times New Roman" w:eastAsia="仿宋" w:hAnsi="Times New Roman" w:cs="Times New Roman" w:hint="eastAsia"/>
          <w:b/>
          <w:sz w:val="28"/>
          <w:szCs w:val="28"/>
        </w:rPr>
        <w:t>（一）主营业务基本情况</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公司致力于融合应用物联网、大数据、云计算、</w:t>
      </w:r>
      <w:r w:rsidRPr="00873132">
        <w:rPr>
          <w:rFonts w:ascii="Times New Roman" w:eastAsia="仿宋" w:hAnsi="Times New Roman" w:cs="Times New Roman"/>
          <w:sz w:val="28"/>
          <w:szCs w:val="28"/>
        </w:rPr>
        <w:t>GIS</w:t>
      </w:r>
      <w:r w:rsidRPr="00873132">
        <w:rPr>
          <w:rFonts w:ascii="Times New Roman" w:eastAsia="仿宋" w:hAnsi="Times New Roman" w:cs="Times New Roman" w:hint="eastAsia"/>
          <w:sz w:val="28"/>
          <w:szCs w:val="28"/>
        </w:rPr>
        <w:t>、人工智能等新一代信息技术，为客户提供项目总体规划、方案设计、软件研发、项目实施及运维服务一体化的信息技术解决方案。公司业务从服务类型上可划分为信息系统集成服务、软件开发及技术服务、信息设备销售、信息系统运维服务、算力服务、新能源电力，具体如下：</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1.</w:t>
      </w:r>
      <w:r w:rsidRPr="00873132">
        <w:rPr>
          <w:rFonts w:ascii="Times New Roman" w:eastAsia="仿宋" w:hAnsi="Times New Roman" w:cs="Times New Roman" w:hint="eastAsia"/>
          <w:sz w:val="28"/>
          <w:szCs w:val="28"/>
        </w:rPr>
        <w:t>信息系统集成服务</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信息系统集成服务系公司的主要业务。公司提供的信息系统集成服务，以客户的应用需求为出发点，在合理规划基础上，综合应用各类信息技术，通过软件系统定制、硬件平台搭建等手段，将分离的软硬件设备连接成为完整、可靠、经济有效的整体，实现信息系统平台构建，满足客户使用需求。</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2.</w:t>
      </w:r>
      <w:r w:rsidRPr="00873132">
        <w:rPr>
          <w:rFonts w:ascii="Times New Roman" w:eastAsia="仿宋" w:hAnsi="Times New Roman" w:cs="Times New Roman" w:hint="eastAsia"/>
          <w:sz w:val="28"/>
          <w:szCs w:val="28"/>
        </w:rPr>
        <w:t>软件开发及技术服务</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软件开发及技术服务系公司的核心业务。公司依托深圳、汕头、广州三地</w:t>
      </w:r>
      <w:r w:rsidRPr="00873132">
        <w:rPr>
          <w:rFonts w:ascii="Times New Roman" w:eastAsia="仿宋" w:hAnsi="Times New Roman" w:cs="Times New Roman" w:hint="eastAsia"/>
          <w:sz w:val="28"/>
          <w:szCs w:val="28"/>
        </w:rPr>
        <w:lastRenderedPageBreak/>
        <w:t>研发团队，聚焦于智慧城市领域，持续投入和创新，在政务、教育、医疗、轨道交通等领域开发了一系列产品和解决方案，同时可为客户特定需求提供定制化产品开发服务。</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3.</w:t>
      </w:r>
      <w:r w:rsidRPr="00873132">
        <w:rPr>
          <w:rFonts w:ascii="Times New Roman" w:eastAsia="仿宋" w:hAnsi="Times New Roman" w:cs="Times New Roman" w:hint="eastAsia"/>
          <w:sz w:val="28"/>
          <w:szCs w:val="28"/>
        </w:rPr>
        <w:t>信息系统运维服务</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信息系统运维服务系公司的传统业务。公司建立了专业服务团队和统一服务平台，形成标准化运维服务模式，为客户提供包括信息系统集成项目维保、驻点运维、企业客户</w:t>
      </w:r>
      <w:r w:rsidRPr="00873132">
        <w:rPr>
          <w:rFonts w:ascii="Times New Roman" w:eastAsia="仿宋" w:hAnsi="Times New Roman" w:cs="Times New Roman" w:hint="eastAsia"/>
          <w:sz w:val="28"/>
          <w:szCs w:val="28"/>
        </w:rPr>
        <w:t>IT</w:t>
      </w:r>
      <w:r w:rsidRPr="00873132">
        <w:rPr>
          <w:rFonts w:ascii="Times New Roman" w:eastAsia="仿宋" w:hAnsi="Times New Roman" w:cs="Times New Roman" w:hint="eastAsia"/>
          <w:sz w:val="28"/>
          <w:szCs w:val="28"/>
        </w:rPr>
        <w:t>运营运维服务等全周期服务。</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4.</w:t>
      </w:r>
      <w:r w:rsidRPr="00873132">
        <w:rPr>
          <w:rFonts w:ascii="Times New Roman" w:eastAsia="仿宋" w:hAnsi="Times New Roman" w:cs="Times New Roman" w:hint="eastAsia"/>
          <w:sz w:val="28"/>
          <w:szCs w:val="28"/>
        </w:rPr>
        <w:t>信息设备销售</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信息设备销售业务主要系公司在提供信息技术服务的过程中，充分利用资源为客户提供</w:t>
      </w:r>
      <w:r w:rsidR="002E31A6">
        <w:rPr>
          <w:rFonts w:ascii="Times New Roman" w:eastAsia="仿宋" w:hAnsi="Times New Roman" w:cs="Times New Roman" w:hint="eastAsia"/>
          <w:sz w:val="28"/>
          <w:szCs w:val="28"/>
        </w:rPr>
        <w:t>信息设备销售</w:t>
      </w:r>
      <w:r w:rsidR="006D424A">
        <w:rPr>
          <w:rFonts w:ascii="Times New Roman" w:eastAsia="仿宋" w:hAnsi="Times New Roman" w:cs="Times New Roman" w:hint="eastAsia"/>
          <w:sz w:val="28"/>
          <w:szCs w:val="28"/>
        </w:rPr>
        <w:t>及</w:t>
      </w:r>
      <w:r w:rsidRPr="00873132">
        <w:rPr>
          <w:rFonts w:ascii="Times New Roman" w:eastAsia="仿宋" w:hAnsi="Times New Roman" w:cs="Times New Roman" w:hint="eastAsia"/>
          <w:sz w:val="28"/>
          <w:szCs w:val="28"/>
        </w:rPr>
        <w:t>配套服务。</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5.</w:t>
      </w:r>
      <w:r w:rsidRPr="00873132">
        <w:rPr>
          <w:rFonts w:ascii="Times New Roman" w:eastAsia="仿宋" w:hAnsi="Times New Roman" w:cs="Times New Roman" w:hint="eastAsia"/>
          <w:sz w:val="28"/>
          <w:szCs w:val="28"/>
        </w:rPr>
        <w:t>算力服务</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算力服务主要为根据客户需求提供智能算力整体解决方案，涵盖算力设备</w:t>
      </w:r>
      <w:r w:rsidR="00C320FD">
        <w:rPr>
          <w:rFonts w:ascii="Times New Roman" w:eastAsia="仿宋" w:hAnsi="Times New Roman" w:cs="Times New Roman" w:hint="eastAsia"/>
          <w:sz w:val="28"/>
          <w:szCs w:val="28"/>
        </w:rPr>
        <w:t>组</w:t>
      </w:r>
      <w:bookmarkStart w:id="4" w:name="_GoBack"/>
      <w:bookmarkEnd w:id="4"/>
      <w:r w:rsidRPr="00873132">
        <w:rPr>
          <w:rFonts w:ascii="Times New Roman" w:eastAsia="仿宋" w:hAnsi="Times New Roman" w:cs="Times New Roman" w:hint="eastAsia"/>
          <w:sz w:val="28"/>
          <w:szCs w:val="28"/>
        </w:rPr>
        <w:t>网调试、算力资源调度，以及设备维护、运行监控、故障处理、系统更新加固、现场驻点及巡检等后续维保服务。</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6.</w:t>
      </w:r>
      <w:r w:rsidRPr="00873132">
        <w:rPr>
          <w:rFonts w:ascii="Times New Roman" w:eastAsia="仿宋" w:hAnsi="Times New Roman" w:cs="Times New Roman" w:hint="eastAsia"/>
          <w:sz w:val="28"/>
          <w:szCs w:val="28"/>
        </w:rPr>
        <w:t>新能源电力</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新能源电力系重要非主营业务，依据公司战略布局开展，具有可持续性。</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新能源电力主要从事分布式光伏电站的投资、建设及运营。公司通过自建或联营方式开发运营光伏电站，项目并网后通过持有运营取得光伏电站发电收入，或择机转让获取转让收益。</w:t>
      </w:r>
    </w:p>
    <w:p w:rsidR="00084DAB" w:rsidRPr="00437F80" w:rsidRDefault="00084DAB" w:rsidP="00437F80">
      <w:pPr>
        <w:ind w:firstLineChars="200" w:firstLine="562"/>
        <w:rPr>
          <w:rFonts w:ascii="Times New Roman" w:eastAsia="仿宋" w:hAnsi="Times New Roman" w:cs="Times New Roman"/>
          <w:b/>
          <w:sz w:val="28"/>
          <w:szCs w:val="28"/>
        </w:rPr>
      </w:pPr>
      <w:r w:rsidRPr="00437F80">
        <w:rPr>
          <w:rFonts w:ascii="Times New Roman" w:eastAsia="仿宋" w:hAnsi="Times New Roman" w:cs="Times New Roman" w:hint="eastAsia"/>
          <w:b/>
          <w:sz w:val="28"/>
          <w:szCs w:val="28"/>
        </w:rPr>
        <w:t>（二）经营模式</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1.</w:t>
      </w:r>
      <w:r w:rsidRPr="00873132">
        <w:rPr>
          <w:rFonts w:ascii="Times New Roman" w:eastAsia="仿宋" w:hAnsi="Times New Roman" w:cs="Times New Roman" w:hint="eastAsia"/>
          <w:sz w:val="28"/>
          <w:szCs w:val="28"/>
        </w:rPr>
        <w:t>销售模式</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公司主要采用直销业务模式，直接承接客户项目，深度理解、快速响应客</w:t>
      </w:r>
      <w:r w:rsidRPr="00873132">
        <w:rPr>
          <w:rFonts w:ascii="Times New Roman" w:eastAsia="仿宋" w:hAnsi="Times New Roman" w:cs="Times New Roman" w:hint="eastAsia"/>
          <w:sz w:val="28"/>
          <w:szCs w:val="28"/>
        </w:rPr>
        <w:lastRenderedPageBreak/>
        <w:t>户的定制化服务需求，提供项目总体规划、方案设计、软件研发、项目实施及运维服务一体化的信息系统解决方案。同时，为拓展市场空间、发挥公司自有产品和专业技术服务优势，公司部分业务系作为产品或服务供应商参与到其他系统集成商承接的项目，共同为业主方的信息化建设服务。</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公司通过建设由政企业务中心、营销业务中心及各地分子公司组成的营销服务体系，建立规范化的客户管理制度，及时响应客户需求，提升服务的效率和质量。</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2.</w:t>
      </w:r>
      <w:r w:rsidRPr="00873132">
        <w:rPr>
          <w:rFonts w:ascii="Times New Roman" w:eastAsia="仿宋" w:hAnsi="Times New Roman" w:cs="Times New Roman" w:hint="eastAsia"/>
          <w:sz w:val="28"/>
          <w:szCs w:val="28"/>
        </w:rPr>
        <w:t>采购模式</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公司采购主要采用“以销定采”“按需采购”的模式，即根据项目实施的实际需求提出采购申请，采购部集中采购相应产品或服务。</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公司建立了《供应商管理流程》以规范供应商筛选、引进和考核管理，提高供应质量。</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3.</w:t>
      </w:r>
      <w:r w:rsidRPr="00873132">
        <w:rPr>
          <w:rFonts w:ascii="Times New Roman" w:eastAsia="仿宋" w:hAnsi="Times New Roman" w:cs="Times New Roman" w:hint="eastAsia"/>
          <w:sz w:val="28"/>
          <w:szCs w:val="28"/>
        </w:rPr>
        <w:t>项目实施模式</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公司主要采用“以销定产”模式，根据项目合同要求组织合同实施，提供相应的产品和服务。</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4.</w:t>
      </w:r>
      <w:r w:rsidRPr="00873132">
        <w:rPr>
          <w:rFonts w:ascii="Times New Roman" w:eastAsia="仿宋" w:hAnsi="Times New Roman" w:cs="Times New Roman" w:hint="eastAsia"/>
          <w:sz w:val="28"/>
          <w:szCs w:val="28"/>
        </w:rPr>
        <w:t>研发模式</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公司研发采用以自主研发为主的模式，同时为了提高研发的效率和效果，部分研发任务委托具有相应研发能力的专业单位进行研发。公司设立研发中心组建专业的研发团队，形成每一个新产品立项、需求可行性分析、制订项目任务书和技术开发计划、组织系统设计、安排原型设计与编码、进行产品测试、试运行、培训、编制操作手册、准备验收资料、组织验收交付、发布产品和申请著作权等全过程管理模式。</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lastRenderedPageBreak/>
        <w:t>5.</w:t>
      </w:r>
      <w:r w:rsidRPr="00873132">
        <w:rPr>
          <w:rFonts w:ascii="Times New Roman" w:eastAsia="仿宋" w:hAnsi="Times New Roman" w:cs="Times New Roman" w:hint="eastAsia"/>
          <w:sz w:val="28"/>
          <w:szCs w:val="28"/>
        </w:rPr>
        <w:t>收费模式</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公司项目通常采用依照项目的合同签订、初验、终验、质保期满等关键节点收取不同比例合同金额的收费模式。依照项目不同施工节点支付进度款是行业主流习惯，少数项目因为客户资金安排等原因也会采用分期付款的方式，公司收费模式与当前市场行情一致。</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6.</w:t>
      </w:r>
      <w:r w:rsidRPr="00873132">
        <w:rPr>
          <w:rFonts w:ascii="Times New Roman" w:eastAsia="仿宋" w:hAnsi="Times New Roman" w:cs="Times New Roman" w:hint="eastAsia"/>
          <w:sz w:val="28"/>
          <w:szCs w:val="28"/>
        </w:rPr>
        <w:t>盈利模式</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公司专注为政务、教育、医疗等领域客户的信息化建设提供解决方案、软硬件产品和专业服务、以招投标方式或商务洽谈方式获取客户项目合同或产品销售合同，履行合同约定，按合同向客户收取相关产品或服务的费用，实现收入与利润。</w:t>
      </w:r>
    </w:p>
    <w:p w:rsidR="00084DAB" w:rsidRPr="00953021" w:rsidRDefault="00084DAB" w:rsidP="00437F80">
      <w:pPr>
        <w:ind w:firstLineChars="200" w:firstLine="562"/>
        <w:rPr>
          <w:rFonts w:ascii="Times New Roman" w:eastAsia="仿宋" w:hAnsi="Times New Roman" w:cs="Times New Roman"/>
          <w:b/>
          <w:sz w:val="28"/>
          <w:szCs w:val="28"/>
        </w:rPr>
      </w:pPr>
      <w:r w:rsidRPr="00953021">
        <w:rPr>
          <w:rFonts w:ascii="Times New Roman" w:eastAsia="仿宋" w:hAnsi="Times New Roman" w:cs="Times New Roman" w:hint="eastAsia"/>
          <w:b/>
          <w:sz w:val="28"/>
          <w:szCs w:val="28"/>
        </w:rPr>
        <w:t>（三）公司所处的行业地位</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当前我国信息技术服务行业企业数量较多，市场集中度不高，竞争较为激烈。行业内企业多以面向某一种类或某个特定领域的客户提供解决方案，大型综合类企业较少。</w:t>
      </w:r>
    </w:p>
    <w:p w:rsidR="00084DAB" w:rsidRPr="00873132" w:rsidRDefault="00084DAB" w:rsidP="00437F80">
      <w:pPr>
        <w:ind w:firstLineChars="200" w:firstLine="560"/>
        <w:rPr>
          <w:rFonts w:ascii="Times New Roman" w:eastAsia="仿宋" w:hAnsi="Times New Roman" w:cs="Times New Roman"/>
          <w:sz w:val="28"/>
          <w:szCs w:val="28"/>
        </w:rPr>
      </w:pPr>
      <w:r w:rsidRPr="00873132">
        <w:rPr>
          <w:rFonts w:ascii="Times New Roman" w:eastAsia="仿宋" w:hAnsi="Times New Roman" w:cs="Times New Roman" w:hint="eastAsia"/>
          <w:sz w:val="28"/>
          <w:szCs w:val="28"/>
        </w:rPr>
        <w:t>公司深耕信息技术领域二十多年，一直致力于融合物联网、大数据、云计算、人工智能等新一代信息技术，形成了产品研发、信息技术解决方案和信息系统运维服务三大核心业务板块，掌握了数字孪生构建与应用、政务大模型技术与应用、政务大数据分析与挖掘、图像超分与识别、跨平台高性能音视频通讯、统一数据集成、智能人机交互、智能报表、可视化工作流、低代码应用开发十大核心技术能力，持续创新并落地了基层社会治理网格化、市域社会治理、数字乡村、智慧社区、政务服务全场景一体化、数据要素全链条一站式、轨道交通无人值守、轨道交通资产巡视八大核心解决方案。目前公司自有产品已在</w:t>
      </w:r>
      <w:r w:rsidRPr="00873132">
        <w:rPr>
          <w:rFonts w:ascii="Times New Roman" w:eastAsia="仿宋" w:hAnsi="Times New Roman" w:cs="Times New Roman" w:hint="eastAsia"/>
          <w:sz w:val="28"/>
          <w:szCs w:val="28"/>
        </w:rPr>
        <w:lastRenderedPageBreak/>
        <w:t>国内</w:t>
      </w:r>
      <w:r w:rsidRPr="00873132">
        <w:rPr>
          <w:rFonts w:ascii="Times New Roman" w:eastAsia="仿宋" w:hAnsi="Times New Roman" w:cs="Times New Roman" w:hint="eastAsia"/>
          <w:sz w:val="28"/>
          <w:szCs w:val="28"/>
        </w:rPr>
        <w:t>20</w:t>
      </w:r>
      <w:r w:rsidRPr="00873132">
        <w:rPr>
          <w:rFonts w:ascii="Times New Roman" w:eastAsia="仿宋" w:hAnsi="Times New Roman" w:cs="Times New Roman" w:hint="eastAsia"/>
          <w:sz w:val="28"/>
          <w:szCs w:val="28"/>
        </w:rPr>
        <w:t>多个省份成功落地超过</w:t>
      </w:r>
      <w:r w:rsidRPr="00873132">
        <w:rPr>
          <w:rFonts w:ascii="Times New Roman" w:eastAsia="仿宋" w:hAnsi="Times New Roman" w:cs="Times New Roman" w:hint="eastAsia"/>
          <w:sz w:val="28"/>
          <w:szCs w:val="28"/>
        </w:rPr>
        <w:t>1,000</w:t>
      </w:r>
      <w:r w:rsidRPr="00873132">
        <w:rPr>
          <w:rFonts w:ascii="Times New Roman" w:eastAsia="仿宋" w:hAnsi="Times New Roman" w:cs="Times New Roman" w:hint="eastAsia"/>
          <w:sz w:val="28"/>
          <w:szCs w:val="28"/>
        </w:rPr>
        <w:t>个案例，广泛服务于各级党政部门、企事业单位，得到了广大客户的充分肯定和一致好评，在基层社会治理细分领域处于国内领先地位。</w:t>
      </w:r>
    </w:p>
    <w:p w:rsidR="00084DAB" w:rsidRPr="00864FE9" w:rsidRDefault="00084DAB" w:rsidP="00864FE9">
      <w:pPr>
        <w:pStyle w:val="2"/>
        <w:spacing w:before="0" w:after="0" w:line="288" w:lineRule="auto"/>
        <w:jc w:val="both"/>
        <w:rPr>
          <w:rFonts w:ascii="Times New Roman" w:eastAsia="仿宋" w:hAnsi="Times New Roman" w:cs="Times New Roman"/>
          <w:b/>
          <w:bCs/>
          <w:kern w:val="0"/>
          <w:sz w:val="28"/>
          <w:szCs w:val="24"/>
        </w:rPr>
      </w:pPr>
      <w:bookmarkStart w:id="5" w:name="_Toc988893"/>
      <w:r w:rsidRPr="00864FE9">
        <w:rPr>
          <w:rFonts w:ascii="Times New Roman" w:eastAsia="仿宋" w:hAnsi="Times New Roman" w:cs="Times New Roman"/>
          <w:b/>
          <w:bCs/>
          <w:kern w:val="0"/>
          <w:sz w:val="28"/>
          <w:szCs w:val="24"/>
        </w:rPr>
        <w:t>3</w:t>
      </w:r>
      <w:r w:rsidRPr="00864FE9">
        <w:rPr>
          <w:rFonts w:ascii="Times New Roman" w:eastAsia="仿宋" w:hAnsi="Times New Roman" w:cs="Times New Roman"/>
          <w:b/>
          <w:bCs/>
          <w:kern w:val="0"/>
          <w:sz w:val="28"/>
          <w:szCs w:val="24"/>
        </w:rPr>
        <w:t>、主要会计数据和财务指标</w:t>
      </w:r>
      <w:bookmarkEnd w:id="5"/>
    </w:p>
    <w:p w:rsidR="00084DAB" w:rsidRPr="006A1CB7" w:rsidRDefault="00084DAB" w:rsidP="00084374">
      <w:pPr>
        <w:rPr>
          <w:rFonts w:ascii="Times New Roman" w:eastAsia="仿宋" w:hAnsi="Times New Roman" w:cs="Times New Roman"/>
          <w:b/>
          <w:sz w:val="28"/>
          <w:szCs w:val="28"/>
        </w:rPr>
      </w:pPr>
      <w:bookmarkStart w:id="6" w:name="_Toc988894"/>
      <w:r w:rsidRPr="006A1CB7">
        <w:rPr>
          <w:rFonts w:ascii="Times New Roman" w:eastAsia="仿宋" w:hAnsi="Times New Roman" w:cs="Times New Roman"/>
          <w:b/>
          <w:sz w:val="28"/>
          <w:szCs w:val="28"/>
        </w:rPr>
        <w:t>（</w:t>
      </w:r>
      <w:r w:rsidRPr="006A1CB7">
        <w:rPr>
          <w:rFonts w:ascii="Times New Roman" w:eastAsia="仿宋" w:hAnsi="Times New Roman" w:cs="Times New Roman"/>
          <w:b/>
          <w:sz w:val="28"/>
          <w:szCs w:val="28"/>
        </w:rPr>
        <w:t>1</w:t>
      </w:r>
      <w:r w:rsidRPr="006A1CB7">
        <w:rPr>
          <w:rFonts w:ascii="Times New Roman" w:eastAsia="仿宋" w:hAnsi="Times New Roman" w:cs="Times New Roman"/>
          <w:b/>
          <w:sz w:val="28"/>
          <w:szCs w:val="28"/>
        </w:rPr>
        <w:t>）</w:t>
      </w:r>
      <w:r w:rsidRPr="006A1CB7">
        <w:rPr>
          <w:rFonts w:ascii="Times New Roman" w:eastAsia="仿宋" w:hAnsi="Times New Roman" w:cs="Times New Roman"/>
          <w:b/>
          <w:sz w:val="28"/>
          <w:szCs w:val="28"/>
        </w:rPr>
        <w:t xml:space="preserve"> </w:t>
      </w:r>
      <w:r w:rsidRPr="006A1CB7">
        <w:rPr>
          <w:rFonts w:ascii="Times New Roman" w:eastAsia="仿宋" w:hAnsi="Times New Roman" w:cs="Times New Roman"/>
          <w:b/>
          <w:sz w:val="28"/>
          <w:szCs w:val="28"/>
        </w:rPr>
        <w:t>近三年主要会计数据和财务指标</w:t>
      </w:r>
      <w:bookmarkEnd w:id="6"/>
    </w:p>
    <w:p w:rsidR="00084DAB" w:rsidRPr="006A1CB7" w:rsidRDefault="00084DAB" w:rsidP="006A1CB7">
      <w:pPr>
        <w:ind w:firstLineChars="200" w:firstLine="560"/>
        <w:rPr>
          <w:rFonts w:ascii="Times New Roman" w:eastAsia="仿宋" w:hAnsi="Times New Roman" w:cs="Times New Roman"/>
          <w:sz w:val="28"/>
          <w:szCs w:val="28"/>
        </w:rPr>
      </w:pPr>
      <w:r w:rsidRPr="006A1CB7">
        <w:rPr>
          <w:rFonts w:ascii="Times New Roman" w:eastAsia="仿宋" w:hAnsi="Times New Roman" w:cs="Times New Roman"/>
          <w:sz w:val="28"/>
          <w:szCs w:val="28"/>
        </w:rPr>
        <w:t>公司是否需追溯调整或重述以前年度会计数据</w:t>
      </w:r>
    </w:p>
    <w:p w:rsidR="00084DAB" w:rsidRPr="006A1CB7" w:rsidRDefault="00084DAB" w:rsidP="006A1CB7">
      <w:pPr>
        <w:ind w:firstLineChars="200" w:firstLine="560"/>
        <w:rPr>
          <w:rFonts w:ascii="Times New Roman" w:eastAsia="仿宋" w:hAnsi="Times New Roman" w:cs="Times New Roman"/>
          <w:sz w:val="28"/>
          <w:szCs w:val="28"/>
        </w:rPr>
      </w:pPr>
      <w:r w:rsidRPr="006A1CB7">
        <w:rPr>
          <w:rFonts w:ascii="Times New Roman" w:eastAsia="仿宋" w:hAnsi="Times New Roman" w:cs="Times New Roman"/>
          <w:sz w:val="28"/>
          <w:szCs w:val="28"/>
        </w:rPr>
        <w:t>□</w:t>
      </w:r>
      <w:r w:rsidRPr="006A1CB7">
        <w:rPr>
          <w:rFonts w:ascii="Times New Roman" w:eastAsia="仿宋" w:hAnsi="Times New Roman" w:cs="Times New Roman"/>
          <w:sz w:val="28"/>
          <w:szCs w:val="28"/>
        </w:rPr>
        <w:t>是</w:t>
      </w:r>
      <w:r w:rsidRPr="006A1CB7">
        <w:rPr>
          <w:rFonts w:ascii="Times New Roman" w:eastAsia="仿宋" w:hAnsi="Times New Roman" w:cs="Times New Roman"/>
          <w:sz w:val="28"/>
          <w:szCs w:val="28"/>
        </w:rPr>
        <w:t xml:space="preserve"> </w:t>
      </w:r>
      <w:r w:rsidRPr="006A1CB7">
        <w:rPr>
          <w:rFonts w:ascii="Times New Roman" w:eastAsia="仿宋" w:hAnsi="Times New Roman" w:cs="Times New Roman"/>
          <w:sz w:val="28"/>
          <w:szCs w:val="28"/>
        </w:rPr>
        <w:sym w:font="Wingdings 2" w:char="F052"/>
      </w:r>
      <w:r w:rsidRPr="006A1CB7">
        <w:rPr>
          <w:rFonts w:ascii="Times New Roman" w:eastAsia="仿宋" w:hAnsi="Times New Roman" w:cs="Times New Roman"/>
          <w:sz w:val="28"/>
          <w:szCs w:val="28"/>
        </w:rPr>
        <w:t>否</w:t>
      </w:r>
    </w:p>
    <w:p w:rsidR="00084DAB" w:rsidRPr="006A1CB7" w:rsidRDefault="004C609F" w:rsidP="004C609F">
      <w:pPr>
        <w:ind w:firstLineChars="200" w:firstLine="560"/>
        <w:jc w:val="right"/>
        <w:rPr>
          <w:rFonts w:ascii="Times New Roman" w:eastAsia="仿宋" w:hAnsi="Times New Roman" w:cs="Times New Roman"/>
          <w:sz w:val="28"/>
          <w:szCs w:val="28"/>
        </w:rPr>
      </w:pPr>
      <w:r>
        <w:rPr>
          <w:rFonts w:ascii="Times New Roman" w:eastAsia="仿宋" w:hAnsi="Times New Roman" w:cs="Times New Roman" w:hint="eastAsia"/>
          <w:sz w:val="28"/>
          <w:szCs w:val="28"/>
        </w:rPr>
        <w:t>单位：</w:t>
      </w:r>
      <w:r w:rsidR="00084DAB" w:rsidRPr="006A1CB7">
        <w:rPr>
          <w:rFonts w:ascii="Times New Roman" w:eastAsia="仿宋" w:hAnsi="Times New Roman" w:cs="Times New Roman"/>
          <w:sz w:val="28"/>
          <w:szCs w:val="28"/>
        </w:rPr>
        <w:t>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0"/>
        <w:gridCol w:w="1970"/>
        <w:gridCol w:w="1971"/>
        <w:gridCol w:w="1971"/>
        <w:gridCol w:w="1971"/>
      </w:tblGrid>
      <w:tr w:rsidR="00084DAB" w:rsidRPr="00437804" w:rsidTr="00E604DD">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rPr>
                <w:rFonts w:ascii="Times New Roman" w:eastAsia="仿宋" w:hAnsi="Times New Roman" w:cs="Times New Roman"/>
                <w:sz w:val="24"/>
                <w:szCs w:val="24"/>
              </w:rPr>
            </w:pP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jc w:val="center"/>
              <w:rPr>
                <w:rFonts w:ascii="Times New Roman" w:eastAsia="仿宋" w:hAnsi="Times New Roman" w:cs="Times New Roman"/>
                <w:sz w:val="24"/>
                <w:szCs w:val="24"/>
              </w:rPr>
            </w:pPr>
            <w:r w:rsidRPr="00437804">
              <w:rPr>
                <w:rFonts w:ascii="Times New Roman" w:eastAsia="仿宋" w:hAnsi="Times New Roman" w:cs="Times New Roman"/>
                <w:sz w:val="24"/>
                <w:szCs w:val="24"/>
              </w:rPr>
              <w:t>2025</w:t>
            </w:r>
            <w:r w:rsidRPr="00437804">
              <w:rPr>
                <w:rFonts w:ascii="Times New Roman" w:eastAsia="仿宋" w:hAnsi="Times New Roman" w:cs="Times New Roman"/>
                <w:sz w:val="24"/>
                <w:szCs w:val="24"/>
              </w:rPr>
              <w:t>年末</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jc w:val="center"/>
              <w:rPr>
                <w:rFonts w:ascii="Times New Roman" w:eastAsia="仿宋" w:hAnsi="Times New Roman" w:cs="Times New Roman"/>
                <w:sz w:val="24"/>
                <w:szCs w:val="24"/>
              </w:rPr>
            </w:pPr>
            <w:r w:rsidRPr="00437804">
              <w:rPr>
                <w:rFonts w:ascii="Times New Roman" w:eastAsia="仿宋" w:hAnsi="Times New Roman" w:cs="Times New Roman"/>
                <w:sz w:val="24"/>
                <w:szCs w:val="24"/>
              </w:rPr>
              <w:t>2024</w:t>
            </w:r>
            <w:r w:rsidRPr="00437804">
              <w:rPr>
                <w:rFonts w:ascii="Times New Roman" w:eastAsia="仿宋" w:hAnsi="Times New Roman" w:cs="Times New Roman"/>
                <w:sz w:val="24"/>
                <w:szCs w:val="24"/>
              </w:rPr>
              <w:t>年末</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jc w:val="center"/>
              <w:rPr>
                <w:rFonts w:ascii="Times New Roman" w:eastAsia="仿宋" w:hAnsi="Times New Roman" w:cs="Times New Roman"/>
                <w:sz w:val="24"/>
                <w:szCs w:val="24"/>
              </w:rPr>
            </w:pPr>
            <w:r w:rsidRPr="00437804">
              <w:rPr>
                <w:rFonts w:ascii="Times New Roman" w:eastAsia="仿宋" w:hAnsi="Times New Roman" w:cs="Times New Roman"/>
                <w:sz w:val="24"/>
                <w:szCs w:val="24"/>
              </w:rPr>
              <w:t>本年末比上年末增减</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jc w:val="center"/>
              <w:rPr>
                <w:rFonts w:ascii="Times New Roman" w:eastAsia="仿宋" w:hAnsi="Times New Roman" w:cs="Times New Roman"/>
                <w:sz w:val="24"/>
                <w:szCs w:val="24"/>
              </w:rPr>
            </w:pPr>
            <w:r w:rsidRPr="00437804">
              <w:rPr>
                <w:rFonts w:ascii="Times New Roman" w:eastAsia="仿宋" w:hAnsi="Times New Roman" w:cs="Times New Roman"/>
                <w:sz w:val="24"/>
                <w:szCs w:val="24"/>
              </w:rPr>
              <w:t>2023</w:t>
            </w:r>
            <w:r w:rsidRPr="00437804">
              <w:rPr>
                <w:rFonts w:ascii="Times New Roman" w:eastAsia="仿宋" w:hAnsi="Times New Roman" w:cs="Times New Roman"/>
                <w:sz w:val="24"/>
                <w:szCs w:val="24"/>
              </w:rPr>
              <w:t>年末</w:t>
            </w:r>
          </w:p>
        </w:tc>
      </w:tr>
      <w:tr w:rsidR="00084DAB" w:rsidRPr="00437804" w:rsidTr="00E604DD">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rPr>
                <w:rFonts w:ascii="Times New Roman" w:eastAsia="仿宋" w:hAnsi="Times New Roman" w:cs="Times New Roman"/>
                <w:sz w:val="24"/>
                <w:szCs w:val="24"/>
              </w:rPr>
            </w:pPr>
            <w:r w:rsidRPr="00437804">
              <w:rPr>
                <w:rFonts w:ascii="Times New Roman" w:eastAsia="仿宋" w:hAnsi="Times New Roman" w:cs="Times New Roman"/>
                <w:sz w:val="24"/>
                <w:szCs w:val="24"/>
              </w:rPr>
              <w:t>总资产</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1,445,771,685.58</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1,333,766,753.86</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8.40%</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1,044,326,703.01</w:t>
            </w:r>
          </w:p>
        </w:tc>
      </w:tr>
      <w:tr w:rsidR="00084DAB" w:rsidRPr="00437804" w:rsidTr="00E604DD">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rPr>
                <w:rFonts w:ascii="Times New Roman" w:eastAsia="仿宋" w:hAnsi="Times New Roman" w:cs="Times New Roman"/>
                <w:sz w:val="24"/>
                <w:szCs w:val="24"/>
              </w:rPr>
            </w:pPr>
            <w:r w:rsidRPr="00437804">
              <w:rPr>
                <w:rFonts w:ascii="Times New Roman" w:eastAsia="仿宋" w:hAnsi="Times New Roman" w:cs="Times New Roman"/>
                <w:sz w:val="24"/>
                <w:szCs w:val="24"/>
              </w:rPr>
              <w:t>归属于上市公司股东的净资产</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777,012,591.85</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758,250,167.43</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2.47%</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831,728,011.51</w:t>
            </w:r>
          </w:p>
        </w:tc>
      </w:tr>
      <w:tr w:rsidR="00084DAB" w:rsidRPr="00437804" w:rsidTr="00E604DD">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rPr>
                <w:rFonts w:ascii="Times New Roman" w:eastAsia="仿宋" w:hAnsi="Times New Roman" w:cs="Times New Roman"/>
                <w:sz w:val="24"/>
                <w:szCs w:val="24"/>
              </w:rPr>
            </w:pP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jc w:val="center"/>
              <w:rPr>
                <w:rFonts w:ascii="Times New Roman" w:eastAsia="仿宋" w:hAnsi="Times New Roman" w:cs="Times New Roman"/>
                <w:sz w:val="24"/>
                <w:szCs w:val="24"/>
              </w:rPr>
            </w:pPr>
            <w:r w:rsidRPr="00437804">
              <w:rPr>
                <w:rFonts w:ascii="Times New Roman" w:eastAsia="仿宋" w:hAnsi="Times New Roman" w:cs="Times New Roman"/>
                <w:sz w:val="24"/>
                <w:szCs w:val="24"/>
              </w:rPr>
              <w:t>2025</w:t>
            </w:r>
            <w:r w:rsidRPr="00437804">
              <w:rPr>
                <w:rFonts w:ascii="Times New Roman" w:eastAsia="仿宋" w:hAnsi="Times New Roman" w:cs="Times New Roman"/>
                <w:sz w:val="24"/>
                <w:szCs w:val="24"/>
              </w:rPr>
              <w:t>年</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jc w:val="center"/>
              <w:rPr>
                <w:rFonts w:ascii="Times New Roman" w:eastAsia="仿宋" w:hAnsi="Times New Roman" w:cs="Times New Roman"/>
                <w:sz w:val="24"/>
                <w:szCs w:val="24"/>
              </w:rPr>
            </w:pPr>
            <w:r w:rsidRPr="00437804">
              <w:rPr>
                <w:rFonts w:ascii="Times New Roman" w:eastAsia="仿宋" w:hAnsi="Times New Roman" w:cs="Times New Roman"/>
                <w:sz w:val="24"/>
                <w:szCs w:val="24"/>
              </w:rPr>
              <w:t>2024</w:t>
            </w:r>
            <w:r w:rsidRPr="00437804">
              <w:rPr>
                <w:rFonts w:ascii="Times New Roman" w:eastAsia="仿宋" w:hAnsi="Times New Roman" w:cs="Times New Roman"/>
                <w:sz w:val="24"/>
                <w:szCs w:val="24"/>
              </w:rPr>
              <w:t>年</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jc w:val="center"/>
              <w:rPr>
                <w:rFonts w:ascii="Times New Roman" w:eastAsia="仿宋" w:hAnsi="Times New Roman" w:cs="Times New Roman"/>
                <w:sz w:val="24"/>
                <w:szCs w:val="24"/>
              </w:rPr>
            </w:pPr>
            <w:r w:rsidRPr="00437804">
              <w:rPr>
                <w:rFonts w:ascii="Times New Roman" w:eastAsia="仿宋" w:hAnsi="Times New Roman" w:cs="Times New Roman"/>
                <w:sz w:val="24"/>
                <w:szCs w:val="24"/>
              </w:rPr>
              <w:t>本年比上年增减</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jc w:val="center"/>
              <w:rPr>
                <w:rFonts w:ascii="Times New Roman" w:eastAsia="仿宋" w:hAnsi="Times New Roman" w:cs="Times New Roman"/>
                <w:sz w:val="24"/>
                <w:szCs w:val="24"/>
              </w:rPr>
            </w:pPr>
            <w:r w:rsidRPr="00437804">
              <w:rPr>
                <w:rFonts w:ascii="Times New Roman" w:eastAsia="仿宋" w:hAnsi="Times New Roman" w:cs="Times New Roman"/>
                <w:sz w:val="24"/>
                <w:szCs w:val="24"/>
              </w:rPr>
              <w:t>2023</w:t>
            </w:r>
            <w:r w:rsidRPr="00437804">
              <w:rPr>
                <w:rFonts w:ascii="Times New Roman" w:eastAsia="仿宋" w:hAnsi="Times New Roman" w:cs="Times New Roman"/>
                <w:sz w:val="24"/>
                <w:szCs w:val="24"/>
              </w:rPr>
              <w:t>年</w:t>
            </w:r>
          </w:p>
        </w:tc>
      </w:tr>
      <w:tr w:rsidR="00084DAB" w:rsidRPr="00437804" w:rsidTr="00E604DD">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rPr>
                <w:rFonts w:ascii="Times New Roman" w:eastAsia="仿宋" w:hAnsi="Times New Roman" w:cs="Times New Roman"/>
                <w:sz w:val="24"/>
                <w:szCs w:val="24"/>
              </w:rPr>
            </w:pPr>
            <w:r w:rsidRPr="00437804">
              <w:rPr>
                <w:rFonts w:ascii="Times New Roman" w:eastAsia="仿宋" w:hAnsi="Times New Roman" w:cs="Times New Roman"/>
                <w:sz w:val="24"/>
                <w:szCs w:val="24"/>
              </w:rPr>
              <w:t>营业收入</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476,993,037.00</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223,633,009.11</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113.29%</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410,009,814.78</w:t>
            </w:r>
          </w:p>
        </w:tc>
      </w:tr>
      <w:tr w:rsidR="00084DAB" w:rsidRPr="00437804" w:rsidTr="00E604DD">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rPr>
                <w:rFonts w:ascii="Times New Roman" w:eastAsia="仿宋" w:hAnsi="Times New Roman" w:cs="Times New Roman"/>
                <w:sz w:val="24"/>
                <w:szCs w:val="24"/>
              </w:rPr>
            </w:pPr>
            <w:r w:rsidRPr="00437804">
              <w:rPr>
                <w:rFonts w:ascii="Times New Roman" w:eastAsia="仿宋" w:hAnsi="Times New Roman" w:cs="Times New Roman"/>
                <w:sz w:val="24"/>
                <w:szCs w:val="24"/>
              </w:rPr>
              <w:t>归属于上市公司股东的净利润</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7,489,613.54</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-49,552,838.46</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115.11%</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6,389,000.49</w:t>
            </w:r>
          </w:p>
        </w:tc>
      </w:tr>
      <w:tr w:rsidR="00084DAB" w:rsidRPr="00437804" w:rsidTr="00E604DD">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rPr>
                <w:rFonts w:ascii="Times New Roman" w:eastAsia="仿宋" w:hAnsi="Times New Roman" w:cs="Times New Roman"/>
                <w:sz w:val="24"/>
                <w:szCs w:val="24"/>
              </w:rPr>
            </w:pPr>
            <w:r w:rsidRPr="00437804">
              <w:rPr>
                <w:rFonts w:ascii="Times New Roman" w:eastAsia="仿宋" w:hAnsi="Times New Roman" w:cs="Times New Roman"/>
                <w:sz w:val="24"/>
                <w:szCs w:val="24"/>
              </w:rPr>
              <w:t>归属于上市公司股东的扣除非经常性损益的净利润</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3,633,376.83</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-48,890,667.24</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107.43%</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4,948,441.78</w:t>
            </w:r>
          </w:p>
        </w:tc>
      </w:tr>
      <w:tr w:rsidR="00084DAB" w:rsidRPr="00437804" w:rsidTr="00E604DD">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rPr>
                <w:rFonts w:ascii="Times New Roman" w:eastAsia="仿宋" w:hAnsi="Times New Roman" w:cs="Times New Roman"/>
                <w:sz w:val="24"/>
                <w:szCs w:val="24"/>
              </w:rPr>
            </w:pPr>
            <w:r w:rsidRPr="00437804">
              <w:rPr>
                <w:rFonts w:ascii="Times New Roman" w:eastAsia="仿宋" w:hAnsi="Times New Roman" w:cs="Times New Roman"/>
                <w:sz w:val="24"/>
                <w:szCs w:val="24"/>
              </w:rPr>
              <w:t>经营活动产生的现金流量净额</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32,175,746.92</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-54,239,504.38</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159.32%</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8,380,672.05</w:t>
            </w:r>
          </w:p>
        </w:tc>
      </w:tr>
      <w:tr w:rsidR="00084DAB" w:rsidRPr="00437804" w:rsidTr="00E604DD">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rPr>
                <w:rFonts w:ascii="Times New Roman" w:eastAsia="仿宋" w:hAnsi="Times New Roman" w:cs="Times New Roman"/>
                <w:sz w:val="24"/>
                <w:szCs w:val="24"/>
              </w:rPr>
            </w:pPr>
            <w:r w:rsidRPr="00437804">
              <w:rPr>
                <w:rFonts w:ascii="Times New Roman" w:eastAsia="仿宋" w:hAnsi="Times New Roman" w:cs="Times New Roman"/>
                <w:sz w:val="24"/>
                <w:szCs w:val="24"/>
              </w:rPr>
              <w:t>基本每股收益（元</w:t>
            </w:r>
            <w:r w:rsidRPr="00437804">
              <w:rPr>
                <w:rFonts w:ascii="Times New Roman" w:eastAsia="仿宋" w:hAnsi="Times New Roman" w:cs="Times New Roman"/>
                <w:sz w:val="24"/>
                <w:szCs w:val="24"/>
              </w:rPr>
              <w:t>/</w:t>
            </w:r>
            <w:r w:rsidRPr="00437804">
              <w:rPr>
                <w:rFonts w:ascii="Times New Roman" w:eastAsia="仿宋" w:hAnsi="Times New Roman" w:cs="Times New Roman"/>
                <w:sz w:val="24"/>
                <w:szCs w:val="24"/>
              </w:rPr>
              <w:t>股）</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0.11</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-0.74</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114.86%</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0.1</w:t>
            </w:r>
          </w:p>
        </w:tc>
      </w:tr>
      <w:tr w:rsidR="00084DAB" w:rsidRPr="00437804" w:rsidTr="00E604DD">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rPr>
                <w:rFonts w:ascii="Times New Roman" w:eastAsia="仿宋" w:hAnsi="Times New Roman" w:cs="Times New Roman"/>
                <w:sz w:val="24"/>
                <w:szCs w:val="24"/>
              </w:rPr>
            </w:pPr>
            <w:r w:rsidRPr="00437804">
              <w:rPr>
                <w:rFonts w:ascii="Times New Roman" w:eastAsia="仿宋" w:hAnsi="Times New Roman" w:cs="Times New Roman"/>
                <w:sz w:val="24"/>
                <w:szCs w:val="24"/>
              </w:rPr>
              <w:t>稀释每股收益（元</w:t>
            </w:r>
            <w:r w:rsidRPr="00437804">
              <w:rPr>
                <w:rFonts w:ascii="Times New Roman" w:eastAsia="仿宋" w:hAnsi="Times New Roman" w:cs="Times New Roman"/>
                <w:sz w:val="24"/>
                <w:szCs w:val="24"/>
              </w:rPr>
              <w:t>/</w:t>
            </w:r>
            <w:r w:rsidRPr="00437804">
              <w:rPr>
                <w:rFonts w:ascii="Times New Roman" w:eastAsia="仿宋" w:hAnsi="Times New Roman" w:cs="Times New Roman"/>
                <w:sz w:val="24"/>
                <w:szCs w:val="24"/>
              </w:rPr>
              <w:t>股）</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0.11</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-0.74</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114.86%</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0.1</w:t>
            </w:r>
          </w:p>
        </w:tc>
      </w:tr>
      <w:tr w:rsidR="00084DAB" w:rsidRPr="00437804" w:rsidTr="00E604DD">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084DAB" w:rsidRPr="00437804" w:rsidRDefault="00084DAB" w:rsidP="005D0ADF">
            <w:pPr>
              <w:spacing w:before="40" w:after="40" w:line="240" w:lineRule="exact"/>
              <w:rPr>
                <w:rFonts w:ascii="Times New Roman" w:eastAsia="仿宋" w:hAnsi="Times New Roman" w:cs="Times New Roman"/>
                <w:sz w:val="24"/>
                <w:szCs w:val="24"/>
              </w:rPr>
            </w:pPr>
            <w:r w:rsidRPr="00437804">
              <w:rPr>
                <w:rFonts w:ascii="Times New Roman" w:eastAsia="仿宋" w:hAnsi="Times New Roman" w:cs="Times New Roman"/>
                <w:sz w:val="24"/>
                <w:szCs w:val="24"/>
              </w:rPr>
              <w:t>加权平均净资产收益率</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0.98%</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-6.28%</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7.26%</w:t>
            </w:r>
          </w:p>
        </w:tc>
        <w:tc>
          <w:tcPr>
            <w:tcW w:w="1000" w:type="pct"/>
            <w:tcBorders>
              <w:top w:val="single" w:sz="2" w:space="0" w:color="auto"/>
              <w:left w:val="single" w:sz="2" w:space="0" w:color="auto"/>
              <w:bottom w:val="single" w:sz="2" w:space="0" w:color="auto"/>
              <w:right w:val="single" w:sz="2" w:space="0" w:color="auto"/>
            </w:tcBorders>
            <w:vAlign w:val="center"/>
          </w:tcPr>
          <w:p w:rsidR="00084DAB" w:rsidRPr="00437804" w:rsidRDefault="00084DAB" w:rsidP="005D0ADF">
            <w:pPr>
              <w:spacing w:line="240" w:lineRule="exact"/>
              <w:jc w:val="right"/>
              <w:rPr>
                <w:rFonts w:ascii="Times New Roman" w:eastAsia="仿宋" w:hAnsi="Times New Roman" w:cs="Times New Roman"/>
                <w:sz w:val="24"/>
                <w:szCs w:val="24"/>
              </w:rPr>
            </w:pPr>
            <w:r w:rsidRPr="00437804">
              <w:rPr>
                <w:rFonts w:ascii="Times New Roman" w:eastAsia="仿宋" w:hAnsi="Times New Roman" w:cs="Times New Roman"/>
                <w:sz w:val="24"/>
                <w:szCs w:val="24"/>
              </w:rPr>
              <w:t>0.77%</w:t>
            </w:r>
          </w:p>
        </w:tc>
      </w:tr>
    </w:tbl>
    <w:p w:rsidR="00084DAB" w:rsidRPr="00084374" w:rsidRDefault="00084DAB" w:rsidP="00084374">
      <w:pPr>
        <w:rPr>
          <w:rFonts w:ascii="Times New Roman" w:eastAsia="仿宋" w:hAnsi="Times New Roman" w:cs="Times New Roman"/>
          <w:b/>
          <w:sz w:val="28"/>
          <w:szCs w:val="28"/>
        </w:rPr>
      </w:pPr>
      <w:bookmarkStart w:id="7" w:name="_Toc988895"/>
      <w:r w:rsidRPr="00084374">
        <w:rPr>
          <w:rFonts w:ascii="Times New Roman" w:eastAsia="仿宋" w:hAnsi="Times New Roman" w:cs="Times New Roman"/>
          <w:b/>
          <w:sz w:val="28"/>
          <w:szCs w:val="28"/>
        </w:rPr>
        <w:t>（</w:t>
      </w:r>
      <w:r w:rsidRPr="00084374">
        <w:rPr>
          <w:rFonts w:ascii="Times New Roman" w:eastAsia="仿宋" w:hAnsi="Times New Roman" w:cs="Times New Roman"/>
          <w:b/>
          <w:sz w:val="28"/>
          <w:szCs w:val="28"/>
        </w:rPr>
        <w:t>2</w:t>
      </w:r>
      <w:r w:rsidRPr="00084374">
        <w:rPr>
          <w:rFonts w:ascii="Times New Roman" w:eastAsia="仿宋" w:hAnsi="Times New Roman" w:cs="Times New Roman"/>
          <w:b/>
          <w:sz w:val="28"/>
          <w:szCs w:val="28"/>
        </w:rPr>
        <w:t>）</w:t>
      </w:r>
      <w:r w:rsidRPr="00084374">
        <w:rPr>
          <w:rFonts w:ascii="Times New Roman" w:eastAsia="仿宋" w:hAnsi="Times New Roman" w:cs="Times New Roman"/>
          <w:b/>
          <w:sz w:val="28"/>
          <w:szCs w:val="28"/>
        </w:rPr>
        <w:t xml:space="preserve"> </w:t>
      </w:r>
      <w:r w:rsidRPr="00084374">
        <w:rPr>
          <w:rFonts w:ascii="Times New Roman" w:eastAsia="仿宋" w:hAnsi="Times New Roman" w:cs="Times New Roman"/>
          <w:b/>
          <w:sz w:val="28"/>
          <w:szCs w:val="28"/>
        </w:rPr>
        <w:t>分季度主要会计数据</w:t>
      </w:r>
      <w:bookmarkEnd w:id="7"/>
    </w:p>
    <w:p w:rsidR="00084DAB" w:rsidRDefault="00084DAB" w:rsidP="00084DAB">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084DAB" w:rsidTr="005D0ADF">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jc w:val="center"/>
              <w:rPr>
                <w:rFonts w:ascii="宋体" w:eastAsia="宋体" w:hAnsi="宋体" w:cs="宋体"/>
                <w:sz w:val="18"/>
                <w:szCs w:val="18"/>
              </w:rPr>
            </w:pPr>
            <w:r>
              <w:rPr>
                <w:rFonts w:ascii="宋体" w:eastAsia="宋体" w:hAnsi="宋体" w:cs="宋体"/>
                <w:sz w:val="18"/>
                <w:szCs w:val="18"/>
              </w:rPr>
              <w:t>第一季度</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jc w:val="center"/>
              <w:rPr>
                <w:rFonts w:ascii="宋体" w:eastAsia="宋体" w:hAnsi="宋体" w:cs="宋体"/>
                <w:sz w:val="18"/>
                <w:szCs w:val="18"/>
              </w:rPr>
            </w:pPr>
            <w:r>
              <w:rPr>
                <w:rFonts w:ascii="宋体" w:eastAsia="宋体" w:hAnsi="宋体" w:cs="宋体"/>
                <w:sz w:val="18"/>
                <w:szCs w:val="18"/>
              </w:rPr>
              <w:t>第二季度</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jc w:val="center"/>
              <w:rPr>
                <w:rFonts w:ascii="宋体" w:eastAsia="宋体" w:hAnsi="宋体" w:cs="宋体"/>
                <w:sz w:val="18"/>
                <w:szCs w:val="18"/>
              </w:rPr>
            </w:pPr>
            <w:r>
              <w:rPr>
                <w:rFonts w:ascii="宋体" w:eastAsia="宋体" w:hAnsi="宋体" w:cs="宋体"/>
                <w:sz w:val="18"/>
                <w:szCs w:val="18"/>
              </w:rPr>
              <w:t>第三季度</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jc w:val="center"/>
              <w:rPr>
                <w:rFonts w:ascii="宋体" w:eastAsia="宋体" w:hAnsi="宋体" w:cs="宋体"/>
                <w:sz w:val="18"/>
                <w:szCs w:val="18"/>
              </w:rPr>
            </w:pPr>
            <w:r>
              <w:rPr>
                <w:rFonts w:ascii="宋体" w:eastAsia="宋体" w:hAnsi="宋体" w:cs="宋体"/>
                <w:sz w:val="18"/>
                <w:szCs w:val="18"/>
              </w:rPr>
              <w:t>第四季度</w:t>
            </w:r>
          </w:p>
        </w:tc>
      </w:tr>
      <w:tr w:rsidR="00084DAB" w:rsidTr="005D0ADF">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rPr>
                <w:rFonts w:ascii="宋体" w:eastAsia="宋体" w:hAnsi="宋体" w:cs="宋体"/>
                <w:sz w:val="18"/>
                <w:szCs w:val="18"/>
              </w:rPr>
            </w:pPr>
            <w:r>
              <w:rPr>
                <w:rFonts w:ascii="宋体" w:eastAsia="宋体" w:hAnsi="宋体" w:cs="宋体"/>
                <w:sz w:val="18"/>
                <w:szCs w:val="18"/>
              </w:rPr>
              <w:t>营业收入</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48,422,939.96</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97,206,586.61</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82,040,451.96</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249,323,058.47</w:t>
            </w:r>
          </w:p>
        </w:tc>
      </w:tr>
      <w:tr w:rsidR="00084DAB" w:rsidTr="005D0ADF">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rPr>
                <w:rFonts w:ascii="宋体" w:eastAsia="宋体" w:hAnsi="宋体" w:cs="宋体"/>
                <w:sz w:val="18"/>
                <w:szCs w:val="18"/>
              </w:rPr>
            </w:pPr>
            <w:r>
              <w:rPr>
                <w:rFonts w:ascii="宋体" w:eastAsia="宋体" w:hAnsi="宋体" w:cs="宋体"/>
                <w:sz w:val="18"/>
                <w:szCs w:val="18"/>
              </w:rPr>
              <w:t>归属于上市公司股东的净利润</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567,488.39</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5,491,579.91</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-1,869,066.45</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3,299,611.69</w:t>
            </w:r>
          </w:p>
        </w:tc>
      </w:tr>
      <w:tr w:rsidR="00084DAB" w:rsidTr="005D0ADF">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rPr>
                <w:rFonts w:ascii="宋体" w:eastAsia="宋体" w:hAnsi="宋体" w:cs="宋体"/>
                <w:sz w:val="18"/>
                <w:szCs w:val="18"/>
              </w:rPr>
            </w:pPr>
            <w:r>
              <w:rPr>
                <w:rFonts w:ascii="宋体" w:eastAsia="宋体" w:hAnsi="宋体" w:cs="宋体"/>
                <w:sz w:val="18"/>
                <w:szCs w:val="18"/>
              </w:rPr>
              <w:t>归属于上市公司股东的扣除非经常性损益</w:t>
            </w:r>
            <w:r>
              <w:rPr>
                <w:rFonts w:ascii="宋体" w:eastAsia="宋体" w:hAnsi="宋体" w:cs="宋体"/>
                <w:sz w:val="18"/>
                <w:szCs w:val="18"/>
              </w:rPr>
              <w:lastRenderedPageBreak/>
              <w:t>的净利润</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lastRenderedPageBreak/>
              <w:t>1,414,010.09</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5,765,698.23</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-2,531,844.41</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-1,014,487.08</w:t>
            </w:r>
          </w:p>
        </w:tc>
      </w:tr>
      <w:tr w:rsidR="00084DAB" w:rsidTr="005D0ADF">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rPr>
                <w:rFonts w:ascii="宋体" w:eastAsia="宋体" w:hAnsi="宋体" w:cs="宋体"/>
                <w:sz w:val="18"/>
                <w:szCs w:val="18"/>
              </w:rPr>
            </w:pPr>
            <w:r>
              <w:rPr>
                <w:rFonts w:ascii="宋体" w:eastAsia="宋体" w:hAnsi="宋体" w:cs="宋体"/>
                <w:sz w:val="18"/>
                <w:szCs w:val="18"/>
              </w:rPr>
              <w:lastRenderedPageBreak/>
              <w:t>经营活动产生的现金流量净额</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-13,560,186.45</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-2,822,735.16</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13,784,186.07</w:t>
            </w:r>
          </w:p>
        </w:tc>
        <w:tc>
          <w:tcPr>
            <w:tcW w:w="1928"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34,774,482.46</w:t>
            </w:r>
          </w:p>
        </w:tc>
      </w:tr>
    </w:tbl>
    <w:p w:rsidR="00084DAB" w:rsidRDefault="00084DAB" w:rsidP="00084DAB">
      <w:pPr>
        <w:spacing w:before="100" w:after="100" w:line="240" w:lineRule="exact"/>
        <w:rPr>
          <w:rFonts w:ascii="宋体" w:eastAsia="宋体" w:hAnsi="宋体" w:cs="宋体"/>
          <w:sz w:val="18"/>
          <w:szCs w:val="18"/>
        </w:rPr>
      </w:pPr>
      <w:r>
        <w:rPr>
          <w:rFonts w:ascii="宋体" w:eastAsia="宋体" w:hAnsi="宋体" w:cs="宋体"/>
          <w:sz w:val="18"/>
          <w:szCs w:val="18"/>
        </w:rPr>
        <w:t>上述财务指标或其加总数是否与公司已披露季度报告、半年度报告相关财务指标存在重大差异</w:t>
      </w:r>
    </w:p>
    <w:p w:rsidR="00084DAB" w:rsidRDefault="00084DAB" w:rsidP="00084DAB">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rsidR="00084DAB" w:rsidRPr="00864FE9" w:rsidRDefault="00084DAB" w:rsidP="00864FE9">
      <w:pPr>
        <w:pStyle w:val="2"/>
        <w:spacing w:before="0" w:after="0" w:line="288" w:lineRule="auto"/>
        <w:jc w:val="both"/>
        <w:rPr>
          <w:rFonts w:ascii="Times New Roman" w:eastAsia="仿宋" w:hAnsi="Times New Roman" w:cs="Times New Roman"/>
          <w:b/>
          <w:bCs/>
          <w:kern w:val="0"/>
          <w:sz w:val="28"/>
          <w:szCs w:val="24"/>
        </w:rPr>
      </w:pPr>
      <w:bookmarkStart w:id="8" w:name="_Toc988896"/>
      <w:r w:rsidRPr="00864FE9">
        <w:rPr>
          <w:rFonts w:ascii="Times New Roman" w:eastAsia="仿宋" w:hAnsi="Times New Roman" w:cs="Times New Roman"/>
          <w:b/>
          <w:bCs/>
          <w:kern w:val="0"/>
          <w:sz w:val="28"/>
          <w:szCs w:val="24"/>
        </w:rPr>
        <w:t>4</w:t>
      </w:r>
      <w:r w:rsidRPr="00864FE9">
        <w:rPr>
          <w:rFonts w:ascii="Times New Roman" w:eastAsia="仿宋" w:hAnsi="Times New Roman" w:cs="Times New Roman"/>
          <w:b/>
          <w:bCs/>
          <w:kern w:val="0"/>
          <w:sz w:val="28"/>
          <w:szCs w:val="24"/>
        </w:rPr>
        <w:t>、股本及股东情况</w:t>
      </w:r>
      <w:bookmarkEnd w:id="8"/>
    </w:p>
    <w:p w:rsidR="00084DAB" w:rsidRPr="00084374" w:rsidRDefault="00084DAB" w:rsidP="00084374">
      <w:pPr>
        <w:rPr>
          <w:rFonts w:ascii="Times New Roman" w:eastAsia="仿宋" w:hAnsi="Times New Roman" w:cs="Times New Roman"/>
          <w:b/>
          <w:sz w:val="28"/>
          <w:szCs w:val="28"/>
        </w:rPr>
      </w:pPr>
      <w:bookmarkStart w:id="9" w:name="_Toc988897"/>
      <w:r w:rsidRPr="00084374">
        <w:rPr>
          <w:rFonts w:ascii="Times New Roman" w:eastAsia="仿宋" w:hAnsi="Times New Roman" w:cs="Times New Roman"/>
          <w:b/>
          <w:sz w:val="28"/>
          <w:szCs w:val="28"/>
        </w:rPr>
        <w:t>（</w:t>
      </w:r>
      <w:r w:rsidRPr="00084374">
        <w:rPr>
          <w:rFonts w:ascii="Times New Roman" w:eastAsia="仿宋" w:hAnsi="Times New Roman" w:cs="Times New Roman"/>
          <w:b/>
          <w:sz w:val="28"/>
          <w:szCs w:val="28"/>
        </w:rPr>
        <w:t>1</w:t>
      </w:r>
      <w:r w:rsidRPr="00084374">
        <w:rPr>
          <w:rFonts w:ascii="Times New Roman" w:eastAsia="仿宋" w:hAnsi="Times New Roman" w:cs="Times New Roman"/>
          <w:b/>
          <w:sz w:val="28"/>
          <w:szCs w:val="28"/>
        </w:rPr>
        <w:t>）</w:t>
      </w:r>
      <w:r w:rsidRPr="00084374">
        <w:rPr>
          <w:rFonts w:ascii="Times New Roman" w:eastAsia="仿宋" w:hAnsi="Times New Roman" w:cs="Times New Roman"/>
          <w:b/>
          <w:sz w:val="28"/>
          <w:szCs w:val="28"/>
        </w:rPr>
        <w:t xml:space="preserve"> </w:t>
      </w:r>
      <w:r w:rsidRPr="00084374">
        <w:rPr>
          <w:rFonts w:ascii="Times New Roman" w:eastAsia="仿宋" w:hAnsi="Times New Roman" w:cs="Times New Roman"/>
          <w:b/>
          <w:sz w:val="28"/>
          <w:szCs w:val="28"/>
        </w:rPr>
        <w:t>普通股股东和表决权恢复的优先股股东数量及前</w:t>
      </w:r>
      <w:r w:rsidRPr="00084374">
        <w:rPr>
          <w:rFonts w:ascii="Times New Roman" w:eastAsia="仿宋" w:hAnsi="Times New Roman" w:cs="Times New Roman"/>
          <w:b/>
          <w:sz w:val="28"/>
          <w:szCs w:val="28"/>
        </w:rPr>
        <w:t>10</w:t>
      </w:r>
      <w:r w:rsidRPr="00084374">
        <w:rPr>
          <w:rFonts w:ascii="Times New Roman" w:eastAsia="仿宋" w:hAnsi="Times New Roman" w:cs="Times New Roman"/>
          <w:b/>
          <w:sz w:val="28"/>
          <w:szCs w:val="28"/>
        </w:rPr>
        <w:t>名股东持股情况表</w:t>
      </w:r>
      <w:bookmarkEnd w:id="9"/>
    </w:p>
    <w:p w:rsidR="00084DAB" w:rsidRDefault="00084DAB" w:rsidP="00084DAB">
      <w:pPr>
        <w:spacing w:before="40" w:after="40" w:line="240" w:lineRule="exact"/>
        <w:jc w:val="right"/>
        <w:rPr>
          <w:rFonts w:ascii="宋体" w:eastAsia="宋体" w:hAnsi="宋体" w:cs="宋体"/>
          <w:sz w:val="18"/>
          <w:szCs w:val="18"/>
        </w:rPr>
      </w:pPr>
      <w:r>
        <w:rPr>
          <w:rFonts w:ascii="宋体" w:eastAsia="宋体" w:hAnsi="宋体" w:cs="宋体"/>
          <w:sz w:val="18"/>
          <w:szCs w:val="18"/>
        </w:rPr>
        <w:t>单位：股</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6"/>
        <w:gridCol w:w="876"/>
        <w:gridCol w:w="877"/>
        <w:gridCol w:w="876"/>
        <w:gridCol w:w="877"/>
        <w:gridCol w:w="876"/>
        <w:gridCol w:w="877"/>
        <w:gridCol w:w="876"/>
        <w:gridCol w:w="877"/>
      </w:tblGrid>
      <w:tr w:rsidR="00084DAB" w:rsidTr="005D0ADF">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rPr>
                <w:rFonts w:ascii="宋体" w:eastAsia="宋体" w:hAnsi="宋体" w:cs="宋体"/>
                <w:sz w:val="18"/>
                <w:szCs w:val="18"/>
              </w:rPr>
            </w:pPr>
            <w:r>
              <w:rPr>
                <w:rFonts w:ascii="宋体" w:eastAsia="宋体" w:hAnsi="宋体" w:cs="宋体"/>
                <w:sz w:val="18"/>
                <w:szCs w:val="18"/>
              </w:rPr>
              <w:t>报告期末普通股股东总数</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9,412</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rPr>
                <w:rFonts w:ascii="宋体" w:eastAsia="宋体" w:hAnsi="宋体" w:cs="宋体"/>
                <w:sz w:val="18"/>
                <w:szCs w:val="18"/>
              </w:rPr>
            </w:pPr>
            <w:r>
              <w:rPr>
                <w:rFonts w:ascii="宋体" w:eastAsia="宋体" w:hAnsi="宋体" w:cs="宋体"/>
                <w:sz w:val="18"/>
                <w:szCs w:val="18"/>
              </w:rPr>
              <w:t>年度报告披露日前一个月末普通股股东总数</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9,024</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rPr>
                <w:rFonts w:ascii="宋体" w:eastAsia="宋体" w:hAnsi="宋体" w:cs="宋体"/>
                <w:sz w:val="18"/>
                <w:szCs w:val="18"/>
              </w:rPr>
            </w:pPr>
            <w:r>
              <w:rPr>
                <w:rFonts w:ascii="宋体" w:eastAsia="宋体" w:hAnsi="宋体" w:cs="宋体"/>
                <w:sz w:val="18"/>
                <w:szCs w:val="18"/>
              </w:rPr>
              <w:t>报告期末表决权恢复的优先股股东总数</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rPr>
                <w:rFonts w:ascii="宋体" w:eastAsia="宋体" w:hAnsi="宋体" w:cs="宋体"/>
                <w:sz w:val="18"/>
                <w:szCs w:val="18"/>
              </w:rPr>
            </w:pPr>
            <w:r>
              <w:rPr>
                <w:rFonts w:ascii="宋体" w:eastAsia="宋体" w:hAnsi="宋体" w:cs="宋体"/>
                <w:sz w:val="18"/>
                <w:szCs w:val="18"/>
              </w:rPr>
              <w:t>年度报告披露日前一个月末表决权恢复的优先股股东总数</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rPr>
                <w:rFonts w:ascii="宋体" w:eastAsia="宋体" w:hAnsi="宋体" w:cs="宋体"/>
                <w:sz w:val="18"/>
                <w:szCs w:val="18"/>
              </w:rPr>
            </w:pPr>
            <w:r>
              <w:rPr>
                <w:rFonts w:ascii="宋体" w:eastAsia="宋体" w:hAnsi="宋体" w:cs="宋体"/>
                <w:sz w:val="18"/>
                <w:szCs w:val="18"/>
              </w:rPr>
              <w:t>持有特别表决权股份的股东总数（如有）</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084DAB" w:rsidTr="005D0ADF">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jc w:val="center"/>
              <w:rPr>
                <w:rFonts w:ascii="宋体" w:eastAsia="宋体" w:hAnsi="宋体" w:cs="宋体"/>
                <w:sz w:val="18"/>
                <w:szCs w:val="18"/>
              </w:rPr>
            </w:pPr>
            <w:r>
              <w:rPr>
                <w:rFonts w:ascii="宋体" w:eastAsia="宋体" w:hAnsi="宋体" w:cs="宋体"/>
                <w:sz w:val="18"/>
                <w:szCs w:val="18"/>
              </w:rPr>
              <w:t>前10名股东持股情况（不含通过转融通出借股份）</w:t>
            </w:r>
          </w:p>
        </w:tc>
      </w:tr>
      <w:tr w:rsidR="00084DAB" w:rsidTr="005D0ADF">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jc w:val="center"/>
              <w:rPr>
                <w:rFonts w:ascii="宋体" w:eastAsia="宋体" w:hAnsi="宋体" w:cs="宋体"/>
                <w:sz w:val="18"/>
                <w:szCs w:val="18"/>
              </w:rPr>
            </w:pPr>
            <w:r>
              <w:rPr>
                <w:rFonts w:ascii="宋体" w:eastAsia="宋体" w:hAnsi="宋体" w:cs="宋体"/>
                <w:sz w:val="18"/>
                <w:szCs w:val="18"/>
              </w:rPr>
              <w:t>股东性质</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jc w:val="center"/>
              <w:rPr>
                <w:rFonts w:ascii="宋体" w:eastAsia="宋体" w:hAnsi="宋体" w:cs="宋体"/>
                <w:sz w:val="18"/>
                <w:szCs w:val="18"/>
              </w:rPr>
            </w:pPr>
            <w:r>
              <w:rPr>
                <w:rFonts w:ascii="宋体" w:eastAsia="宋体" w:hAnsi="宋体" w:cs="宋体"/>
                <w:sz w:val="18"/>
                <w:szCs w:val="18"/>
              </w:rPr>
              <w:t>持股比例</w:t>
            </w:r>
          </w:p>
        </w:tc>
        <w:tc>
          <w:tcPr>
            <w:tcW w:w="1753"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jc w:val="center"/>
              <w:rPr>
                <w:rFonts w:ascii="宋体" w:eastAsia="宋体" w:hAnsi="宋体" w:cs="宋体"/>
                <w:sz w:val="18"/>
                <w:szCs w:val="18"/>
              </w:rPr>
            </w:pPr>
            <w:r>
              <w:rPr>
                <w:rFonts w:ascii="宋体" w:eastAsia="宋体" w:hAnsi="宋体" w:cs="宋体"/>
                <w:sz w:val="18"/>
                <w:szCs w:val="18"/>
              </w:rPr>
              <w:t>持股数量</w:t>
            </w:r>
          </w:p>
        </w:tc>
        <w:tc>
          <w:tcPr>
            <w:tcW w:w="1753"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jc w:val="center"/>
              <w:rPr>
                <w:rFonts w:ascii="宋体" w:eastAsia="宋体" w:hAnsi="宋体" w:cs="宋体"/>
                <w:sz w:val="18"/>
                <w:szCs w:val="18"/>
              </w:rPr>
            </w:pPr>
            <w:r>
              <w:rPr>
                <w:rFonts w:ascii="宋体" w:eastAsia="宋体" w:hAnsi="宋体" w:cs="宋体"/>
                <w:sz w:val="18"/>
                <w:szCs w:val="18"/>
              </w:rPr>
              <w:t>持有有限售条件的股份数量</w:t>
            </w:r>
          </w:p>
        </w:tc>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jc w:val="center"/>
              <w:rPr>
                <w:rFonts w:ascii="宋体" w:eastAsia="宋体" w:hAnsi="宋体" w:cs="宋体"/>
                <w:sz w:val="18"/>
                <w:szCs w:val="18"/>
              </w:rPr>
            </w:pPr>
            <w:r>
              <w:rPr>
                <w:rFonts w:ascii="宋体" w:eastAsia="宋体" w:hAnsi="宋体" w:cs="宋体"/>
                <w:sz w:val="18"/>
                <w:szCs w:val="18"/>
              </w:rPr>
              <w:t>质押、标记或冻结情况</w:t>
            </w:r>
          </w:p>
        </w:tc>
      </w:tr>
      <w:tr w:rsidR="00084DAB" w:rsidTr="005D0ADF">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tc>
        <w:tc>
          <w:tcPr>
            <w:tcW w:w="1753"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tc>
        <w:tc>
          <w:tcPr>
            <w:tcW w:w="1753"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jc w:val="center"/>
              <w:rPr>
                <w:rFonts w:ascii="宋体" w:eastAsia="宋体" w:hAnsi="宋体" w:cs="宋体"/>
                <w:sz w:val="18"/>
                <w:szCs w:val="18"/>
              </w:rPr>
            </w:pPr>
            <w:r>
              <w:rPr>
                <w:rFonts w:ascii="宋体" w:eastAsia="宋体" w:hAnsi="宋体" w:cs="宋体"/>
                <w:sz w:val="18"/>
                <w:szCs w:val="18"/>
              </w:rPr>
              <w:t>股份状态</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r>
      <w:tr w:rsidR="00084DAB" w:rsidTr="005D0ADF">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林明玲</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28.72%</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19,199,824.00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14,367,868.00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质押</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5,535,000.00</w:t>
            </w:r>
          </w:p>
        </w:tc>
      </w:tr>
      <w:tr w:rsidR="00084DAB" w:rsidTr="005D0ADF">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马学沛</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6.06%</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4,054,120.00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3,008,590.00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质押</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1,850,000.00</w:t>
            </w:r>
          </w:p>
        </w:tc>
      </w:tr>
      <w:tr w:rsidR="00084DAB" w:rsidTr="005D0ADF">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南京优志投资管理合伙企业（有限合伙）</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境内非国有法人</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3.02%</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2,017,000.00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质押</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1,500,000.00</w:t>
            </w:r>
          </w:p>
        </w:tc>
      </w:tr>
      <w:tr w:rsidR="00084DAB" w:rsidTr="005D0ADF">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陈前平</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1.20%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800,000.00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不适用</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084DAB" w:rsidTr="005D0ADF">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王松</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0.94%</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627,621.00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不适用</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084DAB" w:rsidTr="005D0ADF">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广东天亿马信息产业股份有限公司－2023年员工持股计划</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其他</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0.71%</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472,400.00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不适用</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084DAB" w:rsidTr="005D0ADF">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徐静娴</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0.68%</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457,500.00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不适用</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084DAB" w:rsidTr="005D0ADF">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谢亮</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0.57%</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383,000.00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不适用</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084DAB" w:rsidTr="005D0ADF">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戈长弓</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0.56%</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373,000.00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不适用</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084DAB" w:rsidTr="005D0ADF">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薛皓月</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876" w:type="dxa"/>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0.50%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334,400.00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t>不适用</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084DAB" w:rsidTr="005D0ADF">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084DAB" w:rsidRDefault="00084DAB" w:rsidP="005D0ADF">
            <w:pPr>
              <w:spacing w:before="40" w:after="40" w:line="240" w:lineRule="exact"/>
              <w:rPr>
                <w:rFonts w:ascii="宋体" w:eastAsia="宋体" w:hAnsi="宋体" w:cs="宋体"/>
                <w:sz w:val="18"/>
                <w:szCs w:val="18"/>
              </w:rPr>
            </w:pPr>
            <w:r>
              <w:rPr>
                <w:rFonts w:ascii="宋体" w:eastAsia="宋体" w:hAnsi="宋体" w:cs="宋体"/>
                <w:sz w:val="18"/>
                <w:szCs w:val="18"/>
              </w:rPr>
              <w:t>上述股东关联关系</w:t>
            </w:r>
            <w:r>
              <w:rPr>
                <w:rFonts w:ascii="宋体" w:eastAsia="宋体" w:hAnsi="宋体" w:cs="宋体"/>
                <w:sz w:val="18"/>
                <w:szCs w:val="18"/>
              </w:rPr>
              <w:lastRenderedPageBreak/>
              <w:t>或一致行动的说明</w:t>
            </w:r>
          </w:p>
        </w:tc>
        <w:tc>
          <w:tcPr>
            <w:tcW w:w="7886" w:type="dxa"/>
            <w:gridSpan w:val="9"/>
            <w:tcBorders>
              <w:top w:val="single" w:sz="2" w:space="0" w:color="auto"/>
              <w:left w:val="single" w:sz="2" w:space="0" w:color="auto"/>
              <w:bottom w:val="single" w:sz="2" w:space="0" w:color="auto"/>
              <w:right w:val="single" w:sz="2" w:space="0" w:color="auto"/>
            </w:tcBorders>
            <w:vAlign w:val="center"/>
          </w:tcPr>
          <w:p w:rsidR="00084DAB" w:rsidRDefault="00084DAB" w:rsidP="005D0ADF">
            <w:pPr>
              <w:spacing w:line="240" w:lineRule="exact"/>
              <w:rPr>
                <w:rFonts w:ascii="宋体" w:eastAsia="宋体" w:hAnsi="宋体" w:cs="宋体"/>
                <w:sz w:val="18"/>
                <w:szCs w:val="18"/>
              </w:rPr>
            </w:pPr>
            <w:r>
              <w:rPr>
                <w:rFonts w:ascii="宋体" w:eastAsia="宋体" w:hAnsi="宋体" w:cs="宋体"/>
                <w:sz w:val="18"/>
                <w:szCs w:val="18"/>
              </w:rPr>
              <w:lastRenderedPageBreak/>
              <w:t>上述股东之间，马学沛与林明玲系夫妻关系，马学沛为南京优志投资管理合伙企业（有限合伙）有限合伙人。此外，公司未知上述其他股东之间是否存在关联关系或属于一致行动人。</w:t>
            </w:r>
          </w:p>
        </w:tc>
      </w:tr>
    </w:tbl>
    <w:p w:rsidR="00084DAB" w:rsidRDefault="00084DAB" w:rsidP="00084DAB">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持股5%以上股东、前10名股东及前10名无限售流通股股东参与转融通业务出借股份情况</w:t>
      </w:r>
    </w:p>
    <w:p w:rsidR="00084DAB" w:rsidRDefault="00084DAB" w:rsidP="00084DAB">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084DAB" w:rsidRDefault="00084DAB" w:rsidP="00084DAB">
      <w:pPr>
        <w:spacing w:before="100" w:after="100" w:line="240" w:lineRule="exact"/>
        <w:rPr>
          <w:rFonts w:ascii="宋体" w:eastAsia="宋体" w:hAnsi="宋体" w:cs="宋体"/>
          <w:sz w:val="18"/>
          <w:szCs w:val="18"/>
        </w:rPr>
      </w:pPr>
      <w:r>
        <w:rPr>
          <w:rFonts w:ascii="宋体" w:eastAsia="宋体" w:hAnsi="宋体" w:cs="宋体"/>
          <w:sz w:val="18"/>
          <w:szCs w:val="18"/>
        </w:rPr>
        <w:t>前10名股东及前10名无限售流通股股东因转融通出借/归还原因导致较上期发生变化</w:t>
      </w:r>
    </w:p>
    <w:p w:rsidR="00084DAB" w:rsidRDefault="00084DAB" w:rsidP="00084DAB">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084DAB" w:rsidRDefault="00084DAB" w:rsidP="00084DAB">
      <w:pPr>
        <w:spacing w:before="100" w:after="100" w:line="240" w:lineRule="exact"/>
        <w:rPr>
          <w:rFonts w:ascii="宋体" w:eastAsia="宋体" w:hAnsi="宋体" w:cs="宋体"/>
          <w:sz w:val="18"/>
          <w:szCs w:val="18"/>
        </w:rPr>
      </w:pPr>
      <w:r>
        <w:rPr>
          <w:rFonts w:ascii="宋体" w:eastAsia="宋体" w:hAnsi="宋体" w:cs="宋体"/>
          <w:sz w:val="18"/>
          <w:szCs w:val="18"/>
        </w:rPr>
        <w:t>公司是否具有表决权差异安排</w:t>
      </w:r>
    </w:p>
    <w:p w:rsidR="00084DAB" w:rsidRDefault="00084DAB" w:rsidP="00084DAB">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084DAB" w:rsidRPr="00084374" w:rsidRDefault="00084DAB" w:rsidP="00084374">
      <w:pPr>
        <w:rPr>
          <w:rFonts w:ascii="Times New Roman" w:eastAsia="仿宋" w:hAnsi="Times New Roman" w:cs="Times New Roman"/>
          <w:b/>
          <w:sz w:val="28"/>
          <w:szCs w:val="28"/>
        </w:rPr>
      </w:pPr>
      <w:bookmarkStart w:id="10" w:name="_Toc988898"/>
      <w:r w:rsidRPr="00084374">
        <w:rPr>
          <w:rFonts w:ascii="Times New Roman" w:eastAsia="仿宋" w:hAnsi="Times New Roman" w:cs="Times New Roman"/>
          <w:b/>
          <w:sz w:val="28"/>
          <w:szCs w:val="28"/>
        </w:rPr>
        <w:t>（</w:t>
      </w:r>
      <w:r w:rsidRPr="00084374">
        <w:rPr>
          <w:rFonts w:ascii="Times New Roman" w:eastAsia="仿宋" w:hAnsi="Times New Roman" w:cs="Times New Roman"/>
          <w:b/>
          <w:sz w:val="28"/>
          <w:szCs w:val="28"/>
        </w:rPr>
        <w:t>2</w:t>
      </w:r>
      <w:r w:rsidRPr="00084374">
        <w:rPr>
          <w:rFonts w:ascii="Times New Roman" w:eastAsia="仿宋" w:hAnsi="Times New Roman" w:cs="Times New Roman"/>
          <w:b/>
          <w:sz w:val="28"/>
          <w:szCs w:val="28"/>
        </w:rPr>
        <w:t>）</w:t>
      </w:r>
      <w:r w:rsidRPr="00084374">
        <w:rPr>
          <w:rFonts w:ascii="Times New Roman" w:eastAsia="仿宋" w:hAnsi="Times New Roman" w:cs="Times New Roman"/>
          <w:b/>
          <w:sz w:val="28"/>
          <w:szCs w:val="28"/>
        </w:rPr>
        <w:t xml:space="preserve"> </w:t>
      </w:r>
      <w:r w:rsidRPr="00084374">
        <w:rPr>
          <w:rFonts w:ascii="Times New Roman" w:eastAsia="仿宋" w:hAnsi="Times New Roman" w:cs="Times New Roman"/>
          <w:b/>
          <w:sz w:val="28"/>
          <w:szCs w:val="28"/>
        </w:rPr>
        <w:t>公司优先股股东总数及前</w:t>
      </w:r>
      <w:r w:rsidRPr="00084374">
        <w:rPr>
          <w:rFonts w:ascii="Times New Roman" w:eastAsia="仿宋" w:hAnsi="Times New Roman" w:cs="Times New Roman"/>
          <w:b/>
          <w:sz w:val="28"/>
          <w:szCs w:val="28"/>
        </w:rPr>
        <w:t>10</w:t>
      </w:r>
      <w:r w:rsidRPr="00084374">
        <w:rPr>
          <w:rFonts w:ascii="Times New Roman" w:eastAsia="仿宋" w:hAnsi="Times New Roman" w:cs="Times New Roman"/>
          <w:b/>
          <w:sz w:val="28"/>
          <w:szCs w:val="28"/>
        </w:rPr>
        <w:t>名优先股股东持股情况表</w:t>
      </w:r>
      <w:bookmarkEnd w:id="10"/>
    </w:p>
    <w:p w:rsidR="00084DAB" w:rsidRDefault="00084DAB" w:rsidP="00084DAB">
      <w:pPr>
        <w:spacing w:before="40" w:after="40" w:line="0" w:lineRule="atLeast"/>
      </w:pPr>
    </w:p>
    <w:p w:rsidR="00084DAB" w:rsidRDefault="00084DAB" w:rsidP="00084DAB">
      <w:pPr>
        <w:spacing w:line="240" w:lineRule="exact"/>
        <w:rPr>
          <w:rFonts w:ascii="宋体" w:eastAsia="宋体" w:hAnsi="宋体" w:cs="宋体"/>
          <w:sz w:val="18"/>
          <w:szCs w:val="18"/>
        </w:rPr>
      </w:pPr>
      <w:r>
        <w:rPr>
          <w:rFonts w:ascii="宋体" w:eastAsia="宋体" w:hAnsi="宋体" w:cs="宋体"/>
          <w:sz w:val="18"/>
          <w:szCs w:val="18"/>
        </w:rPr>
        <w:t>公司报告期无优先股股东持股情况。</w:t>
      </w:r>
    </w:p>
    <w:p w:rsidR="00084DAB" w:rsidRPr="00084374" w:rsidRDefault="00084DAB" w:rsidP="00084374">
      <w:pPr>
        <w:rPr>
          <w:rFonts w:ascii="Times New Roman" w:eastAsia="仿宋" w:hAnsi="Times New Roman" w:cs="Times New Roman"/>
          <w:b/>
          <w:sz w:val="28"/>
          <w:szCs w:val="28"/>
        </w:rPr>
      </w:pPr>
      <w:bookmarkStart w:id="11" w:name="_Toc988899"/>
      <w:r w:rsidRPr="00084374">
        <w:rPr>
          <w:rFonts w:ascii="Times New Roman" w:eastAsia="仿宋" w:hAnsi="Times New Roman" w:cs="Times New Roman"/>
          <w:b/>
          <w:sz w:val="28"/>
          <w:szCs w:val="28"/>
        </w:rPr>
        <w:t>（</w:t>
      </w:r>
      <w:r w:rsidRPr="00084374">
        <w:rPr>
          <w:rFonts w:ascii="Times New Roman" w:eastAsia="仿宋" w:hAnsi="Times New Roman" w:cs="Times New Roman"/>
          <w:b/>
          <w:sz w:val="28"/>
          <w:szCs w:val="28"/>
        </w:rPr>
        <w:t>3</w:t>
      </w:r>
      <w:r w:rsidRPr="00084374">
        <w:rPr>
          <w:rFonts w:ascii="Times New Roman" w:eastAsia="仿宋" w:hAnsi="Times New Roman" w:cs="Times New Roman"/>
          <w:b/>
          <w:sz w:val="28"/>
          <w:szCs w:val="28"/>
        </w:rPr>
        <w:t>）</w:t>
      </w:r>
      <w:r w:rsidRPr="00084374">
        <w:rPr>
          <w:rFonts w:ascii="Times New Roman" w:eastAsia="仿宋" w:hAnsi="Times New Roman" w:cs="Times New Roman"/>
          <w:b/>
          <w:sz w:val="28"/>
          <w:szCs w:val="28"/>
        </w:rPr>
        <w:t xml:space="preserve"> </w:t>
      </w:r>
      <w:r w:rsidRPr="00084374">
        <w:rPr>
          <w:rFonts w:ascii="Times New Roman" w:eastAsia="仿宋" w:hAnsi="Times New Roman" w:cs="Times New Roman"/>
          <w:b/>
          <w:sz w:val="28"/>
          <w:szCs w:val="28"/>
        </w:rPr>
        <w:t>以方框图形式披露公司与实际控制人之间的产权及控制关系</w:t>
      </w:r>
      <w:bookmarkEnd w:id="11"/>
    </w:p>
    <w:p w:rsidR="00084DAB" w:rsidRDefault="00084DAB" w:rsidP="00084DAB">
      <w:pPr>
        <w:spacing w:before="40" w:after="40" w:line="0" w:lineRule="atLeast"/>
        <w:rPr>
          <w:rFonts w:ascii="Times New Roman" w:eastAsia="宋体" w:hAnsi="Times New Roman" w:cs="Times New Roman"/>
        </w:rPr>
      </w:pPr>
      <w:r>
        <w:rPr>
          <w:rFonts w:ascii="Times New Roman" w:eastAsia="宋体" w:hAnsi="Times New Roman" w:cs="Times New Roman"/>
          <w:noProof/>
        </w:rPr>
        <w:drawing>
          <wp:inline distT="0" distB="0" distL="0" distR="0" wp14:anchorId="4750E9AD" wp14:editId="06216745">
            <wp:extent cx="4424362" cy="266223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Bitmap Image.jpg"/>
                    <pic:cNvPicPr/>
                  </pic:nvPicPr>
                  <pic:blipFill>
                    <a:blip r:embed="rId7" cstate="print">
                      <a:extLst/>
                    </a:blip>
                    <a:stretch>
                      <a:fillRect/>
                    </a:stretch>
                  </pic:blipFill>
                  <pic:spPr>
                    <a:xfrm>
                      <a:off x="0" y="0"/>
                      <a:ext cx="4424362" cy="2662237"/>
                    </a:xfrm>
                    <a:prstGeom prst="rect">
                      <a:avLst/>
                    </a:prstGeom>
                  </pic:spPr>
                </pic:pic>
              </a:graphicData>
            </a:graphic>
          </wp:inline>
        </w:drawing>
      </w:r>
    </w:p>
    <w:p w:rsidR="00084DAB" w:rsidRPr="00864FE9" w:rsidRDefault="00084DAB" w:rsidP="00864FE9">
      <w:pPr>
        <w:pStyle w:val="2"/>
        <w:spacing w:before="0" w:after="0" w:line="288" w:lineRule="auto"/>
        <w:jc w:val="both"/>
        <w:rPr>
          <w:rFonts w:ascii="Times New Roman" w:eastAsia="仿宋" w:hAnsi="Times New Roman" w:cs="Times New Roman"/>
          <w:b/>
          <w:bCs/>
          <w:kern w:val="0"/>
          <w:sz w:val="28"/>
          <w:szCs w:val="24"/>
        </w:rPr>
      </w:pPr>
      <w:bookmarkStart w:id="12" w:name="_Toc988900"/>
      <w:r w:rsidRPr="00864FE9">
        <w:rPr>
          <w:rFonts w:ascii="Times New Roman" w:eastAsia="仿宋" w:hAnsi="Times New Roman" w:cs="Times New Roman"/>
          <w:b/>
          <w:bCs/>
          <w:kern w:val="0"/>
          <w:sz w:val="28"/>
          <w:szCs w:val="24"/>
        </w:rPr>
        <w:t>5</w:t>
      </w:r>
      <w:r w:rsidRPr="00864FE9">
        <w:rPr>
          <w:rFonts w:ascii="Times New Roman" w:eastAsia="仿宋" w:hAnsi="Times New Roman" w:cs="Times New Roman"/>
          <w:b/>
          <w:bCs/>
          <w:kern w:val="0"/>
          <w:sz w:val="28"/>
          <w:szCs w:val="24"/>
        </w:rPr>
        <w:t>、在年度报告批准报出日存续的债券情况</w:t>
      </w:r>
      <w:bookmarkEnd w:id="12"/>
    </w:p>
    <w:p w:rsidR="00084DAB" w:rsidRDefault="00084DAB" w:rsidP="00084DAB">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084DAB" w:rsidRPr="0047513A" w:rsidRDefault="00084DAB" w:rsidP="0047513A">
      <w:pPr>
        <w:pStyle w:val="2"/>
        <w:spacing w:before="0" w:after="0" w:line="288" w:lineRule="auto"/>
        <w:jc w:val="both"/>
        <w:rPr>
          <w:rFonts w:ascii="Times New Roman" w:eastAsia="仿宋" w:hAnsi="Times New Roman" w:cs="Times New Roman"/>
          <w:b/>
          <w:bCs/>
          <w:kern w:val="0"/>
          <w:sz w:val="28"/>
          <w:szCs w:val="24"/>
        </w:rPr>
      </w:pPr>
      <w:bookmarkStart w:id="13" w:name="_Toc988901"/>
      <w:r w:rsidRPr="0047513A">
        <w:rPr>
          <w:rFonts w:ascii="Times New Roman" w:eastAsia="仿宋" w:hAnsi="Times New Roman" w:cs="Times New Roman"/>
          <w:b/>
          <w:bCs/>
          <w:kern w:val="0"/>
          <w:sz w:val="28"/>
          <w:szCs w:val="24"/>
        </w:rPr>
        <w:t>三、重要事项</w:t>
      </w:r>
      <w:bookmarkEnd w:id="13"/>
    </w:p>
    <w:p w:rsidR="00084374" w:rsidRDefault="00084DAB" w:rsidP="00084374">
      <w:pPr>
        <w:pStyle w:val="a3"/>
        <w:ind w:firstLineChars="200" w:firstLine="562"/>
        <w:rPr>
          <w:rFonts w:ascii="Times New Roman" w:eastAsia="仿宋" w:hAnsi="Times New Roman" w:cs="Times New Roman"/>
          <w:b/>
          <w:kern w:val="2"/>
          <w:sz w:val="28"/>
          <w:szCs w:val="28"/>
        </w:rPr>
      </w:pPr>
      <w:r w:rsidRPr="00084374">
        <w:rPr>
          <w:rFonts w:ascii="Times New Roman" w:eastAsia="仿宋" w:hAnsi="Times New Roman" w:cs="Times New Roman" w:hint="eastAsia"/>
          <w:b/>
          <w:kern w:val="2"/>
          <w:sz w:val="28"/>
          <w:szCs w:val="28"/>
        </w:rPr>
        <w:t>（一）董事会及其专门委员会完成换届选举、聘任高级管理人员</w:t>
      </w:r>
    </w:p>
    <w:p w:rsidR="00084374" w:rsidRDefault="00084DAB" w:rsidP="00084374">
      <w:pPr>
        <w:pStyle w:val="a3"/>
        <w:ind w:firstLineChars="200" w:firstLine="560"/>
        <w:rPr>
          <w:rFonts w:ascii="仿宋" w:eastAsia="仿宋" w:hAnsi="仿宋"/>
          <w:sz w:val="28"/>
          <w:szCs w:val="28"/>
        </w:rPr>
      </w:pPr>
      <w:r w:rsidRPr="00084374">
        <w:rPr>
          <w:rFonts w:ascii="仿宋" w:eastAsia="仿宋" w:hAnsi="仿宋" w:hint="eastAsia"/>
          <w:sz w:val="28"/>
          <w:szCs w:val="28"/>
        </w:rPr>
        <w:t>根据《公司章程》规定，公司第三届董事会已届满。经第三届董事会第三十三次会议审议通过，并经2025年第二次临时股东会审议通过，公司选举林明玲女士、马学沛先生、马翊珽先生、刘楚境先生、郭树荣等五人为公司第四届董事会非独立董事，曹丽梅女士、石洁芝女士、滕丽秋等三人为公司第四届</w:t>
      </w:r>
      <w:r w:rsidRPr="00084374">
        <w:rPr>
          <w:rFonts w:ascii="仿宋" w:eastAsia="仿宋" w:hAnsi="仿宋" w:hint="eastAsia"/>
          <w:sz w:val="28"/>
          <w:szCs w:val="28"/>
        </w:rPr>
        <w:lastRenderedPageBreak/>
        <w:t>董事会独立董事。任期自公司 2025 年第二次临时股东会审议通过之日起三年止。</w:t>
      </w:r>
    </w:p>
    <w:p w:rsidR="00864F57" w:rsidRDefault="00084DAB" w:rsidP="00084374">
      <w:pPr>
        <w:pStyle w:val="a3"/>
        <w:ind w:firstLineChars="200" w:firstLine="560"/>
        <w:rPr>
          <w:rFonts w:ascii="Times New Roman" w:eastAsia="仿宋" w:hAnsi="Times New Roman" w:cs="Times New Roman"/>
          <w:b/>
          <w:kern w:val="2"/>
          <w:sz w:val="28"/>
          <w:szCs w:val="28"/>
        </w:rPr>
      </w:pPr>
      <w:r w:rsidRPr="00084374">
        <w:rPr>
          <w:rFonts w:ascii="仿宋" w:eastAsia="仿宋" w:hAnsi="仿宋" w:hint="eastAsia"/>
          <w:sz w:val="28"/>
          <w:szCs w:val="28"/>
        </w:rPr>
        <w:t>经第四届董事会第一次会议审议通过，公司选举林明玲女士为董事长、马学沛先生为副董事长，并聘任新一届董事会专门委员会委员。公司聘任马学沛先生为总经理，并经总经理提名聘任林树生先生为副总经理、曹维先生为副总经理兼董事会秘书、陈焕盛先生为财务负责人。上述人员聘任任期均为三年，自公司第四届董事会第一次会议审议通过之日起至第四届董事会届满之日止。</w:t>
      </w:r>
      <w:r w:rsidRPr="00084374">
        <w:rPr>
          <w:rFonts w:ascii="Times New Roman" w:eastAsia="仿宋" w:hAnsi="Times New Roman" w:cs="Times New Roman" w:hint="eastAsia"/>
          <w:b/>
          <w:kern w:val="2"/>
          <w:sz w:val="28"/>
          <w:szCs w:val="28"/>
        </w:rPr>
        <w:t>（二）关于发行股份及支付现金购买资产并募集配套资金暨关联交易事项</w:t>
      </w:r>
    </w:p>
    <w:p w:rsidR="00084374" w:rsidRPr="00864F57" w:rsidRDefault="00084DAB" w:rsidP="00864F57">
      <w:pPr>
        <w:pStyle w:val="a3"/>
        <w:ind w:firstLineChars="200" w:firstLine="560"/>
        <w:rPr>
          <w:rFonts w:ascii="仿宋" w:eastAsia="仿宋" w:hAnsi="仿宋"/>
          <w:sz w:val="28"/>
          <w:szCs w:val="28"/>
        </w:rPr>
      </w:pPr>
      <w:r w:rsidRPr="00864F57">
        <w:rPr>
          <w:rFonts w:ascii="仿宋" w:eastAsia="仿宋" w:hAnsi="仿宋" w:hint="eastAsia"/>
          <w:sz w:val="28"/>
          <w:szCs w:val="28"/>
        </w:rPr>
        <w:t>报告期内，公司筹划并实施通过发行股份及支付现金的方式购买广东星云开物科技股份有限公司98.5632%股权（以下简称“本次交易”），并向实际控制人之一马学沛先生发行股份募集配套资金不超过1.55亿元。根据《上市公司重大资产重组管理办法》相关规定，本次交易构成重大资产重组，不构成关联交易，不构成重组上市。</w:t>
      </w:r>
    </w:p>
    <w:p w:rsidR="00084374" w:rsidRPr="00864F57" w:rsidRDefault="00084DAB" w:rsidP="00864F57">
      <w:pPr>
        <w:pStyle w:val="a3"/>
        <w:ind w:firstLineChars="200" w:firstLine="560"/>
        <w:rPr>
          <w:rFonts w:ascii="仿宋" w:eastAsia="仿宋" w:hAnsi="仿宋"/>
          <w:sz w:val="28"/>
          <w:szCs w:val="28"/>
        </w:rPr>
      </w:pPr>
      <w:r w:rsidRPr="00864F57">
        <w:rPr>
          <w:rFonts w:ascii="仿宋" w:eastAsia="仿宋" w:hAnsi="仿宋" w:hint="eastAsia"/>
          <w:sz w:val="28"/>
          <w:szCs w:val="28"/>
        </w:rPr>
        <w:t>经公司第三届董事会第三十二次会议、第四届董事会第三次会议，并经2025年第三次临时股东会决议，公司审议通过了本次交易方案（草案）并予以披露。</w:t>
      </w:r>
    </w:p>
    <w:p w:rsidR="00084374" w:rsidRPr="00864F57" w:rsidRDefault="00084DAB" w:rsidP="00864F57">
      <w:pPr>
        <w:pStyle w:val="a3"/>
        <w:ind w:firstLineChars="200" w:firstLine="560"/>
        <w:rPr>
          <w:rFonts w:ascii="仿宋" w:eastAsia="仿宋" w:hAnsi="仿宋"/>
          <w:sz w:val="28"/>
          <w:szCs w:val="28"/>
        </w:rPr>
      </w:pPr>
      <w:r w:rsidRPr="00864F57">
        <w:rPr>
          <w:rFonts w:ascii="仿宋" w:eastAsia="仿宋" w:hAnsi="仿宋" w:hint="eastAsia"/>
          <w:sz w:val="28"/>
          <w:szCs w:val="28"/>
        </w:rPr>
        <w:t>公司于2025年12月收到深圳证券交易所出具的《关于广东天亿马信息产业股份有限公司发行股份及支付现金购买资产并募集配套资金申请的审核问询函》（审核函〔2025〕030021 号），并于2026年1月27日予以回复并披露。</w:t>
      </w:r>
    </w:p>
    <w:p w:rsidR="00084DAB" w:rsidRPr="00864F57" w:rsidRDefault="00084DAB" w:rsidP="00864F57">
      <w:pPr>
        <w:pStyle w:val="a3"/>
        <w:ind w:firstLineChars="200" w:firstLine="560"/>
        <w:rPr>
          <w:rFonts w:ascii="仿宋" w:eastAsia="仿宋" w:hAnsi="仿宋"/>
          <w:sz w:val="28"/>
          <w:szCs w:val="28"/>
        </w:rPr>
      </w:pPr>
      <w:r w:rsidRPr="00864F57">
        <w:rPr>
          <w:rFonts w:ascii="仿宋" w:eastAsia="仿宋" w:hAnsi="仿宋" w:hint="eastAsia"/>
          <w:sz w:val="28"/>
          <w:szCs w:val="28"/>
        </w:rPr>
        <w:lastRenderedPageBreak/>
        <w:t>本次交易尚需深圳证券交易所审核通过以及中国证券监督管理委员会同意注册后方可实施。本次交易能否取得相关部门的审核或注册，以及最终取得审核或注册的时间均存在不确定性。截至本报告出具之日，该项目尚在推进中，敬请广大投资者注意风险。</w:t>
      </w:r>
    </w:p>
    <w:p w:rsidR="00034420" w:rsidRPr="00034420" w:rsidRDefault="00034420" w:rsidP="00034420">
      <w:pPr>
        <w:pStyle w:val="a3"/>
        <w:ind w:firstLineChars="200" w:firstLine="560"/>
        <w:jc w:val="right"/>
        <w:rPr>
          <w:rFonts w:ascii="仿宋" w:eastAsia="仿宋" w:hAnsi="仿宋"/>
          <w:sz w:val="28"/>
          <w:szCs w:val="28"/>
        </w:rPr>
      </w:pPr>
      <w:r w:rsidRPr="00034420">
        <w:rPr>
          <w:rFonts w:ascii="仿宋" w:eastAsia="仿宋" w:hAnsi="仿宋" w:hint="eastAsia"/>
          <w:sz w:val="28"/>
          <w:szCs w:val="28"/>
        </w:rPr>
        <w:t>广东天亿马信息产业股份有限公司</w:t>
      </w:r>
    </w:p>
    <w:p w:rsidR="00034420" w:rsidRPr="00034420" w:rsidRDefault="00034420" w:rsidP="00034420">
      <w:pPr>
        <w:pStyle w:val="a3"/>
        <w:ind w:firstLineChars="200" w:firstLine="560"/>
        <w:jc w:val="right"/>
        <w:rPr>
          <w:rFonts w:ascii="仿宋" w:eastAsia="仿宋" w:hAnsi="仿宋"/>
          <w:sz w:val="28"/>
          <w:szCs w:val="28"/>
        </w:rPr>
      </w:pPr>
      <w:r w:rsidRPr="00034420">
        <w:rPr>
          <w:rFonts w:ascii="仿宋" w:eastAsia="仿宋" w:hAnsi="仿宋" w:hint="eastAsia"/>
          <w:sz w:val="28"/>
          <w:szCs w:val="28"/>
        </w:rPr>
        <w:t>董事会</w:t>
      </w:r>
    </w:p>
    <w:p w:rsidR="000147EF" w:rsidRPr="00034420" w:rsidRDefault="00034420" w:rsidP="00034420">
      <w:pPr>
        <w:pStyle w:val="a3"/>
        <w:ind w:firstLineChars="200" w:firstLine="560"/>
        <w:jc w:val="right"/>
        <w:rPr>
          <w:rFonts w:ascii="仿宋" w:eastAsia="仿宋" w:hAnsi="仿宋"/>
          <w:sz w:val="28"/>
          <w:szCs w:val="28"/>
        </w:rPr>
      </w:pPr>
      <w:r w:rsidRPr="00034420">
        <w:rPr>
          <w:rFonts w:ascii="仿宋" w:eastAsia="仿宋" w:hAnsi="仿宋" w:hint="eastAsia"/>
          <w:sz w:val="28"/>
          <w:szCs w:val="28"/>
        </w:rPr>
        <w:t>202</w:t>
      </w:r>
      <w:r>
        <w:rPr>
          <w:rFonts w:ascii="仿宋" w:eastAsia="仿宋" w:hAnsi="仿宋" w:hint="eastAsia"/>
          <w:sz w:val="28"/>
          <w:szCs w:val="28"/>
        </w:rPr>
        <w:t>6</w:t>
      </w:r>
      <w:r w:rsidRPr="00034420">
        <w:rPr>
          <w:rFonts w:ascii="仿宋" w:eastAsia="仿宋" w:hAnsi="仿宋" w:hint="eastAsia"/>
          <w:sz w:val="28"/>
          <w:szCs w:val="28"/>
        </w:rPr>
        <w:t>年</w:t>
      </w:r>
      <w:r>
        <w:rPr>
          <w:rFonts w:ascii="仿宋" w:eastAsia="仿宋" w:hAnsi="仿宋" w:hint="eastAsia"/>
          <w:sz w:val="28"/>
          <w:szCs w:val="28"/>
        </w:rPr>
        <w:t>3</w:t>
      </w:r>
      <w:r w:rsidRPr="00034420">
        <w:rPr>
          <w:rFonts w:ascii="仿宋" w:eastAsia="仿宋" w:hAnsi="仿宋" w:hint="eastAsia"/>
          <w:sz w:val="28"/>
          <w:szCs w:val="28"/>
        </w:rPr>
        <w:t>月</w:t>
      </w:r>
      <w:r>
        <w:rPr>
          <w:rFonts w:ascii="仿宋" w:eastAsia="仿宋" w:hAnsi="仿宋" w:hint="eastAsia"/>
          <w:sz w:val="28"/>
          <w:szCs w:val="28"/>
        </w:rPr>
        <w:t>31</w:t>
      </w:r>
      <w:r w:rsidRPr="00034420">
        <w:rPr>
          <w:rFonts w:ascii="仿宋" w:eastAsia="仿宋" w:hAnsi="仿宋" w:hint="eastAsia"/>
          <w:sz w:val="28"/>
          <w:szCs w:val="28"/>
        </w:rPr>
        <w:t>日</w:t>
      </w:r>
    </w:p>
    <w:sectPr w:rsidR="000147EF" w:rsidRPr="00034420">
      <w:headerReference w:type="default" r:id="rId8"/>
      <w:footerReference w:type="default" r:id="rId9"/>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4E54" w:rsidRDefault="00864E54">
      <w:r>
        <w:separator/>
      </w:r>
    </w:p>
  </w:endnote>
  <w:endnote w:type="continuationSeparator" w:id="0">
    <w:p w:rsidR="00864E54" w:rsidRDefault="00864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56DB" w:rsidRDefault="00BF4117">
    <w:pPr>
      <w:pStyle w:val="fotter1"/>
    </w:pPr>
    <w:r>
      <w:fldChar w:fldCharType="begin"/>
    </w:r>
    <w:r>
      <w:instrText>PAGE   \* MERGEFORMAT</w:instrText>
    </w:r>
    <w:r>
      <w:fldChar w:fldCharType="separate"/>
    </w:r>
    <w:r w:rsidR="00C320FD">
      <w:rPr>
        <w:noProof/>
      </w:rPr>
      <w:t>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4E54" w:rsidRDefault="00864E54">
      <w:r>
        <w:separator/>
      </w:r>
    </w:p>
  </w:footnote>
  <w:footnote w:type="continuationSeparator" w:id="0">
    <w:p w:rsidR="00864E54" w:rsidRDefault="00864E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56DB" w:rsidRDefault="00BF4117">
    <w:pPr>
      <w:pStyle w:val="Header1"/>
      <w:pBdr>
        <w:bottom w:val="single" w:sz="6" w:space="1" w:color="auto"/>
      </w:pBdr>
    </w:pPr>
    <w:r>
      <w:t>广东天亿马信息产业股份有限公司2025年年度报告摘要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4DAB"/>
    <w:rsid w:val="00026EAF"/>
    <w:rsid w:val="00034420"/>
    <w:rsid w:val="00084374"/>
    <w:rsid w:val="00084DAB"/>
    <w:rsid w:val="00174732"/>
    <w:rsid w:val="001944F9"/>
    <w:rsid w:val="002E31A6"/>
    <w:rsid w:val="003707E9"/>
    <w:rsid w:val="00437804"/>
    <w:rsid w:val="00437F80"/>
    <w:rsid w:val="0047513A"/>
    <w:rsid w:val="004B3020"/>
    <w:rsid w:val="004C609F"/>
    <w:rsid w:val="0057311A"/>
    <w:rsid w:val="006A1CB7"/>
    <w:rsid w:val="006D424A"/>
    <w:rsid w:val="00786331"/>
    <w:rsid w:val="00864E54"/>
    <w:rsid w:val="00864F57"/>
    <w:rsid w:val="00864FE9"/>
    <w:rsid w:val="00873132"/>
    <w:rsid w:val="009259BB"/>
    <w:rsid w:val="00953021"/>
    <w:rsid w:val="009A0F77"/>
    <w:rsid w:val="00A2613E"/>
    <w:rsid w:val="00AF394B"/>
    <w:rsid w:val="00AF66D8"/>
    <w:rsid w:val="00BF4117"/>
    <w:rsid w:val="00C320FD"/>
    <w:rsid w:val="00CC02E0"/>
    <w:rsid w:val="00CC724F"/>
    <w:rsid w:val="00E2099D"/>
    <w:rsid w:val="00E2120B"/>
    <w:rsid w:val="00E531E9"/>
    <w:rsid w:val="00E604DD"/>
    <w:rsid w:val="00F550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DAB"/>
    <w:pPr>
      <w:widowControl w:val="0"/>
    </w:pPr>
  </w:style>
  <w:style w:type="paragraph" w:styleId="2">
    <w:name w:val="heading 2"/>
    <w:basedOn w:val="a"/>
    <w:next w:val="a"/>
    <w:link w:val="2Char"/>
    <w:uiPriority w:val="9"/>
    <w:unhideWhenUsed/>
    <w:qFormat/>
    <w:rsid w:val="00084DAB"/>
    <w:pPr>
      <w:keepNext/>
      <w:keepLines/>
      <w:spacing w:before="156" w:after="156"/>
      <w:outlineLvl w:val="1"/>
    </w:pPr>
    <w:rPr>
      <w:szCs w:val="21"/>
    </w:rPr>
  </w:style>
  <w:style w:type="paragraph" w:styleId="3">
    <w:name w:val="heading 3"/>
    <w:basedOn w:val="a"/>
    <w:next w:val="a"/>
    <w:link w:val="3Char"/>
    <w:uiPriority w:val="99"/>
    <w:qFormat/>
    <w:rsid w:val="00084DAB"/>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084DAB"/>
    <w:rPr>
      <w:szCs w:val="21"/>
    </w:rPr>
  </w:style>
  <w:style w:type="character" w:customStyle="1" w:styleId="3Char">
    <w:name w:val="标题 3 Char"/>
    <w:basedOn w:val="a0"/>
    <w:link w:val="3"/>
    <w:uiPriority w:val="99"/>
    <w:rsid w:val="00084DAB"/>
    <w:rPr>
      <w:rFonts w:eastAsia="宋体"/>
      <w:szCs w:val="21"/>
    </w:rPr>
  </w:style>
  <w:style w:type="paragraph" w:customStyle="1" w:styleId="Header1">
    <w:name w:val="Header 1"/>
    <w:rsid w:val="00084DAB"/>
    <w:pPr>
      <w:jc w:val="right"/>
    </w:pPr>
    <w:rPr>
      <w:rFonts w:ascii="宋体" w:eastAsia="宋体"/>
      <w:sz w:val="18"/>
      <w:szCs w:val="18"/>
    </w:rPr>
  </w:style>
  <w:style w:type="paragraph" w:customStyle="1" w:styleId="fotter1">
    <w:name w:val="fotter 1"/>
    <w:rsid w:val="00084DAB"/>
    <w:pPr>
      <w:jc w:val="right"/>
    </w:pPr>
    <w:rPr>
      <w:rFonts w:ascii="宋体" w:eastAsia="宋体"/>
      <w:sz w:val="18"/>
      <w:szCs w:val="18"/>
    </w:rPr>
  </w:style>
  <w:style w:type="paragraph" w:styleId="a3">
    <w:name w:val="Normal (Web)"/>
    <w:basedOn w:val="a"/>
    <w:uiPriority w:val="99"/>
    <w:semiHidden/>
    <w:unhideWhenUsed/>
    <w:rsid w:val="00084DAB"/>
    <w:pPr>
      <w:widowControl/>
      <w:spacing w:before="100" w:beforeAutospacing="1" w:after="100" w:afterAutospacing="1"/>
    </w:pPr>
    <w:rPr>
      <w:rFonts w:ascii="宋体" w:eastAsia="宋体" w:hAnsi="宋体" w:cs="宋体"/>
      <w:kern w:val="0"/>
      <w:sz w:val="24"/>
      <w:szCs w:val="24"/>
    </w:rPr>
  </w:style>
  <w:style w:type="paragraph" w:styleId="a4">
    <w:name w:val="Balloon Text"/>
    <w:basedOn w:val="a"/>
    <w:link w:val="Char"/>
    <w:uiPriority w:val="99"/>
    <w:semiHidden/>
    <w:unhideWhenUsed/>
    <w:rsid w:val="00084DAB"/>
    <w:rPr>
      <w:sz w:val="18"/>
      <w:szCs w:val="18"/>
    </w:rPr>
  </w:style>
  <w:style w:type="character" w:customStyle="1" w:styleId="Char">
    <w:name w:val="批注框文本 Char"/>
    <w:basedOn w:val="a0"/>
    <w:link w:val="a4"/>
    <w:uiPriority w:val="99"/>
    <w:semiHidden/>
    <w:rsid w:val="00084DA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DAB"/>
    <w:pPr>
      <w:widowControl w:val="0"/>
    </w:pPr>
  </w:style>
  <w:style w:type="paragraph" w:styleId="2">
    <w:name w:val="heading 2"/>
    <w:basedOn w:val="a"/>
    <w:next w:val="a"/>
    <w:link w:val="2Char"/>
    <w:uiPriority w:val="9"/>
    <w:unhideWhenUsed/>
    <w:qFormat/>
    <w:rsid w:val="00084DAB"/>
    <w:pPr>
      <w:keepNext/>
      <w:keepLines/>
      <w:spacing w:before="156" w:after="156"/>
      <w:outlineLvl w:val="1"/>
    </w:pPr>
    <w:rPr>
      <w:szCs w:val="21"/>
    </w:rPr>
  </w:style>
  <w:style w:type="paragraph" w:styleId="3">
    <w:name w:val="heading 3"/>
    <w:basedOn w:val="a"/>
    <w:next w:val="a"/>
    <w:link w:val="3Char"/>
    <w:uiPriority w:val="99"/>
    <w:qFormat/>
    <w:rsid w:val="00084DAB"/>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084DAB"/>
    <w:rPr>
      <w:szCs w:val="21"/>
    </w:rPr>
  </w:style>
  <w:style w:type="character" w:customStyle="1" w:styleId="3Char">
    <w:name w:val="标题 3 Char"/>
    <w:basedOn w:val="a0"/>
    <w:link w:val="3"/>
    <w:uiPriority w:val="99"/>
    <w:rsid w:val="00084DAB"/>
    <w:rPr>
      <w:rFonts w:eastAsia="宋体"/>
      <w:szCs w:val="21"/>
    </w:rPr>
  </w:style>
  <w:style w:type="paragraph" w:customStyle="1" w:styleId="Header1">
    <w:name w:val="Header 1"/>
    <w:rsid w:val="00084DAB"/>
    <w:pPr>
      <w:jc w:val="right"/>
    </w:pPr>
    <w:rPr>
      <w:rFonts w:ascii="宋体" w:eastAsia="宋体"/>
      <w:sz w:val="18"/>
      <w:szCs w:val="18"/>
    </w:rPr>
  </w:style>
  <w:style w:type="paragraph" w:customStyle="1" w:styleId="fotter1">
    <w:name w:val="fotter 1"/>
    <w:rsid w:val="00084DAB"/>
    <w:pPr>
      <w:jc w:val="right"/>
    </w:pPr>
    <w:rPr>
      <w:rFonts w:ascii="宋体" w:eastAsia="宋体"/>
      <w:sz w:val="18"/>
      <w:szCs w:val="18"/>
    </w:rPr>
  </w:style>
  <w:style w:type="paragraph" w:styleId="a3">
    <w:name w:val="Normal (Web)"/>
    <w:basedOn w:val="a"/>
    <w:uiPriority w:val="99"/>
    <w:semiHidden/>
    <w:unhideWhenUsed/>
    <w:rsid w:val="00084DAB"/>
    <w:pPr>
      <w:widowControl/>
      <w:spacing w:before="100" w:beforeAutospacing="1" w:after="100" w:afterAutospacing="1"/>
    </w:pPr>
    <w:rPr>
      <w:rFonts w:ascii="宋体" w:eastAsia="宋体" w:hAnsi="宋体" w:cs="宋体"/>
      <w:kern w:val="0"/>
      <w:sz w:val="24"/>
      <w:szCs w:val="24"/>
    </w:rPr>
  </w:style>
  <w:style w:type="paragraph" w:styleId="a4">
    <w:name w:val="Balloon Text"/>
    <w:basedOn w:val="a"/>
    <w:link w:val="Char"/>
    <w:uiPriority w:val="99"/>
    <w:semiHidden/>
    <w:unhideWhenUsed/>
    <w:rsid w:val="00084DAB"/>
    <w:rPr>
      <w:sz w:val="18"/>
      <w:szCs w:val="18"/>
    </w:rPr>
  </w:style>
  <w:style w:type="character" w:customStyle="1" w:styleId="Char">
    <w:name w:val="批注框文本 Char"/>
    <w:basedOn w:val="a0"/>
    <w:link w:val="a4"/>
    <w:uiPriority w:val="99"/>
    <w:semiHidden/>
    <w:rsid w:val="00084DA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10</Pages>
  <Words>2536</Words>
  <Characters>3222</Characters>
  <Application>Microsoft Office Word</Application>
  <DocSecurity>0</DocSecurity>
  <Lines>402</Lines>
  <Paragraphs>338</Paragraphs>
  <ScaleCrop>false</ScaleCrop>
  <Company>Microsoft</Company>
  <LinksUpToDate>false</LinksUpToDate>
  <CharactersWithSpaces>5420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32</cp:revision>
  <dcterms:created xsi:type="dcterms:W3CDTF">2026-03-28T10:09:00Z</dcterms:created>
  <dcterms:modified xsi:type="dcterms:W3CDTF">2026-03-30T07:36:00Z</dcterms:modified>
</cp:coreProperties>
</file>