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7490B">
      <w:pPr>
        <w:autoSpaceDE w:val="0"/>
        <w:autoSpaceDN w:val="0"/>
        <w:adjustRightInd w:val="0"/>
        <w:spacing w:line="360" w:lineRule="auto"/>
        <w:jc w:val="both"/>
        <w:rPr>
          <w:rFonts w:ascii="仿宋" w:hAnsi="仿宋" w:eastAsia="仿宋" w:cs="Times New Roman"/>
          <w:color w:val="000000"/>
          <w:sz w:val="28"/>
          <w:szCs w:val="20"/>
        </w:rPr>
      </w:pPr>
      <w:r>
        <w:rPr>
          <w:rFonts w:ascii="仿宋" w:hAnsi="仿宋" w:eastAsia="仿宋" w:cs="Times New Roman"/>
          <w:color w:val="000000"/>
          <w:sz w:val="28"/>
          <w:szCs w:val="20"/>
        </w:rPr>
        <w:t xml:space="preserve">证券代码：301178  </w:t>
      </w:r>
      <w:r>
        <w:rPr>
          <w:rFonts w:hint="eastAsia" w:ascii="仿宋" w:hAnsi="仿宋" w:eastAsia="仿宋" w:cs="Times New Roman"/>
          <w:color w:val="000000"/>
          <w:sz w:val="28"/>
          <w:szCs w:val="20"/>
        </w:rPr>
        <w:t xml:space="preserve">   </w:t>
      </w:r>
      <w:r>
        <w:rPr>
          <w:rFonts w:ascii="仿宋" w:hAnsi="仿宋" w:eastAsia="仿宋" w:cs="Times New Roman"/>
          <w:color w:val="000000"/>
          <w:sz w:val="28"/>
          <w:szCs w:val="20"/>
        </w:rPr>
        <w:t xml:space="preserve">  </w:t>
      </w:r>
      <w:r>
        <w:rPr>
          <w:rFonts w:hint="eastAsia" w:ascii="仿宋" w:hAnsi="仿宋" w:eastAsia="仿宋" w:cs="Times New Roman"/>
          <w:color w:val="000000"/>
          <w:sz w:val="28"/>
          <w:szCs w:val="20"/>
        </w:rPr>
        <w:t xml:space="preserve">  </w:t>
      </w:r>
      <w:r>
        <w:rPr>
          <w:rFonts w:ascii="仿宋" w:hAnsi="仿宋" w:eastAsia="仿宋" w:cs="Times New Roman"/>
          <w:color w:val="000000"/>
          <w:sz w:val="28"/>
          <w:szCs w:val="20"/>
        </w:rPr>
        <w:t xml:space="preserve">证券简称：天亿马  </w:t>
      </w:r>
      <w:r>
        <w:rPr>
          <w:rFonts w:hint="eastAsia" w:ascii="仿宋" w:hAnsi="仿宋" w:eastAsia="仿宋" w:cs="Times New Roman"/>
          <w:color w:val="000000"/>
          <w:sz w:val="28"/>
          <w:szCs w:val="20"/>
        </w:rPr>
        <w:t xml:space="preserve">      </w:t>
      </w:r>
      <w:r>
        <w:rPr>
          <w:rFonts w:ascii="仿宋" w:hAnsi="仿宋" w:eastAsia="仿宋" w:cs="Times New Roman"/>
          <w:color w:val="000000"/>
          <w:sz w:val="28"/>
          <w:szCs w:val="20"/>
        </w:rPr>
        <w:t xml:space="preserve"> 公告编号：2026-0</w:t>
      </w:r>
      <w:r>
        <w:rPr>
          <w:rFonts w:hint="eastAsia" w:ascii="仿宋" w:hAnsi="仿宋" w:eastAsia="仿宋" w:cs="Times New Roman"/>
          <w:color w:val="000000"/>
          <w:sz w:val="28"/>
          <w:szCs w:val="20"/>
        </w:rPr>
        <w:t>26</w:t>
      </w:r>
    </w:p>
    <w:p w14:paraId="6F8FA74C">
      <w:pPr>
        <w:spacing w:line="360" w:lineRule="auto"/>
        <w:jc w:val="center"/>
        <w:rPr>
          <w:rFonts w:ascii="黑体" w:hAnsi="黑体" w:eastAsia="黑体" w:cs="Times New Roman"/>
          <w:sz w:val="36"/>
          <w:szCs w:val="36"/>
        </w:rPr>
      </w:pPr>
      <w:r>
        <w:rPr>
          <w:rFonts w:ascii="黑体" w:hAnsi="黑体" w:eastAsia="黑体" w:cs="Times New Roman"/>
          <w:sz w:val="36"/>
          <w:szCs w:val="36"/>
        </w:rPr>
        <w:t>广东天亿马信息产业股份有限公司</w:t>
      </w:r>
    </w:p>
    <w:p w14:paraId="1F426C8D">
      <w:pPr>
        <w:spacing w:line="360" w:lineRule="auto"/>
        <w:jc w:val="center"/>
        <w:rPr>
          <w:rFonts w:ascii="黑体" w:hAnsi="黑体" w:eastAsia="黑体" w:cs="Times New Roman"/>
          <w:sz w:val="36"/>
          <w:szCs w:val="36"/>
        </w:rPr>
      </w:pPr>
      <w:r>
        <w:rPr>
          <w:rFonts w:ascii="黑体" w:hAnsi="黑体" w:eastAsia="黑体" w:cs="Times New Roman"/>
          <w:sz w:val="36"/>
          <w:szCs w:val="36"/>
        </w:rPr>
        <w:t>关于召开202</w:t>
      </w:r>
      <w:r>
        <w:rPr>
          <w:rFonts w:hint="eastAsia" w:ascii="黑体" w:hAnsi="黑体" w:eastAsia="黑体" w:cs="Times New Roman"/>
          <w:sz w:val="36"/>
          <w:szCs w:val="36"/>
        </w:rPr>
        <w:t>5</w:t>
      </w:r>
      <w:r>
        <w:rPr>
          <w:rFonts w:ascii="黑体" w:hAnsi="黑体" w:eastAsia="黑体" w:cs="Times New Roman"/>
          <w:sz w:val="36"/>
          <w:szCs w:val="36"/>
        </w:rPr>
        <w:t>年</w:t>
      </w:r>
      <w:r>
        <w:rPr>
          <w:rFonts w:hint="eastAsia" w:ascii="黑体" w:hAnsi="黑体" w:eastAsia="黑体" w:cs="Times New Roman"/>
          <w:sz w:val="36"/>
          <w:szCs w:val="36"/>
        </w:rPr>
        <w:t>年度</w:t>
      </w:r>
      <w:r>
        <w:rPr>
          <w:rFonts w:ascii="黑体" w:hAnsi="黑体" w:eastAsia="黑体" w:cs="Times New Roman"/>
          <w:sz w:val="36"/>
          <w:szCs w:val="36"/>
        </w:rPr>
        <w:t>股东会的通知</w:t>
      </w:r>
    </w:p>
    <w:p w14:paraId="7F46AB09">
      <w:pPr>
        <w:pStyle w:val="8"/>
        <w:pBdr>
          <w:top w:val="single" w:color="000000" w:sz="6" w:space="0"/>
          <w:left w:val="single" w:color="000000" w:sz="6" w:space="11"/>
          <w:bottom w:val="single" w:color="000000" w:sz="6" w:space="11"/>
          <w:right w:val="single" w:color="000000" w:sz="6" w:space="11"/>
        </w:pBdr>
        <w:spacing w:line="400" w:lineRule="atLeast"/>
        <w:ind w:firstLine="480"/>
        <w:rPr>
          <w:rFonts w:ascii="楷体" w:hAnsi="楷体" w:eastAsia="楷体"/>
          <w:sz w:val="28"/>
          <w:szCs w:val="28"/>
        </w:rPr>
      </w:pPr>
      <w:r>
        <w:rPr>
          <w:rFonts w:hint="eastAsia" w:ascii="楷体" w:hAnsi="楷体" w:eastAsia="楷体"/>
          <w:sz w:val="28"/>
          <w:szCs w:val="28"/>
        </w:rPr>
        <w:t>本公司及董事会全体成员保证信息披露的内容真实、准确、完整，没有虚假记载、误导性陈述或重大遗漏。</w:t>
      </w:r>
    </w:p>
    <w:p w14:paraId="1A9E5A61">
      <w:pPr>
        <w:ind w:firstLine="560" w:firstLineChars="200"/>
        <w:jc w:val="both"/>
        <w:outlineLvl w:val="0"/>
        <w:rPr>
          <w:rFonts w:ascii="仿宋" w:hAnsi="仿宋" w:eastAsia="仿宋" w:cs="Times New Roman"/>
          <w:b/>
          <w:sz w:val="28"/>
          <w:szCs w:val="20"/>
        </w:rPr>
      </w:pPr>
      <w:bookmarkStart w:id="0" w:name="_Toc988889"/>
      <w:r>
        <w:rPr>
          <w:rFonts w:ascii="仿宋" w:hAnsi="仿宋" w:eastAsia="仿宋" w:cs="Times New Roman"/>
          <w:b/>
          <w:sz w:val="28"/>
          <w:szCs w:val="20"/>
        </w:rPr>
        <w:t>一、召开会议的基本情况</w:t>
      </w:r>
      <w:bookmarkEnd w:id="0"/>
    </w:p>
    <w:p w14:paraId="1B755813">
      <w:pPr>
        <w:ind w:firstLine="560" w:firstLineChars="200"/>
        <w:jc w:val="both"/>
        <w:rPr>
          <w:rFonts w:ascii="仿宋" w:hAnsi="仿宋" w:eastAsia="仿宋" w:cs="Times New Roman"/>
          <w:sz w:val="28"/>
          <w:szCs w:val="28"/>
        </w:rPr>
      </w:pPr>
      <w:bookmarkStart w:id="1" w:name="OLE_LINK15"/>
      <w:bookmarkStart w:id="2" w:name="OLE_LINK16"/>
      <w:r>
        <w:rPr>
          <w:rFonts w:hint="eastAsia" w:ascii="仿宋" w:hAnsi="仿宋" w:eastAsia="仿宋" w:cs="Times New Roman"/>
          <w:sz w:val="28"/>
          <w:szCs w:val="28"/>
        </w:rPr>
        <w:t>（一）</w:t>
      </w:r>
      <w:bookmarkEnd w:id="1"/>
      <w:bookmarkEnd w:id="2"/>
      <w:r>
        <w:rPr>
          <w:rFonts w:ascii="仿宋" w:hAnsi="仿宋" w:eastAsia="仿宋" w:cs="Times New Roman"/>
          <w:sz w:val="28"/>
          <w:szCs w:val="28"/>
        </w:rPr>
        <w:t>股东会届次：202</w:t>
      </w:r>
      <w:r>
        <w:rPr>
          <w:rFonts w:hint="eastAsia" w:ascii="仿宋" w:hAnsi="仿宋" w:eastAsia="仿宋" w:cs="Times New Roman"/>
          <w:sz w:val="28"/>
          <w:szCs w:val="28"/>
        </w:rPr>
        <w:t>5</w:t>
      </w:r>
      <w:r>
        <w:rPr>
          <w:rFonts w:ascii="仿宋" w:hAnsi="仿宋" w:eastAsia="仿宋" w:cs="Times New Roman"/>
          <w:sz w:val="28"/>
          <w:szCs w:val="28"/>
        </w:rPr>
        <w:t>年</w:t>
      </w:r>
      <w:r>
        <w:rPr>
          <w:rFonts w:hint="eastAsia" w:ascii="仿宋" w:hAnsi="仿宋" w:eastAsia="仿宋" w:cs="Times New Roman"/>
          <w:sz w:val="28"/>
          <w:szCs w:val="28"/>
        </w:rPr>
        <w:t>年度</w:t>
      </w:r>
      <w:r>
        <w:rPr>
          <w:rFonts w:ascii="仿宋" w:hAnsi="仿宋" w:eastAsia="仿宋" w:cs="Times New Roman"/>
          <w:sz w:val="28"/>
          <w:szCs w:val="28"/>
        </w:rPr>
        <w:t>股东会</w:t>
      </w:r>
    </w:p>
    <w:p w14:paraId="0F7770EB">
      <w:pPr>
        <w:ind w:firstLine="560" w:firstLineChars="200"/>
        <w:jc w:val="both"/>
        <w:rPr>
          <w:rFonts w:ascii="仿宋" w:hAnsi="仿宋" w:eastAsia="仿宋" w:cs="Times New Roman"/>
          <w:sz w:val="28"/>
          <w:szCs w:val="28"/>
        </w:rPr>
      </w:pPr>
      <w:bookmarkStart w:id="3" w:name="OLE_LINK18"/>
      <w:bookmarkStart w:id="4" w:name="OLE_LINK17"/>
      <w:r>
        <w:rPr>
          <w:rFonts w:hint="eastAsia" w:ascii="仿宋" w:hAnsi="仿宋" w:eastAsia="仿宋" w:cs="Times New Roman"/>
          <w:kern w:val="0"/>
          <w:sz w:val="28"/>
          <w:szCs w:val="28"/>
        </w:rPr>
        <w:t>（二）</w:t>
      </w:r>
      <w:bookmarkEnd w:id="3"/>
      <w:bookmarkEnd w:id="4"/>
      <w:r>
        <w:rPr>
          <w:rFonts w:ascii="仿宋" w:hAnsi="仿宋" w:eastAsia="仿宋" w:cs="Times New Roman"/>
          <w:sz w:val="28"/>
          <w:szCs w:val="28"/>
        </w:rPr>
        <w:t>股东会的召集人：董事会</w:t>
      </w:r>
    </w:p>
    <w:p w14:paraId="25896121">
      <w:pPr>
        <w:ind w:firstLine="560" w:firstLineChars="200"/>
        <w:jc w:val="both"/>
        <w:rPr>
          <w:rFonts w:ascii="仿宋" w:hAnsi="仿宋" w:eastAsia="仿宋" w:cs="Times New Roman"/>
          <w:sz w:val="28"/>
          <w:szCs w:val="28"/>
        </w:rPr>
      </w:pPr>
      <w:bookmarkStart w:id="5" w:name="OLE_LINK19"/>
      <w:bookmarkStart w:id="6" w:name="OLE_LINK20"/>
      <w:r>
        <w:rPr>
          <w:rFonts w:hint="eastAsia" w:ascii="仿宋" w:hAnsi="仿宋" w:eastAsia="仿宋" w:cs="Times New Roman"/>
          <w:kern w:val="0"/>
          <w:sz w:val="28"/>
          <w:szCs w:val="28"/>
        </w:rPr>
        <w:t>（三）</w:t>
      </w:r>
      <w:bookmarkEnd w:id="5"/>
      <w:bookmarkEnd w:id="6"/>
      <w:r>
        <w:rPr>
          <w:rFonts w:hint="eastAsia" w:ascii="仿宋" w:hAnsi="仿宋" w:eastAsia="仿宋" w:cs="Times New Roman"/>
          <w:sz w:val="28"/>
          <w:szCs w:val="28"/>
        </w:rPr>
        <w:t>本次会议的召集、召开符合《中华人民共和国公司法》《深圳证券交易所创业板股票上市规则》《深圳证券交易所上市公司自律监管指引第2号—创业板上市公司规范运作》等法律、行政法规、部门规章、规范性文件及《公司章程》的有关规定。</w:t>
      </w:r>
    </w:p>
    <w:p w14:paraId="3C4858D6">
      <w:pPr>
        <w:ind w:firstLine="560" w:firstLineChars="200"/>
        <w:jc w:val="both"/>
        <w:rPr>
          <w:rFonts w:ascii="仿宋" w:hAnsi="仿宋" w:eastAsia="仿宋" w:cs="Times New Roman"/>
          <w:sz w:val="28"/>
          <w:szCs w:val="28"/>
        </w:rPr>
      </w:pPr>
      <w:bookmarkStart w:id="7" w:name="OLE_LINK22"/>
      <w:bookmarkStart w:id="8" w:name="OLE_LINK21"/>
      <w:r>
        <w:rPr>
          <w:rFonts w:hint="eastAsia" w:ascii="仿宋" w:hAnsi="仿宋" w:eastAsia="仿宋" w:cs="Times New Roman"/>
          <w:kern w:val="0"/>
          <w:sz w:val="28"/>
          <w:szCs w:val="28"/>
        </w:rPr>
        <w:t>（四）</w:t>
      </w:r>
      <w:bookmarkEnd w:id="7"/>
      <w:bookmarkEnd w:id="8"/>
      <w:r>
        <w:rPr>
          <w:rFonts w:ascii="仿宋" w:hAnsi="仿宋" w:eastAsia="仿宋" w:cs="Times New Roman"/>
          <w:sz w:val="28"/>
          <w:szCs w:val="28"/>
        </w:rPr>
        <w:t>会议时间：</w:t>
      </w:r>
    </w:p>
    <w:p w14:paraId="2AA671EB">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1.</w:t>
      </w:r>
      <w:r>
        <w:rPr>
          <w:rFonts w:ascii="仿宋" w:hAnsi="仿宋" w:eastAsia="仿宋" w:cs="Times New Roman"/>
          <w:sz w:val="28"/>
          <w:szCs w:val="28"/>
        </w:rPr>
        <w:t>现场会议时间：2026年</w:t>
      </w:r>
      <w:r>
        <w:rPr>
          <w:rFonts w:hint="eastAsia" w:ascii="仿宋" w:hAnsi="仿宋" w:eastAsia="仿宋" w:cs="Times New Roman"/>
          <w:sz w:val="28"/>
          <w:szCs w:val="28"/>
        </w:rPr>
        <w:t>4</w:t>
      </w:r>
      <w:r>
        <w:rPr>
          <w:rFonts w:ascii="仿宋" w:hAnsi="仿宋" w:eastAsia="仿宋" w:cs="Times New Roman"/>
          <w:sz w:val="28"/>
          <w:szCs w:val="28"/>
        </w:rPr>
        <w:t>月</w:t>
      </w:r>
      <w:r>
        <w:rPr>
          <w:rFonts w:hint="eastAsia" w:ascii="仿宋" w:hAnsi="仿宋" w:eastAsia="仿宋" w:cs="Times New Roman"/>
          <w:sz w:val="28"/>
          <w:szCs w:val="28"/>
        </w:rPr>
        <w:t>21</w:t>
      </w:r>
      <w:r>
        <w:rPr>
          <w:rFonts w:ascii="仿宋" w:hAnsi="仿宋" w:eastAsia="仿宋" w:cs="Times New Roman"/>
          <w:sz w:val="28"/>
          <w:szCs w:val="28"/>
        </w:rPr>
        <w:t>日</w:t>
      </w:r>
      <w:r>
        <w:rPr>
          <w:rFonts w:hint="eastAsia" w:ascii="仿宋" w:hAnsi="仿宋" w:eastAsia="仿宋" w:cs="Times New Roman"/>
          <w:sz w:val="28"/>
          <w:szCs w:val="28"/>
        </w:rPr>
        <w:t>（星期二）</w:t>
      </w:r>
      <w:r>
        <w:rPr>
          <w:rFonts w:ascii="仿宋" w:hAnsi="仿宋" w:eastAsia="仿宋" w:cs="Times New Roman"/>
          <w:sz w:val="28"/>
          <w:szCs w:val="28"/>
        </w:rPr>
        <w:t>15:00</w:t>
      </w:r>
    </w:p>
    <w:p w14:paraId="4D48CB40">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2.</w:t>
      </w:r>
      <w:r>
        <w:rPr>
          <w:rFonts w:ascii="仿宋" w:hAnsi="仿宋" w:eastAsia="仿宋" w:cs="Times New Roman"/>
          <w:sz w:val="28"/>
          <w:szCs w:val="28"/>
        </w:rPr>
        <w:t>网络投票时间：通过深圳证券交易所系统进行网络投票的具体时间为2026年0</w:t>
      </w:r>
      <w:r>
        <w:rPr>
          <w:rFonts w:hint="eastAsia" w:ascii="仿宋" w:hAnsi="仿宋" w:eastAsia="仿宋" w:cs="Times New Roman"/>
          <w:sz w:val="28"/>
          <w:szCs w:val="28"/>
        </w:rPr>
        <w:t>4</w:t>
      </w:r>
      <w:r>
        <w:rPr>
          <w:rFonts w:ascii="仿宋" w:hAnsi="仿宋" w:eastAsia="仿宋" w:cs="Times New Roman"/>
          <w:sz w:val="28"/>
          <w:szCs w:val="28"/>
        </w:rPr>
        <w:t>月</w:t>
      </w:r>
      <w:r>
        <w:rPr>
          <w:rFonts w:hint="eastAsia" w:ascii="仿宋" w:hAnsi="仿宋" w:eastAsia="仿宋" w:cs="Times New Roman"/>
          <w:sz w:val="28"/>
          <w:szCs w:val="28"/>
        </w:rPr>
        <w:t>21</w:t>
      </w:r>
      <w:r>
        <w:rPr>
          <w:rFonts w:ascii="仿宋" w:hAnsi="仿宋" w:eastAsia="仿宋" w:cs="Times New Roman"/>
          <w:sz w:val="28"/>
          <w:szCs w:val="28"/>
        </w:rPr>
        <w:t>日9:15-9:25，9:30-11:30，13:00-15:00；通过深圳证券交易所互联网投票系统投票的具体时间为2026年</w:t>
      </w:r>
      <w:r>
        <w:rPr>
          <w:rFonts w:hint="eastAsia" w:ascii="仿宋" w:hAnsi="仿宋" w:eastAsia="仿宋" w:cs="Times New Roman"/>
          <w:sz w:val="28"/>
          <w:szCs w:val="28"/>
        </w:rPr>
        <w:t>4</w:t>
      </w:r>
      <w:r>
        <w:rPr>
          <w:rFonts w:ascii="仿宋" w:hAnsi="仿宋" w:eastAsia="仿宋" w:cs="Times New Roman"/>
          <w:sz w:val="28"/>
          <w:szCs w:val="28"/>
        </w:rPr>
        <w:t>月</w:t>
      </w:r>
      <w:r>
        <w:rPr>
          <w:rFonts w:hint="eastAsia" w:ascii="仿宋" w:hAnsi="仿宋" w:eastAsia="仿宋" w:cs="Times New Roman"/>
          <w:sz w:val="28"/>
          <w:szCs w:val="28"/>
        </w:rPr>
        <w:t>21</w:t>
      </w:r>
      <w:r>
        <w:rPr>
          <w:rFonts w:ascii="仿宋" w:hAnsi="仿宋" w:eastAsia="仿宋" w:cs="Times New Roman"/>
          <w:sz w:val="28"/>
          <w:szCs w:val="28"/>
        </w:rPr>
        <w:t>日9:15至15:00的任意时间。</w:t>
      </w:r>
    </w:p>
    <w:p w14:paraId="670C22E1">
      <w:pPr>
        <w:ind w:firstLine="560" w:firstLineChars="200"/>
        <w:jc w:val="both"/>
        <w:rPr>
          <w:rFonts w:ascii="仿宋" w:hAnsi="仿宋" w:eastAsia="仿宋" w:cs="Times New Roman"/>
          <w:sz w:val="28"/>
          <w:szCs w:val="28"/>
        </w:rPr>
      </w:pPr>
      <w:bookmarkStart w:id="9" w:name="OLE_LINK24"/>
      <w:bookmarkStart w:id="10" w:name="OLE_LINK23"/>
      <w:r>
        <w:rPr>
          <w:rFonts w:hint="eastAsia" w:ascii="仿宋" w:hAnsi="仿宋" w:eastAsia="仿宋" w:cs="Times New Roman"/>
          <w:kern w:val="0"/>
          <w:sz w:val="28"/>
          <w:szCs w:val="28"/>
        </w:rPr>
        <w:t>（五）</w:t>
      </w:r>
      <w:bookmarkEnd w:id="9"/>
      <w:bookmarkEnd w:id="10"/>
      <w:r>
        <w:rPr>
          <w:rFonts w:ascii="仿宋" w:hAnsi="仿宋" w:eastAsia="仿宋" w:cs="Times New Roman"/>
          <w:sz w:val="28"/>
          <w:szCs w:val="28"/>
        </w:rPr>
        <w:t>会议的召开方式：现场表决与网络投票相结合。</w:t>
      </w:r>
    </w:p>
    <w:p w14:paraId="26C69255">
      <w:pPr>
        <w:ind w:firstLine="560" w:firstLineChars="200"/>
        <w:jc w:val="both"/>
        <w:rPr>
          <w:rFonts w:ascii="仿宋" w:hAnsi="仿宋" w:eastAsia="仿宋" w:cs="Times New Roman"/>
          <w:sz w:val="28"/>
          <w:szCs w:val="28"/>
        </w:rPr>
      </w:pPr>
      <w:bookmarkStart w:id="11" w:name="OLE_LINK25"/>
      <w:bookmarkStart w:id="12" w:name="OLE_LINK26"/>
      <w:r>
        <w:rPr>
          <w:rFonts w:hint="eastAsia" w:ascii="仿宋" w:hAnsi="仿宋" w:eastAsia="仿宋" w:cs="Times New Roman"/>
          <w:kern w:val="0"/>
          <w:sz w:val="28"/>
          <w:szCs w:val="28"/>
        </w:rPr>
        <w:t>（六）</w:t>
      </w:r>
      <w:bookmarkEnd w:id="11"/>
      <w:bookmarkEnd w:id="12"/>
      <w:r>
        <w:rPr>
          <w:rFonts w:ascii="仿宋" w:hAnsi="仿宋" w:eastAsia="仿宋" w:cs="Times New Roman"/>
          <w:sz w:val="28"/>
          <w:szCs w:val="28"/>
        </w:rPr>
        <w:t>会议的股权登记日：2026年</w:t>
      </w:r>
      <w:r>
        <w:rPr>
          <w:rFonts w:hint="eastAsia" w:ascii="仿宋" w:hAnsi="仿宋" w:eastAsia="仿宋" w:cs="Times New Roman"/>
          <w:sz w:val="28"/>
          <w:szCs w:val="28"/>
        </w:rPr>
        <w:t>4</w:t>
      </w:r>
      <w:r>
        <w:rPr>
          <w:rFonts w:ascii="仿宋" w:hAnsi="仿宋" w:eastAsia="仿宋" w:cs="Times New Roman"/>
          <w:sz w:val="28"/>
          <w:szCs w:val="28"/>
        </w:rPr>
        <w:t>月</w:t>
      </w:r>
      <w:r>
        <w:rPr>
          <w:rFonts w:hint="eastAsia" w:ascii="仿宋" w:hAnsi="仿宋" w:eastAsia="仿宋" w:cs="Times New Roman"/>
          <w:sz w:val="28"/>
          <w:szCs w:val="28"/>
        </w:rPr>
        <w:t>16</w:t>
      </w:r>
      <w:r>
        <w:rPr>
          <w:rFonts w:ascii="仿宋" w:hAnsi="仿宋" w:eastAsia="仿宋" w:cs="Times New Roman"/>
          <w:sz w:val="28"/>
          <w:szCs w:val="28"/>
        </w:rPr>
        <w:t>日</w:t>
      </w:r>
    </w:p>
    <w:p w14:paraId="33E54658">
      <w:pPr>
        <w:ind w:firstLine="560" w:firstLineChars="200"/>
        <w:jc w:val="both"/>
        <w:rPr>
          <w:rFonts w:ascii="仿宋" w:hAnsi="仿宋" w:eastAsia="仿宋" w:cs="Times New Roman"/>
          <w:sz w:val="28"/>
          <w:szCs w:val="28"/>
        </w:rPr>
      </w:pPr>
      <w:bookmarkStart w:id="13" w:name="OLE_LINK29"/>
      <w:bookmarkStart w:id="14" w:name="OLE_LINK28"/>
      <w:bookmarkStart w:id="15" w:name="OLE_LINK27"/>
      <w:r>
        <w:rPr>
          <w:rFonts w:hint="eastAsia" w:ascii="仿宋" w:hAnsi="仿宋" w:eastAsia="仿宋" w:cs="Times New Roman"/>
          <w:kern w:val="0"/>
          <w:sz w:val="28"/>
          <w:szCs w:val="28"/>
        </w:rPr>
        <w:t>（七）</w:t>
      </w:r>
      <w:bookmarkEnd w:id="13"/>
      <w:bookmarkEnd w:id="14"/>
      <w:bookmarkEnd w:id="15"/>
      <w:r>
        <w:rPr>
          <w:rFonts w:ascii="仿宋" w:hAnsi="仿宋" w:eastAsia="仿宋" w:cs="Times New Roman"/>
          <w:sz w:val="28"/>
          <w:szCs w:val="28"/>
        </w:rPr>
        <w:t>出席对象：</w:t>
      </w:r>
    </w:p>
    <w:p w14:paraId="7072341E">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1.在股权登记日持有公司股份的股东或其代理人；于股权登记日下午收市时在结算公司登记在册的公司全体股东均有权出席股东会，并可以以书面形式委托代理人出席会议和参加表决，该股东代理人不必是本公司股东（授权委托书模板详见附件2）。</w:t>
      </w:r>
    </w:p>
    <w:p w14:paraId="7BBA3DC2">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2.公司董事、高级管理人员；</w:t>
      </w:r>
    </w:p>
    <w:p w14:paraId="597AB3AC">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3.公司聘请的律师；</w:t>
      </w:r>
    </w:p>
    <w:p w14:paraId="6B29CDDA">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4.根据相关法规应当出席股东会的其他人员。</w:t>
      </w:r>
    </w:p>
    <w:p w14:paraId="7284E5E9">
      <w:pPr>
        <w:ind w:firstLine="560" w:firstLineChars="200"/>
        <w:jc w:val="both"/>
        <w:rPr>
          <w:rFonts w:ascii="仿宋" w:hAnsi="仿宋" w:eastAsia="仿宋" w:cs="Times New Roman"/>
          <w:sz w:val="28"/>
          <w:szCs w:val="28"/>
        </w:rPr>
      </w:pPr>
      <w:bookmarkStart w:id="16" w:name="OLE_LINK30"/>
      <w:bookmarkStart w:id="17" w:name="OLE_LINK31"/>
      <w:r>
        <w:rPr>
          <w:rFonts w:hint="eastAsia" w:ascii="仿宋" w:hAnsi="仿宋" w:eastAsia="仿宋" w:cs="Times New Roman"/>
          <w:kern w:val="0"/>
          <w:sz w:val="28"/>
          <w:szCs w:val="28"/>
        </w:rPr>
        <w:t>（八）</w:t>
      </w:r>
      <w:bookmarkEnd w:id="16"/>
      <w:bookmarkEnd w:id="17"/>
      <w:r>
        <w:rPr>
          <w:rFonts w:ascii="仿宋" w:hAnsi="仿宋" w:eastAsia="仿宋" w:cs="Times New Roman"/>
          <w:sz w:val="28"/>
          <w:szCs w:val="28"/>
        </w:rPr>
        <w:t>会议地点：广东省汕头市海滨路55号海逸投资大厦4-5层公司会议室</w:t>
      </w:r>
    </w:p>
    <w:p w14:paraId="332B6FA5">
      <w:pPr>
        <w:ind w:firstLine="560" w:firstLineChars="200"/>
        <w:jc w:val="both"/>
        <w:outlineLvl w:val="0"/>
        <w:rPr>
          <w:rFonts w:ascii="仿宋" w:hAnsi="仿宋" w:eastAsia="仿宋" w:cs="Times New Roman"/>
          <w:b/>
          <w:sz w:val="28"/>
          <w:szCs w:val="20"/>
        </w:rPr>
      </w:pPr>
      <w:bookmarkStart w:id="18" w:name="_Toc988890"/>
      <w:r>
        <w:rPr>
          <w:rFonts w:ascii="仿宋" w:hAnsi="仿宋" w:eastAsia="仿宋" w:cs="Times New Roman"/>
          <w:b/>
          <w:sz w:val="28"/>
          <w:szCs w:val="20"/>
        </w:rPr>
        <w:t>二、会议审议事项</w:t>
      </w:r>
      <w:bookmarkEnd w:id="18"/>
    </w:p>
    <w:p w14:paraId="00894CE2">
      <w:pPr>
        <w:ind w:firstLine="560" w:firstLineChars="200"/>
        <w:jc w:val="both"/>
        <w:rPr>
          <w:rFonts w:ascii="仿宋" w:hAnsi="仿宋" w:eastAsia="仿宋" w:cs="Times New Roman"/>
          <w:sz w:val="28"/>
          <w:szCs w:val="28"/>
        </w:rPr>
      </w:pPr>
      <w:r>
        <w:rPr>
          <w:rFonts w:hint="eastAsia" w:ascii="仿宋" w:hAnsi="仿宋" w:eastAsia="仿宋" w:cs="Times New Roman"/>
          <w:kern w:val="0"/>
          <w:sz w:val="28"/>
          <w:szCs w:val="28"/>
        </w:rPr>
        <w:t>（一）</w:t>
      </w:r>
      <w:r>
        <w:rPr>
          <w:rFonts w:ascii="仿宋" w:hAnsi="仿宋" w:eastAsia="仿宋" w:cs="Times New Roman"/>
          <w:sz w:val="28"/>
          <w:szCs w:val="28"/>
        </w:rPr>
        <w:t>本次股东会提案编码表</w:t>
      </w:r>
    </w:p>
    <w:tbl>
      <w:tblPr>
        <w:tblStyle w:val="9"/>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00"/>
        <w:gridCol w:w="4000"/>
        <w:gridCol w:w="2299"/>
        <w:gridCol w:w="1940"/>
      </w:tblGrid>
      <w:tr w14:paraId="01CE58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6283C56">
            <w:pPr>
              <w:spacing w:line="400" w:lineRule="exact"/>
              <w:jc w:val="center"/>
              <w:rPr>
                <w:rFonts w:ascii="仿宋" w:hAnsi="仿宋" w:eastAsia="仿宋" w:cs="宋体"/>
                <w:sz w:val="28"/>
                <w:szCs w:val="28"/>
              </w:rPr>
            </w:pPr>
            <w:r>
              <w:rPr>
                <w:rFonts w:ascii="仿宋" w:hAnsi="仿宋" w:eastAsia="仿宋" w:cs="宋体"/>
                <w:sz w:val="28"/>
                <w:szCs w:val="28"/>
              </w:rPr>
              <w:t>提案编码</w:t>
            </w:r>
          </w:p>
        </w:tc>
        <w:tc>
          <w:tcPr>
            <w:tcW w:w="40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4ABE958">
            <w:pPr>
              <w:spacing w:line="400" w:lineRule="exact"/>
              <w:jc w:val="center"/>
              <w:rPr>
                <w:rFonts w:ascii="仿宋" w:hAnsi="仿宋" w:eastAsia="仿宋" w:cs="宋体"/>
                <w:sz w:val="28"/>
                <w:szCs w:val="28"/>
              </w:rPr>
            </w:pPr>
            <w:r>
              <w:rPr>
                <w:rFonts w:ascii="仿宋" w:hAnsi="仿宋" w:eastAsia="仿宋" w:cs="宋体"/>
                <w:sz w:val="28"/>
                <w:szCs w:val="28"/>
              </w:rPr>
              <w:t>提案名称</w:t>
            </w:r>
          </w:p>
        </w:tc>
        <w:tc>
          <w:tcPr>
            <w:tcW w:w="2299"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1A7D73">
            <w:pPr>
              <w:spacing w:line="400" w:lineRule="exact"/>
              <w:jc w:val="center"/>
              <w:rPr>
                <w:rFonts w:ascii="仿宋" w:hAnsi="仿宋" w:eastAsia="仿宋" w:cs="宋体"/>
                <w:sz w:val="28"/>
                <w:szCs w:val="28"/>
              </w:rPr>
            </w:pPr>
            <w:r>
              <w:rPr>
                <w:rFonts w:ascii="仿宋" w:hAnsi="仿宋" w:eastAsia="仿宋" w:cs="宋体"/>
                <w:sz w:val="28"/>
                <w:szCs w:val="28"/>
              </w:rPr>
              <w:t>提案类型</w:t>
            </w:r>
          </w:p>
        </w:tc>
        <w:tc>
          <w:tcPr>
            <w:tcW w:w="1940" w:type="dxa"/>
            <w:tcBorders>
              <w:top w:val="single" w:color="auto" w:sz="2" w:space="0"/>
              <w:left w:val="single" w:color="auto" w:sz="2" w:space="0"/>
              <w:bottom w:val="single" w:color="auto" w:sz="2" w:space="0"/>
              <w:right w:val="single" w:color="auto" w:sz="2" w:space="0"/>
            </w:tcBorders>
            <w:shd w:val="clear" w:color="auto" w:fill="D3D3D3"/>
            <w:vAlign w:val="center"/>
          </w:tcPr>
          <w:p w14:paraId="0FC60920">
            <w:pPr>
              <w:spacing w:line="400" w:lineRule="exact"/>
              <w:jc w:val="center"/>
              <w:rPr>
                <w:rFonts w:ascii="仿宋" w:hAnsi="仿宋" w:eastAsia="仿宋" w:cs="宋体"/>
                <w:sz w:val="28"/>
                <w:szCs w:val="28"/>
              </w:rPr>
            </w:pPr>
            <w:r>
              <w:rPr>
                <w:rFonts w:ascii="仿宋" w:hAnsi="仿宋" w:eastAsia="仿宋" w:cs="宋体"/>
                <w:sz w:val="28"/>
                <w:szCs w:val="28"/>
              </w:rPr>
              <w:t>备注</w:t>
            </w:r>
          </w:p>
        </w:tc>
      </w:tr>
      <w:tr w14:paraId="7C2EE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vMerge w:val="continue"/>
            <w:tcBorders>
              <w:top w:val="single" w:color="auto" w:sz="2" w:space="0"/>
              <w:left w:val="single" w:color="auto" w:sz="2" w:space="0"/>
              <w:bottom w:val="single" w:color="auto" w:sz="2" w:space="0"/>
              <w:right w:val="single" w:color="auto" w:sz="2" w:space="0"/>
            </w:tcBorders>
            <w:vAlign w:val="center"/>
          </w:tcPr>
          <w:p w14:paraId="39169723">
            <w:pPr>
              <w:rPr>
                <w:rFonts w:ascii="仿宋" w:hAnsi="仿宋" w:eastAsia="仿宋"/>
                <w:sz w:val="28"/>
                <w:szCs w:val="28"/>
              </w:rPr>
            </w:pPr>
          </w:p>
        </w:tc>
        <w:tc>
          <w:tcPr>
            <w:tcW w:w="4000" w:type="dxa"/>
            <w:vMerge w:val="continue"/>
            <w:tcBorders>
              <w:top w:val="single" w:color="auto" w:sz="2" w:space="0"/>
              <w:left w:val="single" w:color="auto" w:sz="2" w:space="0"/>
              <w:bottom w:val="single" w:color="auto" w:sz="2" w:space="0"/>
              <w:right w:val="single" w:color="auto" w:sz="2" w:space="0"/>
            </w:tcBorders>
            <w:vAlign w:val="center"/>
          </w:tcPr>
          <w:p w14:paraId="2E2C2DA9">
            <w:pPr>
              <w:rPr>
                <w:rFonts w:ascii="仿宋" w:hAnsi="仿宋" w:eastAsia="仿宋"/>
                <w:sz w:val="28"/>
                <w:szCs w:val="28"/>
              </w:rPr>
            </w:pPr>
          </w:p>
        </w:tc>
        <w:tc>
          <w:tcPr>
            <w:tcW w:w="2299" w:type="dxa"/>
            <w:vMerge w:val="continue"/>
            <w:tcBorders>
              <w:top w:val="single" w:color="auto" w:sz="2" w:space="0"/>
              <w:left w:val="single" w:color="auto" w:sz="2" w:space="0"/>
              <w:bottom w:val="single" w:color="auto" w:sz="2" w:space="0"/>
              <w:right w:val="single" w:color="auto" w:sz="2" w:space="0"/>
            </w:tcBorders>
            <w:vAlign w:val="center"/>
          </w:tcPr>
          <w:p w14:paraId="264FC5A1">
            <w:pPr>
              <w:rPr>
                <w:rFonts w:ascii="仿宋" w:hAnsi="仿宋" w:eastAsia="仿宋"/>
                <w:sz w:val="28"/>
                <w:szCs w:val="28"/>
              </w:rPr>
            </w:pPr>
          </w:p>
        </w:tc>
        <w:tc>
          <w:tcPr>
            <w:tcW w:w="1940" w:type="dxa"/>
            <w:tcBorders>
              <w:top w:val="single" w:color="auto" w:sz="2" w:space="0"/>
              <w:left w:val="single" w:color="auto" w:sz="2" w:space="0"/>
              <w:bottom w:val="single" w:color="auto" w:sz="2" w:space="0"/>
              <w:right w:val="single" w:color="auto" w:sz="2" w:space="0"/>
            </w:tcBorders>
            <w:vAlign w:val="center"/>
          </w:tcPr>
          <w:p w14:paraId="778A13FC">
            <w:pPr>
              <w:spacing w:line="400" w:lineRule="exact"/>
              <w:jc w:val="center"/>
              <w:rPr>
                <w:rFonts w:ascii="仿宋" w:hAnsi="仿宋" w:eastAsia="仿宋" w:cs="宋体"/>
                <w:sz w:val="28"/>
                <w:szCs w:val="28"/>
              </w:rPr>
            </w:pPr>
            <w:r>
              <w:rPr>
                <w:rFonts w:ascii="仿宋" w:hAnsi="仿宋" w:eastAsia="仿宋" w:cs="宋体"/>
                <w:sz w:val="28"/>
                <w:szCs w:val="28"/>
              </w:rPr>
              <w:t>该列打勾的栏目可以投票</w:t>
            </w:r>
          </w:p>
        </w:tc>
      </w:tr>
      <w:tr w14:paraId="2246CE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vAlign w:val="center"/>
          </w:tcPr>
          <w:p w14:paraId="21607ACE">
            <w:pPr>
              <w:spacing w:line="400" w:lineRule="exact"/>
              <w:jc w:val="center"/>
              <w:rPr>
                <w:rFonts w:ascii="仿宋" w:hAnsi="仿宋" w:eastAsia="仿宋" w:cs="宋体"/>
                <w:sz w:val="28"/>
                <w:szCs w:val="28"/>
              </w:rPr>
            </w:pPr>
            <w:r>
              <w:rPr>
                <w:rFonts w:ascii="仿宋" w:hAnsi="仿宋" w:eastAsia="仿宋" w:cs="宋体"/>
                <w:sz w:val="28"/>
                <w:szCs w:val="28"/>
              </w:rPr>
              <w:t>100</w:t>
            </w:r>
          </w:p>
        </w:tc>
        <w:tc>
          <w:tcPr>
            <w:tcW w:w="4000" w:type="dxa"/>
            <w:tcBorders>
              <w:top w:val="single" w:color="auto" w:sz="2" w:space="0"/>
              <w:left w:val="single" w:color="auto" w:sz="2" w:space="0"/>
              <w:bottom w:val="single" w:color="auto" w:sz="2" w:space="0"/>
              <w:right w:val="single" w:color="auto" w:sz="2" w:space="0"/>
            </w:tcBorders>
            <w:vAlign w:val="center"/>
          </w:tcPr>
          <w:p w14:paraId="59F523EE">
            <w:pPr>
              <w:spacing w:line="400" w:lineRule="exact"/>
              <w:rPr>
                <w:rFonts w:ascii="仿宋" w:hAnsi="仿宋" w:eastAsia="仿宋" w:cs="宋体"/>
                <w:sz w:val="28"/>
                <w:szCs w:val="28"/>
              </w:rPr>
            </w:pPr>
            <w:r>
              <w:rPr>
                <w:rFonts w:ascii="仿宋" w:hAnsi="仿宋" w:eastAsia="仿宋" w:cs="宋体"/>
                <w:sz w:val="28"/>
                <w:szCs w:val="28"/>
              </w:rPr>
              <w:t>总议案：除累积投票提案外的所有提案</w:t>
            </w:r>
          </w:p>
        </w:tc>
        <w:tc>
          <w:tcPr>
            <w:tcW w:w="2299" w:type="dxa"/>
            <w:tcBorders>
              <w:top w:val="single" w:color="auto" w:sz="2" w:space="0"/>
              <w:left w:val="single" w:color="auto" w:sz="2" w:space="0"/>
              <w:bottom w:val="single" w:color="auto" w:sz="2" w:space="0"/>
              <w:right w:val="single" w:color="auto" w:sz="2" w:space="0"/>
            </w:tcBorders>
            <w:vAlign w:val="center"/>
          </w:tcPr>
          <w:p w14:paraId="2888DB6C">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627F0CD8">
            <w:pPr>
              <w:spacing w:line="400" w:lineRule="exact"/>
              <w:jc w:val="center"/>
              <w:rPr>
                <w:rFonts w:ascii="仿宋" w:hAnsi="仿宋" w:eastAsia="仿宋" w:cs="宋体"/>
                <w:sz w:val="28"/>
                <w:szCs w:val="28"/>
              </w:rPr>
            </w:pPr>
            <w:r>
              <w:rPr>
                <w:rFonts w:ascii="仿宋" w:hAnsi="仿宋" w:eastAsia="仿宋" w:cs="宋体"/>
                <w:sz w:val="28"/>
                <w:szCs w:val="28"/>
              </w:rPr>
              <w:t>√</w:t>
            </w:r>
          </w:p>
        </w:tc>
      </w:tr>
      <w:tr w14:paraId="77CCA7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shd w:val="clear" w:color="auto" w:fill="auto"/>
            <w:vAlign w:val="center"/>
          </w:tcPr>
          <w:p w14:paraId="2BD5AA84">
            <w:pPr>
              <w:spacing w:line="400" w:lineRule="exact"/>
              <w:jc w:val="center"/>
              <w:rPr>
                <w:rFonts w:ascii="仿宋" w:hAnsi="仿宋" w:eastAsia="仿宋" w:cs="宋体"/>
                <w:sz w:val="28"/>
                <w:szCs w:val="28"/>
              </w:rPr>
            </w:pPr>
            <w:r>
              <w:rPr>
                <w:rFonts w:ascii="仿宋" w:hAnsi="仿宋" w:eastAsia="仿宋" w:cs="宋体"/>
                <w:sz w:val="28"/>
                <w:szCs w:val="28"/>
              </w:rPr>
              <w:t>1.00</w:t>
            </w:r>
          </w:p>
        </w:tc>
        <w:tc>
          <w:tcPr>
            <w:tcW w:w="4000" w:type="dxa"/>
            <w:tcBorders>
              <w:top w:val="single" w:color="auto" w:sz="2" w:space="0"/>
              <w:left w:val="single" w:color="auto" w:sz="2" w:space="0"/>
              <w:bottom w:val="single" w:color="auto" w:sz="2" w:space="0"/>
              <w:right w:val="single" w:color="auto" w:sz="2" w:space="0"/>
            </w:tcBorders>
            <w:vAlign w:val="center"/>
          </w:tcPr>
          <w:p w14:paraId="2E68B58B">
            <w:pPr>
              <w:spacing w:line="400" w:lineRule="exact"/>
              <w:rPr>
                <w:rFonts w:ascii="仿宋" w:hAnsi="仿宋" w:eastAsia="仿宋" w:cs="宋体"/>
                <w:sz w:val="28"/>
                <w:szCs w:val="28"/>
              </w:rPr>
            </w:pPr>
            <w:r>
              <w:rPr>
                <w:rFonts w:hint="eastAsia" w:ascii="仿宋" w:hAnsi="仿宋" w:eastAsia="仿宋" w:cs="宋体"/>
                <w:sz w:val="28"/>
                <w:szCs w:val="28"/>
              </w:rPr>
              <w:t>《关于&lt;2025年度董事会工作报告&gt;的议案》</w:t>
            </w:r>
          </w:p>
        </w:tc>
        <w:tc>
          <w:tcPr>
            <w:tcW w:w="2299" w:type="dxa"/>
            <w:tcBorders>
              <w:top w:val="single" w:color="auto" w:sz="2" w:space="0"/>
              <w:left w:val="single" w:color="auto" w:sz="2" w:space="0"/>
              <w:bottom w:val="single" w:color="auto" w:sz="2" w:space="0"/>
              <w:right w:val="single" w:color="auto" w:sz="2" w:space="0"/>
            </w:tcBorders>
            <w:vAlign w:val="center"/>
          </w:tcPr>
          <w:p w14:paraId="45BFD88F">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5B418203">
            <w:pPr>
              <w:spacing w:line="400" w:lineRule="exact"/>
              <w:jc w:val="center"/>
              <w:rPr>
                <w:rFonts w:ascii="仿宋" w:hAnsi="仿宋" w:eastAsia="仿宋" w:cs="宋体"/>
                <w:sz w:val="28"/>
                <w:szCs w:val="28"/>
              </w:rPr>
            </w:pPr>
            <w:r>
              <w:rPr>
                <w:rFonts w:ascii="仿宋" w:hAnsi="仿宋" w:eastAsia="仿宋" w:cs="宋体"/>
                <w:sz w:val="28"/>
                <w:szCs w:val="28"/>
              </w:rPr>
              <w:t>√</w:t>
            </w:r>
          </w:p>
        </w:tc>
      </w:tr>
      <w:tr w14:paraId="381561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shd w:val="clear" w:color="auto" w:fill="auto"/>
            <w:vAlign w:val="center"/>
          </w:tcPr>
          <w:p w14:paraId="0348DA31">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2.00</w:t>
            </w:r>
          </w:p>
        </w:tc>
        <w:tc>
          <w:tcPr>
            <w:tcW w:w="4000" w:type="dxa"/>
            <w:tcBorders>
              <w:top w:val="single" w:color="auto" w:sz="2" w:space="0"/>
              <w:left w:val="single" w:color="auto" w:sz="2" w:space="0"/>
              <w:bottom w:val="single" w:color="auto" w:sz="2" w:space="0"/>
              <w:right w:val="single" w:color="auto" w:sz="2" w:space="0"/>
            </w:tcBorders>
            <w:vAlign w:val="center"/>
          </w:tcPr>
          <w:p w14:paraId="73011F32">
            <w:pPr>
              <w:spacing w:line="400" w:lineRule="exact"/>
              <w:rPr>
                <w:rFonts w:hint="eastAsia" w:ascii="仿宋" w:hAnsi="仿宋" w:eastAsia="仿宋" w:cs="宋体"/>
                <w:sz w:val="28"/>
                <w:szCs w:val="28"/>
              </w:rPr>
            </w:pPr>
            <w:r>
              <w:rPr>
                <w:rFonts w:hint="eastAsia" w:ascii="仿宋" w:hAnsi="仿宋" w:eastAsia="仿宋" w:cs="仿宋"/>
                <w:b w:val="0"/>
                <w:bCs w:val="0"/>
                <w:snapToGrid/>
                <w:kern w:val="2"/>
                <w:sz w:val="28"/>
                <w:szCs w:val="28"/>
                <w:lang w:eastAsia="zh-CN"/>
              </w:rPr>
              <w:t>《关于&lt;2025年度财务决算报告&gt;的议案》</w:t>
            </w:r>
          </w:p>
        </w:tc>
        <w:tc>
          <w:tcPr>
            <w:tcW w:w="2299" w:type="dxa"/>
            <w:tcBorders>
              <w:top w:val="single" w:color="auto" w:sz="2" w:space="0"/>
              <w:left w:val="single" w:color="auto" w:sz="2" w:space="0"/>
              <w:bottom w:val="single" w:color="auto" w:sz="2" w:space="0"/>
              <w:right w:val="single" w:color="auto" w:sz="2" w:space="0"/>
            </w:tcBorders>
            <w:vAlign w:val="center"/>
          </w:tcPr>
          <w:p w14:paraId="395F8541">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57F4DF56">
            <w:pPr>
              <w:spacing w:line="400" w:lineRule="exact"/>
              <w:jc w:val="center"/>
              <w:rPr>
                <w:rFonts w:ascii="仿宋" w:hAnsi="仿宋" w:eastAsia="仿宋" w:cs="宋体"/>
                <w:sz w:val="28"/>
                <w:szCs w:val="28"/>
              </w:rPr>
            </w:pPr>
            <w:r>
              <w:rPr>
                <w:rFonts w:ascii="仿宋" w:hAnsi="仿宋" w:eastAsia="仿宋" w:cs="宋体"/>
                <w:sz w:val="28"/>
                <w:szCs w:val="28"/>
              </w:rPr>
              <w:t>√</w:t>
            </w:r>
          </w:p>
        </w:tc>
      </w:tr>
      <w:tr w14:paraId="0AF65A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84" w:hRule="atLeast"/>
        </w:trPr>
        <w:tc>
          <w:tcPr>
            <w:tcW w:w="1400" w:type="dxa"/>
            <w:tcBorders>
              <w:top w:val="single" w:color="auto" w:sz="2" w:space="0"/>
              <w:left w:val="single" w:color="auto" w:sz="2" w:space="0"/>
              <w:bottom w:val="single" w:color="auto" w:sz="2" w:space="0"/>
              <w:right w:val="single" w:color="auto" w:sz="2" w:space="0"/>
            </w:tcBorders>
            <w:shd w:val="clear" w:color="auto" w:fill="auto"/>
            <w:vAlign w:val="center"/>
          </w:tcPr>
          <w:p w14:paraId="47E85496">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3.00</w:t>
            </w:r>
          </w:p>
        </w:tc>
        <w:tc>
          <w:tcPr>
            <w:tcW w:w="4000" w:type="dxa"/>
            <w:tcBorders>
              <w:top w:val="single" w:color="auto" w:sz="2" w:space="0"/>
              <w:left w:val="single" w:color="auto" w:sz="2" w:space="0"/>
              <w:bottom w:val="single" w:color="auto" w:sz="2" w:space="0"/>
              <w:right w:val="single" w:color="auto" w:sz="2" w:space="0"/>
            </w:tcBorders>
            <w:vAlign w:val="center"/>
          </w:tcPr>
          <w:p w14:paraId="5E6CA121">
            <w:pPr>
              <w:spacing w:line="400" w:lineRule="exact"/>
              <w:rPr>
                <w:rFonts w:ascii="仿宋" w:hAnsi="仿宋" w:eastAsia="仿宋" w:cs="宋体"/>
                <w:sz w:val="28"/>
                <w:szCs w:val="28"/>
              </w:rPr>
            </w:pPr>
            <w:r>
              <w:rPr>
                <w:rFonts w:hint="eastAsia" w:ascii="仿宋" w:hAnsi="仿宋" w:eastAsia="仿宋" w:cs="仿宋"/>
                <w:sz w:val="28"/>
                <w:szCs w:val="28"/>
              </w:rPr>
              <w:t>《关于2025年度利润分配预案的议案》</w:t>
            </w:r>
          </w:p>
        </w:tc>
        <w:tc>
          <w:tcPr>
            <w:tcW w:w="2299" w:type="dxa"/>
            <w:tcBorders>
              <w:top w:val="single" w:color="auto" w:sz="2" w:space="0"/>
              <w:left w:val="single" w:color="auto" w:sz="2" w:space="0"/>
              <w:bottom w:val="single" w:color="auto" w:sz="2" w:space="0"/>
              <w:right w:val="single" w:color="auto" w:sz="2" w:space="0"/>
            </w:tcBorders>
            <w:vAlign w:val="center"/>
          </w:tcPr>
          <w:p w14:paraId="045B2FD3">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613CE843">
            <w:pPr>
              <w:spacing w:line="400" w:lineRule="exact"/>
              <w:jc w:val="center"/>
              <w:rPr>
                <w:rFonts w:ascii="仿宋" w:hAnsi="仿宋" w:eastAsia="仿宋" w:cs="宋体"/>
                <w:sz w:val="28"/>
                <w:szCs w:val="28"/>
              </w:rPr>
            </w:pPr>
            <w:r>
              <w:rPr>
                <w:rFonts w:ascii="仿宋" w:hAnsi="仿宋" w:eastAsia="仿宋" w:cs="宋体"/>
                <w:sz w:val="28"/>
                <w:szCs w:val="28"/>
              </w:rPr>
              <w:t>√</w:t>
            </w:r>
          </w:p>
        </w:tc>
      </w:tr>
      <w:tr w14:paraId="08DFA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shd w:val="clear" w:color="auto" w:fill="auto"/>
            <w:vAlign w:val="center"/>
          </w:tcPr>
          <w:p w14:paraId="57099083">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4.00</w:t>
            </w:r>
          </w:p>
        </w:tc>
        <w:tc>
          <w:tcPr>
            <w:tcW w:w="4000" w:type="dxa"/>
            <w:tcBorders>
              <w:top w:val="single" w:color="auto" w:sz="2" w:space="0"/>
              <w:left w:val="single" w:color="auto" w:sz="2" w:space="0"/>
              <w:bottom w:val="single" w:color="auto" w:sz="2" w:space="0"/>
              <w:right w:val="single" w:color="auto" w:sz="2" w:space="0"/>
            </w:tcBorders>
            <w:vAlign w:val="center"/>
          </w:tcPr>
          <w:p w14:paraId="6969C595">
            <w:pPr>
              <w:spacing w:line="400" w:lineRule="exact"/>
              <w:rPr>
                <w:rFonts w:ascii="仿宋" w:hAnsi="仿宋" w:eastAsia="仿宋" w:cs="宋体"/>
                <w:sz w:val="28"/>
                <w:szCs w:val="28"/>
              </w:rPr>
            </w:pPr>
            <w:r>
              <w:rPr>
                <w:rFonts w:hint="eastAsia" w:ascii="仿宋" w:hAnsi="仿宋" w:eastAsia="仿宋" w:cs="仿宋"/>
                <w:sz w:val="28"/>
                <w:szCs w:val="28"/>
              </w:rPr>
              <w:t>《关于公司董事及高级管理人员2026年度薪酬待遇方案的议案》</w:t>
            </w:r>
          </w:p>
        </w:tc>
        <w:tc>
          <w:tcPr>
            <w:tcW w:w="2299" w:type="dxa"/>
            <w:tcBorders>
              <w:top w:val="single" w:color="auto" w:sz="2" w:space="0"/>
              <w:left w:val="single" w:color="auto" w:sz="2" w:space="0"/>
              <w:bottom w:val="single" w:color="auto" w:sz="2" w:space="0"/>
              <w:right w:val="single" w:color="auto" w:sz="2" w:space="0"/>
            </w:tcBorders>
            <w:vAlign w:val="center"/>
          </w:tcPr>
          <w:p w14:paraId="33996494">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628C251E">
            <w:pPr>
              <w:spacing w:line="400" w:lineRule="exact"/>
              <w:jc w:val="center"/>
              <w:rPr>
                <w:rFonts w:ascii="仿宋" w:hAnsi="仿宋" w:eastAsia="仿宋" w:cs="宋体"/>
                <w:sz w:val="28"/>
                <w:szCs w:val="28"/>
              </w:rPr>
            </w:pPr>
            <w:r>
              <w:rPr>
                <w:rFonts w:ascii="仿宋" w:hAnsi="仿宋" w:eastAsia="仿宋" w:cs="宋体"/>
                <w:sz w:val="28"/>
                <w:szCs w:val="28"/>
              </w:rPr>
              <w:t>√</w:t>
            </w:r>
          </w:p>
        </w:tc>
      </w:tr>
      <w:tr w14:paraId="4B99C7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shd w:val="clear"/>
            <w:vAlign w:val="center"/>
          </w:tcPr>
          <w:p w14:paraId="2F18F838">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5.00</w:t>
            </w:r>
          </w:p>
        </w:tc>
        <w:tc>
          <w:tcPr>
            <w:tcW w:w="4000" w:type="dxa"/>
            <w:tcBorders>
              <w:top w:val="single" w:color="auto" w:sz="2" w:space="0"/>
              <w:left w:val="single" w:color="auto" w:sz="2" w:space="0"/>
              <w:bottom w:val="single" w:color="auto" w:sz="2" w:space="0"/>
              <w:right w:val="single" w:color="auto" w:sz="2" w:space="0"/>
            </w:tcBorders>
            <w:vAlign w:val="center"/>
          </w:tcPr>
          <w:p w14:paraId="66A68984">
            <w:pPr>
              <w:spacing w:line="400" w:lineRule="exact"/>
              <w:rPr>
                <w:rFonts w:ascii="仿宋" w:hAnsi="仿宋" w:eastAsia="仿宋" w:cs="仿宋"/>
                <w:sz w:val="28"/>
                <w:szCs w:val="28"/>
              </w:rPr>
            </w:pPr>
            <w:r>
              <w:rPr>
                <w:rFonts w:hint="eastAsia" w:ascii="仿宋" w:hAnsi="仿宋" w:eastAsia="仿宋" w:cs="仿宋"/>
                <w:sz w:val="28"/>
                <w:szCs w:val="28"/>
              </w:rPr>
              <w:t>《关于子公司拟申请融资额度并由公司为其提供担保的议案》</w:t>
            </w:r>
          </w:p>
        </w:tc>
        <w:tc>
          <w:tcPr>
            <w:tcW w:w="2299" w:type="dxa"/>
            <w:tcBorders>
              <w:top w:val="single" w:color="auto" w:sz="2" w:space="0"/>
              <w:left w:val="single" w:color="auto" w:sz="2" w:space="0"/>
              <w:bottom w:val="single" w:color="auto" w:sz="2" w:space="0"/>
              <w:right w:val="single" w:color="auto" w:sz="2" w:space="0"/>
            </w:tcBorders>
            <w:vAlign w:val="center"/>
          </w:tcPr>
          <w:p w14:paraId="4DAF7D57">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41EE8C41">
            <w:pPr>
              <w:spacing w:line="400" w:lineRule="exact"/>
              <w:jc w:val="center"/>
              <w:rPr>
                <w:rFonts w:ascii="仿宋" w:hAnsi="仿宋" w:eastAsia="仿宋" w:cs="宋体"/>
                <w:sz w:val="28"/>
                <w:szCs w:val="28"/>
              </w:rPr>
            </w:pPr>
            <w:r>
              <w:rPr>
                <w:rFonts w:ascii="仿宋" w:hAnsi="仿宋" w:eastAsia="仿宋" w:cs="宋体"/>
                <w:sz w:val="28"/>
                <w:szCs w:val="28"/>
              </w:rPr>
              <w:t>√</w:t>
            </w:r>
          </w:p>
        </w:tc>
      </w:tr>
      <w:tr w14:paraId="54C09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75" w:hRule="atLeast"/>
        </w:trPr>
        <w:tc>
          <w:tcPr>
            <w:tcW w:w="1400" w:type="dxa"/>
            <w:tcBorders>
              <w:top w:val="single" w:color="auto" w:sz="2" w:space="0"/>
              <w:left w:val="single" w:color="auto" w:sz="2" w:space="0"/>
              <w:bottom w:val="single" w:color="auto" w:sz="2" w:space="0"/>
              <w:right w:val="single" w:color="auto" w:sz="2" w:space="0"/>
            </w:tcBorders>
            <w:vAlign w:val="center"/>
          </w:tcPr>
          <w:p w14:paraId="26C030DC">
            <w:pPr>
              <w:spacing w:line="400" w:lineRule="exact"/>
              <w:jc w:val="center"/>
              <w:rPr>
                <w:rFonts w:ascii="仿宋" w:hAnsi="仿宋" w:eastAsia="仿宋" w:cs="宋体"/>
                <w:sz w:val="28"/>
                <w:szCs w:val="28"/>
              </w:rPr>
            </w:pPr>
            <w:r>
              <w:rPr>
                <w:rFonts w:hint="eastAsia" w:ascii="仿宋" w:hAnsi="仿宋" w:eastAsia="仿宋" w:cs="宋体"/>
                <w:sz w:val="28"/>
                <w:szCs w:val="28"/>
                <w:lang w:val="en-US" w:eastAsia="zh-CN"/>
              </w:rPr>
              <w:t>6</w:t>
            </w:r>
            <w:r>
              <w:rPr>
                <w:rFonts w:hint="eastAsia" w:ascii="仿宋" w:hAnsi="仿宋" w:eastAsia="仿宋" w:cs="宋体"/>
                <w:sz w:val="28"/>
                <w:szCs w:val="28"/>
              </w:rPr>
              <w:t>.00</w:t>
            </w:r>
          </w:p>
        </w:tc>
        <w:tc>
          <w:tcPr>
            <w:tcW w:w="4000" w:type="dxa"/>
            <w:tcBorders>
              <w:top w:val="single" w:color="auto" w:sz="2" w:space="0"/>
              <w:left w:val="single" w:color="auto" w:sz="2" w:space="0"/>
              <w:bottom w:val="single" w:color="auto" w:sz="2" w:space="0"/>
              <w:right w:val="single" w:color="auto" w:sz="2" w:space="0"/>
            </w:tcBorders>
            <w:vAlign w:val="center"/>
          </w:tcPr>
          <w:p w14:paraId="23DDC321">
            <w:pPr>
              <w:spacing w:line="400" w:lineRule="exact"/>
              <w:rPr>
                <w:rFonts w:ascii="仿宋" w:hAnsi="仿宋" w:eastAsia="仿宋" w:cs="仿宋"/>
                <w:sz w:val="28"/>
                <w:szCs w:val="28"/>
              </w:rPr>
            </w:pPr>
            <w:r>
              <w:rPr>
                <w:rFonts w:hint="eastAsia" w:ascii="仿宋" w:hAnsi="仿宋" w:eastAsia="仿宋" w:cs="仿宋"/>
                <w:sz w:val="28"/>
                <w:szCs w:val="28"/>
              </w:rPr>
              <w:t>《关于&lt;公司2025年年度报告&gt;及&lt;2025年年度报告摘要&gt;的议案》</w:t>
            </w:r>
          </w:p>
        </w:tc>
        <w:tc>
          <w:tcPr>
            <w:tcW w:w="2299" w:type="dxa"/>
            <w:tcBorders>
              <w:top w:val="single" w:color="auto" w:sz="2" w:space="0"/>
              <w:left w:val="single" w:color="auto" w:sz="2" w:space="0"/>
              <w:bottom w:val="single" w:color="auto" w:sz="2" w:space="0"/>
              <w:right w:val="single" w:color="auto" w:sz="2" w:space="0"/>
            </w:tcBorders>
            <w:vAlign w:val="center"/>
          </w:tcPr>
          <w:p w14:paraId="3C1A7D16">
            <w:pPr>
              <w:spacing w:line="400" w:lineRule="exact"/>
              <w:rPr>
                <w:rFonts w:ascii="仿宋" w:hAnsi="仿宋" w:eastAsia="仿宋" w:cs="宋体"/>
                <w:sz w:val="28"/>
                <w:szCs w:val="28"/>
              </w:rPr>
            </w:pPr>
            <w:r>
              <w:rPr>
                <w:rFonts w:ascii="仿宋" w:hAnsi="仿宋" w:eastAsia="仿宋" w:cs="宋体"/>
                <w:sz w:val="28"/>
                <w:szCs w:val="28"/>
              </w:rPr>
              <w:t>非累积投票提案</w:t>
            </w:r>
          </w:p>
        </w:tc>
        <w:tc>
          <w:tcPr>
            <w:tcW w:w="1940" w:type="dxa"/>
            <w:tcBorders>
              <w:top w:val="single" w:color="auto" w:sz="2" w:space="0"/>
              <w:left w:val="single" w:color="auto" w:sz="2" w:space="0"/>
              <w:bottom w:val="single" w:color="auto" w:sz="2" w:space="0"/>
              <w:right w:val="single" w:color="auto" w:sz="2" w:space="0"/>
            </w:tcBorders>
            <w:vAlign w:val="center"/>
          </w:tcPr>
          <w:p w14:paraId="52A874DC">
            <w:pPr>
              <w:spacing w:line="400" w:lineRule="exact"/>
              <w:jc w:val="center"/>
              <w:rPr>
                <w:rFonts w:ascii="仿宋" w:hAnsi="仿宋" w:eastAsia="仿宋" w:cs="宋体"/>
                <w:sz w:val="28"/>
                <w:szCs w:val="28"/>
              </w:rPr>
            </w:pPr>
            <w:r>
              <w:rPr>
                <w:rFonts w:ascii="仿宋" w:hAnsi="仿宋" w:eastAsia="仿宋" w:cs="宋体"/>
                <w:sz w:val="28"/>
                <w:szCs w:val="28"/>
              </w:rPr>
              <w:t>√</w:t>
            </w:r>
          </w:p>
        </w:tc>
      </w:tr>
    </w:tbl>
    <w:p w14:paraId="127C62FA">
      <w:pPr>
        <w:ind w:firstLine="560" w:firstLineChars="200"/>
        <w:jc w:val="both"/>
        <w:rPr>
          <w:rFonts w:ascii="仿宋" w:hAnsi="仿宋" w:eastAsia="仿宋" w:cs="Times New Roman"/>
          <w:kern w:val="0"/>
          <w:sz w:val="28"/>
          <w:szCs w:val="28"/>
        </w:rPr>
      </w:pPr>
      <w:r>
        <w:rPr>
          <w:rFonts w:hint="eastAsia" w:ascii="仿宋" w:hAnsi="仿宋" w:eastAsia="仿宋" w:cs="Times New Roman"/>
          <w:kern w:val="0"/>
          <w:sz w:val="28"/>
          <w:szCs w:val="28"/>
        </w:rPr>
        <w:t>本次会议网络投票设置总议案。</w:t>
      </w:r>
    </w:p>
    <w:p w14:paraId="4219CCD3">
      <w:pPr>
        <w:ind w:firstLine="560" w:firstLineChars="200"/>
        <w:jc w:val="both"/>
        <w:rPr>
          <w:rFonts w:ascii="仿宋" w:hAnsi="仿宋" w:eastAsia="仿宋" w:cs="Times New Roman"/>
          <w:sz w:val="28"/>
          <w:szCs w:val="28"/>
        </w:rPr>
      </w:pPr>
      <w:r>
        <w:rPr>
          <w:rFonts w:hint="eastAsia" w:ascii="仿宋" w:hAnsi="仿宋" w:eastAsia="仿宋" w:cs="Times New Roman"/>
          <w:kern w:val="0"/>
          <w:sz w:val="28"/>
          <w:szCs w:val="28"/>
        </w:rPr>
        <w:t>（二）</w:t>
      </w:r>
      <w:r>
        <w:rPr>
          <w:rFonts w:hint="eastAsia" w:ascii="仿宋" w:hAnsi="仿宋" w:eastAsia="仿宋" w:cs="Times New Roman"/>
          <w:sz w:val="28"/>
          <w:szCs w:val="28"/>
        </w:rPr>
        <w:t>披露情况</w:t>
      </w:r>
    </w:p>
    <w:p w14:paraId="7B955698">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上述议案已经过公司第四届董事会第五次会议、第四届董事会审计委员会第六次会议审议通过，具体内容详见同日披露于巨潮资讯网（www.cninfo.com.cn)等法定信息披露媒体的相关《广东天亿马信息产业股份有限公司第四届董事会第五次会议决议公告》（公告编号：2026-013）和相关公告。</w:t>
      </w:r>
    </w:p>
    <w:p w14:paraId="44E88FBA">
      <w:pPr>
        <w:ind w:firstLine="560" w:firstLineChars="200"/>
        <w:jc w:val="both"/>
        <w:rPr>
          <w:rFonts w:ascii="仿宋" w:hAnsi="仿宋" w:eastAsia="仿宋" w:cs="Times New Roman"/>
          <w:sz w:val="28"/>
          <w:szCs w:val="28"/>
        </w:rPr>
      </w:pPr>
      <w:r>
        <w:rPr>
          <w:rFonts w:hint="eastAsia" w:ascii="仿宋" w:hAnsi="仿宋" w:eastAsia="仿宋" w:cs="Times New Roman"/>
          <w:kern w:val="0"/>
          <w:sz w:val="28"/>
          <w:szCs w:val="28"/>
        </w:rPr>
        <w:t>（三）</w:t>
      </w:r>
      <w:r>
        <w:rPr>
          <w:rFonts w:hint="eastAsia" w:ascii="仿宋" w:hAnsi="仿宋" w:eastAsia="仿宋" w:cs="Times New Roman"/>
          <w:sz w:val="28"/>
          <w:szCs w:val="28"/>
        </w:rPr>
        <w:t>其他说明</w:t>
      </w:r>
    </w:p>
    <w:p w14:paraId="079459D0">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1.议案5.00属于特别议案，应当由出席股东会的股东（包括代理人）所持表决权的三分之二以上表决通过。</w:t>
      </w:r>
    </w:p>
    <w:p w14:paraId="228DB722">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2.本次股东会议案将对中小投资者(除上市公司董事、高级管理人员以及单独或者合计持有本公司5%以上股份的股东以外的其他股东)的投票结果单独统计及披露。</w:t>
      </w:r>
    </w:p>
    <w:p w14:paraId="3C3960DB">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3.本次股东会议案不涉及回避表决情况。</w:t>
      </w:r>
    </w:p>
    <w:p w14:paraId="390F69E9">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4.公司独立董事将在本次年度股东会上进行述职，独立董事述职报告详见公司同日在巨潮资讯网（www.cninfo.com.cn）的相关公告。</w:t>
      </w:r>
    </w:p>
    <w:p w14:paraId="05DA6751">
      <w:pPr>
        <w:ind w:firstLine="560" w:firstLineChars="200"/>
        <w:jc w:val="both"/>
        <w:outlineLvl w:val="0"/>
        <w:rPr>
          <w:rFonts w:ascii="仿宋" w:hAnsi="仿宋" w:eastAsia="仿宋" w:cs="Times New Roman"/>
          <w:b/>
          <w:sz w:val="28"/>
          <w:szCs w:val="20"/>
        </w:rPr>
      </w:pPr>
      <w:bookmarkStart w:id="19" w:name="_Toc988891"/>
      <w:r>
        <w:rPr>
          <w:rFonts w:ascii="仿宋" w:hAnsi="仿宋" w:eastAsia="仿宋" w:cs="Times New Roman"/>
          <w:b/>
          <w:sz w:val="28"/>
          <w:szCs w:val="20"/>
        </w:rPr>
        <w:t>三、会议登记等事项</w:t>
      </w:r>
      <w:bookmarkEnd w:id="19"/>
    </w:p>
    <w:p w14:paraId="4D392EE3">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（一）登记方式</w:t>
      </w:r>
    </w:p>
    <w:p w14:paraId="0492C320">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1.自然人股东亲自出席的，持本人身份证、证券账户卡办理登记；委托代理人代表自然人股东出席本次会议的，应出示委托人身份证复印件、委托人亲笔签署的授权委托书（附件2）和代理人身份证原件及复印件办理登记。</w:t>
      </w:r>
    </w:p>
    <w:p w14:paraId="736086CE">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2.机构股东登记：由法定代表人/负责人/执行事务合伙人（或其代表）代表机构股东出席本次会议的，出示本人身份证、法定代表人/负责人/执行事务合伙人（或其代表）身份证明书、加盖机构股东单位印章的营业执照正副本（复印件）和股东持股凭证办理登记；由非法定代表人/负责人/执行事务合伙人（或其代表）代表机构股东出席本次会议的，应出示本人身份证、加盖机构股东单位印章的授权委托书、加盖机构股东单位印章的营业执照正副本（复印件）和股东持股凭证办理登记。</w:t>
      </w:r>
    </w:p>
    <w:p w14:paraId="00205785">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3.异地股东登记：可采用信函或传真的方式登记，股东请仔细填写《股东参会登记表》（附件3），以便登记确认。传真或信函请于现场会议召开日前一工作日16:00前送达或传真至公司证券部。书面信函登记以抵达本公司的时间为准，信函请注明“2025年年度股东会股东登记”字样。公司不接受电话方式办理登记。</w:t>
      </w:r>
    </w:p>
    <w:p w14:paraId="4C089D97">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（二）现场登记时间：现场会议召开当日14时00分至15时00分</w:t>
      </w:r>
    </w:p>
    <w:p w14:paraId="638C1E69">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（三）登记地点：广东省汕头市海滨路55号海逸投资大厦4楼</w:t>
      </w:r>
    </w:p>
    <w:p w14:paraId="3645FE9A">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（四）联 系 人：黄舒倩</w:t>
      </w:r>
    </w:p>
    <w:p w14:paraId="33EDCAA9">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（五）联系电话：0754-8888 0666</w:t>
      </w:r>
    </w:p>
    <w:p w14:paraId="73C92A5F">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（六）联系传真：0754-8898 3999</w:t>
      </w:r>
    </w:p>
    <w:p w14:paraId="62A1CEBF">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（七）联系邮箱：Securities@tym.com.cn</w:t>
      </w:r>
    </w:p>
    <w:p w14:paraId="2E0CEB68">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（八）联系地址：广东省汕头市海滨路55号海逸投资大厦4-5楼</w:t>
      </w:r>
    </w:p>
    <w:p w14:paraId="038A12DF">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（九）邮政编码：515041</w:t>
      </w:r>
    </w:p>
    <w:p w14:paraId="40093F84">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（十）注意事项：出席现场会议的股东和股东代理人请携带相关证件原件办理登记。本次会议预期半天，与会人员交通费和餐费自理。</w:t>
      </w:r>
    </w:p>
    <w:p w14:paraId="0F1892D5">
      <w:pPr>
        <w:ind w:firstLine="560" w:firstLineChars="200"/>
        <w:jc w:val="both"/>
        <w:outlineLvl w:val="0"/>
        <w:rPr>
          <w:rFonts w:ascii="仿宋" w:hAnsi="仿宋" w:eastAsia="仿宋" w:cs="Times New Roman"/>
          <w:b/>
          <w:sz w:val="28"/>
          <w:szCs w:val="20"/>
        </w:rPr>
      </w:pPr>
      <w:bookmarkStart w:id="20" w:name="_Toc988892"/>
      <w:r>
        <w:rPr>
          <w:rFonts w:ascii="仿宋" w:hAnsi="仿宋" w:eastAsia="仿宋" w:cs="Times New Roman"/>
          <w:b/>
          <w:sz w:val="28"/>
          <w:szCs w:val="20"/>
        </w:rPr>
        <w:t>四、参加网络投票的具体操作流程</w:t>
      </w:r>
      <w:bookmarkEnd w:id="20"/>
    </w:p>
    <w:p w14:paraId="14F50051">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本次股东会上，公司将向股东提供网络平台，股东可以通过深交所交易系统和互联网投票系统（http://wltp.cninfo.com.cn）参加投票，网络投票的具体操作流程见附件一。</w:t>
      </w:r>
    </w:p>
    <w:p w14:paraId="60115CEE">
      <w:pPr>
        <w:ind w:firstLine="560" w:firstLineChars="200"/>
        <w:jc w:val="both"/>
        <w:outlineLvl w:val="0"/>
        <w:rPr>
          <w:rFonts w:ascii="仿宋" w:hAnsi="仿宋" w:eastAsia="仿宋" w:cs="Times New Roman"/>
          <w:b/>
          <w:sz w:val="28"/>
          <w:szCs w:val="20"/>
        </w:rPr>
      </w:pPr>
      <w:bookmarkStart w:id="21" w:name="_Toc988893"/>
      <w:r>
        <w:rPr>
          <w:rFonts w:ascii="仿宋" w:hAnsi="仿宋" w:eastAsia="仿宋" w:cs="Times New Roman"/>
          <w:b/>
          <w:sz w:val="28"/>
          <w:szCs w:val="20"/>
        </w:rPr>
        <w:t>五、备查文件</w:t>
      </w:r>
      <w:bookmarkEnd w:id="21"/>
    </w:p>
    <w:p w14:paraId="20695FD8">
      <w:pPr>
        <w:ind w:firstLine="560" w:firstLineChars="200"/>
        <w:jc w:val="both"/>
        <w:rPr>
          <w:rFonts w:ascii="仿宋" w:hAnsi="仿宋" w:eastAsia="仿宋" w:cs="Times New Roman"/>
          <w:sz w:val="28"/>
          <w:szCs w:val="28"/>
        </w:rPr>
      </w:pPr>
      <w:r>
        <w:rPr>
          <w:rFonts w:hint="eastAsia" w:ascii="仿宋" w:hAnsi="仿宋" w:eastAsia="仿宋" w:cs="Times New Roman"/>
          <w:sz w:val="28"/>
          <w:szCs w:val="28"/>
        </w:rPr>
        <w:t>（一）《广东天亿马信息产业股份有限公司第四届董事会第</w:t>
      </w:r>
      <w:r>
        <w:rPr>
          <w:rFonts w:hint="eastAsia" w:ascii="仿宋" w:hAnsi="仿宋" w:eastAsia="仿宋" w:cs="Times New Roman"/>
          <w:sz w:val="28"/>
          <w:szCs w:val="28"/>
          <w:lang w:eastAsia="zh-CN"/>
        </w:rPr>
        <w:t>五</w:t>
      </w:r>
      <w:bookmarkStart w:id="26" w:name="_GoBack"/>
      <w:bookmarkEnd w:id="26"/>
      <w:r>
        <w:rPr>
          <w:rFonts w:hint="eastAsia" w:ascii="仿宋" w:hAnsi="仿宋" w:eastAsia="仿宋" w:cs="Times New Roman"/>
          <w:sz w:val="28"/>
          <w:szCs w:val="28"/>
        </w:rPr>
        <w:t>次会议决议》。</w:t>
      </w:r>
      <w:bookmarkStart w:id="22" w:name="_Toc988894"/>
      <w:bookmarkEnd w:id="22"/>
    </w:p>
    <w:p w14:paraId="62701EB8">
      <w:pPr>
        <w:ind w:firstLine="560" w:firstLineChars="200"/>
        <w:jc w:val="both"/>
        <w:rPr>
          <w:rFonts w:ascii="仿宋" w:hAnsi="仿宋" w:eastAsia="仿宋" w:cs="Times New Roman"/>
          <w:sz w:val="28"/>
          <w:szCs w:val="28"/>
        </w:rPr>
      </w:pPr>
      <w:r>
        <w:rPr>
          <w:rFonts w:ascii="仿宋" w:hAnsi="仿宋" w:eastAsia="仿宋" w:cs="Times New Roman"/>
          <w:sz w:val="28"/>
          <w:szCs w:val="28"/>
        </w:rPr>
        <w:t>特此公告。</w:t>
      </w:r>
    </w:p>
    <w:p w14:paraId="4D3CC84F">
      <w:pPr>
        <w:ind w:firstLine="560" w:firstLineChars="200"/>
        <w:jc w:val="right"/>
        <w:rPr>
          <w:rFonts w:ascii="仿宋" w:hAnsi="仿宋" w:eastAsia="仿宋" w:cs="Times New Roman"/>
          <w:sz w:val="28"/>
          <w:szCs w:val="28"/>
        </w:rPr>
      </w:pPr>
      <w:r>
        <w:rPr>
          <w:rFonts w:ascii="仿宋" w:hAnsi="仿宋" w:eastAsia="仿宋" w:cs="Times New Roman"/>
          <w:sz w:val="28"/>
          <w:szCs w:val="28"/>
        </w:rPr>
        <w:t>广东天亿马信息产业股份有限公司</w:t>
      </w:r>
    </w:p>
    <w:p w14:paraId="0CDA5267">
      <w:pPr>
        <w:ind w:firstLine="560" w:firstLineChars="200"/>
        <w:jc w:val="right"/>
        <w:rPr>
          <w:rFonts w:ascii="仿宋" w:hAnsi="仿宋" w:eastAsia="仿宋" w:cs="Times New Roman"/>
          <w:sz w:val="28"/>
          <w:szCs w:val="28"/>
        </w:rPr>
      </w:pPr>
      <w:r>
        <w:rPr>
          <w:rFonts w:ascii="仿宋" w:hAnsi="仿宋" w:eastAsia="仿宋" w:cs="Times New Roman"/>
          <w:sz w:val="28"/>
          <w:szCs w:val="28"/>
        </w:rPr>
        <w:t>董事会</w:t>
      </w:r>
    </w:p>
    <w:p w14:paraId="3C7E3F73">
      <w:pPr>
        <w:ind w:firstLine="560" w:firstLineChars="200"/>
        <w:jc w:val="right"/>
        <w:rPr>
          <w:rFonts w:ascii="仿宋" w:hAnsi="仿宋" w:eastAsia="仿宋" w:cs="Times New Roman"/>
          <w:sz w:val="28"/>
          <w:szCs w:val="28"/>
        </w:rPr>
      </w:pPr>
      <w:r>
        <w:rPr>
          <w:rFonts w:ascii="仿宋" w:hAnsi="仿宋" w:eastAsia="仿宋" w:cs="Times New Roman"/>
          <w:sz w:val="28"/>
          <w:szCs w:val="28"/>
        </w:rPr>
        <w:t>2026年</w:t>
      </w:r>
      <w:r>
        <w:rPr>
          <w:rFonts w:hint="eastAsia" w:ascii="仿宋" w:hAnsi="仿宋" w:eastAsia="仿宋" w:cs="Times New Roman"/>
          <w:sz w:val="28"/>
          <w:szCs w:val="28"/>
        </w:rPr>
        <w:t>3</w:t>
      </w:r>
      <w:r>
        <w:rPr>
          <w:rFonts w:ascii="仿宋" w:hAnsi="仿宋" w:eastAsia="仿宋" w:cs="Times New Roman"/>
          <w:sz w:val="28"/>
          <w:szCs w:val="28"/>
        </w:rPr>
        <w:t>月</w:t>
      </w:r>
      <w:r>
        <w:rPr>
          <w:rFonts w:hint="eastAsia" w:ascii="仿宋" w:hAnsi="仿宋" w:eastAsia="仿宋" w:cs="Times New Roman"/>
          <w:sz w:val="28"/>
          <w:szCs w:val="28"/>
        </w:rPr>
        <w:t>31</w:t>
      </w:r>
      <w:r>
        <w:rPr>
          <w:rFonts w:ascii="仿宋" w:hAnsi="仿宋" w:eastAsia="仿宋" w:cs="Times New Roman"/>
          <w:sz w:val="28"/>
          <w:szCs w:val="28"/>
        </w:rPr>
        <w:t>日</w:t>
      </w:r>
    </w:p>
    <w:p w14:paraId="41D1DBAC">
      <w:pPr>
        <w:widowControl/>
        <w:rPr>
          <w:rFonts w:ascii="仿宋" w:hAnsi="仿宋" w:eastAsia="仿宋" w:cs="Times New Roman"/>
          <w:b/>
          <w:sz w:val="28"/>
          <w:szCs w:val="20"/>
        </w:rPr>
      </w:pPr>
      <w:bookmarkStart w:id="23" w:name="_Toc988895"/>
      <w:r>
        <w:rPr>
          <w:rFonts w:ascii="仿宋" w:hAnsi="仿宋" w:eastAsia="仿宋" w:cs="Times New Roman"/>
          <w:b/>
          <w:sz w:val="28"/>
          <w:szCs w:val="20"/>
        </w:rPr>
        <w:br w:type="page"/>
      </w:r>
    </w:p>
    <w:p w14:paraId="53BE5EC8">
      <w:pPr>
        <w:ind w:firstLine="560" w:firstLineChars="200"/>
        <w:jc w:val="both"/>
        <w:outlineLvl w:val="0"/>
        <w:rPr>
          <w:rFonts w:ascii="仿宋" w:hAnsi="仿宋" w:eastAsia="仿宋" w:cs="Times New Roman"/>
          <w:b/>
          <w:sz w:val="28"/>
          <w:szCs w:val="20"/>
        </w:rPr>
      </w:pPr>
      <w:r>
        <w:rPr>
          <w:rFonts w:ascii="仿宋" w:hAnsi="仿宋" w:eastAsia="仿宋" w:cs="Times New Roman"/>
          <w:b/>
          <w:sz w:val="28"/>
          <w:szCs w:val="20"/>
        </w:rPr>
        <w:t>附件1</w:t>
      </w:r>
      <w:bookmarkEnd w:id="23"/>
    </w:p>
    <w:p w14:paraId="682E2210">
      <w:pPr>
        <w:spacing w:before="100" w:after="100" w:line="400" w:lineRule="exact"/>
        <w:jc w:val="center"/>
        <w:rPr>
          <w:rFonts w:ascii="仿宋" w:hAnsi="仿宋" w:eastAsia="仿宋" w:cs="宋体"/>
          <w:b/>
          <w:bCs/>
          <w:sz w:val="30"/>
          <w:szCs w:val="30"/>
        </w:rPr>
      </w:pPr>
      <w:r>
        <w:rPr>
          <w:rFonts w:ascii="仿宋" w:hAnsi="仿宋" w:eastAsia="仿宋" w:cs="宋体"/>
          <w:b/>
          <w:bCs/>
          <w:sz w:val="30"/>
          <w:szCs w:val="30"/>
        </w:rPr>
        <w:t>参加网络投票的具体操作流程</w:t>
      </w:r>
    </w:p>
    <w:p w14:paraId="69172466">
      <w:pPr>
        <w:ind w:firstLine="560" w:firstLineChars="200"/>
        <w:jc w:val="both"/>
        <w:outlineLvl w:val="0"/>
        <w:rPr>
          <w:rFonts w:ascii="仿宋" w:hAnsi="仿宋" w:eastAsia="仿宋" w:cs="Times New Roman"/>
          <w:b/>
          <w:sz w:val="28"/>
          <w:szCs w:val="20"/>
        </w:rPr>
      </w:pPr>
      <w:r>
        <w:rPr>
          <w:rFonts w:ascii="仿宋" w:hAnsi="仿宋" w:eastAsia="仿宋" w:cs="Times New Roman"/>
          <w:b/>
          <w:sz w:val="28"/>
          <w:szCs w:val="20"/>
        </w:rPr>
        <w:t>一、网络投票的程序</w:t>
      </w:r>
    </w:p>
    <w:p w14:paraId="28687E78">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bookmarkStart w:id="24" w:name="OLE_LINK32"/>
      <w:r>
        <w:rPr>
          <w:rFonts w:hint="eastAsia" w:ascii="Times New Roman" w:hAnsi="Times New Roman" w:eastAsia="仿宋" w:cs="Times New Roman"/>
          <w:color w:val="000000"/>
          <w:sz w:val="28"/>
          <w:szCs w:val="28"/>
        </w:rPr>
        <w:t>（一）</w:t>
      </w:r>
      <w:bookmarkEnd w:id="24"/>
      <w:r>
        <w:rPr>
          <w:rFonts w:ascii="Times New Roman" w:hAnsi="Times New Roman" w:eastAsia="仿宋" w:cs="Times New Roman"/>
          <w:color w:val="000000"/>
          <w:sz w:val="28"/>
          <w:szCs w:val="28"/>
        </w:rPr>
        <w:t>普通股的投票代码与投票简称：投票代码为“351178”，投票简称为“TYM投票”。</w:t>
      </w:r>
    </w:p>
    <w:p w14:paraId="6894010E">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（二）</w:t>
      </w:r>
      <w:r>
        <w:rPr>
          <w:rFonts w:ascii="Times New Roman" w:hAnsi="Times New Roman" w:eastAsia="仿宋" w:cs="Times New Roman"/>
          <w:color w:val="000000"/>
          <w:sz w:val="28"/>
          <w:szCs w:val="28"/>
        </w:rPr>
        <w:t>填报表决意见或选举票数。</w:t>
      </w:r>
    </w:p>
    <w:p w14:paraId="775F5949">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对于非累积投票提案，填报表决意见：同意、反对、弃权。</w:t>
      </w:r>
    </w:p>
    <w:p w14:paraId="41D16806">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rPr>
        <w:t>（三）</w:t>
      </w:r>
      <w:r>
        <w:rPr>
          <w:rFonts w:ascii="Times New Roman" w:hAnsi="Times New Roman" w:eastAsia="仿宋" w:cs="Times New Roman"/>
          <w:color w:val="000000"/>
          <w:sz w:val="28"/>
          <w:szCs w:val="28"/>
        </w:rPr>
        <w:t>股东对总议案进行投票，视为对除累积投票提案外的其他所有提案表达相同意见。</w:t>
      </w:r>
    </w:p>
    <w:p w14:paraId="6D2A0BB7">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14:paraId="779F038D">
      <w:pPr>
        <w:ind w:firstLine="560" w:firstLineChars="200"/>
        <w:jc w:val="both"/>
        <w:outlineLvl w:val="0"/>
        <w:rPr>
          <w:rFonts w:ascii="仿宋" w:hAnsi="仿宋" w:eastAsia="仿宋" w:cs="Times New Roman"/>
          <w:b/>
          <w:sz w:val="28"/>
          <w:szCs w:val="20"/>
        </w:rPr>
      </w:pPr>
      <w:r>
        <w:rPr>
          <w:rFonts w:ascii="仿宋" w:hAnsi="仿宋" w:eastAsia="仿宋" w:cs="Times New Roman"/>
          <w:b/>
          <w:sz w:val="28"/>
          <w:szCs w:val="20"/>
        </w:rPr>
        <w:t>二、通过深交所交易系统投票的程序</w:t>
      </w:r>
    </w:p>
    <w:p w14:paraId="088096C3">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rPr>
        <w:t>（一）</w:t>
      </w:r>
      <w:r>
        <w:rPr>
          <w:rFonts w:ascii="Times New Roman" w:hAnsi="Times New Roman" w:eastAsia="仿宋" w:cs="Times New Roman"/>
          <w:color w:val="000000"/>
          <w:sz w:val="28"/>
          <w:szCs w:val="28"/>
        </w:rPr>
        <w:t>投票时间：2026年</w:t>
      </w:r>
      <w:r>
        <w:rPr>
          <w:rFonts w:hint="eastAsia" w:ascii="Times New Roman" w:hAnsi="Times New Roman" w:eastAsia="仿宋" w:cs="Times New Roman"/>
          <w:color w:val="000000"/>
          <w:sz w:val="28"/>
          <w:szCs w:val="28"/>
        </w:rPr>
        <w:t>4</w:t>
      </w:r>
      <w:r>
        <w:rPr>
          <w:rFonts w:ascii="Times New Roman" w:hAnsi="Times New Roman" w:eastAsia="仿宋" w:cs="Times New Roman"/>
          <w:color w:val="000000"/>
          <w:sz w:val="28"/>
          <w:szCs w:val="28"/>
        </w:rPr>
        <w:t>月</w:t>
      </w:r>
      <w:r>
        <w:rPr>
          <w:rFonts w:hint="eastAsia" w:ascii="Times New Roman" w:hAnsi="Times New Roman" w:eastAsia="仿宋" w:cs="Times New Roman"/>
          <w:color w:val="000000"/>
          <w:sz w:val="28"/>
          <w:szCs w:val="28"/>
        </w:rPr>
        <w:t>21</w:t>
      </w:r>
      <w:r>
        <w:rPr>
          <w:rFonts w:ascii="Times New Roman" w:hAnsi="Times New Roman" w:eastAsia="仿宋" w:cs="Times New Roman"/>
          <w:color w:val="000000"/>
          <w:sz w:val="28"/>
          <w:szCs w:val="28"/>
        </w:rPr>
        <w:t>日的交易时间，即 9:15—9:25，9:30—11:30 和 13:00—15:00。</w:t>
      </w:r>
    </w:p>
    <w:p w14:paraId="6CDEB417">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rPr>
        <w:t>（二）</w:t>
      </w:r>
      <w:r>
        <w:rPr>
          <w:rFonts w:ascii="Times New Roman" w:hAnsi="Times New Roman" w:eastAsia="仿宋" w:cs="Times New Roman"/>
          <w:color w:val="000000"/>
          <w:sz w:val="28"/>
          <w:szCs w:val="28"/>
        </w:rPr>
        <w:t>股东可以登录证券公司交易客户端通过交易系统投票。</w:t>
      </w:r>
    </w:p>
    <w:p w14:paraId="0C71112C">
      <w:pPr>
        <w:ind w:firstLine="560" w:firstLineChars="200"/>
        <w:jc w:val="both"/>
        <w:outlineLvl w:val="0"/>
        <w:rPr>
          <w:rFonts w:ascii="仿宋" w:hAnsi="仿宋" w:eastAsia="仿宋" w:cs="Times New Roman"/>
          <w:b/>
          <w:sz w:val="28"/>
          <w:szCs w:val="20"/>
        </w:rPr>
      </w:pPr>
      <w:r>
        <w:rPr>
          <w:rFonts w:ascii="仿宋" w:hAnsi="仿宋" w:eastAsia="仿宋" w:cs="Times New Roman"/>
          <w:b/>
          <w:sz w:val="28"/>
          <w:szCs w:val="20"/>
        </w:rPr>
        <w:t>三、通过深交所互联网投票系统投票的程序</w:t>
      </w:r>
    </w:p>
    <w:p w14:paraId="4504CC3A">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rPr>
        <w:t>（一）</w:t>
      </w:r>
      <w:r>
        <w:rPr>
          <w:rFonts w:ascii="Times New Roman" w:hAnsi="Times New Roman" w:eastAsia="仿宋" w:cs="Times New Roman"/>
          <w:color w:val="000000"/>
          <w:sz w:val="28"/>
          <w:szCs w:val="28"/>
        </w:rPr>
        <w:t>互联网投票系统开始投票的时间为2026年</w:t>
      </w:r>
      <w:r>
        <w:rPr>
          <w:rFonts w:hint="eastAsia" w:ascii="Times New Roman" w:hAnsi="Times New Roman" w:eastAsia="仿宋" w:cs="Times New Roman"/>
          <w:color w:val="000000"/>
          <w:sz w:val="28"/>
          <w:szCs w:val="28"/>
        </w:rPr>
        <w:t>4</w:t>
      </w:r>
      <w:r>
        <w:rPr>
          <w:rFonts w:ascii="Times New Roman" w:hAnsi="Times New Roman" w:eastAsia="仿宋" w:cs="Times New Roman"/>
          <w:color w:val="000000"/>
          <w:sz w:val="28"/>
          <w:szCs w:val="28"/>
        </w:rPr>
        <w:t>月</w:t>
      </w:r>
      <w:r>
        <w:rPr>
          <w:rFonts w:hint="eastAsia" w:ascii="Times New Roman" w:hAnsi="Times New Roman" w:eastAsia="仿宋" w:cs="Times New Roman"/>
          <w:color w:val="000000"/>
          <w:sz w:val="28"/>
          <w:szCs w:val="28"/>
        </w:rPr>
        <w:t>21</w:t>
      </w:r>
      <w:r>
        <w:rPr>
          <w:rFonts w:ascii="Times New Roman" w:hAnsi="Times New Roman" w:eastAsia="仿宋" w:cs="Times New Roman"/>
          <w:color w:val="000000"/>
          <w:sz w:val="28"/>
          <w:szCs w:val="28"/>
        </w:rPr>
        <w:t>日，9:15—15:00。</w:t>
      </w:r>
    </w:p>
    <w:p w14:paraId="23C8CC0C">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rPr>
        <w:t>（二）</w:t>
      </w:r>
      <w:r>
        <w:rPr>
          <w:rFonts w:ascii="Times New Roman" w:hAnsi="Times New Roman" w:eastAsia="仿宋" w:cs="Times New Roman"/>
          <w:color w:val="000000"/>
          <w:sz w:val="28"/>
          <w:szCs w:val="28"/>
        </w:rPr>
        <w:t>股东通过互联网投票系统进行网络投票，需按照《深圳证券交易所上市公司股东会网络投票实施细则》《深圳证券交易所互联网投票业务股东身份认证操作说明》的规定办理身份认证，取得“深交所数字证书”或“深交所投资者服务密码”。具体的身份认证流程可登录互联网投票系统 https://wltp.cninfo.com.cn 规则指引栏目查阅。</w:t>
      </w:r>
    </w:p>
    <w:p w14:paraId="6DA44322">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rPr>
        <w:t>（三）</w:t>
      </w:r>
      <w:r>
        <w:rPr>
          <w:rFonts w:ascii="Times New Roman" w:hAnsi="Times New Roman" w:eastAsia="仿宋" w:cs="Times New Roman"/>
          <w:color w:val="000000"/>
          <w:sz w:val="28"/>
          <w:szCs w:val="28"/>
        </w:rPr>
        <w:t>股东根据获取的服务密码或数字证书，可登录https://wltp.cninfo.com.cn 在规定时间内通过深交所互联网投票系统进行投票。</w:t>
      </w:r>
    </w:p>
    <w:p w14:paraId="1701D03B">
      <w:r>
        <w:br w:type="page"/>
      </w:r>
    </w:p>
    <w:p w14:paraId="30A8C45E">
      <w:pPr>
        <w:ind w:firstLine="560" w:firstLineChars="200"/>
        <w:jc w:val="both"/>
        <w:outlineLvl w:val="0"/>
        <w:rPr>
          <w:rFonts w:ascii="仿宋" w:hAnsi="仿宋" w:eastAsia="仿宋" w:cs="Times New Roman"/>
          <w:b/>
          <w:sz w:val="28"/>
          <w:szCs w:val="20"/>
        </w:rPr>
      </w:pPr>
      <w:bookmarkStart w:id="25" w:name="_Toc988896"/>
      <w:r>
        <w:rPr>
          <w:rFonts w:ascii="仿宋" w:hAnsi="仿宋" w:eastAsia="仿宋" w:cs="Times New Roman"/>
          <w:b/>
          <w:sz w:val="28"/>
          <w:szCs w:val="20"/>
        </w:rPr>
        <w:t>附件2</w:t>
      </w:r>
      <w:bookmarkEnd w:id="25"/>
    </w:p>
    <w:p w14:paraId="3BAE5A2A">
      <w:pPr>
        <w:spacing w:line="560" w:lineRule="exact"/>
        <w:jc w:val="center"/>
        <w:rPr>
          <w:rFonts w:ascii="仿宋" w:hAnsi="仿宋" w:eastAsia="仿宋" w:cs="宋体"/>
          <w:b/>
          <w:bCs/>
          <w:sz w:val="30"/>
          <w:szCs w:val="30"/>
        </w:rPr>
      </w:pPr>
      <w:r>
        <w:rPr>
          <w:rFonts w:ascii="仿宋" w:hAnsi="仿宋" w:eastAsia="仿宋" w:cs="宋体"/>
          <w:b/>
          <w:bCs/>
          <w:sz w:val="30"/>
          <w:szCs w:val="30"/>
        </w:rPr>
        <w:t>广东天亿马信息产业股份有限公司</w:t>
      </w:r>
    </w:p>
    <w:p w14:paraId="40E24C5F">
      <w:pPr>
        <w:spacing w:line="560" w:lineRule="exact"/>
        <w:jc w:val="center"/>
        <w:rPr>
          <w:rFonts w:ascii="仿宋" w:hAnsi="仿宋" w:eastAsia="仿宋" w:cs="宋体"/>
          <w:b/>
          <w:bCs/>
          <w:sz w:val="30"/>
          <w:szCs w:val="30"/>
        </w:rPr>
      </w:pPr>
      <w:r>
        <w:rPr>
          <w:rFonts w:ascii="仿宋" w:hAnsi="仿宋" w:eastAsia="仿宋" w:cs="宋体"/>
          <w:b/>
          <w:bCs/>
          <w:sz w:val="30"/>
          <w:szCs w:val="30"/>
        </w:rPr>
        <w:t>202</w:t>
      </w:r>
      <w:r>
        <w:rPr>
          <w:rFonts w:hint="eastAsia" w:ascii="仿宋" w:hAnsi="仿宋" w:eastAsia="仿宋" w:cs="宋体"/>
          <w:b/>
          <w:bCs/>
          <w:sz w:val="30"/>
          <w:szCs w:val="30"/>
        </w:rPr>
        <w:t>5</w:t>
      </w:r>
      <w:r>
        <w:rPr>
          <w:rFonts w:ascii="仿宋" w:hAnsi="仿宋" w:eastAsia="仿宋" w:cs="宋体"/>
          <w:b/>
          <w:bCs/>
          <w:sz w:val="30"/>
          <w:szCs w:val="30"/>
        </w:rPr>
        <w:t>年</w:t>
      </w:r>
      <w:r>
        <w:rPr>
          <w:rFonts w:hint="eastAsia" w:ascii="仿宋" w:hAnsi="仿宋" w:eastAsia="仿宋" w:cs="宋体"/>
          <w:b/>
          <w:bCs/>
          <w:sz w:val="30"/>
          <w:szCs w:val="30"/>
        </w:rPr>
        <w:t>年度</w:t>
      </w:r>
      <w:r>
        <w:rPr>
          <w:rFonts w:ascii="仿宋" w:hAnsi="仿宋" w:eastAsia="仿宋" w:cs="宋体"/>
          <w:b/>
          <w:bCs/>
          <w:sz w:val="30"/>
          <w:szCs w:val="30"/>
        </w:rPr>
        <w:t>股东会授权委托书</w:t>
      </w:r>
    </w:p>
    <w:p w14:paraId="371CBE40">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兹委托__________先生（女士）代表本人（或本单位）出席广东天亿马信息产业股份有限公司于2026年</w:t>
      </w:r>
      <w:r>
        <w:rPr>
          <w:rFonts w:hint="eastAsia" w:ascii="Times New Roman" w:hAnsi="Times New Roman" w:eastAsia="仿宋" w:cs="Times New Roman"/>
          <w:color w:val="000000"/>
          <w:sz w:val="28"/>
          <w:szCs w:val="28"/>
        </w:rPr>
        <w:t>4</w:t>
      </w:r>
      <w:r>
        <w:rPr>
          <w:rFonts w:ascii="Times New Roman" w:hAnsi="Times New Roman" w:eastAsia="仿宋" w:cs="Times New Roman"/>
          <w:color w:val="000000"/>
          <w:sz w:val="28"/>
          <w:szCs w:val="28"/>
        </w:rPr>
        <w:t>月</w:t>
      </w:r>
      <w:r>
        <w:rPr>
          <w:rFonts w:hint="eastAsia" w:ascii="Times New Roman" w:hAnsi="Times New Roman" w:eastAsia="仿宋" w:cs="Times New Roman"/>
          <w:color w:val="000000"/>
          <w:sz w:val="28"/>
          <w:szCs w:val="28"/>
        </w:rPr>
        <w:t>21</w:t>
      </w:r>
      <w:r>
        <w:rPr>
          <w:rFonts w:ascii="Times New Roman" w:hAnsi="Times New Roman" w:eastAsia="仿宋" w:cs="Times New Roman"/>
          <w:color w:val="000000"/>
          <w:sz w:val="28"/>
          <w:szCs w:val="28"/>
        </w:rPr>
        <w:t>日召开的202</w:t>
      </w:r>
      <w:r>
        <w:rPr>
          <w:rFonts w:hint="eastAsia" w:ascii="Times New Roman" w:hAnsi="Times New Roman" w:eastAsia="仿宋" w:cs="Times New Roman"/>
          <w:color w:val="000000"/>
          <w:sz w:val="28"/>
          <w:szCs w:val="28"/>
        </w:rPr>
        <w:t>5</w:t>
      </w:r>
      <w:r>
        <w:rPr>
          <w:rFonts w:ascii="Times New Roman" w:hAnsi="Times New Roman" w:eastAsia="仿宋" w:cs="Times New Roman"/>
          <w:color w:val="000000"/>
          <w:sz w:val="28"/>
          <w:szCs w:val="28"/>
        </w:rPr>
        <w:t>年</w:t>
      </w:r>
      <w:r>
        <w:rPr>
          <w:rFonts w:hint="eastAsia" w:ascii="Times New Roman" w:hAnsi="Times New Roman" w:eastAsia="仿宋" w:cs="Times New Roman"/>
          <w:color w:val="000000"/>
          <w:sz w:val="28"/>
          <w:szCs w:val="28"/>
        </w:rPr>
        <w:t>年度</w:t>
      </w:r>
      <w:r>
        <w:rPr>
          <w:rFonts w:ascii="Times New Roman" w:hAnsi="Times New Roman" w:eastAsia="仿宋" w:cs="Times New Roman"/>
          <w:color w:val="000000"/>
          <w:sz w:val="28"/>
          <w:szCs w:val="28"/>
        </w:rPr>
        <w:t>股东会，并代表本人（或本单位）按以下方式行使表决权：</w:t>
      </w:r>
    </w:p>
    <w:p w14:paraId="7C977DF7">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本次股东会提案表决意见表</w:t>
      </w:r>
    </w:p>
    <w:tbl>
      <w:tblPr>
        <w:tblStyle w:val="9"/>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34"/>
        <w:gridCol w:w="3263"/>
        <w:gridCol w:w="3263"/>
        <w:gridCol w:w="593"/>
        <w:gridCol w:w="593"/>
        <w:gridCol w:w="593"/>
      </w:tblGrid>
      <w:tr w14:paraId="5B7B74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shd w:val="clear" w:color="auto" w:fill="D3D3D3"/>
            <w:vAlign w:val="center"/>
          </w:tcPr>
          <w:p w14:paraId="49650DB6">
            <w:pPr>
              <w:spacing w:line="400" w:lineRule="exact"/>
              <w:jc w:val="center"/>
              <w:rPr>
                <w:rFonts w:ascii="仿宋" w:hAnsi="仿宋" w:eastAsia="仿宋" w:cs="宋体"/>
                <w:sz w:val="28"/>
                <w:szCs w:val="28"/>
              </w:rPr>
            </w:pPr>
            <w:r>
              <w:rPr>
                <w:rFonts w:ascii="仿宋" w:hAnsi="仿宋" w:eastAsia="仿宋" w:cs="宋体"/>
                <w:sz w:val="28"/>
                <w:szCs w:val="28"/>
              </w:rPr>
              <w:t>提案编码</w:t>
            </w:r>
          </w:p>
        </w:tc>
        <w:tc>
          <w:tcPr>
            <w:tcW w:w="3263" w:type="dxa"/>
            <w:tcBorders>
              <w:top w:val="single" w:color="auto" w:sz="2" w:space="0"/>
              <w:left w:val="single" w:color="auto" w:sz="2" w:space="0"/>
              <w:bottom w:val="single" w:color="auto" w:sz="2" w:space="0"/>
              <w:right w:val="single" w:color="auto" w:sz="2" w:space="0"/>
            </w:tcBorders>
            <w:shd w:val="clear" w:color="auto" w:fill="D3D3D3"/>
            <w:vAlign w:val="center"/>
          </w:tcPr>
          <w:p w14:paraId="33508D09">
            <w:pPr>
              <w:spacing w:line="400" w:lineRule="exact"/>
              <w:jc w:val="center"/>
              <w:rPr>
                <w:rFonts w:ascii="仿宋" w:hAnsi="仿宋" w:eastAsia="仿宋" w:cs="宋体"/>
                <w:sz w:val="28"/>
                <w:szCs w:val="28"/>
              </w:rPr>
            </w:pPr>
            <w:r>
              <w:rPr>
                <w:rFonts w:ascii="仿宋" w:hAnsi="仿宋" w:eastAsia="仿宋" w:cs="宋体"/>
                <w:sz w:val="28"/>
                <w:szCs w:val="28"/>
              </w:rPr>
              <w:t>提案名称</w:t>
            </w:r>
          </w:p>
        </w:tc>
        <w:tc>
          <w:tcPr>
            <w:tcW w:w="3263" w:type="dxa"/>
            <w:tcBorders>
              <w:top w:val="single" w:color="auto" w:sz="2" w:space="0"/>
              <w:left w:val="single" w:color="auto" w:sz="2" w:space="0"/>
              <w:bottom w:val="single" w:color="auto" w:sz="2" w:space="0"/>
              <w:right w:val="single" w:color="auto" w:sz="2" w:space="0"/>
            </w:tcBorders>
            <w:shd w:val="clear" w:color="auto" w:fill="D3D3D3"/>
            <w:vAlign w:val="center"/>
          </w:tcPr>
          <w:p w14:paraId="1ED85B3B">
            <w:pPr>
              <w:spacing w:line="400" w:lineRule="exact"/>
              <w:jc w:val="center"/>
              <w:rPr>
                <w:rFonts w:ascii="仿宋" w:hAnsi="仿宋" w:eastAsia="仿宋" w:cs="宋体"/>
                <w:sz w:val="28"/>
                <w:szCs w:val="28"/>
              </w:rPr>
            </w:pPr>
            <w:r>
              <w:rPr>
                <w:rFonts w:ascii="仿宋" w:hAnsi="仿宋" w:eastAsia="仿宋" w:cs="宋体"/>
                <w:sz w:val="28"/>
                <w:szCs w:val="28"/>
              </w:rPr>
              <w:t>备注</w:t>
            </w:r>
          </w:p>
        </w:tc>
        <w:tc>
          <w:tcPr>
            <w:tcW w:w="593" w:type="dxa"/>
            <w:tcBorders>
              <w:top w:val="single" w:color="auto" w:sz="2" w:space="0"/>
              <w:left w:val="single" w:color="auto" w:sz="2" w:space="0"/>
              <w:bottom w:val="single" w:color="auto" w:sz="2" w:space="0"/>
              <w:right w:val="single" w:color="auto" w:sz="2" w:space="0"/>
            </w:tcBorders>
            <w:shd w:val="clear" w:color="auto" w:fill="D3D3D3"/>
            <w:vAlign w:val="center"/>
          </w:tcPr>
          <w:p w14:paraId="6F92CFB9">
            <w:pPr>
              <w:spacing w:line="400" w:lineRule="exact"/>
              <w:jc w:val="center"/>
              <w:rPr>
                <w:rFonts w:ascii="仿宋" w:hAnsi="仿宋" w:eastAsia="仿宋" w:cs="宋体"/>
                <w:sz w:val="28"/>
                <w:szCs w:val="28"/>
              </w:rPr>
            </w:pPr>
            <w:r>
              <w:rPr>
                <w:rFonts w:ascii="仿宋" w:hAnsi="仿宋" w:eastAsia="仿宋" w:cs="宋体"/>
                <w:sz w:val="28"/>
                <w:szCs w:val="28"/>
              </w:rPr>
              <w:t>同意</w:t>
            </w:r>
          </w:p>
        </w:tc>
        <w:tc>
          <w:tcPr>
            <w:tcW w:w="593" w:type="dxa"/>
            <w:tcBorders>
              <w:top w:val="single" w:color="auto" w:sz="2" w:space="0"/>
              <w:left w:val="single" w:color="auto" w:sz="2" w:space="0"/>
              <w:bottom w:val="single" w:color="auto" w:sz="2" w:space="0"/>
              <w:right w:val="single" w:color="auto" w:sz="2" w:space="0"/>
            </w:tcBorders>
            <w:shd w:val="clear" w:color="auto" w:fill="D3D3D3"/>
            <w:vAlign w:val="center"/>
          </w:tcPr>
          <w:p w14:paraId="28F9EEA8">
            <w:pPr>
              <w:spacing w:line="400" w:lineRule="exact"/>
              <w:jc w:val="center"/>
              <w:rPr>
                <w:rFonts w:ascii="仿宋" w:hAnsi="仿宋" w:eastAsia="仿宋" w:cs="宋体"/>
                <w:sz w:val="28"/>
                <w:szCs w:val="28"/>
              </w:rPr>
            </w:pPr>
            <w:r>
              <w:rPr>
                <w:rFonts w:ascii="仿宋" w:hAnsi="仿宋" w:eastAsia="仿宋" w:cs="宋体"/>
                <w:sz w:val="28"/>
                <w:szCs w:val="28"/>
              </w:rPr>
              <w:t>反对</w:t>
            </w:r>
          </w:p>
        </w:tc>
        <w:tc>
          <w:tcPr>
            <w:tcW w:w="593" w:type="dxa"/>
            <w:tcBorders>
              <w:top w:val="single" w:color="auto" w:sz="2" w:space="0"/>
              <w:left w:val="single" w:color="auto" w:sz="2" w:space="0"/>
              <w:bottom w:val="single" w:color="auto" w:sz="2" w:space="0"/>
              <w:right w:val="single" w:color="auto" w:sz="2" w:space="0"/>
            </w:tcBorders>
            <w:shd w:val="clear" w:color="auto" w:fill="D3D3D3"/>
            <w:vAlign w:val="center"/>
          </w:tcPr>
          <w:p w14:paraId="6A5EE824">
            <w:pPr>
              <w:spacing w:line="400" w:lineRule="exact"/>
              <w:jc w:val="center"/>
              <w:rPr>
                <w:rFonts w:ascii="仿宋" w:hAnsi="仿宋" w:eastAsia="仿宋" w:cs="宋体"/>
                <w:sz w:val="28"/>
                <w:szCs w:val="28"/>
              </w:rPr>
            </w:pPr>
            <w:r>
              <w:rPr>
                <w:rFonts w:ascii="仿宋" w:hAnsi="仿宋" w:eastAsia="仿宋" w:cs="宋体"/>
                <w:sz w:val="28"/>
                <w:szCs w:val="28"/>
              </w:rPr>
              <w:t>弃权</w:t>
            </w:r>
          </w:p>
        </w:tc>
      </w:tr>
      <w:tr w14:paraId="73D5C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vAlign w:val="center"/>
          </w:tcPr>
          <w:p w14:paraId="02493F0D">
            <w:pPr>
              <w:spacing w:line="400" w:lineRule="exact"/>
              <w:jc w:val="center"/>
              <w:rPr>
                <w:rFonts w:ascii="仿宋" w:hAnsi="仿宋" w:eastAsia="仿宋" w:cs="宋体"/>
                <w:sz w:val="28"/>
                <w:szCs w:val="28"/>
              </w:rPr>
            </w:pPr>
            <w:r>
              <w:rPr>
                <w:rFonts w:ascii="仿宋" w:hAnsi="仿宋" w:eastAsia="仿宋" w:cs="宋体"/>
                <w:sz w:val="28"/>
                <w:szCs w:val="28"/>
              </w:rPr>
              <w:t>100</w:t>
            </w:r>
          </w:p>
        </w:tc>
        <w:tc>
          <w:tcPr>
            <w:tcW w:w="3263" w:type="dxa"/>
            <w:tcBorders>
              <w:top w:val="single" w:color="auto" w:sz="2" w:space="0"/>
              <w:left w:val="single" w:color="auto" w:sz="2" w:space="0"/>
              <w:bottom w:val="single" w:color="auto" w:sz="2" w:space="0"/>
              <w:right w:val="single" w:color="auto" w:sz="2" w:space="0"/>
            </w:tcBorders>
            <w:vAlign w:val="center"/>
          </w:tcPr>
          <w:p w14:paraId="254EAE8B">
            <w:pPr>
              <w:spacing w:line="400" w:lineRule="exact"/>
              <w:rPr>
                <w:rFonts w:ascii="仿宋" w:hAnsi="仿宋" w:eastAsia="仿宋" w:cs="宋体"/>
                <w:sz w:val="28"/>
                <w:szCs w:val="28"/>
              </w:rPr>
            </w:pPr>
            <w:r>
              <w:rPr>
                <w:rFonts w:ascii="仿宋" w:hAnsi="仿宋" w:eastAsia="仿宋" w:cs="宋体"/>
                <w:sz w:val="28"/>
                <w:szCs w:val="28"/>
              </w:rPr>
              <w:t>总议案：除累积投票提案外的所有提案</w:t>
            </w:r>
          </w:p>
        </w:tc>
        <w:tc>
          <w:tcPr>
            <w:tcW w:w="3263" w:type="dxa"/>
            <w:tcBorders>
              <w:top w:val="single" w:color="auto" w:sz="2" w:space="0"/>
              <w:left w:val="single" w:color="auto" w:sz="2" w:space="0"/>
              <w:bottom w:val="single" w:color="auto" w:sz="2" w:space="0"/>
              <w:right w:val="single" w:color="auto" w:sz="2" w:space="0"/>
            </w:tcBorders>
            <w:vAlign w:val="center"/>
          </w:tcPr>
          <w:p w14:paraId="03286242">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593" w:type="dxa"/>
            <w:tcBorders>
              <w:top w:val="single" w:color="auto" w:sz="2" w:space="0"/>
              <w:left w:val="single" w:color="auto" w:sz="2" w:space="0"/>
              <w:bottom w:val="single" w:color="auto" w:sz="2" w:space="0"/>
              <w:right w:val="single" w:color="auto" w:sz="2" w:space="0"/>
            </w:tcBorders>
            <w:vAlign w:val="center"/>
          </w:tcPr>
          <w:p w14:paraId="3938C77A">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29515F76">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10A86E83">
            <w:pPr>
              <w:spacing w:line="400" w:lineRule="exact"/>
              <w:rPr>
                <w:rFonts w:ascii="仿宋" w:hAnsi="仿宋" w:eastAsia="仿宋" w:cs="宋体"/>
                <w:sz w:val="28"/>
                <w:szCs w:val="28"/>
              </w:rPr>
            </w:pPr>
          </w:p>
        </w:tc>
      </w:tr>
      <w:tr w14:paraId="45D18B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9639" w:type="dxa"/>
            <w:gridSpan w:val="6"/>
            <w:tcBorders>
              <w:top w:val="single" w:color="auto" w:sz="2" w:space="0"/>
              <w:left w:val="single" w:color="auto" w:sz="2" w:space="0"/>
              <w:bottom w:val="single" w:color="auto" w:sz="2" w:space="0"/>
              <w:right w:val="single" w:color="auto" w:sz="2" w:space="0"/>
            </w:tcBorders>
            <w:vAlign w:val="center"/>
          </w:tcPr>
          <w:p w14:paraId="357C20F9">
            <w:pPr>
              <w:spacing w:line="400" w:lineRule="exact"/>
              <w:rPr>
                <w:rFonts w:ascii="仿宋" w:hAnsi="仿宋" w:eastAsia="仿宋" w:cs="宋体"/>
                <w:sz w:val="28"/>
                <w:szCs w:val="28"/>
              </w:rPr>
            </w:pPr>
            <w:r>
              <w:rPr>
                <w:rFonts w:ascii="仿宋" w:hAnsi="仿宋" w:eastAsia="仿宋" w:cs="宋体"/>
                <w:sz w:val="28"/>
                <w:szCs w:val="28"/>
              </w:rPr>
              <w:t>非累积投票提案</w:t>
            </w:r>
          </w:p>
        </w:tc>
      </w:tr>
      <w:tr w14:paraId="2648A7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shd w:val="clear" w:color="auto" w:fill="auto"/>
            <w:vAlign w:val="center"/>
          </w:tcPr>
          <w:p w14:paraId="3B2F61E3">
            <w:pPr>
              <w:spacing w:line="400" w:lineRule="exact"/>
              <w:jc w:val="center"/>
              <w:rPr>
                <w:rFonts w:ascii="仿宋" w:hAnsi="仿宋" w:eastAsia="仿宋" w:cs="宋体"/>
                <w:kern w:val="2"/>
                <w:sz w:val="28"/>
                <w:szCs w:val="28"/>
                <w:lang w:val="en-US" w:eastAsia="zh-CN" w:bidi="ar-SA"/>
              </w:rPr>
            </w:pPr>
            <w:r>
              <w:rPr>
                <w:rFonts w:ascii="仿宋" w:hAnsi="仿宋" w:eastAsia="仿宋" w:cs="宋体"/>
                <w:sz w:val="28"/>
                <w:szCs w:val="28"/>
              </w:rPr>
              <w:t>1.00</w:t>
            </w:r>
          </w:p>
        </w:tc>
        <w:tc>
          <w:tcPr>
            <w:tcW w:w="3263" w:type="dxa"/>
            <w:tcBorders>
              <w:top w:val="single" w:color="auto" w:sz="2" w:space="0"/>
              <w:left w:val="single" w:color="auto" w:sz="2" w:space="0"/>
              <w:bottom w:val="single" w:color="auto" w:sz="2" w:space="0"/>
              <w:right w:val="single" w:color="auto" w:sz="2" w:space="0"/>
            </w:tcBorders>
            <w:shd w:val="clear"/>
            <w:vAlign w:val="center"/>
          </w:tcPr>
          <w:p w14:paraId="6FE7C376">
            <w:pPr>
              <w:spacing w:line="400" w:lineRule="exact"/>
              <w:rPr>
                <w:rFonts w:ascii="仿宋" w:hAnsi="仿宋" w:eastAsia="仿宋" w:cs="宋体"/>
                <w:kern w:val="2"/>
                <w:sz w:val="28"/>
                <w:szCs w:val="28"/>
                <w:lang w:val="en-US" w:eastAsia="zh-CN" w:bidi="ar-SA"/>
              </w:rPr>
            </w:pPr>
            <w:r>
              <w:rPr>
                <w:rFonts w:hint="eastAsia" w:ascii="仿宋" w:hAnsi="仿宋" w:eastAsia="仿宋" w:cs="宋体"/>
                <w:sz w:val="28"/>
                <w:szCs w:val="28"/>
              </w:rPr>
              <w:t>《关于&lt;2025年度董事会工作报告&gt;的议案》</w:t>
            </w:r>
          </w:p>
        </w:tc>
        <w:tc>
          <w:tcPr>
            <w:tcW w:w="3263" w:type="dxa"/>
            <w:tcBorders>
              <w:top w:val="single" w:color="auto" w:sz="2" w:space="0"/>
              <w:left w:val="single" w:color="auto" w:sz="2" w:space="0"/>
              <w:bottom w:val="single" w:color="auto" w:sz="2" w:space="0"/>
              <w:right w:val="single" w:color="auto" w:sz="2" w:space="0"/>
            </w:tcBorders>
            <w:vAlign w:val="center"/>
          </w:tcPr>
          <w:p w14:paraId="1E2DABD4">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593" w:type="dxa"/>
            <w:tcBorders>
              <w:top w:val="single" w:color="auto" w:sz="2" w:space="0"/>
              <w:left w:val="single" w:color="auto" w:sz="2" w:space="0"/>
              <w:bottom w:val="single" w:color="auto" w:sz="2" w:space="0"/>
              <w:right w:val="single" w:color="auto" w:sz="2" w:space="0"/>
            </w:tcBorders>
            <w:vAlign w:val="center"/>
          </w:tcPr>
          <w:p w14:paraId="44070BF0">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150264E7">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4E1EC6F9">
            <w:pPr>
              <w:spacing w:line="400" w:lineRule="exact"/>
              <w:rPr>
                <w:rFonts w:ascii="仿宋" w:hAnsi="仿宋" w:eastAsia="仿宋" w:cs="宋体"/>
                <w:sz w:val="28"/>
                <w:szCs w:val="28"/>
              </w:rPr>
            </w:pPr>
          </w:p>
        </w:tc>
      </w:tr>
      <w:tr w14:paraId="716A76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shd w:val="clear" w:color="auto" w:fill="auto"/>
            <w:vAlign w:val="center"/>
          </w:tcPr>
          <w:p w14:paraId="04D511D0">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2.00</w:t>
            </w:r>
          </w:p>
        </w:tc>
        <w:tc>
          <w:tcPr>
            <w:tcW w:w="3263" w:type="dxa"/>
            <w:tcBorders>
              <w:top w:val="single" w:color="auto" w:sz="2" w:space="0"/>
              <w:left w:val="single" w:color="auto" w:sz="2" w:space="0"/>
              <w:bottom w:val="single" w:color="auto" w:sz="2" w:space="0"/>
              <w:right w:val="single" w:color="auto" w:sz="2" w:space="0"/>
            </w:tcBorders>
            <w:shd w:val="clear"/>
            <w:vAlign w:val="center"/>
          </w:tcPr>
          <w:p w14:paraId="6F0E1817">
            <w:pPr>
              <w:spacing w:line="400" w:lineRule="exact"/>
              <w:rPr>
                <w:rFonts w:hint="eastAsia" w:ascii="仿宋" w:hAnsi="仿宋" w:eastAsia="仿宋" w:cs="宋体"/>
                <w:kern w:val="2"/>
                <w:sz w:val="28"/>
                <w:szCs w:val="28"/>
                <w:lang w:val="en-US" w:eastAsia="zh-CN" w:bidi="ar-SA"/>
              </w:rPr>
            </w:pPr>
            <w:r>
              <w:rPr>
                <w:rFonts w:hint="eastAsia" w:ascii="仿宋" w:hAnsi="仿宋" w:eastAsia="仿宋" w:cs="仿宋"/>
                <w:b w:val="0"/>
                <w:bCs w:val="0"/>
                <w:snapToGrid/>
                <w:kern w:val="2"/>
                <w:sz w:val="28"/>
                <w:szCs w:val="28"/>
                <w:lang w:eastAsia="zh-CN"/>
              </w:rPr>
              <w:t>《关于&lt;2025年度财务决算报告&gt;的议案》</w:t>
            </w:r>
          </w:p>
        </w:tc>
        <w:tc>
          <w:tcPr>
            <w:tcW w:w="3263" w:type="dxa"/>
            <w:tcBorders>
              <w:top w:val="single" w:color="auto" w:sz="2" w:space="0"/>
              <w:left w:val="single" w:color="auto" w:sz="2" w:space="0"/>
              <w:bottom w:val="single" w:color="auto" w:sz="2" w:space="0"/>
              <w:right w:val="single" w:color="auto" w:sz="2" w:space="0"/>
            </w:tcBorders>
            <w:vAlign w:val="center"/>
          </w:tcPr>
          <w:p w14:paraId="5537C7C6">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593" w:type="dxa"/>
            <w:tcBorders>
              <w:top w:val="single" w:color="auto" w:sz="2" w:space="0"/>
              <w:left w:val="single" w:color="auto" w:sz="2" w:space="0"/>
              <w:bottom w:val="single" w:color="auto" w:sz="2" w:space="0"/>
              <w:right w:val="single" w:color="auto" w:sz="2" w:space="0"/>
            </w:tcBorders>
            <w:vAlign w:val="center"/>
          </w:tcPr>
          <w:p w14:paraId="7B6AF850">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2B113F22">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5E8DA409">
            <w:pPr>
              <w:spacing w:line="400" w:lineRule="exact"/>
              <w:rPr>
                <w:rFonts w:ascii="仿宋" w:hAnsi="仿宋" w:eastAsia="仿宋" w:cs="宋体"/>
                <w:sz w:val="28"/>
                <w:szCs w:val="28"/>
              </w:rPr>
            </w:pPr>
          </w:p>
        </w:tc>
      </w:tr>
      <w:tr w14:paraId="006BF6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shd w:val="clear" w:color="auto" w:fill="auto"/>
            <w:vAlign w:val="center"/>
          </w:tcPr>
          <w:p w14:paraId="352562E9">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3.00</w:t>
            </w:r>
          </w:p>
        </w:tc>
        <w:tc>
          <w:tcPr>
            <w:tcW w:w="3263" w:type="dxa"/>
            <w:tcBorders>
              <w:top w:val="single" w:color="auto" w:sz="2" w:space="0"/>
              <w:left w:val="single" w:color="auto" w:sz="2" w:space="0"/>
              <w:bottom w:val="single" w:color="auto" w:sz="2" w:space="0"/>
              <w:right w:val="single" w:color="auto" w:sz="2" w:space="0"/>
            </w:tcBorders>
            <w:shd w:val="clear"/>
            <w:vAlign w:val="center"/>
          </w:tcPr>
          <w:p w14:paraId="2C1A3B31">
            <w:pPr>
              <w:spacing w:line="400" w:lineRule="exact"/>
              <w:rPr>
                <w:rFonts w:ascii="仿宋" w:hAnsi="仿宋" w:eastAsia="仿宋" w:cs="宋体"/>
                <w:kern w:val="2"/>
                <w:sz w:val="28"/>
                <w:szCs w:val="28"/>
                <w:lang w:val="en-US" w:eastAsia="zh-CN" w:bidi="ar-SA"/>
              </w:rPr>
            </w:pPr>
            <w:r>
              <w:rPr>
                <w:rFonts w:hint="eastAsia" w:ascii="仿宋" w:hAnsi="仿宋" w:eastAsia="仿宋" w:cs="仿宋"/>
                <w:sz w:val="28"/>
                <w:szCs w:val="28"/>
              </w:rPr>
              <w:t>《关于2025年度利润分配预案的议案》</w:t>
            </w:r>
          </w:p>
        </w:tc>
        <w:tc>
          <w:tcPr>
            <w:tcW w:w="3263" w:type="dxa"/>
            <w:tcBorders>
              <w:top w:val="single" w:color="auto" w:sz="2" w:space="0"/>
              <w:left w:val="single" w:color="auto" w:sz="2" w:space="0"/>
              <w:bottom w:val="single" w:color="auto" w:sz="2" w:space="0"/>
              <w:right w:val="single" w:color="auto" w:sz="2" w:space="0"/>
            </w:tcBorders>
            <w:vAlign w:val="center"/>
          </w:tcPr>
          <w:p w14:paraId="65CE86B6">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593" w:type="dxa"/>
            <w:tcBorders>
              <w:top w:val="single" w:color="auto" w:sz="2" w:space="0"/>
              <w:left w:val="single" w:color="auto" w:sz="2" w:space="0"/>
              <w:bottom w:val="single" w:color="auto" w:sz="2" w:space="0"/>
              <w:right w:val="single" w:color="auto" w:sz="2" w:space="0"/>
            </w:tcBorders>
            <w:vAlign w:val="center"/>
          </w:tcPr>
          <w:p w14:paraId="3707D9A3">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47843558">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4DE5BC92">
            <w:pPr>
              <w:spacing w:line="400" w:lineRule="exact"/>
              <w:rPr>
                <w:rFonts w:ascii="仿宋" w:hAnsi="仿宋" w:eastAsia="仿宋" w:cs="宋体"/>
                <w:sz w:val="28"/>
                <w:szCs w:val="28"/>
              </w:rPr>
            </w:pPr>
          </w:p>
        </w:tc>
      </w:tr>
      <w:tr w14:paraId="70ADCD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shd w:val="clear" w:color="auto" w:fill="auto"/>
            <w:vAlign w:val="center"/>
          </w:tcPr>
          <w:p w14:paraId="6734FB32">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4.00</w:t>
            </w:r>
          </w:p>
        </w:tc>
        <w:tc>
          <w:tcPr>
            <w:tcW w:w="3263" w:type="dxa"/>
            <w:tcBorders>
              <w:top w:val="single" w:color="auto" w:sz="2" w:space="0"/>
              <w:left w:val="single" w:color="auto" w:sz="2" w:space="0"/>
              <w:bottom w:val="single" w:color="auto" w:sz="2" w:space="0"/>
              <w:right w:val="single" w:color="auto" w:sz="2" w:space="0"/>
            </w:tcBorders>
            <w:shd w:val="clear"/>
            <w:vAlign w:val="center"/>
          </w:tcPr>
          <w:p w14:paraId="463FE1FE">
            <w:pPr>
              <w:spacing w:line="400" w:lineRule="exact"/>
              <w:rPr>
                <w:rFonts w:ascii="仿宋" w:hAnsi="仿宋" w:eastAsia="仿宋" w:cs="宋体"/>
                <w:kern w:val="2"/>
                <w:sz w:val="28"/>
                <w:szCs w:val="28"/>
                <w:lang w:val="en-US" w:eastAsia="zh-CN" w:bidi="ar-SA"/>
              </w:rPr>
            </w:pPr>
            <w:r>
              <w:rPr>
                <w:rFonts w:hint="eastAsia" w:ascii="仿宋" w:hAnsi="仿宋" w:eastAsia="仿宋" w:cs="仿宋"/>
                <w:sz w:val="28"/>
                <w:szCs w:val="28"/>
              </w:rPr>
              <w:t>《关于公司董事及高级管理人员2026年度薪酬待遇方案的议案》</w:t>
            </w:r>
          </w:p>
        </w:tc>
        <w:tc>
          <w:tcPr>
            <w:tcW w:w="3263" w:type="dxa"/>
            <w:tcBorders>
              <w:top w:val="single" w:color="auto" w:sz="2" w:space="0"/>
              <w:left w:val="single" w:color="auto" w:sz="2" w:space="0"/>
              <w:bottom w:val="single" w:color="auto" w:sz="2" w:space="0"/>
              <w:right w:val="single" w:color="auto" w:sz="2" w:space="0"/>
            </w:tcBorders>
            <w:vAlign w:val="center"/>
          </w:tcPr>
          <w:p w14:paraId="75E239B2">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593" w:type="dxa"/>
            <w:tcBorders>
              <w:top w:val="single" w:color="auto" w:sz="2" w:space="0"/>
              <w:left w:val="single" w:color="auto" w:sz="2" w:space="0"/>
              <w:bottom w:val="single" w:color="auto" w:sz="2" w:space="0"/>
              <w:right w:val="single" w:color="auto" w:sz="2" w:space="0"/>
            </w:tcBorders>
            <w:vAlign w:val="center"/>
          </w:tcPr>
          <w:p w14:paraId="4DBBF3CF">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16FA7195">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6CE0C8CC">
            <w:pPr>
              <w:spacing w:line="400" w:lineRule="exact"/>
              <w:rPr>
                <w:rFonts w:ascii="仿宋" w:hAnsi="仿宋" w:eastAsia="仿宋" w:cs="宋体"/>
                <w:sz w:val="28"/>
                <w:szCs w:val="28"/>
              </w:rPr>
            </w:pPr>
          </w:p>
        </w:tc>
      </w:tr>
      <w:tr w14:paraId="0DFB00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334" w:type="dxa"/>
            <w:tcBorders>
              <w:top w:val="single" w:color="auto" w:sz="2" w:space="0"/>
              <w:left w:val="single" w:color="auto" w:sz="2" w:space="0"/>
              <w:bottom w:val="single" w:color="auto" w:sz="2" w:space="0"/>
              <w:right w:val="single" w:color="auto" w:sz="2" w:space="0"/>
            </w:tcBorders>
            <w:shd w:val="clear" w:color="auto" w:fill="auto"/>
            <w:vAlign w:val="center"/>
          </w:tcPr>
          <w:p w14:paraId="6E66045D">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rPr>
              <w:t>5.00</w:t>
            </w:r>
          </w:p>
        </w:tc>
        <w:tc>
          <w:tcPr>
            <w:tcW w:w="3263" w:type="dxa"/>
            <w:tcBorders>
              <w:top w:val="single" w:color="auto" w:sz="2" w:space="0"/>
              <w:left w:val="single" w:color="auto" w:sz="2" w:space="0"/>
              <w:bottom w:val="single" w:color="auto" w:sz="2" w:space="0"/>
              <w:right w:val="single" w:color="auto" w:sz="2" w:space="0"/>
            </w:tcBorders>
            <w:shd w:val="clear"/>
            <w:vAlign w:val="center"/>
          </w:tcPr>
          <w:p w14:paraId="1F8D17FE">
            <w:pPr>
              <w:spacing w:line="400" w:lineRule="exact"/>
              <w:rPr>
                <w:rFonts w:ascii="仿宋" w:hAnsi="仿宋" w:eastAsia="仿宋" w:cs="仿宋"/>
                <w:kern w:val="2"/>
                <w:sz w:val="28"/>
                <w:szCs w:val="28"/>
                <w:lang w:val="en-US" w:eastAsia="zh-CN" w:bidi="ar-SA"/>
              </w:rPr>
            </w:pPr>
            <w:r>
              <w:rPr>
                <w:rFonts w:hint="eastAsia" w:ascii="仿宋" w:hAnsi="仿宋" w:eastAsia="仿宋" w:cs="仿宋"/>
                <w:sz w:val="28"/>
                <w:szCs w:val="28"/>
              </w:rPr>
              <w:t>《关于子公司拟申请融资额度并由公司为其提供担保的议案》</w:t>
            </w:r>
          </w:p>
        </w:tc>
        <w:tc>
          <w:tcPr>
            <w:tcW w:w="3263" w:type="dxa"/>
            <w:tcBorders>
              <w:top w:val="single" w:color="auto" w:sz="2" w:space="0"/>
              <w:left w:val="single" w:color="auto" w:sz="2" w:space="0"/>
              <w:bottom w:val="single" w:color="auto" w:sz="2" w:space="0"/>
              <w:right w:val="single" w:color="auto" w:sz="2" w:space="0"/>
            </w:tcBorders>
            <w:vAlign w:val="center"/>
          </w:tcPr>
          <w:p w14:paraId="6CCEEA18">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593" w:type="dxa"/>
            <w:tcBorders>
              <w:top w:val="single" w:color="auto" w:sz="2" w:space="0"/>
              <w:left w:val="single" w:color="auto" w:sz="2" w:space="0"/>
              <w:bottom w:val="single" w:color="auto" w:sz="2" w:space="0"/>
              <w:right w:val="single" w:color="auto" w:sz="2" w:space="0"/>
            </w:tcBorders>
            <w:vAlign w:val="center"/>
          </w:tcPr>
          <w:p w14:paraId="31D36781">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2772904B">
            <w:pPr>
              <w:spacing w:line="400" w:lineRule="exact"/>
              <w:rPr>
                <w:rFonts w:ascii="仿宋" w:hAnsi="仿宋" w:eastAsia="仿宋" w:cs="宋体"/>
                <w:sz w:val="28"/>
                <w:szCs w:val="28"/>
              </w:rPr>
            </w:pPr>
          </w:p>
        </w:tc>
        <w:tc>
          <w:tcPr>
            <w:tcW w:w="593" w:type="dxa"/>
            <w:tcBorders>
              <w:top w:val="single" w:color="auto" w:sz="2" w:space="0"/>
              <w:left w:val="single" w:color="auto" w:sz="2" w:space="0"/>
              <w:bottom w:val="single" w:color="auto" w:sz="2" w:space="0"/>
              <w:right w:val="single" w:color="auto" w:sz="2" w:space="0"/>
            </w:tcBorders>
            <w:vAlign w:val="center"/>
          </w:tcPr>
          <w:p w14:paraId="6303DC66">
            <w:pPr>
              <w:spacing w:line="400" w:lineRule="exact"/>
              <w:rPr>
                <w:rFonts w:ascii="仿宋" w:hAnsi="仿宋" w:eastAsia="仿宋" w:cs="宋体"/>
                <w:sz w:val="28"/>
                <w:szCs w:val="28"/>
              </w:rPr>
            </w:pPr>
          </w:p>
        </w:tc>
      </w:tr>
      <w:tr w14:paraId="5B0EF2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0" w:type="auto"/>
            <w:shd w:val="clear"/>
            <w:vAlign w:val="center"/>
          </w:tcPr>
          <w:p w14:paraId="1BD65E45">
            <w:pPr>
              <w:spacing w:line="400" w:lineRule="exact"/>
              <w:jc w:val="center"/>
              <w:rPr>
                <w:rFonts w:ascii="仿宋" w:hAnsi="仿宋" w:eastAsia="仿宋" w:cs="宋体"/>
                <w:kern w:val="2"/>
                <w:sz w:val="28"/>
                <w:szCs w:val="28"/>
                <w:lang w:val="en-US" w:eastAsia="zh-CN" w:bidi="ar-SA"/>
              </w:rPr>
            </w:pPr>
            <w:r>
              <w:rPr>
                <w:rFonts w:hint="eastAsia" w:ascii="仿宋" w:hAnsi="仿宋" w:eastAsia="仿宋" w:cs="宋体"/>
                <w:sz w:val="28"/>
                <w:szCs w:val="28"/>
                <w:lang w:val="en-US" w:eastAsia="zh-CN"/>
              </w:rPr>
              <w:t>6</w:t>
            </w:r>
            <w:r>
              <w:rPr>
                <w:rFonts w:hint="eastAsia" w:ascii="仿宋" w:hAnsi="仿宋" w:eastAsia="仿宋" w:cs="宋体"/>
                <w:sz w:val="28"/>
                <w:szCs w:val="28"/>
              </w:rPr>
              <w:t>.00</w:t>
            </w:r>
          </w:p>
        </w:tc>
        <w:tc>
          <w:tcPr>
            <w:tcW w:w="0" w:type="auto"/>
            <w:shd w:val="clear"/>
            <w:vAlign w:val="center"/>
          </w:tcPr>
          <w:p w14:paraId="0DCBB506">
            <w:pPr>
              <w:spacing w:line="400" w:lineRule="exact"/>
              <w:rPr>
                <w:rFonts w:ascii="仿宋" w:hAnsi="仿宋" w:eastAsia="仿宋" w:cs="仿宋"/>
                <w:kern w:val="2"/>
                <w:sz w:val="28"/>
                <w:szCs w:val="28"/>
                <w:lang w:val="en-US" w:eastAsia="zh-CN" w:bidi="ar-SA"/>
              </w:rPr>
            </w:pPr>
            <w:r>
              <w:rPr>
                <w:rFonts w:hint="eastAsia" w:ascii="仿宋" w:hAnsi="仿宋" w:eastAsia="仿宋" w:cs="仿宋"/>
                <w:sz w:val="28"/>
                <w:szCs w:val="28"/>
              </w:rPr>
              <w:t>《关于&lt;公司2025年年度报告&gt;及&lt;2025年年度报告摘要&gt;的议案》</w:t>
            </w:r>
          </w:p>
        </w:tc>
        <w:tc>
          <w:tcPr>
            <w:tcW w:w="0" w:type="auto"/>
          </w:tcPr>
          <w:p w14:paraId="57AAE15F">
            <w:pPr>
              <w:spacing w:line="400" w:lineRule="exact"/>
              <w:jc w:val="center"/>
              <w:rPr>
                <w:rFonts w:ascii="仿宋" w:hAnsi="仿宋" w:eastAsia="仿宋" w:cs="宋体"/>
                <w:sz w:val="28"/>
                <w:szCs w:val="28"/>
              </w:rPr>
            </w:pPr>
            <w:r>
              <w:rPr>
                <w:rFonts w:ascii="仿宋" w:hAnsi="仿宋" w:eastAsia="仿宋" w:cs="宋体"/>
                <w:sz w:val="28"/>
                <w:szCs w:val="28"/>
              </w:rPr>
              <w:t>√</w:t>
            </w:r>
          </w:p>
        </w:tc>
        <w:tc>
          <w:tcPr>
            <w:tcW w:w="0" w:type="auto"/>
          </w:tcPr>
          <w:p w14:paraId="6553726F">
            <w:pPr>
              <w:spacing w:line="400" w:lineRule="exact"/>
              <w:rPr>
                <w:rFonts w:ascii="仿宋" w:hAnsi="仿宋" w:eastAsia="仿宋" w:cs="宋体"/>
                <w:sz w:val="28"/>
                <w:szCs w:val="28"/>
              </w:rPr>
            </w:pPr>
          </w:p>
        </w:tc>
        <w:tc>
          <w:tcPr>
            <w:tcW w:w="0" w:type="auto"/>
          </w:tcPr>
          <w:p w14:paraId="2EB944E5">
            <w:pPr>
              <w:spacing w:line="400" w:lineRule="exact"/>
              <w:rPr>
                <w:rFonts w:ascii="仿宋" w:hAnsi="仿宋" w:eastAsia="仿宋" w:cs="宋体"/>
                <w:sz w:val="28"/>
                <w:szCs w:val="28"/>
              </w:rPr>
            </w:pPr>
          </w:p>
        </w:tc>
        <w:tc>
          <w:tcPr>
            <w:tcW w:w="0" w:type="auto"/>
          </w:tcPr>
          <w:p w14:paraId="2F8BE63E">
            <w:pPr>
              <w:spacing w:line="400" w:lineRule="exact"/>
              <w:rPr>
                <w:rFonts w:ascii="仿宋" w:hAnsi="仿宋" w:eastAsia="仿宋" w:cs="宋体"/>
                <w:sz w:val="28"/>
                <w:szCs w:val="28"/>
              </w:rPr>
            </w:pPr>
          </w:p>
        </w:tc>
      </w:tr>
    </w:tbl>
    <w:p w14:paraId="58A18CDC">
      <w:pPr>
        <w:spacing w:after="600" w:line="0" w:lineRule="atLeast"/>
      </w:pPr>
    </w:p>
    <w:p w14:paraId="34153481">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委托人名称（盖章）：</w:t>
      </w:r>
    </w:p>
    <w:p w14:paraId="74DBD9B1">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委托人身份证号码（社会信用代码）：</w:t>
      </w:r>
    </w:p>
    <w:p w14:paraId="086AD531">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（委托人为法人股东，应加盖法人单位印章。）</w:t>
      </w:r>
    </w:p>
    <w:p w14:paraId="69EA6861">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委托人股东账号：                          持股数量：</w:t>
      </w:r>
    </w:p>
    <w:p w14:paraId="2D21CA82">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受托人：                                  受托人身份证号码：</w:t>
      </w:r>
    </w:p>
    <w:p w14:paraId="4C2E1F9B">
      <w:pPr>
        <w:spacing w:before="156" w:beforeLines="50" w:after="156" w:afterLines="50" w:line="360" w:lineRule="auto"/>
        <w:ind w:firstLine="560" w:firstLineChars="200"/>
        <w:jc w:val="both"/>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签发日期：                                委托有效期：</w:t>
      </w:r>
    </w:p>
    <w:sectPr>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
  <w:rsids>
    <w:rsidRoot w:val="00E43453"/>
    <w:rsid w:val="00035307"/>
    <w:rsid w:val="000A0948"/>
    <w:rsid w:val="00120DBC"/>
    <w:rsid w:val="00154B27"/>
    <w:rsid w:val="0022181C"/>
    <w:rsid w:val="00274939"/>
    <w:rsid w:val="00286EBC"/>
    <w:rsid w:val="002A4268"/>
    <w:rsid w:val="002C5454"/>
    <w:rsid w:val="00300DD0"/>
    <w:rsid w:val="00331CB3"/>
    <w:rsid w:val="00374182"/>
    <w:rsid w:val="00445671"/>
    <w:rsid w:val="004479E5"/>
    <w:rsid w:val="004C6A6F"/>
    <w:rsid w:val="00532C30"/>
    <w:rsid w:val="005375CE"/>
    <w:rsid w:val="0056667F"/>
    <w:rsid w:val="00631CA7"/>
    <w:rsid w:val="00647FA0"/>
    <w:rsid w:val="006D3635"/>
    <w:rsid w:val="006E4A54"/>
    <w:rsid w:val="00734CAA"/>
    <w:rsid w:val="0074103B"/>
    <w:rsid w:val="00747F78"/>
    <w:rsid w:val="00770AB8"/>
    <w:rsid w:val="00790106"/>
    <w:rsid w:val="007D4BD9"/>
    <w:rsid w:val="00816AC5"/>
    <w:rsid w:val="00884C80"/>
    <w:rsid w:val="00891B6B"/>
    <w:rsid w:val="00962E15"/>
    <w:rsid w:val="00975710"/>
    <w:rsid w:val="009C1814"/>
    <w:rsid w:val="009D2BA9"/>
    <w:rsid w:val="00A22C7C"/>
    <w:rsid w:val="00A43B45"/>
    <w:rsid w:val="00A670A9"/>
    <w:rsid w:val="00AC1A08"/>
    <w:rsid w:val="00AE009A"/>
    <w:rsid w:val="00B20C74"/>
    <w:rsid w:val="00B41031"/>
    <w:rsid w:val="00B746F7"/>
    <w:rsid w:val="00BB33B0"/>
    <w:rsid w:val="00BC792D"/>
    <w:rsid w:val="00C567E5"/>
    <w:rsid w:val="00CB6559"/>
    <w:rsid w:val="00D50A37"/>
    <w:rsid w:val="00D86278"/>
    <w:rsid w:val="00D93AA2"/>
    <w:rsid w:val="00DD163F"/>
    <w:rsid w:val="00E02DF3"/>
    <w:rsid w:val="00E33BB7"/>
    <w:rsid w:val="00E43453"/>
    <w:rsid w:val="00E63A26"/>
    <w:rsid w:val="00E674F3"/>
    <w:rsid w:val="00E94877"/>
    <w:rsid w:val="00EF2ACD"/>
    <w:rsid w:val="00F230EC"/>
    <w:rsid w:val="00F70F14"/>
    <w:rsid w:val="03100052"/>
    <w:rsid w:val="037B15FD"/>
    <w:rsid w:val="05CD3FD8"/>
    <w:rsid w:val="05EC0902"/>
    <w:rsid w:val="065D535C"/>
    <w:rsid w:val="090C4E18"/>
    <w:rsid w:val="093726C4"/>
    <w:rsid w:val="0AEB6679"/>
    <w:rsid w:val="0D690A8B"/>
    <w:rsid w:val="0E1518A1"/>
    <w:rsid w:val="0E2F75DE"/>
    <w:rsid w:val="0F334030"/>
    <w:rsid w:val="13C20EF5"/>
    <w:rsid w:val="142A78B4"/>
    <w:rsid w:val="14535FF1"/>
    <w:rsid w:val="159348F7"/>
    <w:rsid w:val="16304A0D"/>
    <w:rsid w:val="163976E4"/>
    <w:rsid w:val="1AE527D6"/>
    <w:rsid w:val="1C9553F8"/>
    <w:rsid w:val="1CE41F3D"/>
    <w:rsid w:val="1DD121FC"/>
    <w:rsid w:val="1DE71C83"/>
    <w:rsid w:val="1DED6B6E"/>
    <w:rsid w:val="1EBD0C36"/>
    <w:rsid w:val="1FBB4BD6"/>
    <w:rsid w:val="259C15A5"/>
    <w:rsid w:val="25E22D30"/>
    <w:rsid w:val="2602724B"/>
    <w:rsid w:val="2610789E"/>
    <w:rsid w:val="27E45486"/>
    <w:rsid w:val="28577CBD"/>
    <w:rsid w:val="29361D11"/>
    <w:rsid w:val="29883BEF"/>
    <w:rsid w:val="2A711103"/>
    <w:rsid w:val="2E693FEF"/>
    <w:rsid w:val="33DD128F"/>
    <w:rsid w:val="346C65E7"/>
    <w:rsid w:val="37CA3C84"/>
    <w:rsid w:val="37FB37B7"/>
    <w:rsid w:val="3AA12D62"/>
    <w:rsid w:val="3AD8249C"/>
    <w:rsid w:val="3B9603B4"/>
    <w:rsid w:val="3BA527DC"/>
    <w:rsid w:val="3BC36985"/>
    <w:rsid w:val="3CAF79B9"/>
    <w:rsid w:val="3F826AEF"/>
    <w:rsid w:val="439B4BBE"/>
    <w:rsid w:val="4517516C"/>
    <w:rsid w:val="49033566"/>
    <w:rsid w:val="49A94649"/>
    <w:rsid w:val="49B06B1E"/>
    <w:rsid w:val="4ABF5254"/>
    <w:rsid w:val="4BA426B2"/>
    <w:rsid w:val="4CFB27A6"/>
    <w:rsid w:val="4F5543EF"/>
    <w:rsid w:val="515626A1"/>
    <w:rsid w:val="51CD67EE"/>
    <w:rsid w:val="52F65EE9"/>
    <w:rsid w:val="547075D6"/>
    <w:rsid w:val="586236D9"/>
    <w:rsid w:val="5A1F5D26"/>
    <w:rsid w:val="5A90452E"/>
    <w:rsid w:val="5B765E19"/>
    <w:rsid w:val="5C2238AB"/>
    <w:rsid w:val="5DD72473"/>
    <w:rsid w:val="5EEB267A"/>
    <w:rsid w:val="5F170B25"/>
    <w:rsid w:val="60002155"/>
    <w:rsid w:val="608A5EC3"/>
    <w:rsid w:val="61A86601"/>
    <w:rsid w:val="65A2617E"/>
    <w:rsid w:val="66291CDA"/>
    <w:rsid w:val="66F26570"/>
    <w:rsid w:val="6707201B"/>
    <w:rsid w:val="683A1F7D"/>
    <w:rsid w:val="6BA3128D"/>
    <w:rsid w:val="705E556F"/>
    <w:rsid w:val="70651B61"/>
    <w:rsid w:val="71C31235"/>
    <w:rsid w:val="72F91F50"/>
    <w:rsid w:val="735C6B15"/>
    <w:rsid w:val="74FE7ABF"/>
    <w:rsid w:val="78092607"/>
    <w:rsid w:val="7B32220A"/>
    <w:rsid w:val="7BBE3213"/>
    <w:rsid w:val="7D0261A9"/>
    <w:rsid w:val="7E793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156" w:after="156"/>
      <w:outlineLvl w:val="1"/>
    </w:pPr>
    <w:rPr>
      <w:szCs w:val="21"/>
    </w:rPr>
  </w:style>
  <w:style w:type="paragraph" w:styleId="3">
    <w:name w:val="heading 3"/>
    <w:basedOn w:val="1"/>
    <w:next w:val="1"/>
    <w:qFormat/>
    <w:uiPriority w:val="99"/>
    <w:pPr>
      <w:keepNext/>
      <w:keepLines/>
      <w:spacing w:before="300" w:after="300" w:line="241" w:lineRule="auto"/>
      <w:jc w:val="both"/>
      <w:outlineLvl w:val="2"/>
    </w:pPr>
    <w:rPr>
      <w:rFonts w:eastAsia="宋体"/>
      <w:szCs w:val="21"/>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5"/>
    <w:unhideWhenUsed/>
    <w:qFormat/>
    <w:uiPriority w:val="99"/>
    <w:pPr>
      <w:tabs>
        <w:tab w:val="center" w:pos="4153"/>
        <w:tab w:val="right" w:pos="8306"/>
      </w:tabs>
      <w:snapToGrid w:val="0"/>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qFormat/>
    <w:uiPriority w:val="39"/>
  </w:style>
  <w:style w:type="paragraph" w:styleId="7">
    <w:name w:val="toc 2"/>
    <w:basedOn w:val="1"/>
    <w:next w:val="1"/>
    <w:autoRedefine/>
    <w:unhideWhenUsed/>
    <w:qFormat/>
    <w:uiPriority w:val="39"/>
    <w:pPr>
      <w:ind w:left="420" w:leftChars="200"/>
    </w:pPr>
  </w:style>
  <w:style w:type="paragraph" w:styleId="8">
    <w:name w:val="Normal (Web)"/>
    <w:basedOn w:val="1"/>
    <w:semiHidden/>
    <w:unhideWhenUsed/>
    <w:qFormat/>
    <w:uiPriority w:val="99"/>
    <w:pPr>
      <w:widowControl/>
      <w:spacing w:before="100" w:beforeAutospacing="1" w:after="100" w:afterAutospacing="1"/>
    </w:pPr>
    <w:rPr>
      <w:rFonts w:ascii="宋体" w:hAnsi="宋体" w:eastAsia="宋体" w:cs="宋体"/>
      <w:kern w:val="0"/>
      <w:sz w:val="24"/>
      <w:szCs w:val="24"/>
    </w:rPr>
  </w:style>
  <w:style w:type="paragraph" w:customStyle="1" w:styleId="11">
    <w:name w:val="Header 1"/>
    <w:qFormat/>
    <w:uiPriority w:val="0"/>
    <w:pPr>
      <w:jc w:val="right"/>
    </w:pPr>
    <w:rPr>
      <w:rFonts w:ascii="宋体" w:eastAsia="宋体" w:hAnsiTheme="minorHAnsi" w:cstheme="minorBidi"/>
      <w:kern w:val="2"/>
      <w:sz w:val="18"/>
      <w:szCs w:val="18"/>
      <w:lang w:val="en-US" w:eastAsia="zh-CN" w:bidi="ar-SA"/>
    </w:rPr>
  </w:style>
  <w:style w:type="paragraph" w:customStyle="1" w:styleId="12">
    <w:name w:val="heading h1"/>
    <w:basedOn w:val="1"/>
    <w:next w:val="1"/>
    <w:qFormat/>
    <w:uiPriority w:val="9"/>
    <w:pPr>
      <w:keepNext/>
      <w:keepLines/>
      <w:spacing w:before="240" w:after="240" w:line="578" w:lineRule="auto"/>
      <w:outlineLvl w:val="0"/>
    </w:pPr>
    <w:rPr>
      <w:kern w:val="44"/>
      <w:sz w:val="44"/>
      <w:szCs w:val="44"/>
    </w:rPr>
  </w:style>
  <w:style w:type="paragraph" w:customStyle="1" w:styleId="13">
    <w:name w:val="fotter 1"/>
    <w:qFormat/>
    <w:uiPriority w:val="0"/>
    <w:pPr>
      <w:jc w:val="right"/>
    </w:pPr>
    <w:rPr>
      <w:rFonts w:ascii="宋体" w:eastAsia="宋体" w:hAnsiTheme="minorHAnsi" w:cstheme="minorBidi"/>
      <w:kern w:val="2"/>
      <w:sz w:val="18"/>
      <w:szCs w:val="18"/>
      <w:lang w:val="en-US" w:eastAsia="zh-CN" w:bidi="ar-SA"/>
    </w:rPr>
  </w:style>
  <w:style w:type="character" w:customStyle="1" w:styleId="14">
    <w:name w:val="页眉 Char"/>
    <w:basedOn w:val="10"/>
    <w:link w:val="5"/>
    <w:qFormat/>
    <w:uiPriority w:val="99"/>
    <w:rPr>
      <w:sz w:val="18"/>
      <w:szCs w:val="18"/>
    </w:rPr>
  </w:style>
  <w:style w:type="character" w:customStyle="1" w:styleId="15">
    <w:name w:val="页脚 Char"/>
    <w:basedOn w:val="10"/>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2904</Words>
  <Characters>3317</Characters>
  <Lines>264</Lines>
  <Paragraphs>212</Paragraphs>
  <TotalTime>5</TotalTime>
  <ScaleCrop>false</ScaleCrop>
  <LinksUpToDate>false</LinksUpToDate>
  <CharactersWithSpaces>3438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2026-02-09T02:02:00Z</dcterms:created>
  <dc:creator>huangsq</dc:creator>
  <cp:lastModifiedBy>黄舒倩</cp:lastModifiedBy>
  <dcterms:modified xsi:type="dcterms:W3CDTF">2026-03-29T11:38:41Z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1C58FE7400A341FF94CA2BEC7876486F_12</vt:lpwstr>
  </property>
</Properties>
</file>